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3160" w:type="dxa"/>
            <w:vAlign w:val="bottom"/>
          </w:tcPr>
          <w:p>
            <w:pPr>
              <w:spacing w:after="0"/>
              <w:rPr>
                <w:sz w:val="17"/>
                <w:szCs w:val="17"/>
                <w:color w:val="auto"/>
              </w:rPr>
            </w:pPr>
          </w:p>
        </w:tc>
        <w:tc>
          <w:tcPr>
            <w:tcW w:w="5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tc>
      </w:tr>
      <w:tr>
        <w:trPr>
          <w:trHeight w:val="25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Prospectus dated November 12, 2024)</w:t>
            </w:r>
          </w:p>
        </w:tc>
        <w:tc>
          <w:tcPr>
            <w:tcW w:w="5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333-282678</w:t>
            </w:r>
          </w:p>
        </w:tc>
      </w:tr>
    </w:tbl>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Up to $250,000,000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73660</wp:posOffset>
            </wp:positionV>
            <wp:extent cx="1285875" cy="1011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5875" cy="10115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CTO Realty Growth, Inc.</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prospectus supplement is being filed to update, amend and supplement certain information in the prospectus supplement dated and filed with the Securities and Exchange Commission (the “SEC”) on November 12, 2024 (the “First Prospectus Supplement”), the base prospectus dated November 12, 2024 (the “Prospectus”), and the prospectus supplement dated and filed with the SEC on April 29, 2026 (the “Second Supplement,” and, together with the First Prospectus Supplement, the “Original Prospectus Supplement”), relating to the offer and sale of shares of our common stock, par value $0.01 per share (the “Common Stock”), having an aggregate offering price of up to $250,000,000 from time to time, pursuant to separate equity distribution agreements, each dated November 12, 2024, as amended April 29, 2026, we entered into with each of A.G.P./Alliance Global Partners (“AGP”), B. Riley Securities, Inc. (“B. Riley”), Robert W. Baird &amp; Co. Incorporated (“Baird”), Jefferies LLC (“Jefferies”), JonesTrading Institutional Services LLC (“Jones”), KeyBanc Capital Markets Inc. (“KeyBanc”), Lucid Capital Markets, LLC (“Lucid”), Raymond James &amp; Associates, Inc. (“Raymond James”), Regions Securities LLC (“Regions”), Truist Securities, Inc. (“Truist”) and Wells Fargo Securities, LLC (“Wells Fargo”), and separate equity distribution agreements, each dated April 29, 2026, we entered into with each of Cantor Fitzgerald &amp; Co. (“Cantor”) and Huntington Securities, Inc. (“Huntington”). This prospectus supplement is only intended to update, amend and supplement certain information in the Original Prospectus Supplement to the extent set forth in the following paragraph. You should read this prospectus supplement together with the Original Prospectus Supplement and the Prospectus.</w:t>
      </w:r>
    </w:p>
    <w:p>
      <w:pPr>
        <w:spacing w:after="0" w:line="190"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October 28, 2026, we entered into (i) a separate equity distribution agreement with BofA Securities, Inc. (“BofA”) and (ii) separate amendments to each existing equity distribution agreement with each of AGP, B. Riley, Baird, Cantor, Huntington, Jefferies, Jones, KeyBanc, Lucid, Raymond James, Regions, Truist and Wells Fargo. Pursuant to the equity distribution agreement, BofA, or its affiliate, shall become a sales agent, forward seller and forward purchaser. Accordingly, any reference to “sales agent” or “sales agents” in the Original Prospectus Supplement shall hereafter be deemed to include BofA, any reference to “forward seller” or “forward sellers” in the Original Prospectus Supplement shall hereafter be deemed to include BofA, and any reference to “forward purchaser” or “forward purchasers” in the Original Prospectus Supplement shall hereafter be deemed to include BofA, or its affiliate. Through the date of this prospectus supplement, Common Stock with an aggregate offering price of $160.5 million has been offered and sold under the equity distribution agreements. Due to these prior sales, as of the date of this prospectus supplement, shares of Common Stock with an aggregate offering price of up to $89.5 million remain available for offer and sale pursuant to the equity distribution agreements.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131445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right="320"/>
        <w:spacing w:after="0" w:line="259" w:lineRule="auto"/>
        <w:rPr>
          <w:sz w:val="20"/>
          <w:szCs w:val="20"/>
          <w:color w:val="auto"/>
        </w:rPr>
      </w:pPr>
      <w:r>
        <w:rPr>
          <w:rFonts w:ascii="Times New Roman" w:cs="Times New Roman" w:eastAsia="Times New Roman" w:hAnsi="Times New Roman"/>
          <w:sz w:val="18"/>
          <w:szCs w:val="18"/>
          <w:b w:val="1"/>
          <w:bCs w:val="1"/>
          <w:color w:val="auto"/>
        </w:rPr>
        <w:t>Investing in shares of our Common Stock involves risks. See “Risk Factors” beginning on page S-5 of the First Prospectus Supplement and the risks set forth under the caption “Item 1A. Risk Factors” in our most recent Annual Report on Form 10-K and in our subsequent Quarterly Reports on Form 10-Q, as well as additional risks that may be described in future reports or information that we file with the Securities and Exchange Commission, which are incorporated by reference in this prospectus supplement, the Original Prospectus Supplement and the Prospectus.</w:t>
      </w:r>
    </w:p>
    <w:p>
      <w:pPr>
        <w:spacing w:after="0" w:line="179" w:lineRule="exact"/>
        <w:rPr>
          <w:sz w:val="24"/>
          <w:szCs w:val="24"/>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the Original Prospectus Supplement or the Prospectus is truthful or complete. Any representation to the contrary is a criminal offense.</w:t>
      </w:r>
    </w:p>
    <w:p>
      <w:pPr>
        <w:spacing w:after="0" w:line="171" w:lineRule="exact"/>
        <w:rPr>
          <w:sz w:val="24"/>
          <w:szCs w:val="24"/>
          <w:color w:val="auto"/>
        </w:rPr>
      </w:pPr>
    </w:p>
    <w:tbl>
      <w:tblPr>
        <w:tblLayout w:type="fixed"/>
        <w:tblInd w:w="100" w:type="dxa"/>
        <w:tblCellMar>
          <w:top w:w="0" w:type="dxa"/>
          <w:left w:w="0" w:type="dxa"/>
          <w:bottom w:w="0" w:type="dxa"/>
          <w:right w:w="0" w:type="dxa"/>
        </w:tblCellMar>
      </w:tblPr>
      <w:tr>
        <w:trPr>
          <w:trHeight w:val="229"/>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A.G.P.</w:t>
            </w: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 Riley Securities</w:t>
            </w:r>
          </w:p>
        </w:tc>
        <w:tc>
          <w:tcPr>
            <w:tcW w:w="26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Baird</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BofA Securities</w:t>
            </w:r>
          </w:p>
        </w:tc>
      </w:tr>
      <w:tr>
        <w:trPr>
          <w:trHeight w:val="230"/>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Cantor</w:t>
            </w: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Huntington Capital Markets</w:t>
            </w:r>
          </w:p>
        </w:tc>
        <w:tc>
          <w:tcPr>
            <w:tcW w:w="26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Jefferies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Jones</w:t>
            </w:r>
          </w:p>
        </w:tc>
      </w:tr>
      <w:tr>
        <w:trPr>
          <w:trHeight w:val="229"/>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KeyBanc Capital Markets</w:t>
            </w: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Lucid Capital Markets</w:t>
            </w:r>
          </w:p>
        </w:tc>
        <w:tc>
          <w:tcPr>
            <w:tcW w:w="26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Raymond James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Regions Securities LLC</w:t>
            </w:r>
          </w:p>
        </w:tc>
      </w:t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Truist Securities</w:t>
            </w: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Wells Fargo Securities</w:t>
            </w:r>
          </w:p>
        </w:tc>
        <w:tc>
          <w:tcPr>
            <w:tcW w:w="2640" w:type="dxa"/>
            <w:vAlign w:val="bottom"/>
          </w:tcPr>
          <w:p>
            <w:pPr>
              <w:spacing w:after="0"/>
              <w:rPr>
                <w:sz w:val="20"/>
                <w:szCs w:val="20"/>
                <w:color w:val="auto"/>
              </w:rPr>
            </w:pPr>
          </w:p>
        </w:tc>
        <w:tc>
          <w:tcPr>
            <w:tcW w:w="26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146050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October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4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2026-10-28T15:38:06Z</dcterms:created>
  <dcterms:modified xsi:type="dcterms:W3CDTF">2026-10-28T15:38:06Z</dcterms:modified>
</cp:coreProperties>
</file>