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6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108585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7" w:lineRule="exact"/>
        <w:rPr>
          <w:sz w:val="24"/>
          <w:szCs w:val="24"/>
          <w:color w:val="auto"/>
        </w:rPr>
      </w:pPr>
    </w:p>
    <w:p>
      <w:pPr>
        <w:ind w:left="430" w:right="180" w:hanging="430"/>
        <w:spacing w:after="0" w:line="267" w:lineRule="auto"/>
        <w:tabs>
          <w:tab w:leader="none" w:pos="43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4"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23" w:lineRule="exact"/>
        <w:rPr>
          <w:sz w:val="24"/>
          <w:szCs w:val="24"/>
          <w:color w:val="auto"/>
        </w:rPr>
      </w:pPr>
    </w:p>
    <w:p>
      <w:pPr>
        <w:ind w:left="10"/>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430" w:right="180" w:hanging="430"/>
        <w:spacing w:after="0" w:line="281" w:lineRule="auto"/>
        <w:tabs>
          <w:tab w:leader="none" w:pos="43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30"/>
        <w:spacing w:after="0"/>
        <w:tabs>
          <w:tab w:leader="none" w:pos="60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88900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4" w:lineRule="exact"/>
        <w:rPr>
          <w:sz w:val="24"/>
          <w:szCs w:val="24"/>
          <w:color w:val="auto"/>
        </w:rPr>
      </w:pPr>
    </w:p>
    <w:p>
      <w:pPr>
        <w:jc w:val="center"/>
        <w:ind w:right="10"/>
        <w:spacing w:after="0"/>
        <w:rPr>
          <w:sz w:val="20"/>
          <w:szCs w:val="20"/>
          <w:color w:val="auto"/>
        </w:rPr>
      </w:pPr>
      <w:r>
        <w:rPr>
          <w:rFonts w:ascii="Arial" w:cs="Arial" w:eastAsia="Arial" w:hAnsi="Arial"/>
          <w:sz w:val="40"/>
          <w:szCs w:val="40"/>
          <w:b w:val="1"/>
          <w:bCs w:val="1"/>
          <w:color w:val="auto"/>
        </w:rPr>
        <w:t>CTO REALTY GROWTH, INC.</w:t>
      </w:r>
    </w:p>
    <w:p>
      <w:pPr>
        <w:spacing w:after="0" w:line="5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3" w:lineRule="exact"/>
        <w:rPr>
          <w:sz w:val="24"/>
          <w:szCs w:val="24"/>
          <w:color w:val="auto"/>
        </w:rPr>
      </w:pPr>
    </w:p>
    <w:tbl>
      <w:tblPr>
        <w:tblLayout w:type="fixed"/>
        <w:tblInd w:w="1210" w:type="dxa"/>
        <w:tblCellMar>
          <w:top w:w="0" w:type="dxa"/>
          <w:left w:w="0" w:type="dxa"/>
          <w:bottom w:w="0" w:type="dxa"/>
          <w:right w:w="0" w:type="dxa"/>
        </w:tblCellMar>
      </w:tblPr>
      <w:tr>
        <w:trPr>
          <w:trHeight w:val="189"/>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9"/>
              </w:rPr>
              <w:t>Maryland</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59-0483700</w:t>
            </w:r>
          </w:p>
        </w:tc>
      </w:tr>
      <w:tr>
        <w:trPr>
          <w:trHeight w:val="189"/>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1"/>
              </w:rPr>
              <w:t>(State or other jurisdiction of</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1"/>
              </w:rPr>
              <w:t>incorporation or organization)</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Identification No.)</w:t>
            </w:r>
          </w:p>
        </w:tc>
      </w:tr>
      <w:tr>
        <w:trPr>
          <w:trHeight w:val="276"/>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91"/>
              </w:rPr>
              <w:t>369 N. New York Avenue, Suite 201</w:t>
            </w:r>
          </w:p>
        </w:tc>
        <w:tc>
          <w:tcPr>
            <w:tcW w:w="1360" w:type="dxa"/>
            <w:vAlign w:val="bottom"/>
          </w:tcPr>
          <w:p>
            <w:pPr>
              <w:spacing w:after="0"/>
              <w:rPr>
                <w:sz w:val="23"/>
                <w:szCs w:val="23"/>
                <w:color w:val="auto"/>
              </w:rPr>
            </w:pPr>
          </w:p>
        </w:tc>
      </w:tr>
      <w:tr>
        <w:trPr>
          <w:trHeight w:val="189"/>
        </w:trPr>
        <w:tc>
          <w:tcPr>
            <w:tcW w:w="5840" w:type="dxa"/>
            <w:vAlign w:val="bottom"/>
          </w:tcPr>
          <w:p>
            <w:pPr>
              <w:jc w:val="center"/>
              <w:ind w:right="3099"/>
              <w:spacing w:after="0"/>
              <w:rPr>
                <w:sz w:val="20"/>
                <w:szCs w:val="20"/>
                <w:color w:val="auto"/>
              </w:rPr>
            </w:pPr>
            <w:r>
              <w:rPr>
                <w:rFonts w:ascii="Arial" w:cs="Arial" w:eastAsia="Arial" w:hAnsi="Arial"/>
                <w:sz w:val="16"/>
                <w:szCs w:val="16"/>
                <w:b w:val="1"/>
                <w:bCs w:val="1"/>
                <w:color w:val="auto"/>
                <w:w w:val="96"/>
              </w:rPr>
              <w:t>Winter Park, Florida</w:t>
            </w:r>
          </w:p>
        </w:tc>
        <w:tc>
          <w:tcPr>
            <w:tcW w:w="1360" w:type="dxa"/>
            <w:vAlign w:val="bottom"/>
          </w:tcPr>
          <w:p>
            <w:pPr>
              <w:jc w:val="right"/>
              <w:ind w:right="359"/>
              <w:spacing w:after="0"/>
              <w:rPr>
                <w:sz w:val="20"/>
                <w:szCs w:val="20"/>
                <w:color w:val="auto"/>
              </w:rPr>
            </w:pPr>
            <w:r>
              <w:rPr>
                <w:rFonts w:ascii="Arial" w:cs="Arial" w:eastAsia="Arial" w:hAnsi="Arial"/>
                <w:sz w:val="16"/>
                <w:szCs w:val="16"/>
                <w:b w:val="1"/>
                <w:bCs w:val="1"/>
                <w:color w:val="auto"/>
              </w:rPr>
              <w:t>32789</w:t>
            </w:r>
          </w:p>
        </w:tc>
      </w:tr>
      <w:tr>
        <w:trPr>
          <w:trHeight w:val="210"/>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5840" w:type="dxa"/>
            <w:vAlign w:val="bottom"/>
          </w:tcPr>
          <w:p>
            <w:pPr>
              <w:jc w:val="right"/>
              <w:ind w:right="1339"/>
              <w:spacing w:after="0"/>
              <w:rPr>
                <w:sz w:val="20"/>
                <w:szCs w:val="20"/>
                <w:color w:val="auto"/>
              </w:rPr>
            </w:pPr>
            <w:r>
              <w:rPr>
                <w:rFonts w:ascii="Arial" w:cs="Arial" w:eastAsia="Arial" w:hAnsi="Arial"/>
                <w:sz w:val="16"/>
                <w:szCs w:val="16"/>
                <w:b w:val="1"/>
                <w:bCs w:val="1"/>
                <w:color w:val="auto"/>
              </w:rPr>
              <w:t>(407) 904-3324</w:t>
            </w:r>
          </w:p>
        </w:tc>
        <w:tc>
          <w:tcPr>
            <w:tcW w:w="1360" w:type="dxa"/>
            <w:vAlign w:val="bottom"/>
          </w:tcPr>
          <w:p>
            <w:pPr>
              <w:spacing w:after="0"/>
              <w:rPr>
                <w:sz w:val="20"/>
                <w:szCs w:val="20"/>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60" w:type="dxa"/>
            <w:vAlign w:val="bottom"/>
          </w:tcPr>
          <w:p>
            <w:pPr>
              <w:spacing w:after="0"/>
              <w:rPr>
                <w:sz w:val="18"/>
                <w:szCs w:val="18"/>
                <w:color w:val="auto"/>
              </w:rPr>
            </w:pPr>
          </w:p>
        </w:tc>
      </w:tr>
    </w:tbl>
    <w:p>
      <w:pPr>
        <w:spacing w:after="0" w:line="18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87"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0230"/>
          </w:cols>
          <w:pgMar w:left="830" w:top="665" w:right="839" w:bottom="1440" w:gutter="0" w:footer="0" w:header="0"/>
        </w:sectPr>
      </w:pPr>
    </w:p>
    <w:p>
      <w:pPr>
        <w:spacing w:after="0" w:line="231" w:lineRule="exact"/>
        <w:rPr>
          <w:sz w:val="24"/>
          <w:szCs w:val="24"/>
          <w:color w:val="auto"/>
        </w:rPr>
      </w:pPr>
    </w:p>
    <w:p>
      <w:pPr>
        <w:jc w:val="center"/>
        <w:ind w:left="41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2151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6" w:lineRule="exact"/>
        <w:rPr>
          <w:sz w:val="24"/>
          <w:szCs w:val="24"/>
          <w:color w:val="auto"/>
        </w:rPr>
      </w:pPr>
    </w:p>
    <w:p>
      <w:pPr>
        <w:jc w:val="both"/>
        <w:ind w:left="410" w:firstLine="13"/>
        <w:spacing w:after="0" w:line="345" w:lineRule="auto"/>
        <w:rPr>
          <w:sz w:val="20"/>
          <w:szCs w:val="20"/>
          <w:color w:val="auto"/>
        </w:rPr>
      </w:pPr>
      <w:r>
        <w:rPr>
          <w:rFonts w:ascii="Arial" w:cs="Arial" w:eastAsia="Arial" w:hAnsi="Arial"/>
          <w:sz w:val="12"/>
          <w:szCs w:val="12"/>
          <w:b w:val="1"/>
          <w:bCs w:val="1"/>
          <w:color w:val="auto"/>
        </w:rPr>
        <w:t>Common Stock, $0.01 par value per share 6.375% Series A Cumulative Redeemable Preferred Stock, $0.01 par value per share</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Trading Symbols</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0"/>
        </w:trPr>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CTO</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NYSE</w:t>
            </w:r>
          </w:p>
        </w:tc>
      </w:tr>
      <w:tr>
        <w:trPr>
          <w:trHeight w:val="375"/>
        </w:trPr>
        <w:tc>
          <w:tcPr>
            <w:tcW w:w="3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CTO</w:t>
            </w:r>
            <w:r>
              <w:rPr>
                <w:rFonts w:ascii="Arial" w:cs="Arial" w:eastAsia="Arial" w:hAnsi="Arial"/>
                <w:sz w:val="16"/>
                <w:szCs w:val="16"/>
                <w:color w:val="auto"/>
                <w:w w:val="99"/>
              </w:rPr>
              <w:t>-</w:t>
            </w:r>
            <w:r>
              <w:rPr>
                <w:rFonts w:ascii="Arial" w:cs="Arial" w:eastAsia="Arial" w:hAnsi="Arial"/>
                <w:sz w:val="14"/>
                <w:szCs w:val="14"/>
                <w:b w:val="1"/>
                <w:bCs w:val="1"/>
                <w:color w:val="auto"/>
                <w:w w:val="99"/>
              </w:rPr>
              <w:t>PA</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NYSE</w:t>
            </w:r>
          </w:p>
        </w:tc>
      </w:tr>
    </w:tbl>
    <w:p>
      <w:pPr>
        <w:spacing w:after="0" w:line="171" w:lineRule="exact"/>
        <w:rPr>
          <w:sz w:val="24"/>
          <w:szCs w:val="24"/>
          <w:color w:val="auto"/>
        </w:rPr>
      </w:pPr>
    </w:p>
    <w:p>
      <w:pPr>
        <w:sectPr>
          <w:pgSz w:w="11900" w:h="16838" w:orient="portrait"/>
          <w:cols w:equalWidth="0" w:num="2">
            <w:col w:w="2990" w:space="600"/>
            <w:col w:w="6640"/>
          </w:cols>
          <w:pgMar w:left="830" w:top="665" w:right="839" w:bottom="1440" w:gutter="0" w:footer="0" w:header="0"/>
          <w:type w:val="continuous"/>
        </w:sectPr>
      </w:pPr>
    </w:p>
    <w:p>
      <w:pPr>
        <w:ind w:left="10" w:right="160" w:firstLine="441"/>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10" w:right="180" w:firstLine="441"/>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10" w:right="160" w:firstLine="44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4" w:lineRule="exact"/>
        <w:rPr>
          <w:sz w:val="24"/>
          <w:szCs w:val="24"/>
          <w:color w:val="auto"/>
        </w:rPr>
      </w:pPr>
    </w:p>
    <w:p>
      <w:pPr>
        <w:ind w:left="10" w:right="140" w:firstLine="441"/>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4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19, 2023, there were 22,686,444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587375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210185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193040</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10"/>
          </w:tcPr>
          <w:p>
            <w:pPr>
              <w:ind w:left="1060"/>
              <w:spacing w:after="0"/>
              <w:rPr>
                <w:sz w:val="20"/>
                <w:szCs w:val="20"/>
                <w:color w:val="auto"/>
              </w:rPr>
            </w:pPr>
            <w:r>
              <w:rPr>
                <w:rFonts w:ascii="Arial" w:cs="Arial" w:eastAsia="Arial" w:hAnsi="Arial"/>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8460" w:type="dxa"/>
            <w:vAlign w:val="bottom"/>
            <w:gridSpan w:val="25"/>
            <w:vMerge w:val="restart"/>
          </w:tcPr>
          <w:p>
            <w:pPr>
              <w:spacing w:after="0"/>
              <w:rPr>
                <w:sz w:val="20"/>
                <w:szCs w:val="20"/>
                <w:color w:val="auto"/>
              </w:rPr>
            </w:pPr>
            <w:r>
              <w:rPr>
                <w:rFonts w:ascii="Arial" w:cs="Arial" w:eastAsia="Arial" w:hAnsi="Arial"/>
                <w:sz w:val="18"/>
                <w:szCs w:val="18"/>
                <w:color w:val="0000EE"/>
              </w:rPr>
              <w:t>PART I—FINANCIAL INFORMATION</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5"/>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580" w:type="dxa"/>
            <w:vAlign w:val="bottom"/>
            <w:tcBorders>
              <w:top w:val="single" w:sz="8" w:color="0000EE"/>
              <w:bottom w:val="single" w:sz="8" w:color="0000EE"/>
            </w:tcBorders>
            <w:gridSpan w:val="7"/>
          </w:tcPr>
          <w:p>
            <w:pPr>
              <w:ind w:left="80"/>
              <w:spacing w:after="0"/>
              <w:rPr>
                <w:sz w:val="20"/>
                <w:szCs w:val="20"/>
                <w:color w:val="auto"/>
              </w:rPr>
            </w:pPr>
            <w:r>
              <w:rPr>
                <w:rFonts w:ascii="Arial" w:cs="Arial" w:eastAsia="Arial" w:hAnsi="Arial"/>
                <w:sz w:val="18"/>
                <w:szCs w:val="18"/>
                <w:color w:val="0000EE"/>
                <w:w w:val="88"/>
              </w:rPr>
              <w:t>Financial Statements</w:t>
            </w:r>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Consolidated Balance Sheets – September 30, 2023 (Unaudited) and December 31, 2022</w:t>
            </w:r>
          </w:p>
        </w:tc>
        <w:tc>
          <w:tcPr>
            <w:tcW w:w="17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0000EE"/>
                <w:w w:val="98"/>
              </w:rPr>
              <w:t>Consolidated Statements of Operations – Three and nine months ended September 30, 2023 and 2022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3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(Unaudited)</w:t>
            </w:r>
          </w:p>
        </w:tc>
        <w:tc>
          <w:tcPr>
            <w:tcW w:w="8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8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8"/>
              </w:rPr>
              <w:t>Consolidated Statements of Comprehensive Income – Three and nine months ended September 30, 2023 and</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2022 (Unaudited)</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6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Consolidated Statements of Stockholders’ Equity – Three and nine months ended September 30, 2023 and</w:t>
            </w:r>
          </w:p>
        </w:tc>
        <w:tc>
          <w:tcPr>
            <w:tcW w:w="4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2022 (Unaudited)</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0000EE"/>
                <w:w w:val="96"/>
              </w:rPr>
              <w:t>Consolidated Statements of Cash Flows – Nine months ended September 30, 2023 and 2022 (Unaudited)</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56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58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2"/>
              </w:rPr>
              <w:t>Item 2.   Management’s Discussion and Analysis of Financial Condition and Results of Operations</w:t>
            </w:r>
          </w:p>
        </w:tc>
        <w:tc>
          <w:tcPr>
            <w:tcW w:w="122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4"/>
              </w:rPr>
              <w:t>Item 3.   Quantitative and Qualitative Disclosures About Market Risk</w:t>
            </w:r>
          </w:p>
        </w:tc>
        <w:tc>
          <w:tcPr>
            <w:tcW w:w="33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4"/>
              </w:rPr>
              <w:t>Item 4.   Controls and Procedures</w:t>
            </w:r>
          </w:p>
        </w:tc>
        <w:tc>
          <w:tcPr>
            <w:tcW w:w="59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5"/>
              </w:rPr>
              <w:t>PART II—OTHER INFORMATION</w:t>
            </w:r>
          </w:p>
        </w:tc>
        <w:tc>
          <w:tcPr>
            <w:tcW w:w="58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760" w:type="dxa"/>
            <w:vAlign w:val="bottom"/>
            <w:gridSpan w:val="22"/>
          </w:tcPr>
          <w:p>
            <w:pPr>
              <w:ind w:left="80"/>
              <w:spacing w:after="0"/>
              <w:rPr>
                <w:sz w:val="20"/>
                <w:szCs w:val="20"/>
                <w:color w:val="auto"/>
              </w:rPr>
            </w:pPr>
            <w:r>
              <w:rPr>
                <w:rFonts w:ascii="Arial" w:cs="Arial" w:eastAsia="Arial" w:hAnsi="Arial"/>
                <w:sz w:val="18"/>
                <w:szCs w:val="18"/>
                <w:color w:val="0000EE"/>
              </w:rPr>
              <w:t>Legal Proceedings</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rPr>
              <w:t>Item 1A.</w:t>
            </w:r>
          </w:p>
        </w:tc>
        <w:tc>
          <w:tcPr>
            <w:tcW w:w="1020" w:type="dxa"/>
            <w:vAlign w:val="bottom"/>
            <w:tcBorders>
              <w:top w:val="single" w:sz="8" w:color="0000EE"/>
              <w:bottom w:val="single" w:sz="8" w:color="0000EE"/>
            </w:tcBorders>
            <w:gridSpan w:val="4"/>
          </w:tcPr>
          <w:p>
            <w:pPr>
              <w:ind w:left="80"/>
              <w:spacing w:after="0"/>
              <w:rPr>
                <w:sz w:val="20"/>
                <w:szCs w:val="20"/>
                <w:color w:val="auto"/>
              </w:rPr>
            </w:pPr>
            <w:r>
              <w:rPr>
                <w:rFonts w:ascii="Arial" w:cs="Arial" w:eastAsia="Arial" w:hAnsi="Arial"/>
                <w:sz w:val="18"/>
                <w:szCs w:val="18"/>
                <w:color w:val="0000EE"/>
                <w:w w:val="89"/>
              </w:rPr>
              <w:t>Risk Factors</w:t>
            </w:r>
          </w:p>
        </w:tc>
        <w:tc>
          <w:tcPr>
            <w:tcW w:w="380" w:type="dxa"/>
            <w:vAlign w:val="bottom"/>
            <w:tcBorders>
              <w:top w:val="single" w:sz="8" w:color="0000EE"/>
            </w:tcBorders>
            <w:gridSpan w:val="2"/>
          </w:tcPr>
          <w:p>
            <w:pPr>
              <w:spacing w:after="0"/>
              <w:rPr>
                <w:sz w:val="24"/>
                <w:szCs w:val="24"/>
                <w:color w:val="auto"/>
              </w:rPr>
            </w:pPr>
          </w:p>
        </w:tc>
        <w:tc>
          <w:tcPr>
            <w:tcW w:w="636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4"/>
              </w:rPr>
              <w:t>Item 3.   Defaults Upon Senior Securities</w:t>
            </w:r>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Arial" w:cs="Arial" w:eastAsia="Arial" w:hAnsi="Arial"/>
                <w:sz w:val="18"/>
                <w:szCs w:val="18"/>
                <w:color w:val="0000EE"/>
              </w:rPr>
              <w:t>Item 4.   Mine Safety Disclosures</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5.</w:t>
            </w:r>
          </w:p>
        </w:tc>
        <w:tc>
          <w:tcPr>
            <w:tcW w:w="1840" w:type="dxa"/>
            <w:vAlign w:val="bottom"/>
            <w:tcBorders>
              <w:top w:val="single" w:sz="8" w:color="0000EE"/>
            </w:tcBorders>
            <w:gridSpan w:val="8"/>
          </w:tcPr>
          <w:p>
            <w:pPr>
              <w:ind w:left="80"/>
              <w:spacing w:after="0"/>
              <w:rPr>
                <w:sz w:val="20"/>
                <w:szCs w:val="20"/>
                <w:color w:val="auto"/>
              </w:rPr>
            </w:pPr>
            <w:r>
              <w:rPr>
                <w:rFonts w:ascii="Arial" w:cs="Arial" w:eastAsia="Arial" w:hAnsi="Arial"/>
                <w:sz w:val="18"/>
                <w:szCs w:val="18"/>
                <w:color w:val="0000EE"/>
              </w:rPr>
              <w:t>Other Information</w:t>
            </w:r>
          </w:p>
        </w:tc>
        <w:tc>
          <w:tcPr>
            <w:tcW w:w="59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rPr>
              <w:t>Item 6.</w:t>
            </w:r>
          </w:p>
        </w:tc>
        <w:tc>
          <w:tcPr>
            <w:tcW w:w="680" w:type="dxa"/>
            <w:vAlign w:val="bottom"/>
            <w:tcBorders>
              <w:top w:val="single" w:sz="8" w:color="0000EE"/>
              <w:bottom w:val="single" w:sz="8" w:color="0000EE"/>
            </w:tcBorders>
            <w:gridSpan w:val="3"/>
          </w:tcPr>
          <w:p>
            <w:pPr>
              <w:ind w:left="80"/>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SIGNATURES</w:t>
            </w:r>
          </w:p>
        </w:tc>
        <w:tc>
          <w:tcPr>
            <w:tcW w:w="73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4"/>
                <w:szCs w:val="14"/>
                <w:color w:val="auto"/>
              </w:rPr>
            </w:pPr>
          </w:p>
        </w:tc>
      </w:tr>
      <w:tr>
        <w:trPr>
          <w:trHeight w:val="191"/>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31"/>
              <w:spacing w:after="0" w:line="191" w:lineRule="exact"/>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10"/>
        </w:trPr>
        <w:tc>
          <w:tcPr>
            <w:tcW w:w="616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 at Cost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235,880</w:t>
            </w:r>
          </w:p>
        </w:tc>
        <w:tc>
          <w:tcPr>
            <w:tcW w:w="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233,930</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Building and Improvements, at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588,224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530,029</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Furnishings and Equipment, at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Construction in Process, at Cost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w:t>
            </w:r>
          </w:p>
        </w:tc>
      </w:tr>
      <w:tr>
        <w:trPr>
          <w:trHeight w:val="20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Real Estate, at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829,082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770,759</w:t>
            </w:r>
          </w:p>
        </w:tc>
      </w:tr>
      <w:tr>
        <w:trPr>
          <w:trHeight w:val="216"/>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(36,038)</w:t>
            </w:r>
          </w:p>
        </w:tc>
      </w:tr>
      <w:tr>
        <w:trPr>
          <w:trHeight w:val="20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778,965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734,721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Land and Development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Assets—Net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Assets Held for Sale—See Note 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Alpine Income Property Trust, Inc.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Mitigation Credits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Mitigation Credit Rights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Commercial Loans and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31,908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Refundable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Deferred Income Taxes—Net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Assets—See Note 11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34,453</w:t>
            </w:r>
          </w:p>
        </w:tc>
      </w:tr>
      <w:tr>
        <w:trPr>
          <w:trHeight w:val="250"/>
        </w:trPr>
        <w:tc>
          <w:tcPr>
            <w:tcW w:w="6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1,066,373</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986,545</w:t>
            </w:r>
          </w:p>
        </w:tc>
      </w:tr>
      <w:tr>
        <w:trPr>
          <w:trHeight w:val="197"/>
        </w:trPr>
        <w:tc>
          <w:tcPr>
            <w:tcW w:w="6160" w:type="dxa"/>
            <w:vAlign w:val="bottom"/>
            <w:shd w:val="clear" w:color="auto" w:fill="CCEEFF"/>
          </w:tcPr>
          <w:p>
            <w:pPr>
              <w:ind w:left="1200"/>
              <w:spacing w:after="0" w:line="190"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Accrued and Other Liabilities—See Note 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18,028</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Revenue—See Note 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Intangible Lease Liabilities—Net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9,885</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548,219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445,583</w:t>
            </w:r>
          </w:p>
        </w:tc>
      </w:tr>
      <w:tr>
        <w:trPr>
          <w:trHeight w:val="210"/>
        </w:trPr>
        <w:tc>
          <w:tcPr>
            <w:tcW w:w="6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588,302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481,775</w:t>
            </w: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Contingencies—See Note 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6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Preferred Stock – 100,000,000 shares authorized; $0.01 par value, 6.375% Series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 Cumulative Redeemable Preferred Stock, $25.00 Per Share Liquidation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Preference, 2,993,206 shares issued and outstanding at September 30, 2023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3,000,000 shares issued and outstanding at December 31, 2022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6160" w:type="dxa"/>
            <w:vAlign w:val="bottom"/>
          </w:tcPr>
          <w:p>
            <w:pPr>
              <w:ind w:left="100"/>
              <w:spacing w:after="0" w:line="201" w:lineRule="exact"/>
              <w:rPr>
                <w:sz w:val="20"/>
                <w:szCs w:val="20"/>
                <w:color w:val="auto"/>
              </w:rPr>
            </w:pPr>
            <w:r>
              <w:rPr>
                <w:rFonts w:ascii="Arial" w:cs="Arial" w:eastAsia="Arial" w:hAnsi="Arial"/>
                <w:sz w:val="18"/>
                <w:szCs w:val="18"/>
                <w:color w:val="auto"/>
                <w:w w:val="96"/>
              </w:rPr>
              <w:t>Common Stock – 500,000,000 shares authorized; $0.01 par value, 22,701,072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w w:val="89"/>
              </w:rPr>
              <w:t>shares issued and outstanding at September 30, 2023 and 22,854,775 shares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6160" w:type="dxa"/>
            <w:vAlign w:val="bottom"/>
          </w:tcPr>
          <w:p>
            <w:pPr>
              <w:ind w:left="100"/>
              <w:spacing w:after="0"/>
              <w:rPr>
                <w:sz w:val="20"/>
                <w:szCs w:val="20"/>
                <w:color w:val="auto"/>
              </w:rPr>
            </w:pPr>
            <w:r>
              <w:rPr>
                <w:rFonts w:ascii="Arial" w:cs="Arial" w:eastAsia="Arial" w:hAnsi="Arial"/>
                <w:sz w:val="18"/>
                <w:szCs w:val="18"/>
                <w:color w:val="auto"/>
              </w:rPr>
              <w:t>and outstanding at December 31, 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172,471</w:t>
            </w:r>
          </w:p>
        </w:tc>
      </w:tr>
      <w:tr>
        <w:trPr>
          <w:trHeight w:val="216"/>
        </w:trPr>
        <w:tc>
          <w:tcPr>
            <w:tcW w:w="616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284,789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316,279</w:t>
            </w:r>
          </w:p>
        </w:tc>
      </w:tr>
      <w:tr>
        <w:trPr>
          <w:trHeight w:val="216"/>
        </w:trPr>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w:t>
            </w:r>
          </w:p>
        </w:tc>
      </w:tr>
      <w:tr>
        <w:trPr>
          <w:trHeight w:val="210"/>
        </w:trPr>
        <w:tc>
          <w:tcPr>
            <w:tcW w:w="6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478,071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504,770</w:t>
            </w:r>
          </w:p>
        </w:tc>
      </w:tr>
      <w:tr>
        <w:trPr>
          <w:trHeight w:val="209"/>
        </w:trPr>
        <w:tc>
          <w:tcPr>
            <w:tcW w:w="6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1,066,373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986,545</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and per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30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25,183</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17,694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70,373</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 Fee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80"/>
              <w:spacing w:after="0" w:line="201" w:lineRule="exact"/>
              <w:rPr>
                <w:sz w:val="20"/>
                <w:szCs w:val="20"/>
                <w:color w:val="auto"/>
              </w:rPr>
            </w:pPr>
            <w:r>
              <w:rPr>
                <w:rFonts w:ascii="Arial" w:cs="Arial" w:eastAsia="Arial" w:hAnsi="Arial"/>
                <w:sz w:val="18"/>
                <w:szCs w:val="18"/>
                <w:color w:val="auto"/>
                <w:w w:val="99"/>
              </w:rPr>
              <w:t>Interest Income From Commercial Loans and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79,234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Revenues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Total Direct Cost of Revenues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 for Impairment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Gains and Income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Operating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Investment and Other Income (Loss)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80"/>
              <w:spacing w:after="0" w:line="182" w:lineRule="exact"/>
              <w:rPr>
                <w:sz w:val="20"/>
                <w:szCs w:val="20"/>
                <w:color w:val="auto"/>
              </w:rPr>
            </w:pPr>
            <w:r>
              <w:rPr>
                <w:rFonts w:ascii="Arial" w:cs="Arial" w:eastAsia="Arial" w:hAnsi="Arial"/>
                <w:sz w:val="18"/>
                <w:szCs w:val="18"/>
                <w:color w:val="auto"/>
              </w:rPr>
              <w:t>Income (Loss) Before Income Tax Benefit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w w:val="95"/>
              </w:rPr>
              <w:t>Net Income (Loss) Attributable to the Company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Preferred Stockholders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80"/>
              <w:spacing w:after="0" w:line="182" w:lineRule="exact"/>
              <w:rPr>
                <w:sz w:val="20"/>
                <w:szCs w:val="20"/>
                <w:color w:val="auto"/>
              </w:rPr>
            </w:pPr>
            <w:r>
              <w:rPr>
                <w:rFonts w:ascii="Arial" w:cs="Arial" w:eastAsia="Arial" w:hAnsi="Arial"/>
                <w:sz w:val="18"/>
                <w:szCs w:val="18"/>
                <w:color w:val="auto"/>
              </w:rPr>
              <w:t>Net Income (Loss) Attributable to Common</w:t>
            </w:r>
          </w:p>
        </w:tc>
        <w:tc>
          <w:tcPr>
            <w:tcW w:w="32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1,491</w:t>
            </w:r>
          </w:p>
        </w:tc>
        <w:tc>
          <w:tcPr>
            <w:tcW w:w="36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3,622</w:t>
            </w:r>
          </w:p>
        </w:tc>
        <w:tc>
          <w:tcPr>
            <w:tcW w:w="34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(5,092)</w:t>
            </w:r>
          </w:p>
        </w:tc>
        <w:tc>
          <w:tcPr>
            <w:tcW w:w="36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Stockholders</w:t>
            </w:r>
          </w:p>
        </w:tc>
        <w:tc>
          <w:tcPr>
            <w:tcW w:w="32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Per Share Information—See Note 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Basic Net Income (Loss) Attributable to</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Stockholders</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80"/>
              <w:spacing w:after="0" w:line="201" w:lineRule="exact"/>
              <w:rPr>
                <w:sz w:val="20"/>
                <w:szCs w:val="20"/>
                <w:color w:val="auto"/>
              </w:rPr>
            </w:pPr>
            <w:r>
              <w:rPr>
                <w:rFonts w:ascii="Arial" w:cs="Arial" w:eastAsia="Arial" w:hAnsi="Arial"/>
                <w:sz w:val="18"/>
                <w:szCs w:val="18"/>
                <w:color w:val="auto"/>
              </w:rPr>
              <w:t>Diluted Net Income (Loss) Attributable to</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Common Stockholders</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Weighted Average Number of Common Shares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22,484,561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18,386,435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22,556,642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18,044,299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22,484,561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21,505,460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22,556,642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18,044,299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80" w:type="dxa"/>
            <w:vAlign w:val="bottom"/>
            <w:gridSpan w:val="3"/>
          </w:tcPr>
          <w:p>
            <w:pPr>
              <w:ind w:left="18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36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Attributable to the Company</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36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Cash Flow Hedging Derivative - Interest Rate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Swaps</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15,933</w:t>
            </w:r>
          </w:p>
        </w:tc>
      </w:tr>
      <w:tr>
        <w:trPr>
          <w:trHeight w:val="209"/>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w:t>
            </w:r>
          </w:p>
        </w:tc>
      </w:tr>
      <w:tr>
        <w:trPr>
          <w:trHeight w:val="210"/>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w:t>
            </w: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September 30, 2023:</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July 1, 2023</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168,103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291,958</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18,249</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478,567</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w w:val="96"/>
              </w:rPr>
              <w:t>Exercise of Stock Options and Stock Issuance to Directors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Payment of Equity Issuance Costs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(8,660)</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(8,660)</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5,901</w:t>
            </w:r>
          </w:p>
        </w:tc>
        <w:tc>
          <w:tcPr>
            <w:tcW w:w="0" w:type="dxa"/>
            <w:vAlign w:val="bottom"/>
          </w:tcPr>
          <w:p>
            <w:pPr>
              <w:spacing w:after="0"/>
              <w:rPr>
                <w:sz w:val="1"/>
                <w:szCs w:val="1"/>
                <w:color w:val="auto"/>
              </w:rPr>
            </w:pPr>
          </w:p>
        </w:tc>
      </w:tr>
      <w:tr>
        <w:trPr>
          <w:trHeight w:val="142"/>
        </w:trPr>
        <w:tc>
          <w:tcPr>
            <w:tcW w:w="3540" w:type="dxa"/>
            <w:vAlign w:val="bottom"/>
          </w:tcPr>
          <w:p>
            <w:pPr>
              <w:ind w:left="20"/>
              <w:spacing w:after="0" w:line="142" w:lineRule="exact"/>
              <w:rPr>
                <w:sz w:val="20"/>
                <w:szCs w:val="20"/>
                <w:color w:val="auto"/>
              </w:rPr>
            </w:pPr>
            <w:r>
              <w:rPr>
                <w:rFonts w:ascii="Arial" w:cs="Arial" w:eastAsia="Arial" w:hAnsi="Arial"/>
                <w:sz w:val="14"/>
                <w:szCs w:val="14"/>
                <w:color w:val="auto"/>
              </w:rPr>
              <w:t>Balance September 30, 2023</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168,875</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284,789</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24,150</w:t>
            </w: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478,071</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0"/>
              <w:spacing w:after="0"/>
              <w:rPr>
                <w:sz w:val="20"/>
                <w:szCs w:val="20"/>
                <w:color w:val="auto"/>
              </w:rPr>
            </w:pPr>
            <w:r>
              <w:rPr>
                <w:rFonts w:ascii="Arial" w:cs="Arial" w:eastAsia="Arial" w:hAnsi="Arial"/>
                <w:sz w:val="16"/>
                <w:szCs w:val="16"/>
                <w:color w:val="auto"/>
                <w:w w:val="99"/>
              </w:rPr>
              <w:t>For the three months ended September 30, 2022:</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July 1, 2022</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86,347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332,916</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12,140</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431,494</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4,817</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Three-for-One Stock Split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(1,644)</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Exercise of Stock Options and Stock Issuance to Directors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Stock Issuance, Net of Equity Issuance Costs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12,082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12,088</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(1,195)</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(7,221)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(7,221)</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5,310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5,310</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97,419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329,317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444,404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nine months ended September 30, 2023:</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2023</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172,471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316,279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15,761</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504,770</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Net Loss Attributable to the Company</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(1,507)</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(5,169)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(1,029)</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Exercise of Stock Options and Stock Issuance to Directors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Payment of Equity Issuance Costs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(3,585)</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(26,398)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(26,398)</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8,389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September 30, 2023</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168,875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284,789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24,150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478,071</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20"/>
              <w:spacing w:after="0"/>
              <w:rPr>
                <w:sz w:val="20"/>
                <w:szCs w:val="20"/>
                <w:color w:val="auto"/>
              </w:rPr>
            </w:pPr>
            <w:r>
              <w:rPr>
                <w:rFonts w:ascii="Arial" w:cs="Arial" w:eastAsia="Arial" w:hAnsi="Arial"/>
                <w:sz w:val="16"/>
                <w:szCs w:val="16"/>
                <w:color w:val="auto"/>
              </w:rPr>
              <w:t>For the nine months ended September 30, 2022:</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2022</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85,414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343,459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1,517</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430,480</w:t>
            </w:r>
          </w:p>
        </w:tc>
        <w:tc>
          <w:tcPr>
            <w:tcW w:w="0" w:type="dxa"/>
            <w:vAlign w:val="bottom"/>
          </w:tcPr>
          <w:p>
            <w:pPr>
              <w:spacing w:after="0"/>
              <w:rPr>
                <w:sz w:val="1"/>
                <w:szCs w:val="1"/>
                <w:color w:val="auto"/>
              </w:rPr>
            </w:pPr>
          </w:p>
        </w:tc>
      </w:tr>
      <w:tr>
        <w:trPr>
          <w:trHeight w:val="149"/>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Net Income Attributable to the Company</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6,237</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Three-for-One Stock Split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540" w:type="dxa"/>
            <w:vAlign w:val="bottom"/>
          </w:tcPr>
          <w:p>
            <w:pPr>
              <w:ind w:left="20"/>
              <w:spacing w:after="0" w:line="130" w:lineRule="exact"/>
              <w:rPr>
                <w:sz w:val="20"/>
                <w:szCs w:val="20"/>
                <w:color w:val="auto"/>
              </w:rPr>
            </w:pPr>
            <w:r>
              <w:rPr>
                <w:rFonts w:ascii="Arial" w:cs="Arial" w:eastAsia="Arial" w:hAnsi="Arial"/>
                <w:sz w:val="14"/>
                <w:szCs w:val="14"/>
                <w:color w:val="auto"/>
              </w:rPr>
              <w:t>Adjustment to Equity Component of Convertible Debt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20"/>
              <w:spacing w:after="0"/>
              <w:rPr>
                <w:sz w:val="20"/>
                <w:szCs w:val="20"/>
                <w:color w:val="auto"/>
              </w:rPr>
            </w:pPr>
            <w:r>
              <w:rPr>
                <w:rFonts w:ascii="Arial" w:cs="Arial" w:eastAsia="Arial" w:hAnsi="Arial"/>
                <w:sz w:val="14"/>
                <w:szCs w:val="14"/>
                <w:color w:val="auto"/>
              </w:rPr>
              <w:t>Upon Adoption of ASU 2020-06</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(7,034)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(3,012)</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(845)</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Exercise of Stock Options and Common Stock Issuance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Stock Issuance, Net of Equity Issuance Costs</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20,560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20,567</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148"/>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Preferred Stock Dividends Declared for the Period</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(3,586)</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Declared for the Period</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(20,815)</w:t>
            </w:r>
          </w:p>
        </w:tc>
        <w:tc>
          <w:tcPr>
            <w:tcW w:w="0" w:type="dxa"/>
            <w:vAlign w:val="bottom"/>
          </w:tcPr>
          <w:p>
            <w:pPr>
              <w:spacing w:after="0"/>
              <w:rPr>
                <w:sz w:val="1"/>
                <w:szCs w:val="1"/>
                <w:color w:val="auto"/>
              </w:rPr>
            </w:pPr>
          </w:p>
        </w:tc>
      </w:tr>
      <w:tr>
        <w:trPr>
          <w:trHeight w:val="149"/>
        </w:trPr>
        <w:tc>
          <w:tcPr>
            <w:tcW w:w="354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15,933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15,933</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97,419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329,317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444,404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5"/>
          </w:tcPr>
          <w:p>
            <w:pPr>
              <w:ind w:left="7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3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September 30, 2023</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1"/>
              </w:rPr>
              <w:t>September 30, 2022</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 (Loss) Attributable to the Company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6,237</w:t>
            </w:r>
          </w:p>
        </w:tc>
        <w:tc>
          <w:tcPr>
            <w:tcW w:w="20" w:type="dxa"/>
            <w:vAlign w:val="bottom"/>
          </w:tcPr>
          <w:p>
            <w:pPr>
              <w:spacing w:after="0"/>
              <w:rPr>
                <w:sz w:val="12"/>
                <w:szCs w:val="12"/>
                <w:color w:val="auto"/>
              </w:rPr>
            </w:pPr>
          </w:p>
        </w:tc>
      </w:tr>
      <w:tr>
        <w:trPr>
          <w:trHeight w:val="130"/>
        </w:trPr>
        <w:tc>
          <w:tcPr>
            <w:tcW w:w="5940" w:type="dxa"/>
            <w:vAlign w:val="bottom"/>
            <w:tcBorders>
              <w:left w:val="single" w:sz="8" w:color="CCEEFF"/>
            </w:tcBorders>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Adjustments to Reconcile Net Income (Loss) Attributable to the Company to Net Cash Provided by</w:t>
            </w: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32,814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20,401</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Liabilities to Income Property Revenue</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Discount on Convertible Debt</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Gain on Disposition of Real Estate and Intangible Lease Assets and Liabilities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(3,565)</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(3,921)</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Gain on Disposition of Commercial Loans and Investments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Provision for Impairment</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1,408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Commercial Loans and Investments Origination Fees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Imputed Interest</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Unrealized Loss on Investment Securities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5,663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8,102</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Extinguishment of Contingent Obligation</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(2,300)</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2,802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2,423</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Decrease (Increase) in Assets: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Land and Development Costs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Mitigation Credits and Mitigation Credit Rights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1,876</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(3,792)</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(7,895)</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Increase in Liabilities: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Accrued and Other Liabilities</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3,092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4,531</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1,335</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39,945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34,080</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Real Estate and Intangible Lease Assets and Liabilities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(100,588)</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(112,843)</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Commercial Loans and Investments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(17,477)</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(50,130)</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Disposition of Property, Plant, and Equipment, Net, and Assets Held for Sale</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21,689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40,777</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Principal Payments Received on Commercial Loans and Investments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44,079</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Investment Securities, Net of Proceeds from Sales</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(2,883)</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(2,253)</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(98,273)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(80,370)</w:t>
            </w:r>
          </w:p>
        </w:tc>
        <w:tc>
          <w:tcPr>
            <w:tcW w:w="20" w:type="dxa"/>
            <w:vAlign w:val="bottom"/>
          </w:tcPr>
          <w:p>
            <w:pPr>
              <w:spacing w:after="0"/>
              <w:rPr>
                <w:sz w:val="12"/>
                <w:szCs w:val="12"/>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218,500</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(30,600)</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(147,000)</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(2,610)</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Received Exercise of Stock Options and Common Stock Issuance</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Used to Purchase Common and Preferred Stock</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(5,172)</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(2,792)</w:t>
            </w:r>
          </w:p>
        </w:tc>
        <w:tc>
          <w:tcPr>
            <w:tcW w:w="20" w:type="dxa"/>
            <w:vAlign w:val="bottom"/>
          </w:tcPr>
          <w:p>
            <w:pPr>
              <w:spacing w:after="0"/>
              <w:rPr>
                <w:sz w:val="12"/>
                <w:szCs w:val="12"/>
                <w:color w:val="auto"/>
              </w:rPr>
            </w:pPr>
          </w:p>
        </w:tc>
      </w:tr>
      <w:tr>
        <w:trPr>
          <w:trHeight w:val="149"/>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Vesting of Restricted Stock</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(1,028)</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20" w:type="dxa"/>
            <w:vAlign w:val="bottom"/>
          </w:tcPr>
          <w:p>
            <w:pPr>
              <w:spacing w:after="0"/>
              <w:rPr>
                <w:sz w:val="12"/>
                <w:szCs w:val="12"/>
                <w:color w:val="auto"/>
              </w:rPr>
            </w:pPr>
          </w:p>
        </w:tc>
      </w:tr>
      <w:tr>
        <w:trPr>
          <w:trHeight w:val="148"/>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(Cash Paid for) Issuance of Common Stock, Net</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20,567</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Dividends Paid - Preferred Stock</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(3,585)</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(3,586)</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 - Common Stock</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(25,744)</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(20,292)</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66,767</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61,765</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in Cash, Cash Equivalents and Restricted Cash</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8,439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15,475</w:t>
            </w:r>
          </w:p>
        </w:tc>
        <w:tc>
          <w:tcPr>
            <w:tcW w:w="20" w:type="dxa"/>
            <w:vAlign w:val="bottom"/>
          </w:tcPr>
          <w:p>
            <w:pPr>
              <w:spacing w:after="0"/>
              <w:rPr>
                <w:sz w:val="12"/>
                <w:szCs w:val="12"/>
                <w:color w:val="auto"/>
              </w:rPr>
            </w:pPr>
          </w:p>
        </w:tc>
      </w:tr>
      <w:tr>
        <w:trPr>
          <w:trHeight w:val="149"/>
        </w:trPr>
        <w:tc>
          <w:tcPr>
            <w:tcW w:w="594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Cash Equivalents and Restricted Cash, Beginning of Period</w:t>
            </w: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21,194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31,349</w:t>
            </w:r>
          </w:p>
        </w:tc>
        <w:tc>
          <w:tcPr>
            <w:tcW w:w="20" w:type="dxa"/>
            <w:vAlign w:val="bottom"/>
          </w:tcPr>
          <w:p>
            <w:pPr>
              <w:spacing w:after="0"/>
              <w:rPr>
                <w:sz w:val="12"/>
                <w:szCs w:val="12"/>
                <w:color w:val="auto"/>
              </w:rPr>
            </w:pPr>
          </w:p>
        </w:tc>
      </w:tr>
      <w:tr>
        <w:trPr>
          <w:trHeight w:val="142"/>
        </w:trPr>
        <w:tc>
          <w:tcPr>
            <w:tcW w:w="594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29,633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46,824</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0"/>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Reconciliation of Cash to the Consolidated Balance Sheets:</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2" w:lineRule="exact"/>
              <w:rPr>
                <w:sz w:val="20"/>
                <w:szCs w:val="20"/>
                <w:color w:val="auto"/>
              </w:rPr>
            </w:pPr>
            <w:r>
              <w:rPr>
                <w:rFonts w:ascii="Arial" w:cs="Arial" w:eastAsia="Arial" w:hAnsi="Arial"/>
                <w:sz w:val="14"/>
                <w:szCs w:val="14"/>
                <w:color w:val="auto"/>
              </w:rPr>
              <w:t>7,015</w:t>
            </w:r>
          </w:p>
        </w:tc>
        <w:tc>
          <w:tcPr>
            <w:tcW w:w="1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2" w:lineRule="exact"/>
              <w:rPr>
                <w:sz w:val="20"/>
                <w:szCs w:val="20"/>
                <w:color w:val="auto"/>
              </w:rPr>
            </w:pPr>
            <w:r>
              <w:rPr>
                <w:rFonts w:ascii="Arial" w:cs="Arial" w:eastAsia="Arial" w:hAnsi="Arial"/>
                <w:sz w:val="14"/>
                <w:szCs w:val="14"/>
                <w:color w:val="auto"/>
              </w:rPr>
              <w:t>9,532</w:t>
            </w:r>
          </w:p>
        </w:tc>
        <w:tc>
          <w:tcPr>
            <w:tcW w:w="20" w:type="dxa"/>
            <w:vAlign w:val="bottom"/>
          </w:tcPr>
          <w:p>
            <w:pPr>
              <w:spacing w:after="0"/>
              <w:rPr>
                <w:sz w:val="12"/>
                <w:szCs w:val="12"/>
                <w:color w:val="auto"/>
              </w:rPr>
            </w:pPr>
          </w:p>
        </w:tc>
      </w:tr>
      <w:tr>
        <w:trPr>
          <w:trHeight w:val="149"/>
        </w:trPr>
        <w:tc>
          <w:tcPr>
            <w:tcW w:w="59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22,618</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37,292</w:t>
            </w:r>
          </w:p>
        </w:tc>
        <w:tc>
          <w:tcPr>
            <w:tcW w:w="20" w:type="dxa"/>
            <w:vAlign w:val="bottom"/>
          </w:tcPr>
          <w:p>
            <w:pPr>
              <w:spacing w:after="0"/>
              <w:rPr>
                <w:sz w:val="12"/>
                <w:szCs w:val="12"/>
                <w:color w:val="auto"/>
              </w:rPr>
            </w:pPr>
          </w:p>
        </w:tc>
      </w:tr>
      <w:tr>
        <w:trPr>
          <w:trHeight w:val="142"/>
        </w:trPr>
        <w:tc>
          <w:tcPr>
            <w:tcW w:w="59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29,633</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46,824</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5"/>
          </w:tcPr>
          <w:p>
            <w:pPr>
              <w:ind w:left="7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September 30, 2023</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1"/>
              </w:rPr>
              <w:t>September 30, 2022</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Paid for Taxes, Net of Refunds Received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Cash Paid for Interest </w:t>
            </w:r>
            <w:r>
              <w:rPr>
                <w:rFonts w:ascii="Arial" w:cs="Arial" w:eastAsia="Arial" w:hAnsi="Arial"/>
                <w:sz w:val="17"/>
                <w:szCs w:val="1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(15,178)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(5,785)</w:t>
            </w:r>
          </w:p>
        </w:tc>
        <w:tc>
          <w:tcPr>
            <w:tcW w:w="2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Gain on Cash Flow Hedges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8,389</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15,933</w:t>
            </w:r>
          </w:p>
        </w:tc>
        <w:tc>
          <w:tcPr>
            <w:tcW w:w="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 to Equity Component of Convertible Debt Upon Adoption of ASU 2020-06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w:t>
            </w:r>
          </w:p>
        </w:tc>
        <w:tc>
          <w:tcPr>
            <w:tcW w:w="20" w:type="dxa"/>
            <w:vAlign w:val="bottom"/>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 Dividends Declared and Unpaid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20" w:type="dxa"/>
            <w:vAlign w:val="bottom"/>
          </w:tcPr>
          <w:p>
            <w:pPr>
              <w:spacing w:after="0"/>
              <w:rPr>
                <w:sz w:val="12"/>
                <w:szCs w:val="12"/>
                <w:color w:val="auto"/>
              </w:rPr>
            </w:pPr>
          </w:p>
        </w:tc>
      </w:tr>
      <w:tr>
        <w:trPr>
          <w:trHeight w:val="149"/>
        </w:trPr>
        <w:tc>
          <w:tcPr>
            <w:tcW w:w="59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Assumption of Mortgage Note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17,800</w:t>
            </w:r>
          </w:p>
        </w:tc>
        <w:tc>
          <w:tcPr>
            <w:tcW w:w="20" w:type="dxa"/>
            <w:vAlign w:val="bottom"/>
          </w:tcPr>
          <w:p>
            <w:pPr>
              <w:spacing w:after="0"/>
              <w:rPr>
                <w:sz w:val="12"/>
                <w:szCs w:val="12"/>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57"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capitalized interest of $0.2 million and $0.1 million during the nine months ended September 30, 2023 and 2022, respectively.</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8"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color w:val="auto"/>
        </w:rPr>
        <w:t>We own and manage, sometimes utilizing third-party property management companies, 23 commercial real estate properties in 9 states in the United States. As of September 30, 2023, we owned 7 single-tenant and 16 multi-tenant income-producing properties comprising 4.1 million square feet of gross leasable space.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addition to our income property portfolio, as of September 30, 2023, our business included the following:</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ind w:left="840" w:right="79" w:hanging="33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Alpine Income Property Trust, Inc. (“PINE”), see Note 5, “Related Party Management Services Business”.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Loans and Investments:</w:t>
      </w:r>
    </w:p>
    <w:p>
      <w:pPr>
        <w:spacing w:after="0" w:line="225" w:lineRule="exact"/>
        <w:rPr>
          <w:sz w:val="20"/>
          <w:szCs w:val="20"/>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portfolio of three commercial loan investments and one preferred equity investment which is classified as a commercial loan investment.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352,000 surface acres in 19 counties in the State of Florida (“Subsurface Interests”);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inventory of mitigation credits produced by the Company’s formerly owned mitigation bank.</w:t>
      </w:r>
    </w:p>
    <w:p>
      <w:pPr>
        <w:spacing w:after="0" w:line="225"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Our business also includes our investment in PINE. As of September 30, 2023, the fair value of our investment totaled $38.2 million, or 15.1%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Information</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2022,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results of operations for the three and nine month periods ended September 30, 2023 are not necessarily indicative of results to be expected for the year ending December 31, 2023.</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September 30, 2023, the Company has an equity investment in PINE.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includes cash on hand, bank demand accounts, and money market accounts having original maturities of 90 days or less. The Company’s bank balances as of September 30, 2023 and December 31, 2022 include certain amounts over the Federal Deposit Insurance Corporation limits.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Restricted cash totaled $22.6 million at September 30, 2023, of which $21.8 million is being held in various escrow accounts to be reinvested through the like-kind exchange structure into other income properties, and $0.8 million is being held in three interest and/or real estate tax reserve accounts related to the Company’s commercial loans and investments.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 and Hedging Activity</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The Company accounts for its cash flow hedging derivatives in accordance with FASB ASC Topic 815-20,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Depending upon the hedge’s value at each balance sheet date, the derivatives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either other assets or accrued and other liabilities on the consolidated balance sheet at their fair value. On the date each interest rate swap was entered into, the Company designated the derivatives as a hedge of the variability of cash flows to be paid related to the recognized long-term debt liabilities.</w:t>
      </w:r>
    </w:p>
    <w:p>
      <w:pPr>
        <w:spacing w:after="0" w:line="188"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71"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restricted cash, accounts receivable, accounts payable, and accrued and other liabilities at September 30, 2023 and December 31, 2022, approximate fair value because of the short maturity of these instruments. The carrying value of the Company’s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Credit Facility (hereinafter defined) as of September 30, 2023 and December 31, 2022,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September 30, 2023 and December 31, 2022 are measured at fair value based on current market rates for financial instruments with similar risks and maturities (see Note 8, “Fair Value of Financial Instruments”).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76" w:lineRule="exact"/>
        <w:rPr>
          <w:sz w:val="20"/>
          <w:szCs w:val="20"/>
          <w:color w:val="auto"/>
        </w:rPr>
      </w:pPr>
    </w:p>
    <w:p>
      <w:pPr>
        <w:ind w:left="840" w:hanging="33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17"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8"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Recognition of Interest Income from Commercial Loans and Investments</w:t>
      </w:r>
    </w:p>
    <w:p>
      <w:pPr>
        <w:spacing w:after="0" w:line="225"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Mitigation Credits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$3.6 million and $2.2 million as of September 30, 2023 and December 31, 2022, respectively.</w:t>
      </w:r>
    </w:p>
    <w:p>
      <w:pPr>
        <w:spacing w:after="0" w:line="187"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Accounts receivable related to real estate operations, which are classified in other assets on the consolidated balance sheets, totaled $0.8 million as of September 30, 2023 and December 31, 2022. The accounts receivable as of September 30, 2023 and December 31, 2022 are primarily related to the reimbursement of certain infrastructure costs completed by the Company in conjunction with two land sale transactions that closed during the fourth quarter of 2015 as more fully described in Note 11, “Other Assets.”</w:t>
      </w:r>
    </w:p>
    <w:p>
      <w:pPr>
        <w:spacing w:after="0" w:line="188"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The amount due from the buyer of the golf operations for the rounds surcharge the Company paid to the City of Daytona Beach, totaled $0.1 million and $0.2 million as of September 30, 2023 and December 31, 2022,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collectability of the aforementioned receivables shall be considered and adjusted through an allowance for doubtful accounts which is included in income property revenue on the consolidated statements of operations. As of September 30, 2023 and December 31, 2022, the Company’s allowance for doubtful accounts totaled $2.3 million and $1.8 million,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8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ind w:left="60" w:right="79" w:firstLine="500"/>
        <w:spacing w:after="0" w:line="286" w:lineRule="auto"/>
        <w:rPr>
          <w:sz w:val="20"/>
          <w:szCs w:val="20"/>
          <w:color w:val="auto"/>
        </w:rPr>
      </w:pPr>
      <w:r>
        <w:rPr>
          <w:rFonts w:ascii="Arial" w:cs="Arial" w:eastAsia="Arial" w:hAnsi="Arial"/>
          <w:sz w:val="17"/>
          <w:szCs w:val="17"/>
          <w:color w:val="auto"/>
        </w:rPr>
        <w:t xml:space="preserve">Investments in real estate which are determined to be “held for sale” pursuant to FASB Topic 360-10,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are reported separately on the consolidated balance sheets at the lesser of carrying value 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less costs to sell. Real estate investments classified as held for sale are not depreciated.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of Real Estate</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88"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 xml:space="preserve">Gains and losses on land sales, in addition to the sale of Subsurface Interests and mitigation credits, are accounted for as required by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recognizes revenue from such sales when the Company transfers the promised goods in the contract based on the transaction price allocated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to the performance obligations within the contract. As market information becomes available, the underlying cost basis is analyzed and recorded at the lower of cost or market.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176"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INCOME PROPERTIES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and reimbursements from tenants for common area maintenance, insurance, real estate taxes, and other operating expenses.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8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8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28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19,547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13,556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55,187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38,760</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rPr>
              <w:t>Total Leasing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49,229</w:t>
            </w: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Minimum future base rental receipts under non-cancelable operating leases, excluding percentage rent and other lease payments that are not fixed and determinable, having remaining terms in excess of one year subsequent to September 30, 2023, are summarized as follows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0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20,578</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75,476</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70,529</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60,705</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49,104</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35,430</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and Thereafter (Cumulative)</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58,431</w:t>
            </w:r>
          </w:p>
        </w:tc>
      </w:tr>
      <w:tr>
        <w:trPr>
          <w:trHeight w:val="20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370,253</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 xml:space="preserve">2023 Acquisitions. </w:t>
      </w:r>
      <w:r>
        <w:rPr>
          <w:rFonts w:ascii="Arial" w:cs="Arial" w:eastAsia="Arial" w:hAnsi="Arial"/>
          <w:sz w:val="18"/>
          <w:szCs w:val="18"/>
          <w:color w:val="auto"/>
        </w:rPr>
        <w:t>During the nine months ended September 30, 2023, the Company acquired four buildings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an existing multi-tenant income property, one multi-tenant income property, and one vacant land parcel adjacent to an existing multi-tenant property for an aggregate purchase price of $80.0 million, or a total acquisition cost of $80.3 million, as follows:</w:t>
      </w:r>
    </w:p>
    <w:p>
      <w:pPr>
        <w:spacing w:after="0" w:line="79" w:lineRule="exact"/>
        <w:rPr>
          <w:sz w:val="20"/>
          <w:szCs w:val="20"/>
          <w:color w:val="auto"/>
        </w:rPr>
      </w:pPr>
    </w:p>
    <w:p>
      <w:pPr>
        <w:jc w:val="both"/>
        <w:ind w:left="1160" w:right="79" w:hanging="327"/>
        <w:spacing w:after="0" w:line="271"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Four properties, totaling 24,100 square feet, within the 28,100 square foot retail portion of Phase II of The Exchange at Gwinnett located in Buford, Georgia (the “Gwinnett Property”), for an aggregate purchase price of $14.6 million, or a total acquisition cost of $14.7 million including capitalized acquisition costs. The four properties are leased to six different tenants with a weighted average remaining lease term of 9.9 years at acquisition. The Company is under contract to acquire the remaining 4,000 square-foot property that makes up the remaining retail portion of Phase II of The Exchange at Gwinnett for a purchase price of $2.3 million. The Company previously purchased the Sprouts-anchored Phase I portion of The Exchange at Gwinnett in December 2021.</w:t>
      </w:r>
    </w:p>
    <w:p>
      <w:pPr>
        <w:spacing w:after="0" w:line="70" w:lineRule="exact"/>
        <w:rPr>
          <w:rFonts w:ascii="Arial" w:cs="Arial" w:eastAsia="Arial" w:hAnsi="Arial"/>
          <w:sz w:val="17"/>
          <w:szCs w:val="17"/>
          <w:color w:val="auto"/>
        </w:rPr>
      </w:pPr>
    </w:p>
    <w:p>
      <w:pPr>
        <w:jc w:val="both"/>
        <w:ind w:left="1160" w:right="79" w:hanging="327"/>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Plaza at Rockwall, a multi-tenant income property located in Rockwall, Texas for a purchase price of $61.2 million, or a total acquisition cost of $61.3 million including capitalized acquisition costs. The Plaza at Rockwall comprises 446,500 square feet, was 95% occupied at acquisition, and had a weighted average remaining lease term of 4.2 years at acquisition.</w:t>
      </w:r>
    </w:p>
    <w:p>
      <w:pPr>
        <w:spacing w:after="0" w:line="78" w:lineRule="exact"/>
        <w:rPr>
          <w:rFonts w:ascii="Arial" w:cs="Arial" w:eastAsia="Arial" w:hAnsi="Arial"/>
          <w:sz w:val="18"/>
          <w:szCs w:val="18"/>
          <w:color w:val="auto"/>
        </w:rPr>
      </w:pPr>
    </w:p>
    <w:p>
      <w:pPr>
        <w:ind w:left="1160" w:right="79" w:hanging="327"/>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vacant land parcel adjacent to the previously acquired Collection at Forsyth property, located in the Forsyth County submarket of Atlanta, Georgia, for a purchase price of $4.3 million.</w:t>
      </w:r>
    </w:p>
    <w:p>
      <w:pPr>
        <w:spacing w:after="0" w:line="170"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Of the aggregate $80.3 million total acquisition cost, $21.2 million was allocated to land, $53.6 million was allocated to buildings and improvements, and $8.7 million was allocated to intangible assets pertaining to the in-place lease value, leasing costs, and above market lease value and $3.2 million was allocated to intangible liabilities for the below market lease value. The amortization period for the intangible assets and liabilities was 5.6 years at acquisition.</w:t>
      </w:r>
    </w:p>
    <w:p>
      <w:pPr>
        <w:spacing w:after="0" w:line="171"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 xml:space="preserve">2023 Dispositions. </w:t>
      </w:r>
      <w:r>
        <w:rPr>
          <w:rFonts w:ascii="Arial" w:cs="Arial" w:eastAsia="Arial" w:hAnsi="Arial"/>
          <w:sz w:val="16"/>
          <w:szCs w:val="16"/>
          <w:color w:val="auto"/>
        </w:rPr>
        <w:t>During the nine months ended September 30, 2023, the Company sold three income properties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an aggregate sales price of $22.9 million and aggregate gains on sales of $3.3 million. The sales consisted of (i) an outparcel of the multi-tenant property known as Eastern Commons, located in Henderson, Nevada, for $2.1 million, resulting in a gain of $0.8 million, (ii) an outparcel of the multi-tenant property known as Crossroads Towne Center, located in Chandler, Arizona, for $2.3 million, resulting in a gain of $1.2 million, and (iii) a single tenant office property located in Reston, Virginia leased to General Dynamics for $18.5 million, resulting in a gain of $1.3 million.</w:t>
      </w:r>
    </w:p>
    <w:p>
      <w:pPr>
        <w:spacing w:after="0" w:line="164"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On October 12, 2023, as described in Note 24, “Subsequent Events,” the Company sold the Westcliff Shopping Center located in Fort Worth, Texas (the “Westcliff Property”), which was classified as held for sale as of September 30, 2023, for a sales price of $14.8 million. An impairment charge of $0.9 million was recognized on the Westcliff Property during the three months ended September 30, 2023, as described in Note 10, “Provision for Impairment.”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 xml:space="preserve">2022 Acquisitions. </w:t>
      </w:r>
      <w:r>
        <w:rPr>
          <w:rFonts w:ascii="Arial" w:cs="Arial" w:eastAsia="Arial" w:hAnsi="Arial"/>
          <w:sz w:val="18"/>
          <w:szCs w:val="18"/>
          <w:color w:val="auto"/>
        </w:rPr>
        <w:t>During the nine months ended September 30, 2022, the Company acquired two multi-tenant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properties for an aggregate purchase price of $119.3 million, or a total acquisition cost of $119.7 million, as follows:</w:t>
      </w:r>
    </w:p>
    <w:p>
      <w:pPr>
        <w:spacing w:after="0" w:line="76" w:lineRule="exact"/>
        <w:rPr>
          <w:sz w:val="20"/>
          <w:szCs w:val="20"/>
          <w:color w:val="auto"/>
        </w:rPr>
      </w:pPr>
    </w:p>
    <w:p>
      <w:pPr>
        <w:jc w:val="both"/>
        <w:ind w:left="1160" w:right="79" w:hanging="327"/>
        <w:spacing w:after="0" w:line="255"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Plaza Shopping Center, a multi-tenant income property located in Katy, Texas for a purchase price of $39.1 million, or a total acquisition cost of $39.2 million including capitalized acquisition costs. Price Plaza Shopping Center comprises 205,813 square feet, was 95% leased at acquisition, and had a weighted average remaining lease term of 5.7 years at acquisition. In connection with the acquisition of Price Plaza Shopping Center, the company assumed a $17.8 million fixed-rate mortgage note, as further discussed in Note 15, “Long-Term Debt.”</w:t>
      </w:r>
    </w:p>
    <w:p>
      <w:pPr>
        <w:spacing w:after="0" w:line="84" w:lineRule="exact"/>
        <w:rPr>
          <w:rFonts w:ascii="Arial" w:cs="Arial" w:eastAsia="Arial" w:hAnsi="Arial"/>
          <w:sz w:val="18"/>
          <w:szCs w:val="18"/>
          <w:color w:val="auto"/>
        </w:rPr>
      </w:pPr>
    </w:p>
    <w:p>
      <w:pPr>
        <w:jc w:val="both"/>
        <w:ind w:left="1160" w:right="79" w:hanging="327"/>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Madison Yards, a multi-tenant grocery-anchored income property located in Atlanta, Georgia for a purchase price of $80.2 million, or a total acquisition cost of $80.5 million including capitalized acquisition costs. Madison Yards comprises 162,500 square feet, was 98% leased at acquisition, and had a weighted average remaining lease term of 10.4 years at acquisition.</w:t>
      </w:r>
    </w:p>
    <w:p>
      <w:pPr>
        <w:spacing w:after="0" w:line="187" w:lineRule="exact"/>
        <w:rPr>
          <w:sz w:val="20"/>
          <w:szCs w:val="20"/>
          <w:color w:val="auto"/>
        </w:rPr>
      </w:pPr>
    </w:p>
    <w:p>
      <w:pPr>
        <w:jc w:val="both"/>
        <w:ind w:left="60" w:right="79" w:firstLine="441"/>
        <w:spacing w:after="0" w:line="301" w:lineRule="auto"/>
        <w:rPr>
          <w:sz w:val="20"/>
          <w:szCs w:val="20"/>
          <w:color w:val="auto"/>
        </w:rPr>
      </w:pPr>
      <w:r>
        <w:rPr>
          <w:rFonts w:ascii="Arial" w:cs="Arial" w:eastAsia="Arial" w:hAnsi="Arial"/>
          <w:sz w:val="16"/>
          <w:szCs w:val="16"/>
          <w:color w:val="auto"/>
        </w:rPr>
        <w:t>Of the aggregate $119.7 million total acquisition cost, $35.4 million was allocated to land, $65.9 million was allocated to buildings and improvements, and $19.7 million was allocated to intangible assets pertaining to the in-place lease value, leasing costs, and above market lease value and $1.3 million was allocated to intangible liabilities for the below market lease value. The amortization period for the intangible assets and liabilities was 9.0 years at acquisition.</w:t>
      </w:r>
    </w:p>
    <w:p>
      <w:pPr>
        <w:spacing w:after="0" w:line="157"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i w:val="1"/>
          <w:iCs w:val="1"/>
          <w:color w:val="auto"/>
        </w:rPr>
        <w:t xml:space="preserve">2022 Dispositions. </w:t>
      </w:r>
      <w:r>
        <w:rPr>
          <w:rFonts w:ascii="Arial" w:cs="Arial" w:eastAsia="Arial" w:hAnsi="Arial"/>
          <w:sz w:val="16"/>
          <w:szCs w:val="16"/>
          <w:color w:val="auto"/>
        </w:rPr>
        <w:t>During the nine months ended September 30, 2022, the Company sold six income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w:t>
      </w:r>
    </w:p>
    <w:p>
      <w:pPr>
        <w:spacing w:after="0" w:line="2" w:lineRule="exact"/>
        <w:rPr>
          <w:sz w:val="20"/>
          <w:szCs w:val="20"/>
          <w:color w:val="auto"/>
        </w:rPr>
      </w:pPr>
    </w:p>
    <w:p>
      <w:pPr>
        <w:jc w:val="both"/>
        <w:ind w:left="60" w:right="59" w:hanging="10"/>
        <w:spacing w:after="0" w:line="253" w:lineRule="auto"/>
        <w:tabs>
          <w:tab w:leader="none" w:pos="4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COMMERCIAL LOANS AND INVESTMENTS</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6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i w:val="1"/>
          <w:iCs w:val="1"/>
          <w:color w:val="auto"/>
        </w:rPr>
        <w:t>2023 Activity</w:t>
      </w:r>
      <w:r>
        <w:rPr>
          <w:rFonts w:ascii="Arial" w:cs="Arial" w:eastAsia="Arial" w:hAnsi="Arial"/>
          <w:sz w:val="18"/>
          <w:szCs w:val="18"/>
          <w:color w:val="auto"/>
        </w:rPr>
        <w:t>. On February 21, 2023, the borrower of the 4311 Maple Avenue mortgage note repaid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$0.4 million, leaving no remaining balance outstanding as of September 30, 2023.</w:t>
      </w:r>
    </w:p>
    <w:p>
      <w:pPr>
        <w:spacing w:after="0" w:line="170"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On March 1, 2023, the Company originated a $15.0 million first mortgage loan secured by the Founders Square property located in Dallas, Texas. The loan is interest-only with a term of three years with a fixed interest rate of 8.75%. The Company received an origination fee of 1.0% or $0.15 million.</w:t>
      </w:r>
    </w:p>
    <w:p>
      <w:pPr>
        <w:spacing w:after="0" w:line="184"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During the nine months ended September 30, 2023, the Company funded $2.2 million to the borrower and received $0.6 million in principal repayments under the construction loan originated in January 2022 and secured by the property and improvements to be constructed thereon for the second phase of The Exchange at Gwinnett project located in Buford, Georgia. As of September 30, 2023, there is no remaining commitment to the borrower.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40" w:firstLine="441"/>
        <w:spacing w:after="0" w:line="270" w:lineRule="auto"/>
        <w:rPr>
          <w:sz w:val="20"/>
          <w:szCs w:val="20"/>
          <w:color w:val="auto"/>
        </w:rPr>
      </w:pPr>
      <w:r>
        <w:rPr>
          <w:rFonts w:ascii="Arial" w:cs="Arial" w:eastAsia="Arial" w:hAnsi="Arial"/>
          <w:sz w:val="17"/>
          <w:szCs w:val="17"/>
          <w:i w:val="1"/>
          <w:iCs w:val="1"/>
          <w:color w:val="auto"/>
        </w:rPr>
        <w:t xml:space="preserve">Watters Creek Investment. </w:t>
      </w:r>
      <w:r>
        <w:rPr>
          <w:rFonts w:ascii="Arial" w:cs="Arial" w:eastAsia="Arial" w:hAnsi="Arial"/>
          <w:sz w:val="17"/>
          <w:szCs w:val="17"/>
          <w:color w:val="auto"/>
        </w:rPr>
        <w:t>On April 7, 2022, the Company entered into a preferred equity agreement to provide $30.0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funding towards the total investment in Watters Creek at Montgomery Farm, a grocery-anchored, mixed-use property located in Allen, Texas (the “Watters Creek Investment”).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spacing w:after="0" w:line="181" w:lineRule="exact"/>
        <w:rPr>
          <w:sz w:val="20"/>
          <w:szCs w:val="20"/>
          <w:color w:val="auto"/>
        </w:rPr>
      </w:pPr>
    </w:p>
    <w:p>
      <w:pPr>
        <w:jc w:val="both"/>
        <w:ind w:left="60" w:right="140" w:firstLine="513"/>
        <w:spacing w:after="0" w:line="269" w:lineRule="auto"/>
        <w:rPr>
          <w:sz w:val="20"/>
          <w:szCs w:val="20"/>
          <w:color w:val="auto"/>
        </w:rPr>
      </w:pPr>
      <w:r>
        <w:rPr>
          <w:rFonts w:ascii="Arial" w:cs="Arial" w:eastAsia="Arial" w:hAnsi="Arial"/>
          <w:sz w:val="17"/>
          <w:szCs w:val="17"/>
          <w:color w:val="auto"/>
        </w:rPr>
        <w:t xml:space="preserve">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spacing w:after="0" w:line="77" w:lineRule="exact"/>
        <w:rPr>
          <w:sz w:val="20"/>
          <w:szCs w:val="20"/>
          <w:color w:val="auto"/>
        </w:rPr>
      </w:pPr>
    </w:p>
    <w:p>
      <w:pPr>
        <w:jc w:val="both"/>
        <w:ind w:left="60" w:right="140" w:firstLine="441"/>
        <w:spacing w:after="0" w:line="277" w:lineRule="auto"/>
        <w:rPr>
          <w:sz w:val="20"/>
          <w:szCs w:val="20"/>
          <w:color w:val="auto"/>
        </w:rPr>
      </w:pPr>
      <w:r>
        <w:rPr>
          <w:rFonts w:ascii="Arial" w:cs="Arial" w:eastAsia="Arial" w:hAnsi="Arial"/>
          <w:sz w:val="18"/>
          <w:szCs w:val="18"/>
          <w:color w:val="auto"/>
        </w:rPr>
        <w:t>The Company’s commercial loans and investments were comprised of the following at September 30, 2023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8"/>
              </w:rPr>
              <w:t>Original</w:t>
            </w: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9"/>
              </w:rPr>
              <w:t>Current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9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9"/>
              </w:rPr>
              <w:t>Maturity</w:t>
            </w:r>
          </w:p>
        </w:tc>
        <w:tc>
          <w:tcPr>
            <w:tcW w:w="120" w:type="dxa"/>
            <w:vAlign w:val="bottom"/>
          </w:tcPr>
          <w:p>
            <w:pPr>
              <w:spacing w:after="0"/>
              <w:rPr>
                <w:sz w:val="14"/>
                <w:szCs w:val="14"/>
                <w:color w:val="auto"/>
              </w:rPr>
            </w:pPr>
          </w:p>
        </w:tc>
        <w:tc>
          <w:tcPr>
            <w:tcW w:w="6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7"/>
              </w:rPr>
              <w:t>Face</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Face</w:t>
            </w:r>
          </w:p>
        </w:tc>
        <w:tc>
          <w:tcPr>
            <w:tcW w:w="78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Carrying</w:t>
            </w: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c>
          <w:tcPr>
            <w:tcW w:w="0" w:type="dxa"/>
            <w:vAlign w:val="bottom"/>
          </w:tcPr>
          <w:p>
            <w:pPr>
              <w:spacing w:after="0"/>
              <w:rPr>
                <w:sz w:val="1"/>
                <w:szCs w:val="1"/>
                <w:color w:val="auto"/>
              </w:rPr>
            </w:pPr>
          </w:p>
        </w:tc>
      </w:tr>
      <w:tr>
        <w:trPr>
          <w:trHeight w:val="179"/>
        </w:trPr>
        <w:tc>
          <w:tcPr>
            <w:tcW w:w="4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9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9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8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5"/>
              </w:rPr>
              <w:t>Amount</w:t>
            </w: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1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4"/>
              </w:rPr>
              <w:t>Value</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98"/>
              </w:rPr>
              <w:t>Rate</w:t>
            </w:r>
          </w:p>
        </w:tc>
        <w:tc>
          <w:tcPr>
            <w:tcW w:w="0" w:type="dxa"/>
            <w:vAlign w:val="bottom"/>
          </w:tcPr>
          <w:p>
            <w:pPr>
              <w:spacing w:after="0"/>
              <w:rPr>
                <w:sz w:val="1"/>
                <w:szCs w:val="1"/>
                <w:color w:val="auto"/>
              </w:rPr>
            </w:pPr>
          </w:p>
        </w:tc>
      </w:tr>
      <w:tr>
        <w:trPr>
          <w:trHeight w:val="155"/>
        </w:trPr>
        <w:tc>
          <w:tcPr>
            <w:tcW w:w="39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6"/>
              </w:rPr>
              <w:t>Construction Loan – The Exchange At Gwinnett – Buford, GA</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0"/>
              </w:rPr>
              <w:t>January 2022</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0"/>
              </w:rPr>
              <w:t>January 2024</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8,700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1,857</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1,848</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7.25%</w:t>
            </w:r>
          </w:p>
        </w:tc>
        <w:tc>
          <w:tcPr>
            <w:tcW w:w="0" w:type="dxa"/>
            <w:vAlign w:val="bottom"/>
          </w:tcPr>
          <w:p>
            <w:pPr>
              <w:spacing w:after="0"/>
              <w:rPr>
                <w:sz w:val="1"/>
                <w:szCs w:val="1"/>
                <w:color w:val="auto"/>
              </w:rPr>
            </w:pPr>
          </w:p>
        </w:tc>
      </w:tr>
      <w:tr>
        <w:trPr>
          <w:trHeight w:val="162"/>
        </w:trPr>
        <w:tc>
          <w:tcPr>
            <w:tcW w:w="41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Preferred Investment – Watters Creek – Allen, TX</w:t>
            </w:r>
          </w:p>
        </w:tc>
        <w:tc>
          <w:tcPr>
            <w:tcW w:w="98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w w:val="97"/>
              </w:rPr>
              <w:t>April 2022</w:t>
            </w:r>
          </w:p>
        </w:tc>
        <w:tc>
          <w:tcPr>
            <w:tcW w:w="98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w w:val="97"/>
              </w:rPr>
              <w:t>April 2025</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30,000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29,924</w:t>
            </w:r>
          </w:p>
        </w:tc>
        <w:tc>
          <w:tcPr>
            <w:tcW w:w="16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color w:val="auto"/>
                <w:w w:val="93"/>
              </w:rPr>
              <w:t>8.75%</w:t>
            </w:r>
          </w:p>
        </w:tc>
        <w:tc>
          <w:tcPr>
            <w:tcW w:w="0" w:type="dxa"/>
            <w:vAlign w:val="bottom"/>
          </w:tcPr>
          <w:p>
            <w:pPr>
              <w:spacing w:after="0"/>
              <w:rPr>
                <w:sz w:val="1"/>
                <w:szCs w:val="1"/>
                <w:color w:val="auto"/>
              </w:rPr>
            </w:pPr>
          </w:p>
        </w:tc>
      </w:tr>
      <w:tr>
        <w:trPr>
          <w:trHeight w:val="162"/>
        </w:trPr>
        <w:tc>
          <w:tcPr>
            <w:tcW w:w="4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Founders Square – Dallas, TX</w:t>
            </w:r>
          </w:p>
        </w:tc>
        <w:tc>
          <w:tcPr>
            <w:tcW w:w="9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3"/>
              </w:rPr>
              <w:t>March 2023</w:t>
            </w:r>
          </w:p>
        </w:tc>
        <w:tc>
          <w:tcPr>
            <w:tcW w:w="9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3"/>
              </w:rPr>
              <w:t>March 2026</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14,879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3"/>
              </w:rPr>
              <w:t>8.75%</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5"/>
                <w:szCs w:val="15"/>
                <w:color w:val="auto"/>
              </w:rPr>
              <w:t>Promissory Note – Main Street – Daytona Beach, FL</w:t>
            </w:r>
          </w:p>
        </w:tc>
        <w:tc>
          <w:tcPr>
            <w:tcW w:w="980" w:type="dxa"/>
            <w:vAlign w:val="bottom"/>
            <w:tcBorders>
              <w:bottom w:val="single" w:sz="8" w:color="CCEEFF"/>
            </w:tcBorders>
            <w:gridSpan w:val="2"/>
          </w:tcPr>
          <w:p>
            <w:pPr>
              <w:jc w:val="center"/>
              <w:ind w:right="160"/>
              <w:spacing w:after="0" w:line="162" w:lineRule="exact"/>
              <w:rPr>
                <w:sz w:val="20"/>
                <w:szCs w:val="20"/>
                <w:color w:val="auto"/>
              </w:rPr>
            </w:pPr>
            <w:r>
              <w:rPr>
                <w:rFonts w:ascii="Arial" w:cs="Arial" w:eastAsia="Arial" w:hAnsi="Arial"/>
                <w:sz w:val="15"/>
                <w:szCs w:val="15"/>
                <w:color w:val="auto"/>
                <w:w w:val="88"/>
              </w:rPr>
              <w:t>June 2023</w:t>
            </w:r>
          </w:p>
        </w:tc>
        <w:tc>
          <w:tcPr>
            <w:tcW w:w="980" w:type="dxa"/>
            <w:vAlign w:val="bottom"/>
            <w:tcBorders>
              <w:bottom w:val="single" w:sz="8" w:color="CCEEFF"/>
            </w:tcBorders>
            <w:gridSpan w:val="2"/>
          </w:tcPr>
          <w:p>
            <w:pPr>
              <w:jc w:val="center"/>
              <w:ind w:right="160"/>
              <w:spacing w:after="0" w:line="162" w:lineRule="exact"/>
              <w:rPr>
                <w:sz w:val="20"/>
                <w:szCs w:val="20"/>
                <w:color w:val="auto"/>
              </w:rPr>
            </w:pPr>
            <w:r>
              <w:rPr>
                <w:rFonts w:ascii="Arial" w:cs="Arial" w:eastAsia="Arial" w:hAnsi="Arial"/>
                <w:sz w:val="15"/>
                <w:szCs w:val="15"/>
                <w:color w:val="auto"/>
                <w:w w:val="94"/>
              </w:rPr>
              <w:t>May 2033</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400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jc w:val="center"/>
              <w:spacing w:after="0" w:line="162" w:lineRule="exact"/>
              <w:rPr>
                <w:sz w:val="20"/>
                <w:szCs w:val="20"/>
                <w:color w:val="auto"/>
              </w:rPr>
            </w:pPr>
            <w:r>
              <w:rPr>
                <w:rFonts w:ascii="Arial" w:cs="Arial" w:eastAsia="Arial" w:hAnsi="Arial"/>
                <w:sz w:val="15"/>
                <w:szCs w:val="15"/>
                <w:color w:val="auto"/>
                <w:w w:val="93"/>
              </w:rPr>
              <w:t>7.00%</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54,100</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47,257</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47,051</w:t>
            </w: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0"/>
              <w:spacing w:after="0"/>
              <w:rPr>
                <w:sz w:val="20"/>
                <w:szCs w:val="20"/>
                <w:color w:val="auto"/>
              </w:rPr>
            </w:pPr>
            <w:r>
              <w:rPr>
                <w:rFonts w:ascii="Arial" w:cs="Arial" w:eastAsia="Arial" w:hAnsi="Arial"/>
                <w:sz w:val="15"/>
                <w:szCs w:val="15"/>
                <w:color w:val="auto"/>
              </w:rPr>
              <w:t>CECL Reserve</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(479)</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2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Total Commercial Loans and Investments</w:t>
            </w: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46,572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0" w:right="140" w:firstLine="441"/>
        <w:spacing w:after="0" w:line="243" w:lineRule="auto"/>
        <w:rPr>
          <w:sz w:val="20"/>
          <w:szCs w:val="20"/>
          <w:color w:val="auto"/>
        </w:rPr>
      </w:pPr>
      <w:r>
        <w:rPr>
          <w:rFonts w:ascii="Arial" w:cs="Arial" w:eastAsia="Arial" w:hAnsi="Arial"/>
          <w:sz w:val="18"/>
          <w:szCs w:val="18"/>
          <w:color w:val="auto"/>
        </w:rPr>
        <w:t>With respect to the $1.5 million improvement loan at Ashford Lane originated in May 2022, during the nine months ended September 30, 2023, the Company took possession of the improvements that were funded by such loan pursuant to the applicable security agreement and, accordingly, the carrying value of the investment was reclassified as building and improvements.</w:t>
      </w:r>
    </w:p>
    <w:p>
      <w:pPr>
        <w:spacing w:after="0" w:line="161" w:lineRule="exact"/>
        <w:rPr>
          <w:sz w:val="20"/>
          <w:szCs w:val="20"/>
          <w:color w:val="auto"/>
        </w:rPr>
      </w:pPr>
    </w:p>
    <w:p>
      <w:pPr>
        <w:jc w:val="both"/>
        <w:ind w:left="60" w:right="160" w:firstLine="441"/>
        <w:spacing w:after="0" w:line="250" w:lineRule="auto"/>
        <w:rPr>
          <w:sz w:val="20"/>
          <w:szCs w:val="20"/>
          <w:color w:val="auto"/>
        </w:rPr>
      </w:pPr>
      <w:r>
        <w:rPr>
          <w:rFonts w:ascii="Arial" w:cs="Arial" w:eastAsia="Arial" w:hAnsi="Arial"/>
          <w:sz w:val="18"/>
          <w:szCs w:val="18"/>
          <w:color w:val="auto"/>
        </w:rPr>
        <w:t>The Company’s commercial loans and investments were comprised of the following at December 31, 2022 (in thousands):</w:t>
      </w:r>
    </w:p>
    <w:tbl>
      <w:tblPr>
        <w:tblLayout w:type="fixed"/>
        <w:tblInd w:w="40" w:type="dxa"/>
        <w:tblCellMar>
          <w:top w:w="0" w:type="dxa"/>
          <w:left w:w="0" w:type="dxa"/>
          <w:bottom w:w="0" w:type="dxa"/>
          <w:right w:w="0" w:type="dxa"/>
        </w:tblCellMar>
      </w:tblPr>
      <w:tr>
        <w:trPr>
          <w:trHeight w:val="160"/>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ind w:left="20"/>
              <w:spacing w:after="0" w:line="160" w:lineRule="exact"/>
              <w:rPr>
                <w:sz w:val="20"/>
                <w:szCs w:val="20"/>
                <w:color w:val="auto"/>
              </w:rPr>
            </w:pPr>
            <w:r>
              <w:rPr>
                <w:rFonts w:ascii="Arial" w:cs="Arial" w:eastAsia="Arial" w:hAnsi="Arial"/>
                <w:sz w:val="15"/>
                <w:szCs w:val="15"/>
                <w:b w:val="1"/>
                <w:bCs w:val="1"/>
                <w:color w:val="auto"/>
              </w:rPr>
              <w:t>Original</w:t>
            </w:r>
          </w:p>
        </w:tc>
        <w:tc>
          <w:tcPr>
            <w:tcW w:w="740" w:type="dxa"/>
            <w:vAlign w:val="bottom"/>
            <w:gridSpan w:val="3"/>
          </w:tcPr>
          <w:p>
            <w:pPr>
              <w:jc w:val="center"/>
              <w:ind w:right="160"/>
              <w:spacing w:after="0" w:line="160" w:lineRule="exact"/>
              <w:rPr>
                <w:sz w:val="20"/>
                <w:szCs w:val="20"/>
                <w:color w:val="auto"/>
              </w:rPr>
            </w:pPr>
            <w:r>
              <w:rPr>
                <w:rFonts w:ascii="Arial" w:cs="Arial" w:eastAsia="Arial" w:hAnsi="Arial"/>
                <w:sz w:val="15"/>
                <w:szCs w:val="15"/>
                <w:b w:val="1"/>
                <w:bCs w:val="1"/>
                <w:color w:val="auto"/>
                <w:w w:val="99"/>
              </w:rPr>
              <w:t>Current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98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rPr>
              <w:t>Maturity</w:t>
            </w:r>
          </w:p>
        </w:tc>
        <w:tc>
          <w:tcPr>
            <w:tcW w:w="100" w:type="dxa"/>
            <w:vAlign w:val="bottom"/>
          </w:tcPr>
          <w:p>
            <w:pPr>
              <w:spacing w:after="0"/>
              <w:rPr>
                <w:sz w:val="14"/>
                <w:szCs w:val="14"/>
                <w:color w:val="auto"/>
              </w:rPr>
            </w:pPr>
          </w:p>
        </w:tc>
        <w:tc>
          <w:tcPr>
            <w:tcW w:w="640" w:type="dxa"/>
            <w:vAlign w:val="bottom"/>
            <w:gridSpan w:val="2"/>
          </w:tcPr>
          <w:p>
            <w:pPr>
              <w:ind w:left="40"/>
              <w:spacing w:after="0" w:line="162" w:lineRule="exact"/>
              <w:rPr>
                <w:sz w:val="20"/>
                <w:szCs w:val="20"/>
                <w:color w:val="auto"/>
              </w:rPr>
            </w:pPr>
            <w:r>
              <w:rPr>
                <w:rFonts w:ascii="Arial" w:cs="Arial" w:eastAsia="Arial" w:hAnsi="Arial"/>
                <w:sz w:val="15"/>
                <w:szCs w:val="15"/>
                <w:b w:val="1"/>
                <w:bCs w:val="1"/>
                <w:color w:val="auto"/>
              </w:rPr>
              <w:t>Face</w:t>
            </w:r>
          </w:p>
        </w:tc>
        <w:tc>
          <w:tcPr>
            <w:tcW w:w="100" w:type="dxa"/>
            <w:vAlign w:val="bottom"/>
          </w:tcPr>
          <w:p>
            <w:pPr>
              <w:spacing w:after="0"/>
              <w:rPr>
                <w:sz w:val="14"/>
                <w:szCs w:val="14"/>
                <w:color w:val="auto"/>
              </w:rPr>
            </w:pPr>
          </w:p>
        </w:tc>
        <w:tc>
          <w:tcPr>
            <w:tcW w:w="6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7"/>
              </w:rPr>
              <w:t>Face</w:t>
            </w:r>
          </w:p>
        </w:tc>
        <w:tc>
          <w:tcPr>
            <w:tcW w:w="62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93"/>
              </w:rPr>
              <w:t>Carrying</w:t>
            </w:r>
          </w:p>
        </w:tc>
        <w:tc>
          <w:tcPr>
            <w:tcW w:w="16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r>
      <w:tr>
        <w:trPr>
          <w:trHeight w:val="179"/>
        </w:trPr>
        <w:tc>
          <w:tcPr>
            <w:tcW w:w="41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0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9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740" w:type="dxa"/>
            <w:vAlign w:val="bottom"/>
            <w:gridSpan w:val="3"/>
          </w:tcPr>
          <w:p>
            <w:pPr>
              <w:ind w:left="20"/>
              <w:spacing w:after="0"/>
              <w:rPr>
                <w:sz w:val="20"/>
                <w:szCs w:val="20"/>
                <w:color w:val="auto"/>
              </w:rPr>
            </w:pPr>
            <w:r>
              <w:rPr>
                <w:rFonts w:ascii="Arial" w:cs="Arial" w:eastAsia="Arial" w:hAnsi="Arial"/>
                <w:sz w:val="15"/>
                <w:szCs w:val="15"/>
                <w:b w:val="1"/>
                <w:bCs w:val="1"/>
                <w:color w:val="auto"/>
              </w:rPr>
              <w:t>Amount</w:t>
            </w:r>
          </w:p>
        </w:tc>
        <w:tc>
          <w:tcPr>
            <w:tcW w:w="7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100" w:type="dxa"/>
            <w:vAlign w:val="bottom"/>
          </w:tcPr>
          <w:p>
            <w:pPr>
              <w:spacing w:after="0"/>
              <w:rPr>
                <w:sz w:val="15"/>
                <w:szCs w:val="15"/>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b w:val="1"/>
                <w:bCs w:val="1"/>
                <w:color w:val="auto"/>
                <w:w w:val="94"/>
              </w:rPr>
              <w:t>Value</w:t>
            </w:r>
          </w:p>
        </w:tc>
        <w:tc>
          <w:tcPr>
            <w:tcW w:w="1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5"/>
        </w:trPr>
        <w:tc>
          <w:tcPr>
            <w:tcW w:w="394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Mortgage Note – 4311 Maple Avenue – Dallas, TX</w:t>
            </w: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2"/>
              </w:rPr>
              <w:t>October 2020</w:t>
            </w:r>
          </w:p>
        </w:tc>
        <w:tc>
          <w:tcPr>
            <w:tcW w:w="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7"/>
              </w:rPr>
              <w:t>April 2023</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395</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7.50%</w:t>
            </w:r>
          </w:p>
        </w:tc>
      </w:tr>
      <w:tr>
        <w:trPr>
          <w:trHeight w:val="162"/>
        </w:trPr>
        <w:tc>
          <w:tcPr>
            <w:tcW w:w="4100" w:type="dxa"/>
            <w:vAlign w:val="bottom"/>
            <w:gridSpan w:val="2"/>
          </w:tcPr>
          <w:p>
            <w:pPr>
              <w:ind w:left="20"/>
              <w:spacing w:after="0" w:line="162" w:lineRule="exact"/>
              <w:rPr>
                <w:sz w:val="20"/>
                <w:szCs w:val="20"/>
                <w:color w:val="auto"/>
              </w:rPr>
            </w:pPr>
            <w:r>
              <w:rPr>
                <w:rFonts w:ascii="Arial" w:cs="Arial" w:eastAsia="Arial" w:hAnsi="Arial"/>
                <w:sz w:val="15"/>
                <w:szCs w:val="15"/>
                <w:color w:val="auto"/>
                <w:w w:val="99"/>
              </w:rPr>
              <w:t>Construction Loan – The Exchange At Gwinnett – Buford, GA</w:t>
            </w:r>
          </w:p>
        </w:tc>
        <w:tc>
          <w:tcPr>
            <w:tcW w:w="102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w w:val="90"/>
              </w:rPr>
              <w:t>January 2022</w:t>
            </w:r>
          </w:p>
        </w:tc>
        <w:tc>
          <w:tcPr>
            <w:tcW w:w="98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w w:val="90"/>
              </w:rPr>
              <w:t>January 2024</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173</w:t>
            </w:r>
          </w:p>
        </w:tc>
        <w:tc>
          <w:tcPr>
            <w:tcW w:w="700" w:type="dxa"/>
            <w:vAlign w:val="bottom"/>
            <w:gridSpan w:val="2"/>
          </w:tcPr>
          <w:p>
            <w:pPr>
              <w:jc w:val="center"/>
              <w:ind w:left="104"/>
              <w:spacing w:after="0" w:line="162" w:lineRule="exact"/>
              <w:rPr>
                <w:sz w:val="20"/>
                <w:szCs w:val="20"/>
                <w:color w:val="auto"/>
              </w:rPr>
            </w:pPr>
            <w:r>
              <w:rPr>
                <w:rFonts w:ascii="Arial" w:cs="Arial" w:eastAsia="Arial" w:hAnsi="Arial"/>
                <w:sz w:val="15"/>
                <w:szCs w:val="15"/>
                <w:color w:val="auto"/>
                <w:w w:val="93"/>
              </w:rPr>
              <w:t>7.25%</w:t>
            </w:r>
          </w:p>
        </w:tc>
      </w:tr>
      <w:tr>
        <w:trPr>
          <w:trHeight w:val="162"/>
        </w:trPr>
        <w:tc>
          <w:tcPr>
            <w:tcW w:w="41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Preferred Investment - Watters Creek – Allen, TX</w:t>
            </w:r>
          </w:p>
        </w:tc>
        <w:tc>
          <w:tcPr>
            <w:tcW w:w="102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7"/>
              </w:rPr>
              <w:t>April 2022</w:t>
            </w:r>
          </w:p>
        </w:tc>
        <w:tc>
          <w:tcPr>
            <w:tcW w:w="9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7"/>
              </w:rPr>
              <w:t>April 2025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29,887</w:t>
            </w:r>
          </w:p>
        </w:tc>
        <w:tc>
          <w:tcPr>
            <w:tcW w:w="700" w:type="dxa"/>
            <w:vAlign w:val="bottom"/>
            <w:gridSpan w:val="2"/>
            <w:shd w:val="clear" w:color="auto" w:fill="CCEEFF"/>
          </w:tcPr>
          <w:p>
            <w:pPr>
              <w:jc w:val="center"/>
              <w:ind w:left="104"/>
              <w:spacing w:after="0" w:line="162" w:lineRule="exact"/>
              <w:rPr>
                <w:sz w:val="20"/>
                <w:szCs w:val="20"/>
                <w:color w:val="auto"/>
              </w:rPr>
            </w:pPr>
            <w:r>
              <w:rPr>
                <w:rFonts w:ascii="Arial" w:cs="Arial" w:eastAsia="Arial" w:hAnsi="Arial"/>
                <w:sz w:val="15"/>
                <w:szCs w:val="15"/>
                <w:color w:val="auto"/>
                <w:w w:val="93"/>
              </w:rPr>
              <w:t>8.50%</w:t>
            </w:r>
          </w:p>
        </w:tc>
      </w:tr>
      <w:tr>
        <w:trPr>
          <w:trHeight w:val="162"/>
        </w:trPr>
        <w:tc>
          <w:tcPr>
            <w:tcW w:w="410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5"/>
                <w:szCs w:val="15"/>
                <w:color w:val="auto"/>
              </w:rPr>
              <w:t>Improvement Loan - Ashford Lane – Atlanta, GA</w:t>
            </w:r>
          </w:p>
        </w:tc>
        <w:tc>
          <w:tcPr>
            <w:tcW w:w="1020" w:type="dxa"/>
            <w:vAlign w:val="bottom"/>
            <w:tcBorders>
              <w:bottom w:val="single" w:sz="8" w:color="CCEEFF"/>
            </w:tcBorders>
            <w:gridSpan w:val="2"/>
          </w:tcPr>
          <w:p>
            <w:pPr>
              <w:jc w:val="center"/>
              <w:ind w:right="160"/>
              <w:spacing w:after="0" w:line="162" w:lineRule="exact"/>
              <w:rPr>
                <w:sz w:val="20"/>
                <w:szCs w:val="20"/>
                <w:color w:val="auto"/>
              </w:rPr>
            </w:pPr>
            <w:r>
              <w:rPr>
                <w:rFonts w:ascii="Arial" w:cs="Arial" w:eastAsia="Arial" w:hAnsi="Arial"/>
                <w:sz w:val="15"/>
                <w:szCs w:val="15"/>
                <w:color w:val="auto"/>
                <w:w w:val="94"/>
              </w:rPr>
              <w:t>May 2022</w:t>
            </w:r>
          </w:p>
        </w:tc>
        <w:tc>
          <w:tcPr>
            <w:tcW w:w="980" w:type="dxa"/>
            <w:vAlign w:val="bottom"/>
            <w:tcBorders>
              <w:bottom w:val="single" w:sz="8" w:color="CCEEFF"/>
            </w:tcBorders>
            <w:gridSpan w:val="2"/>
          </w:tcPr>
          <w:p>
            <w:pPr>
              <w:jc w:val="center"/>
              <w:ind w:right="160"/>
              <w:spacing w:after="0" w:line="162" w:lineRule="exact"/>
              <w:rPr>
                <w:sz w:val="20"/>
                <w:szCs w:val="20"/>
                <w:color w:val="auto"/>
              </w:rPr>
            </w:pPr>
            <w:r>
              <w:rPr>
                <w:rFonts w:ascii="Arial" w:cs="Arial" w:eastAsia="Arial" w:hAnsi="Arial"/>
                <w:sz w:val="15"/>
                <w:szCs w:val="15"/>
                <w:color w:val="auto"/>
                <w:w w:val="97"/>
              </w:rPr>
              <w:t>April 2025</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1,453</w:t>
            </w:r>
          </w:p>
        </w:tc>
        <w:tc>
          <w:tcPr>
            <w:tcW w:w="700" w:type="dxa"/>
            <w:vAlign w:val="bottom"/>
            <w:tcBorders>
              <w:bottom w:val="single" w:sz="8" w:color="CCEEFF"/>
            </w:tcBorders>
            <w:gridSpan w:val="2"/>
          </w:tcPr>
          <w:p>
            <w:pPr>
              <w:jc w:val="center"/>
              <w:ind w:left="104"/>
              <w:spacing w:after="0" w:line="162" w:lineRule="exact"/>
              <w:rPr>
                <w:sz w:val="20"/>
                <w:szCs w:val="20"/>
                <w:color w:val="auto"/>
              </w:rPr>
            </w:pPr>
            <w:r>
              <w:rPr>
                <w:rFonts w:ascii="Arial" w:cs="Arial" w:eastAsia="Arial" w:hAnsi="Arial"/>
                <w:sz w:val="15"/>
                <w:szCs w:val="15"/>
                <w:color w:val="auto"/>
                <w:w w:val="94"/>
              </w:rPr>
              <w:t>12.00%</w:t>
            </w:r>
          </w:p>
        </w:tc>
      </w:tr>
      <w:tr>
        <w:trPr>
          <w:trHeight w:val="155"/>
        </w:trPr>
        <w:tc>
          <w:tcPr>
            <w:tcW w:w="39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40,600</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32,073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31,908</w:t>
            </w:r>
          </w:p>
        </w:tc>
        <w:tc>
          <w:tcPr>
            <w:tcW w:w="1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40" w:firstLine="441"/>
        <w:spacing w:after="0" w:line="277" w:lineRule="auto"/>
        <w:rPr>
          <w:sz w:val="20"/>
          <w:szCs w:val="20"/>
          <w:color w:val="auto"/>
        </w:rPr>
      </w:pPr>
      <w:r>
        <w:rPr>
          <w:rFonts w:ascii="Arial" w:cs="Arial" w:eastAsia="Arial" w:hAnsi="Arial"/>
          <w:sz w:val="18"/>
          <w:szCs w:val="18"/>
          <w:color w:val="auto"/>
        </w:rPr>
        <w:t>The carrying value of the commercial loans and investments portfolio at September 30, 2023 and December 31, 2022 consisted of the following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 2023</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2022</w:t>
            </w:r>
          </w:p>
        </w:tc>
        <w:tc>
          <w:tcPr>
            <w:tcW w:w="20" w:type="dxa"/>
            <w:vAlign w:val="bottom"/>
          </w:tcPr>
          <w:p>
            <w:pPr>
              <w:spacing w:after="0"/>
              <w:rPr>
                <w:sz w:val="18"/>
                <w:szCs w:val="18"/>
                <w:color w:val="auto"/>
              </w:rPr>
            </w:pP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560" w:type="dxa"/>
            <w:vAlign w:val="bottom"/>
            <w:tcBorders>
              <w:top w:val="single" w:sz="8" w:color="auto"/>
            </w:tcBorders>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47,257</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20" w:type="dxa"/>
            <w:vAlign w:val="bottom"/>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Unaccreted Origination Fees</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CECL Reserve</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rPr>
              <w:t>Total Commercial Loans and Investments</w:t>
            </w:r>
          </w:p>
        </w:tc>
        <w:tc>
          <w:tcPr>
            <w:tcW w:w="5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46,572</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31,908</w:t>
            </w:r>
          </w:p>
        </w:tc>
        <w:tc>
          <w:tcPr>
            <w:tcW w:w="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40" w:top="517" w:right="1359" w:bottom="1440" w:gutter="0" w:footer="0" w:header="0"/>
        </w:sectPr>
      </w:pP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00"/>
          </w:cols>
          <w:pgMar w:left="1440" w:top="517" w:right="1359"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RELATED PARTY MANAGEMENT SERVICES BUSINESS</w:t>
      </w:r>
    </w:p>
    <w:p>
      <w:pPr>
        <w:spacing w:after="0" w:line="229"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color w:val="auto"/>
        </w:rPr>
        <w:t xml:space="preserve">The Company’s management fee income is within the scope of FASB ASC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Management fee income is recognized as revenue over time, over the period the services are performed.</w:t>
      </w:r>
    </w:p>
    <w:p>
      <w:pPr>
        <w:spacing w:after="0" w:line="12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i w:val="1"/>
          <w:iCs w:val="1"/>
          <w:color w:val="auto"/>
        </w:rPr>
        <w:t xml:space="preserve">Alpine Income Property Trust. </w:t>
      </w:r>
      <w:r>
        <w:rPr>
          <w:rFonts w:ascii="Arial" w:cs="Arial" w:eastAsia="Arial" w:hAnsi="Arial"/>
          <w:sz w:val="16"/>
          <w:szCs w:val="16"/>
          <w:color w:val="auto"/>
        </w:rPr>
        <w:t>Pursuant to the Company’s management agreement with PINE,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2022.</w:t>
      </w:r>
    </w:p>
    <w:p>
      <w:pPr>
        <w:spacing w:after="0" w:line="165"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During the three and nine months ended September 30, 2023, the Company earned management fee revenue from PINE totaling $1.1 million and $3.3 million, respectively. Dividend income for three and nine months ended September 30, 2023 totaled $0.6 million and $1.9 million, respectively. During the three and nine months ended September 30, 2022, the Company earned management fee revenue from PINE totaling $0.9 million and $2.8 million, respectively. Dividend income for the three and nine months ended September 30, 2022, totaled $0.6 million and $1.7 million, respectively. Management fee revenue from PINE, included in management services, and dividend income, included in investment and other loss, are reflected in the accompanying consolidated statements of operations.</w:t>
      </w:r>
    </w:p>
    <w:p>
      <w:pPr>
        <w:spacing w:after="0" w:line="177"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represents amounts due from (to) PINE as of September 30, 2023 and December 31, 2022 which are included in other assets on the consolidated balance sheets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Management Services Fee due From PINE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Dividend Receivable</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92"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spacing w:after="0" w:line="178"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On February 16, 2023, the Board cancelled the Prior PINE Share Purchase Authorization and authorized the purchase by the Company of up to $2.1 million in shares of common stock of PINE (the “2023 PINE Share Purchase Authorization”). Pursuant to the 2023 PINE Share Purchase Authorization, during the nine months ended September 30, 2023, the Company purchased 129,271 shares of PINE common stock on the open market for a total of $2.1 million, or an average price of $16.21 per share. No purchases of PINE common stock were made during the three months ended September 30, 2023.</w:t>
      </w:r>
    </w:p>
    <w:p>
      <w:pPr>
        <w:spacing w:after="0" w:line="19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September 30, 2023, CTO owns, in the aggregate, 1,223,854 OP Units and 1,108,814 shares of PINE common stock, representing an investment totaling $38.2 million, or 15.1% of PINE’s outstanding equity.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for an aggregate purchase price of $44.5 million, and (ii) one single-tenant income property for a purchase price of $11.5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6. REAL ESTATE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Land and development costs at September 30, 2023 and December 31, 2022 were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Subsurface Interests</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0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Land and Development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i w:val="1"/>
          <w:iCs w:val="1"/>
          <w:color w:val="auto"/>
        </w:rPr>
        <w:t xml:space="preserve">Subsurface Interests. </w:t>
      </w:r>
      <w:r>
        <w:rPr>
          <w:rFonts w:ascii="Arial" w:cs="Arial" w:eastAsia="Arial" w:hAnsi="Arial"/>
          <w:sz w:val="18"/>
          <w:szCs w:val="18"/>
          <w:color w:val="auto"/>
        </w:rPr>
        <w:t>As of September 30, 2023, the Company owns 352,000 acres of Subsurface Interests.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three and nine months ended September 30, 2023, the Company sold subsurface oil, gas, and mineral rights of 465 acres for a sales price of $0.6 million and 3,481 acres for a sales price of $1.0 million, respectively. During the three and nine months ended September 30, 2022, the Company sold subsurface oil, gas, and mineral rights of 1,500 acres for a sales price of $0.7 million and 14,582 acres for a sales price of $1.6 million, respectively.</w:t>
      </w:r>
    </w:p>
    <w:p>
      <w:pPr>
        <w:spacing w:after="0" w:line="237"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$0.5 million and $0.2 million in the nine months ended September 30, 2023 and 2022, respectively.</w:t>
      </w:r>
    </w:p>
    <w:p>
      <w:pPr>
        <w:spacing w:after="0" w:line="205"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 xml:space="preserve">Mitigation Credits. </w:t>
      </w:r>
      <w:r>
        <w:rPr>
          <w:rFonts w:ascii="Arial" w:cs="Arial" w:eastAsia="Arial" w:hAnsi="Arial"/>
          <w:sz w:val="16"/>
          <w:szCs w:val="16"/>
          <w:color w:val="auto"/>
        </w:rPr>
        <w:t>The Company owns an inventory of mitigation credits with a cost basis of $1.9 million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As of December 31, 2022, the Company owned mitigation credits and mitigation credit rights with an aggregate cost basis of $2.6 million. During the nine months ended September 30, 2023, the remaining mitigation credit rights were released and transferred to mitigation credits as they became available for sale. On December 29, 2022, the Company completed the sale of the entity that owned the mitigation bank previously owned by the Company. A balance of mitigation credits and mitigation credit rights were retained by the Company as part of the sale agreement.</w:t>
      </w:r>
    </w:p>
    <w:p>
      <w:pPr>
        <w:spacing w:after="0" w:line="205"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Revenues and the cost of sales of mitigation credit sales are reported as revenues from, and direct costs of, real estate operations, respectively, in the consolidated statements of operations. During the nine months ended September 30, 2023, 9.45 mitigation credits were sold for $1.1 million resulting in a gain of $0.3 million. During the nine months ended September 30, 2022, 26.62 credits were sold for an aggregate $2.6 million resulting in a gain of $0.8 million.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INVESTMENT SECURITIES</w:t>
      </w:r>
    </w:p>
    <w:p>
      <w:pPr>
        <w:spacing w:after="0" w:line="229"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As of September 30, 2023, the Company owns, in the aggregate and on a fully diluted basis, 2.33 million shares of PINE, or 15.1% of PINE’s total shares outstanding for an investment value of $38.2 million, which total includes 1.2 million OP Units, or 7.9%, which the Company received in exchange for the contribution of certain income properties to the PINE Operating Partnership, in addition to 1,108,814 shares of common stock owned by the Company, or 7.2%. The Company has elected the fair value option related to the aggregate investment in securities of PINE pursuant to ASC 825, otherwise such investments would have been accounted for under the equity method. For detailed financial information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regarding PINE, please refer to its financial statements, which are publicly available on the website of the Securities and Exchange Commission at http://www.sec.gov under the ticker symbol “PINE.”</w:t>
      </w:r>
    </w:p>
    <w:p>
      <w:pPr>
        <w:spacing w:after="0" w:line="170"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loss in the accompanying consolidated statements of operations.</w:t>
      </w:r>
    </w:p>
    <w:p>
      <w:pPr>
        <w:spacing w:after="0" w:line="165" w:lineRule="exact"/>
        <w:rPr>
          <w:sz w:val="20"/>
          <w:szCs w:val="20"/>
          <w:color w:val="auto"/>
        </w:rPr>
      </w:pPr>
    </w:p>
    <w:p>
      <w:pPr>
        <w:jc w:val="both"/>
        <w:ind w:left="60" w:right="59" w:firstLine="441"/>
        <w:spacing w:after="0" w:line="258" w:lineRule="auto"/>
        <w:rPr>
          <w:sz w:val="20"/>
          <w:szCs w:val="20"/>
          <w:color w:val="auto"/>
        </w:rPr>
      </w:pPr>
      <w:r>
        <w:rPr>
          <w:rFonts w:ascii="Arial" w:cs="Arial" w:eastAsia="Arial" w:hAnsi="Arial"/>
          <w:sz w:val="18"/>
          <w:szCs w:val="18"/>
          <w:color w:val="auto"/>
        </w:rPr>
        <w:t>The Company’s available-for-sale securities as of September 30, 2023 and December 31, 2022 are summarized below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Gains in</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Losses in</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w:t>
            </w: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(Level 1 Inputs)</w:t>
            </w: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20,482</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18,140</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w:t>
            </w:r>
          </w:p>
        </w:tc>
      </w:tr>
      <w:tr>
        <w:trPr>
          <w:trHeight w:val="20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43,735</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38,162</w:t>
            </w:r>
          </w:p>
        </w:tc>
      </w:tr>
      <w:tr>
        <w:trPr>
          <w:trHeight w:val="20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38,162</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18,382</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18,690</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41,635</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42,041</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42,041</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FAIR VALUE OF FINANCIAL INSTRUMENTS</w:t>
      </w:r>
    </w:p>
    <w:p>
      <w:pPr>
        <w:spacing w:after="0" w:line="202" w:lineRule="exact"/>
        <w:rPr>
          <w:sz w:val="20"/>
          <w:szCs w:val="20"/>
          <w:color w:val="auto"/>
        </w:rPr>
      </w:pPr>
    </w:p>
    <w:p>
      <w:pPr>
        <w:jc w:val="both"/>
        <w:ind w:left="60" w:right="59" w:firstLine="441"/>
        <w:spacing w:after="0" w:line="324" w:lineRule="auto"/>
        <w:rPr>
          <w:sz w:val="20"/>
          <w:szCs w:val="20"/>
          <w:color w:val="auto"/>
        </w:rPr>
      </w:pPr>
      <w:r>
        <w:rPr>
          <w:rFonts w:ascii="Arial" w:cs="Arial" w:eastAsia="Arial" w:hAnsi="Arial"/>
          <w:sz w:val="16"/>
          <w:szCs w:val="16"/>
          <w:color w:val="auto"/>
        </w:rPr>
        <w:t>The following table presents the carrying value and estimated fair value of the Company’s financial instruments not carried at fair value on the consolidated balance sheets at September 30, 2023 and December 31, 2022 (in thousands):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20"/>
                <w:szCs w:val="20"/>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4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Estimated</w:t>
            </w:r>
          </w:p>
        </w:tc>
      </w:tr>
      <w:tr>
        <w:trPr>
          <w:trHeight w:val="234"/>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w:t>
            </w: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22,618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22,618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 - 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32,960</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548,219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517,666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445,583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426,421</w:t>
            </w:r>
          </w:p>
        </w:tc>
      </w:tr>
    </w:tbl>
    <w:p>
      <w:pPr>
        <w:spacing w:after="0" w:line="187" w:lineRule="exact"/>
        <w:rPr>
          <w:sz w:val="20"/>
          <w:szCs w:val="20"/>
          <w:color w:val="auto"/>
        </w:rPr>
      </w:pPr>
    </w:p>
    <w:p>
      <w:pPr>
        <w:jc w:val="both"/>
        <w:ind w:left="60" w:right="59" w:firstLine="441"/>
        <w:spacing w:after="0" w:line="284" w:lineRule="auto"/>
        <w:rPr>
          <w:sz w:val="20"/>
          <w:szCs w:val="20"/>
          <w:color w:val="auto"/>
        </w:rPr>
      </w:pPr>
      <w:r>
        <w:rPr>
          <w:rFonts w:ascii="Arial" w:cs="Arial" w:eastAsia="Arial" w:hAnsi="Arial"/>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0" w:lineRule="auto"/>
        <w:rPr>
          <w:sz w:val="20"/>
          <w:szCs w:val="20"/>
          <w:color w:val="auto"/>
        </w:rPr>
      </w:pPr>
      <w:r>
        <w:rPr>
          <w:rFonts w:ascii="Arial" w:cs="Arial" w:eastAsia="Arial" w:hAnsi="Arial"/>
          <w:sz w:val="18"/>
          <w:szCs w:val="18"/>
          <w:color w:val="auto"/>
        </w:rPr>
        <w:t>The following table presents the fair value of assets measured on a recurring basis by level as of September 30, 2023 and December 31, 2022 (in thousands). See Note 16, “Interest Rate Swaps” for further disclosure related to the Company’s interest rate swaps.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w w:val="93"/>
              </w:rPr>
              <w:t>Fair Value at Reporting Date Using</w:t>
            </w:r>
          </w:p>
        </w:tc>
      </w:tr>
      <w:tr>
        <w:trPr>
          <w:trHeight w:val="182"/>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160"/>
              <w:spacing w:after="0" w:line="182" w:lineRule="exact"/>
              <w:rPr>
                <w:sz w:val="20"/>
                <w:szCs w:val="20"/>
                <w:color w:val="auto"/>
              </w:rPr>
            </w:pPr>
            <w:r>
              <w:rPr>
                <w:rFonts w:ascii="Arial" w:cs="Arial" w:eastAsia="Arial" w:hAnsi="Arial"/>
                <w:sz w:val="16"/>
                <w:szCs w:val="16"/>
                <w:b w:val="1"/>
                <w:bCs w:val="1"/>
                <w:color w:val="auto"/>
                <w:w w:val="90"/>
              </w:rPr>
              <w:t>Quoted Prices</w:t>
            </w:r>
          </w:p>
        </w:tc>
        <w:tc>
          <w:tcPr>
            <w:tcW w:w="120" w:type="dxa"/>
            <w:vAlign w:val="bottom"/>
          </w:tcPr>
          <w:p>
            <w:pPr>
              <w:spacing w:after="0"/>
              <w:rPr>
                <w:sz w:val="15"/>
                <w:szCs w:val="15"/>
                <w:color w:val="auto"/>
              </w:rPr>
            </w:pPr>
          </w:p>
        </w:tc>
        <w:tc>
          <w:tcPr>
            <w:tcW w:w="116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2"/>
              </w:rPr>
              <w:t>Significant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 Active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Observable</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rPr>
              <w:t>Identical Assets</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Inputs</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Inputs</w:t>
            </w:r>
          </w:p>
        </w:tc>
      </w:tr>
      <w:tr>
        <w:trPr>
          <w:trHeight w:val="213"/>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r>
      <w:tr>
        <w:trPr>
          <w:trHeight w:val="19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w w:val="93"/>
              </w:rPr>
              <w:t>Cash Flow Hedge - 2026 Term Loan Interest Rate Swaps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5,699</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5,699</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Cash Flow Hedge - 2027 Term Loan 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w w:val="93"/>
              </w:rPr>
              <w:t>Cash Flow Hedge - 2028 Term Loan Interest Rate Swaps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2,715</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2,715</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Cash Flow Hedge - Credit Facility 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rPr>
              <w:t>Investment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38,162</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38,162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w w:val="93"/>
              </w:rPr>
              <w:t>Cash Flow Hedge - 2026 Term Loan Interest Rate Swaps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6,047</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6,047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Cash Flow Hedge - 2027 Term Loan 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tcPr>
          <w:p>
            <w:pPr>
              <w:ind w:left="120"/>
              <w:spacing w:after="0"/>
              <w:rPr>
                <w:sz w:val="20"/>
                <w:szCs w:val="20"/>
                <w:color w:val="auto"/>
              </w:rPr>
            </w:pPr>
            <w:r>
              <w:rPr>
                <w:rFonts w:ascii="Arial" w:cs="Arial" w:eastAsia="Arial" w:hAnsi="Arial"/>
                <w:sz w:val="16"/>
                <w:szCs w:val="16"/>
                <w:color w:val="auto"/>
                <w:w w:val="93"/>
              </w:rPr>
              <w:t>Cash Flow Hedge - 2028 Term Loan Interest Rate Swaps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jc w:val="both"/>
        <w:ind w:left="60" w:right="79" w:firstLine="441"/>
        <w:spacing w:after="0" w:line="290" w:lineRule="auto"/>
        <w:rPr>
          <w:sz w:val="20"/>
          <w:szCs w:val="20"/>
          <w:color w:val="auto"/>
        </w:rPr>
      </w:pPr>
      <w:r>
        <w:rPr>
          <w:rFonts w:ascii="Arial" w:cs="Arial" w:eastAsia="Arial" w:hAnsi="Arial"/>
          <w:sz w:val="16"/>
          <w:szCs w:val="16"/>
          <w:color w:val="auto"/>
        </w:rPr>
        <w:t>The Westcliff Property, which was classified as held for sale as of September 30, 2023, was measured at its fair value during the three and nine months ended September 30, 2023, as further described in Note 10, “Provision for Impairment.” None of the Company’s assets other than the Westcliff Property were measured on a non-recurring basis as of September 30, 2023. None of the Company’s assets were measured on a non-recurring basis as of December 31, 2022.</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INTANGIBLE ASSETS AND LIABILITIES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2023 and December 31, 2022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6"/>
                <w:szCs w:val="16"/>
                <w:color w:val="auto"/>
              </w:rPr>
            </w:pPr>
          </w:p>
        </w:tc>
        <w:tc>
          <w:tcPr>
            <w:tcW w:w="12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6"/>
                <w:szCs w:val="16"/>
                <w:color w:val="auto"/>
              </w:rPr>
            </w:pPr>
          </w:p>
        </w:tc>
      </w:tr>
      <w:tr>
        <w:trPr>
          <w:trHeight w:val="234"/>
        </w:trPr>
        <w:tc>
          <w:tcPr>
            <w:tcW w:w="58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94,496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90,335</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w:t>
            </w:r>
          </w:p>
        </w:tc>
        <w:tc>
          <w:tcPr>
            <w:tcW w:w="20" w:type="dxa"/>
            <w:vAlign w:val="bottom"/>
          </w:tcPr>
          <w:p>
            <w:pPr>
              <w:spacing w:after="0"/>
              <w:rPr>
                <w:sz w:val="18"/>
                <w:szCs w:val="18"/>
                <w:color w:val="auto"/>
              </w:rPr>
            </w:pPr>
          </w:p>
        </w:tc>
      </w:tr>
      <w:tr>
        <w:trPr>
          <w:trHeight w:val="21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25,531</w:t>
            </w:r>
          </w:p>
        </w:tc>
        <w:tc>
          <w:tcPr>
            <w:tcW w:w="20" w:type="dxa"/>
            <w:vAlign w:val="bottom"/>
          </w:tcPr>
          <w:p>
            <w:pPr>
              <w:spacing w:after="0"/>
              <w:rPr>
                <w:sz w:val="18"/>
                <w:szCs w:val="18"/>
                <w:color w:val="auto"/>
              </w:rPr>
            </w:pPr>
          </w:p>
        </w:tc>
      </w:tr>
      <w:tr>
        <w:trPr>
          <w:trHeight w:val="21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147,874</w:t>
            </w:r>
          </w:p>
        </w:tc>
        <w:tc>
          <w:tcPr>
            <w:tcW w:w="20" w:type="dxa"/>
            <w:vAlign w:val="bottom"/>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(46,978)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(31,890)</w:t>
            </w:r>
          </w:p>
        </w:tc>
        <w:tc>
          <w:tcPr>
            <w:tcW w:w="20" w:type="dxa"/>
            <w:vAlign w:val="bottom"/>
          </w:tcPr>
          <w:p>
            <w:pPr>
              <w:spacing w:after="0"/>
              <w:rPr>
                <w:sz w:val="18"/>
                <w:szCs w:val="18"/>
                <w:color w:val="auto"/>
              </w:rPr>
            </w:pPr>
          </w:p>
        </w:tc>
      </w:tr>
      <w:tr>
        <w:trPr>
          <w:trHeight w:val="210"/>
        </w:trPr>
        <w:tc>
          <w:tcPr>
            <w:tcW w:w="5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115,984</w:t>
            </w:r>
          </w:p>
        </w:tc>
        <w:tc>
          <w:tcPr>
            <w:tcW w:w="20" w:type="dxa"/>
            <w:vAlign w:val="bottom"/>
          </w:tcPr>
          <w:p>
            <w:pPr>
              <w:spacing w:after="0"/>
              <w:rPr>
                <w:sz w:val="18"/>
                <w:szCs w:val="18"/>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Intangible Lease Liabilities (Included in Accrued and Other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(15,071)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20" w:type="dxa"/>
            <w:vAlign w:val="bottom"/>
          </w:tcPr>
          <w:p>
            <w:pPr>
              <w:spacing w:after="0"/>
              <w:rPr>
                <w:sz w:val="18"/>
                <w:szCs w:val="18"/>
                <w:color w:val="auto"/>
              </w:rPr>
            </w:pPr>
          </w:p>
        </w:tc>
      </w:tr>
      <w:tr>
        <w:trPr>
          <w:trHeight w:val="210"/>
        </w:trPr>
        <w:tc>
          <w:tcPr>
            <w:tcW w:w="586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(12,307)</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0" w:type="dxa"/>
            <w:vAlign w:val="bottom"/>
          </w:tcPr>
          <w:p>
            <w:pPr>
              <w:spacing w:after="0"/>
              <w:rPr>
                <w:sz w:val="18"/>
                <w:szCs w:val="18"/>
                <w:color w:val="auto"/>
              </w:rPr>
            </w:pPr>
          </w:p>
        </w:tc>
      </w:tr>
      <w:tr>
        <w:trPr>
          <w:trHeight w:val="21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w:t>
            </w:r>
          </w:p>
        </w:tc>
        <w:tc>
          <w:tcPr>
            <w:tcW w:w="20" w:type="dxa"/>
            <w:vAlign w:val="bottom"/>
          </w:tcPr>
          <w:p>
            <w:pPr>
              <w:spacing w:after="0"/>
              <w:rPr>
                <w:sz w:val="18"/>
                <w:szCs w:val="18"/>
                <w:color w:val="auto"/>
              </w:rPr>
            </w:pP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106,099</w:t>
            </w: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nine months ended September 30, 2023 and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Nine Months Ended</w:t>
            </w:r>
          </w:p>
        </w:tc>
      </w:tr>
      <w:tr>
        <w:trPr>
          <w:trHeight w:val="191"/>
        </w:trPr>
        <w:tc>
          <w:tcPr>
            <w:tcW w:w="4220" w:type="dxa"/>
            <w:vAlign w:val="bottom"/>
          </w:tcPr>
          <w:p>
            <w:pPr>
              <w:spacing w:after="0"/>
              <w:rPr>
                <w:sz w:val="16"/>
                <w:szCs w:val="16"/>
                <w:color w:val="auto"/>
              </w:rPr>
            </w:pPr>
          </w:p>
        </w:tc>
        <w:tc>
          <w:tcPr>
            <w:tcW w:w="2300" w:type="dxa"/>
            <w:vAlign w:val="bottom"/>
            <w:tcBorders>
              <w:top w:val="single" w:sz="8" w:color="auto"/>
            </w:tcBorders>
            <w:gridSpan w:val="5"/>
          </w:tcPr>
          <w:p>
            <w:pPr>
              <w:ind w:left="20"/>
              <w:spacing w:after="0" w:line="191" w:lineRule="exact"/>
              <w:rPr>
                <w:sz w:val="20"/>
                <w:szCs w:val="20"/>
                <w:color w:val="auto"/>
              </w:rPr>
            </w:pPr>
            <w:r>
              <w:rPr>
                <w:rFonts w:ascii="Arial" w:cs="Arial" w:eastAsia="Arial" w:hAnsi="Arial"/>
                <w:sz w:val="18"/>
                <w:szCs w:val="18"/>
                <w:b w:val="1"/>
                <w:bCs w:val="1"/>
                <w:color w:val="auto"/>
                <w:w w:val="89"/>
              </w:rPr>
              <w:t>September 30, September 30,</w:t>
            </w:r>
          </w:p>
        </w:tc>
        <w:tc>
          <w:tcPr>
            <w:tcW w:w="80" w:type="dxa"/>
            <w:vAlign w:val="bottom"/>
          </w:tcPr>
          <w:p>
            <w:pPr>
              <w:spacing w:after="0"/>
              <w:rPr>
                <w:sz w:val="16"/>
                <w:szCs w:val="16"/>
                <w:color w:val="auto"/>
              </w:rPr>
            </w:pPr>
          </w:p>
        </w:tc>
        <w:tc>
          <w:tcPr>
            <w:tcW w:w="2300" w:type="dxa"/>
            <w:vAlign w:val="bottom"/>
            <w:tcBorders>
              <w:top w:val="single" w:sz="8" w:color="auto"/>
            </w:tcBorders>
            <w:gridSpan w:val="5"/>
          </w:tcPr>
          <w:p>
            <w:pPr>
              <w:spacing w:after="0" w:line="191" w:lineRule="exact"/>
              <w:rPr>
                <w:sz w:val="20"/>
                <w:szCs w:val="20"/>
                <w:color w:val="auto"/>
              </w:rPr>
            </w:pPr>
            <w:r>
              <w:rPr>
                <w:rFonts w:ascii="Arial" w:cs="Arial" w:eastAsia="Arial" w:hAnsi="Arial"/>
                <w:sz w:val="18"/>
                <w:szCs w:val="18"/>
                <w:b w:val="1"/>
                <w:bCs w:val="1"/>
                <w:color w:val="auto"/>
                <w:w w:val="90"/>
              </w:rPr>
              <w:t>September 30, September 30,</w:t>
            </w:r>
          </w:p>
        </w:tc>
      </w:tr>
      <w:tr>
        <w:trPr>
          <w:trHeight w:val="234"/>
        </w:trPr>
        <w:tc>
          <w:tcPr>
            <w:tcW w:w="4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r>
      <w:tr>
        <w:trPr>
          <w:trHeight w:val="216"/>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Accretion to Income Properties Revenue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r>
      <w:tr>
        <w:trPr>
          <w:trHeight w:val="20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Amortization of Intangible Assets and Liabilities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w:t>
            </w: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Future</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Accretion to</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16"/>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Future</w:t>
            </w: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Intangible</w:t>
            </w:r>
          </w:p>
        </w:tc>
      </w:tr>
      <w:tr>
        <w:trPr>
          <w:trHeight w:val="216"/>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Property</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r>
      <w:tr>
        <w:trPr>
          <w:trHeight w:val="234"/>
        </w:trPr>
        <w:tc>
          <w:tcPr>
            <w:tcW w:w="49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and Liabilities</w:t>
            </w:r>
          </w:p>
        </w:tc>
      </w:tr>
      <w:tr>
        <w:trPr>
          <w:trHeight w:val="210"/>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21,151</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17,193</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8,704</w:t>
            </w:r>
          </w:p>
        </w:tc>
      </w:tr>
      <w:tr>
        <w:trPr>
          <w:trHeight w:val="216"/>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r>
      <w:tr>
        <w:trPr>
          <w:trHeight w:val="20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94,648</w:t>
            </w: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September 30, 2023, the weighted average amortization period of total intangible assets and liabilities was 6.0 years and 7.0 years,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PROVISION FOR IMPAIRMENT</w:t>
      </w:r>
    </w:p>
    <w:p>
      <w:pPr>
        <w:spacing w:after="0" w:line="229"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In the aggregate, $1.4 million of impairment charges were recorded during the nine months ended September 30, 2023, with no such charges during the nine months ended September 30, 2022, as described below.</w:t>
      </w:r>
    </w:p>
    <w:p>
      <w:pPr>
        <w:spacing w:after="0" w:line="146"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i w:val="1"/>
          <w:iCs w:val="1"/>
          <w:color w:val="auto"/>
        </w:rPr>
        <w:t xml:space="preserve">Income Properties. </w:t>
      </w:r>
      <w:r>
        <w:rPr>
          <w:rFonts w:ascii="Arial" w:cs="Arial" w:eastAsia="Arial" w:hAnsi="Arial"/>
          <w:sz w:val="17"/>
          <w:szCs w:val="17"/>
          <w:color w:val="auto"/>
        </w:rPr>
        <w:t>The Company assesses the impairment of long-lived assets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6"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During the three and nine months ended September 30,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18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There were no impairment charges on the Company’s income property portfolio during the three or nine months ended September 30, 2022.</w:t>
      </w:r>
    </w:p>
    <w:p>
      <w:pPr>
        <w:spacing w:after="0" w:line="170"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Commercial Loans and Investments</w:t>
      </w:r>
      <w:r>
        <w:rPr>
          <w:rFonts w:ascii="Arial" w:cs="Arial" w:eastAsia="Arial" w:hAnsi="Arial"/>
          <w:sz w:val="18"/>
          <w:szCs w:val="18"/>
          <w:color w:val="auto"/>
        </w:rPr>
        <w:t>. The Company evaluates the collectability of its commercial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on a quarterly basis or whenever events or circumstance indicate that the carrying amount of an asset may not be recoverable. The Company accounts for provisions for credit losses in accordance with ASC Topic 326, Measurement of Credit Losses on Financial Instruments.</w:t>
      </w:r>
    </w:p>
    <w:p>
      <w:pPr>
        <w:spacing w:after="0" w:line="187"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During the nine months ended September 30, 2023, the Company recorded a $0.5 million impairment charge, which was recorded during the three months ended March 31, 2023, representing the provision for credit losses related to our commercial loans and investments. There were no such impairment charges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OTHER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consisted of the following as of September 30, 2023 and December 31, 2022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44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24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09"/>
        </w:trPr>
        <w:tc>
          <w:tcPr>
            <w:tcW w:w="620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Income Property Tenant Receivables, Net of Allowance for Doubtful Accounts </w:t>
            </w:r>
            <w:r>
              <w:rPr>
                <w:rFonts w:ascii="Arial" w:cs="Arial" w:eastAsia="Arial" w:hAnsi="Arial"/>
                <w:sz w:val="24"/>
                <w:szCs w:val="24"/>
                <w:color w:val="auto"/>
                <w:vertAlign w:val="superscript"/>
              </w:rPr>
              <w:t>(1)</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16"/>
        </w:trPr>
        <w:tc>
          <w:tcPr>
            <w:tcW w:w="6200" w:type="dxa"/>
            <w:vAlign w:val="bottom"/>
            <w:gridSpan w:val="2"/>
          </w:tcPr>
          <w:p>
            <w:pPr>
              <w:ind w:left="20"/>
              <w:spacing w:after="0"/>
              <w:rPr>
                <w:sz w:val="20"/>
                <w:szCs w:val="20"/>
                <w:color w:val="auto"/>
              </w:rPr>
            </w:pPr>
            <w:r>
              <w:rPr>
                <w:rFonts w:ascii="Arial" w:cs="Arial" w:eastAsia="Arial" w:hAnsi="Arial"/>
                <w:sz w:val="18"/>
                <w:szCs w:val="18"/>
                <w:color w:val="auto"/>
                <w:w w:val="97"/>
              </w:rPr>
              <w:t>Income Property Straight-line Rent Adjustment and COVID-19 Deferral Balance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 Right-of-Use Asset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Golf Rounds Surcharge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r>
      <w:tr>
        <w:trPr>
          <w:trHeight w:val="216"/>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Infrastructure Reimbursement Receivables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Deposits, and 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r>
      <w:tr>
        <w:trPr>
          <w:trHeight w:val="216"/>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Due from Alpine Income Property Trust, Inc.</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0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34,453</w:t>
            </w: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ind w:left="380" w:hanging="330"/>
        <w:spacing w:after="0" w:line="212" w:lineRule="auto"/>
        <w:tabs>
          <w:tab w:leader="none" w:pos="38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Allowance for doubtful accounts was $2.3 million and $1.8 million as of September 30, 2023 and December 31, 2022, respectively.</w:t>
      </w:r>
    </w:p>
    <w:p>
      <w:pPr>
        <w:spacing w:after="0" w:line="187"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Infrastructure Reimbursement Receivables. </w:t>
      </w:r>
      <w:r>
        <w:rPr>
          <w:rFonts w:ascii="Arial" w:cs="Arial" w:eastAsia="Arial" w:hAnsi="Arial"/>
          <w:sz w:val="18"/>
          <w:szCs w:val="18"/>
          <w:color w:val="auto"/>
        </w:rPr>
        <w:t>As of September 30, 2023 and December 31, 2022, the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receivables were all related to the land sales within the Tomoka Town Center. The balance as of September 30, 2023 consisted of $0.7 million due from Tanger for infrastructure reimbursement to be repaid in four remaining annual installments of approximately $0.2 million each, net of a discount of $0.06 million, and $0.2 million due from Sam’s Club for infrastructure reimbursement to be repaid in two remaining annual installments of $0.1 million each, net of a discount of $0.01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SPLIT</w:t>
      </w:r>
    </w:p>
    <w:p>
      <w:pPr>
        <w:spacing w:after="0" w:line="212"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 xml:space="preserve">On April 27, 2022, the Company announced that its Board of Directors approved a three-for-one stock split of the Company’s common stock to be effected in the form of a stock dividend. Each stockholder of record at the close of business on June 27, 2022 (the “Record Date”), received two additional shares of the Company’s common stock for each share held as of the Record Date. The new shares were distributed after the market closed on June 30, 2022. The Company’s stock began trading at the post-split price on July 1, 2022. Pursuant to FASB ASC Topic 505, </w:t>
      </w:r>
      <w:r>
        <w:rPr>
          <w:rFonts w:ascii="Arial" w:cs="Arial" w:eastAsia="Arial" w:hAnsi="Arial"/>
          <w:sz w:val="17"/>
          <w:szCs w:val="17"/>
          <w:i w:val="1"/>
          <w:iCs w:val="1"/>
          <w:color w:val="auto"/>
        </w:rPr>
        <w:t>Equity</w:t>
      </w:r>
      <w:r>
        <w:rPr>
          <w:rFonts w:ascii="Arial" w:cs="Arial" w:eastAsia="Arial" w:hAnsi="Arial"/>
          <w:sz w:val="17"/>
          <w:szCs w:val="17"/>
          <w:color w:val="auto"/>
        </w:rPr>
        <w:t>, the Company has adjusted the computations of basic and diluted earnings per share retroactively for all periods presented. Similarly, the Company has retroactively updated the disclosures in each prior period presented to conform to the split-adjusted dividend amount, for per share amounts including but not limited to dividends declared, stock-based compensation shares outstanding, ATM program activity, and share repurchases.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“2021 Registration Statement”). The Securities and Exchange Commission declared the 2021 Registration Statement effective on April 19, 2021.</w:t>
      </w:r>
    </w:p>
    <w:p>
      <w:pPr>
        <w:spacing w:after="0" w:line="187"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On October 11, 2022, the Company filed a new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 The 2021 Registration Statement was terminated concurrently with the effectiveness of the 2022 Registration Statement.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On April 30, 2021, the Company implemented a $150.0 million “at-the-market” equity offering program (the “2021 ATM Program”) pursuant to which the Company sold shares of the Company’s common stock. During the six months ended June 30, 2022, the Company sold 395,574 shares under the ATM Program for gross proceeds of $8.7 million at a weighted average price of $21.95 per share, generating net proceeds of $8.6 million after deducting transaction fees totaling $0.1 million.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spacing w:after="0" w:line="17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spacing w:after="0" w:line="188"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 the aggregate, under the 2021 ATM Program and 2022 ATM Program, during the year ended December 31, 2022, the Company sold 1,566,026 shares for gross proceeds of $33.4 million at a weighted average price of $21.33 per share, generating net proceeds of $32.9 million after deducting transaction fees totaling $0.5 million.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was not active under the 2022 ATM Program during the nine months ended September 30, 2023.</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 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14, “Share Repurchases” for the Company’s Series A Preferred Stock repurchase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78"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following table outlines dividends declared and paid for each issuance of CTO’s stock during the three and nine months ended September 30, 2023 and 2022 (in thousands, except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9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2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24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0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460" w:type="dxa"/>
            <w:vAlign w:val="bottom"/>
          </w:tcPr>
          <w:p>
            <w:pPr>
              <w:jc w:val="center"/>
              <w:ind w:right="1190"/>
              <w:spacing w:after="0"/>
              <w:rPr>
                <w:sz w:val="20"/>
                <w:szCs w:val="20"/>
                <w:color w:val="auto"/>
              </w:rPr>
            </w:pPr>
            <w:r>
              <w:rPr>
                <w:rFonts w:ascii="Arial" w:cs="Arial" w:eastAsia="Arial" w:hAnsi="Arial"/>
                <w:sz w:val="18"/>
                <w:szCs w:val="18"/>
                <w:color w:val="auto"/>
                <w:w w:val="93"/>
              </w:rPr>
              <w:t>Dividends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3,585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3,586</w:t>
            </w:r>
          </w:p>
        </w:tc>
      </w:tr>
      <w:tr>
        <w:trPr>
          <w:trHeight w:val="216"/>
        </w:trPr>
        <w:tc>
          <w:tcPr>
            <w:tcW w:w="2460" w:type="dxa"/>
            <w:vAlign w:val="bottom"/>
            <w:shd w:val="clear" w:color="auto" w:fill="CCEEFF"/>
          </w:tcPr>
          <w:p>
            <w:pPr>
              <w:jc w:val="center"/>
              <w:ind w:right="1230"/>
              <w:spacing w:after="0"/>
              <w:rPr>
                <w:sz w:val="20"/>
                <w:szCs w:val="20"/>
                <w:color w:val="auto"/>
              </w:rPr>
            </w:pPr>
            <w:r>
              <w:rPr>
                <w:rFonts w:ascii="Arial" w:cs="Arial" w:eastAsia="Arial" w:hAnsi="Arial"/>
                <w:sz w:val="18"/>
                <w:szCs w:val="18"/>
                <w:color w:val="auto"/>
                <w:w w:val="86"/>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460" w:type="dxa"/>
            <w:vAlign w:val="bottom"/>
            <w:shd w:val="clear" w:color="auto" w:fill="CCEEFF"/>
          </w:tcPr>
          <w:p>
            <w:pPr>
              <w:jc w:val="center"/>
              <w:ind w:right="1210"/>
              <w:spacing w:after="0"/>
              <w:rPr>
                <w:sz w:val="20"/>
                <w:szCs w:val="20"/>
                <w:color w:val="auto"/>
              </w:rPr>
            </w:pPr>
            <w:r>
              <w:rPr>
                <w:rFonts w:ascii="Arial" w:cs="Arial" w:eastAsia="Arial" w:hAnsi="Arial"/>
                <w:sz w:val="18"/>
                <w:szCs w:val="18"/>
                <w:color w:val="auto"/>
                <w:w w:val="90"/>
              </w:rPr>
              <w:t>Common Stock</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460" w:type="dxa"/>
            <w:vAlign w:val="bottom"/>
          </w:tcPr>
          <w:p>
            <w:pPr>
              <w:jc w:val="center"/>
              <w:ind w:right="1190"/>
              <w:spacing w:after="0"/>
              <w:rPr>
                <w:sz w:val="20"/>
                <w:szCs w:val="20"/>
                <w:color w:val="auto"/>
              </w:rPr>
            </w:pPr>
            <w:r>
              <w:rPr>
                <w:rFonts w:ascii="Arial" w:cs="Arial" w:eastAsia="Arial" w:hAnsi="Arial"/>
                <w:sz w:val="18"/>
                <w:szCs w:val="18"/>
                <w:color w:val="auto"/>
                <w:w w:val="93"/>
              </w:rPr>
              <w:t>Dividends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7,095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20,292</w:t>
            </w:r>
          </w:p>
        </w:tc>
      </w:tr>
      <w:tr>
        <w:trPr>
          <w:trHeight w:val="216"/>
        </w:trPr>
        <w:tc>
          <w:tcPr>
            <w:tcW w:w="2460" w:type="dxa"/>
            <w:vAlign w:val="bottom"/>
            <w:shd w:val="clear" w:color="auto" w:fill="CCEEFF"/>
          </w:tcPr>
          <w:p>
            <w:pPr>
              <w:jc w:val="center"/>
              <w:ind w:right="1230"/>
              <w:spacing w:after="0"/>
              <w:rPr>
                <w:sz w:val="20"/>
                <w:szCs w:val="20"/>
                <w:color w:val="auto"/>
              </w:rPr>
            </w:pPr>
            <w:r>
              <w:rPr>
                <w:rFonts w:ascii="Arial" w:cs="Arial" w:eastAsia="Arial" w:hAnsi="Arial"/>
                <w:sz w:val="18"/>
                <w:szCs w:val="18"/>
                <w:color w:val="auto"/>
                <w:w w:val="86"/>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2025 NOTES</w:t>
      </w:r>
    </w:p>
    <w:p>
      <w:pPr>
        <w:spacing w:after="0" w:line="225"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Effective January 1, 2022, the Company adopted ASU 2020-06 whereby diluted EPS includes the dilutive impact of the 2025 Notes (hereinafter defined) using the if-converted method. Upon adoption, during the three months ended March 31, 2022,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COMMON STOCK AND EARNINGS PER SHARE</w:t>
      </w:r>
    </w:p>
    <w:p>
      <w:pPr>
        <w:spacing w:after="0" w:line="229"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firstLine="441"/>
        <w:spacing w:after="0" w:line="261" w:lineRule="auto"/>
        <w:rPr>
          <w:sz w:val="20"/>
          <w:szCs w:val="20"/>
          <w:color w:val="auto"/>
        </w:rPr>
      </w:pPr>
      <w:r>
        <w:rPr>
          <w:rFonts w:ascii="Arial" w:cs="Arial" w:eastAsia="Arial" w:hAnsi="Arial"/>
          <w:sz w:val="18"/>
          <w:szCs w:val="18"/>
          <w:color w:val="auto"/>
        </w:rPr>
        <w:t>The following is a reconciliation of basic and diluted earnings per common share for each of the periods presented (in thousands, except share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2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3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20"/>
              <w:spacing w:after="0" w:line="201" w:lineRule="exact"/>
              <w:rPr>
                <w:sz w:val="20"/>
                <w:szCs w:val="20"/>
                <w:color w:val="auto"/>
              </w:rPr>
            </w:pPr>
            <w:r>
              <w:rPr>
                <w:rFonts w:ascii="Arial" w:cs="Arial" w:eastAsia="Arial" w:hAnsi="Arial"/>
                <w:sz w:val="18"/>
                <w:szCs w:val="18"/>
                <w:color w:val="auto"/>
              </w:rPr>
              <w:t>Net Income (Loss) Attributable to Common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Stockholders, Used in Basic EPS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Add Back: Effect of Dilutive Interest Related to</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88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6"/>
                <w:szCs w:val="26"/>
                <w:color w:val="auto"/>
                <w:vertAlign w:val="superscript"/>
              </w:rPr>
              <w:t>(1)</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line="182" w:lineRule="exact"/>
              <w:rPr>
                <w:sz w:val="20"/>
                <w:szCs w:val="20"/>
                <w:color w:val="auto"/>
              </w:rPr>
            </w:pPr>
            <w:r>
              <w:rPr>
                <w:rFonts w:ascii="Arial" w:cs="Arial" w:eastAsia="Arial" w:hAnsi="Arial"/>
                <w:sz w:val="18"/>
                <w:szCs w:val="18"/>
                <w:color w:val="auto"/>
              </w:rPr>
              <w:t>Net Income (Loss) Attributable to Common</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1,491</w:t>
            </w:r>
          </w:p>
        </w:tc>
        <w:tc>
          <w:tcPr>
            <w:tcW w:w="18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4,161</w:t>
            </w:r>
          </w:p>
        </w:tc>
        <w:tc>
          <w:tcPr>
            <w:tcW w:w="20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(5,092)</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Stockholders, Used in Diluted EPS</w:t>
            </w: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Basic and Diluted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22,484,561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18,386,435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22,556,642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18,044,299</w:t>
            </w:r>
          </w:p>
        </w:tc>
        <w:tc>
          <w:tcPr>
            <w:tcW w:w="0" w:type="dxa"/>
            <w:vAlign w:val="bottom"/>
          </w:tcPr>
          <w:p>
            <w:pPr>
              <w:spacing w:after="0"/>
              <w:rPr>
                <w:sz w:val="1"/>
                <w:szCs w:val="1"/>
                <w:color w:val="auto"/>
              </w:rPr>
            </w:pPr>
          </w:p>
        </w:tc>
      </w:tr>
      <w:tr>
        <w:trPr>
          <w:trHeight w:val="192"/>
        </w:trPr>
        <w:tc>
          <w:tcPr>
            <w:tcW w:w="3880" w:type="dxa"/>
            <w:vAlign w:val="bottom"/>
          </w:tcPr>
          <w:p>
            <w:pPr>
              <w:ind w:left="20"/>
              <w:spacing w:after="0" w:line="192" w:lineRule="exact"/>
              <w:rPr>
                <w:sz w:val="20"/>
                <w:szCs w:val="20"/>
                <w:color w:val="auto"/>
              </w:rPr>
            </w:pPr>
            <w:r>
              <w:rPr>
                <w:rFonts w:ascii="Arial" w:cs="Arial" w:eastAsia="Arial" w:hAnsi="Arial"/>
                <w:sz w:val="18"/>
                <w:szCs w:val="18"/>
                <w:color w:val="auto"/>
              </w:rPr>
              <w:t>Common Shares Applicable to Dilutive Effect of</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880" w:type="dxa"/>
            <w:vAlign w:val="bottom"/>
          </w:tcPr>
          <w:p>
            <w:pPr>
              <w:ind w:left="20"/>
              <w:spacing w:after="0" w:line="24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6"/>
                <w:szCs w:val="26"/>
                <w:color w:val="auto"/>
                <w:vertAlign w:val="superscript"/>
              </w:rPr>
              <w:t>(2)</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3,119,025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22,484,561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21,505,460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22,556,642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18,044,299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20"/>
              <w:spacing w:after="0" w:line="201" w:lineRule="exact"/>
              <w:rPr>
                <w:sz w:val="20"/>
                <w:szCs w:val="20"/>
                <w:color w:val="auto"/>
              </w:rPr>
            </w:pPr>
            <w:r>
              <w:rPr>
                <w:rFonts w:ascii="Arial" w:cs="Arial" w:eastAsia="Arial" w:hAnsi="Arial"/>
                <w:sz w:val="18"/>
                <w:szCs w:val="18"/>
                <w:color w:val="auto"/>
              </w:rPr>
              <w:t>Net Income (Loss) Attributable to Common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6" w:lineRule="exact"/>
        <w:rPr>
          <w:sz w:val="20"/>
          <w:szCs w:val="20"/>
          <w:color w:val="auto"/>
        </w:rPr>
      </w:pPr>
    </w:p>
    <w:p>
      <w:pPr>
        <w:jc w:val="both"/>
        <w:ind w:left="380" w:right="79" w:hanging="330"/>
        <w:spacing w:after="0" w:line="231" w:lineRule="auto"/>
        <w:tabs>
          <w:tab w:leader="none" w:pos="38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As applicable, includes interest expense, amortization of discount, amortization of fees, and other changes in net income or loss that would result from the assumed conversion of the 2025 Convertible Senior Notes to derive FFO (as defined herein) effective January 1, 2022 due to the implementation of ASU 2020-06 which requires presentation on an if-converted basis. For the three and nine months ended September 30, 2023, a total of $0.5 million and $1.6 million of interest was not included, respectively, as the impact of the 2025 Notes, if-converted, would have been antidilutive to net income (loss) attributable to common stockholders for the respective periods. For the three months ended September 30 2022, a total of $0.5 million was included as the impact to earnings per share, if-converted, would have been dilutive to net income attributable to common stockholders for the period. For the nine months ended September 30, 2022, the impact of $1.6 million was not included as the impact to earnings per share, if-converted, would have been antidilutive to net income attributable to common stockholders for the period.</w:t>
      </w:r>
    </w:p>
    <w:p>
      <w:pPr>
        <w:spacing w:after="0" w:line="4" w:lineRule="exact"/>
        <w:rPr>
          <w:rFonts w:ascii="Arial" w:cs="Arial" w:eastAsia="Arial" w:hAnsi="Arial"/>
          <w:sz w:val="17"/>
          <w:szCs w:val="17"/>
          <w:color w:val="auto"/>
          <w:vertAlign w:val="superscript"/>
        </w:rPr>
      </w:pPr>
    </w:p>
    <w:p>
      <w:pPr>
        <w:jc w:val="both"/>
        <w:ind w:left="380" w:right="79" w:hanging="330"/>
        <w:spacing w:after="0" w:line="211"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A total of 3.4 million and 3.3 million shares, representing the dilutive impact of the 2025 Notes, upon adoption of ASU 2020-06 effective January 1, 2022, were not included in the computation of diluted net income (loss) attributable to common stockholders for each of the three and nine month periods ended September 30, 2023, respectively, because they were antidilutive to net income (loss) attributable to common stockholders for the respective periods. A total of 3.1 million shares, representing the dilutive impact of the 2025 Notes, upon adoption of ASU 2020-06 effective January 1, 2022, were included in the computation of diluted net income per share attributable to common stockholders for the three months ended September 30, 2022, because they were dilutive to net income attributable to common stockholders for the period. A total of 3.1 million shares, representing the dilutive impact of the 2025 Notes, were not included in the computation of diluted net income per share attributable to common stockholders for the nine months ended September 30, 2022, because they were antidilutive to net income attributable to common stockholders for the period.</w:t>
      </w:r>
    </w:p>
    <w:p>
      <w:pPr>
        <w:spacing w:after="0" w:line="190"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There were no potentially dilutive securities for the three months ended September 30, 2023 or 2022 related to the Company’s stock options and restricted stock. The effect of 36,307 and 68,269 potentially dilutive restricted stock units were not included for the nine months ended September 30, 2023 and 2022, respectively,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Effective January 1, 2022, the Company adopted ASU 2020-06 whereby diluted EPS includes the dilutive impact, if any, of the 2025 Notes (hereinafter defined)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effect of 3.4 million and 3.3 million potentially dilutive shares issuable on the conversion of the 2025 Notes, if-converted, were not included for the three and nine months ended September 30, 2023, respectively, as the effect would be antidilutive. The effect of 3.1 million potentially dilutive 2025 Notes, if-converted, were not included for the nine months ended September 30, 2022, as the effect would be antidilutive.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SHARE REPURCHASES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REPURCHASE PROGRAM</w:t>
      </w:r>
    </w:p>
    <w:p>
      <w:pPr>
        <w:spacing w:after="0" w:line="22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In February 2020, the Company’s Board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w:t>
      </w:r>
    </w:p>
    <w:p>
      <w:pPr>
        <w:spacing w:after="0" w:line="19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February 16, 2023, the Company’s Board of Directors approved a common stock repurchase program (the “February $5.0 Million Common Stock Repurchase Program”). Pursuant to the February $5.0 Million Common Stock Repurchase Program, the Company was authorized to repurchase shares of its common stock for a total purchase price of up to $5.0 million. During the three months ended March 31, 2023, the Company repurchased 303,354 shares of its common stock on the open market for a total cost of $5.0 million, or an average price per share of $16.48. Accordingly, as of March 31, 2023, no shares of the Company’s common stock remained available for repurchase under the February $5.0 Million Common Stock Repurchase Program.</w:t>
      </w:r>
    </w:p>
    <w:p>
      <w:pPr>
        <w:spacing w:after="0" w:line="19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April 25, 2023, the Company’s Board of Directors approved a common stock repurchase program, which is expected to be in effect until the approved dollar amount has been used to repurchase shares (the “April $5.0 Million Common Stock Repurchase Program”). Pursuant to the April $5.0 Million Common Stock Repurchase Program, the Company may repurchase shares of its common stock for a total purchase price of up to $5.0 million. Shares may be purchased under the April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April $5.0 Million Common Stock Repurchase Program does not obligate the Company to acquire any particular amount of shares of its common stock and may be modified or suspended. During the three months ended June 30, 2023, the Company repurchased 3,931 shares of its common stock on the open market for a total cost of less than $0.1 million, or an average price per share of $15.73. There were no repurchases of common stock during the three months ended September 30, 2023.</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A PREFERRED STOCK REPURCHASE PROGRAM</w:t>
      </w:r>
    </w:p>
    <w:p>
      <w:pPr>
        <w:spacing w:after="0" w:line="22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three months ended September 30, 2023, the Company repurchased 6,048 shares of Series A Preferred Stock on the open market for a total cost of $0.1 million, or an average price per share of $18.52. During the nine months ended September 30, 2023, the Company repurchased 6,794 shares of Series A Preferred Stock on the open market for a total cost of $0.1 million, or an average price per share of $18.55.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2023, the Company’s outstanding indebtedness, at face value, was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Face Value Debt</w:t>
            </w:r>
          </w:p>
        </w:tc>
        <w:tc>
          <w:tcPr>
            <w:tcW w:w="20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Maturity Date</w:t>
            </w:r>
          </w:p>
        </w:tc>
        <w:tc>
          <w:tcPr>
            <w:tcW w:w="1540" w:type="dxa"/>
            <w:vAlign w:val="bottom"/>
          </w:tcPr>
          <w:p>
            <w:pPr>
              <w:ind w:left="28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195"/>
        </w:trPr>
        <w:tc>
          <w:tcPr>
            <w:tcW w:w="386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ind w:left="220"/>
              <w:spacing w:after="0" w:line="195"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January 2027</w:t>
            </w:r>
          </w:p>
        </w:tc>
        <w:tc>
          <w:tcPr>
            <w:tcW w:w="15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386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(2)</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ind w:left="220"/>
              <w:spacing w:after="0" w:line="201"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March 2026</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(3)</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January 2027</w:t>
            </w:r>
          </w:p>
        </w:tc>
        <w:tc>
          <w:tcPr>
            <w:tcW w:w="15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[1.25% - 2.20%]</w:t>
            </w:r>
          </w:p>
        </w:tc>
        <w:tc>
          <w:tcPr>
            <w:tcW w:w="0" w:type="dxa"/>
            <w:vAlign w:val="bottom"/>
          </w:tcPr>
          <w:p>
            <w:pPr>
              <w:spacing w:after="0"/>
              <w:rPr>
                <w:sz w:val="1"/>
                <w:szCs w:val="1"/>
                <w:color w:val="auto"/>
              </w:rPr>
            </w:pPr>
          </w:p>
        </w:tc>
      </w:tr>
      <w:tr>
        <w:trPr>
          <w:trHeight w:val="202"/>
        </w:trPr>
        <w:tc>
          <w:tcPr>
            <w:tcW w:w="386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2028 Term Loan </w:t>
            </w:r>
            <w:r>
              <w:rPr>
                <w:rFonts w:ascii="Arial" w:cs="Arial" w:eastAsia="Arial" w:hAnsi="Arial"/>
                <w:sz w:val="26"/>
                <w:szCs w:val="26"/>
                <w:color w:val="auto"/>
                <w:vertAlign w:val="superscript"/>
              </w:rPr>
              <w:t>(4)</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ind w:left="220"/>
              <w:spacing w:after="0" w:line="201" w:lineRule="exact"/>
              <w:rPr>
                <w:sz w:val="20"/>
                <w:szCs w:val="20"/>
                <w:color w:val="auto"/>
              </w:rPr>
            </w:pPr>
            <w:r>
              <w:rPr>
                <w:rFonts w:ascii="Arial" w:cs="Arial" w:eastAsia="Arial" w:hAnsi="Arial"/>
                <w:sz w:val="18"/>
                <w:szCs w:val="18"/>
                <w:color w:val="auto"/>
                <w:w w:val="94"/>
              </w:rPr>
              <w:t>SOFR + 0.10% +</w:t>
            </w:r>
          </w:p>
        </w:tc>
        <w:tc>
          <w:tcPr>
            <w:tcW w:w="0" w:type="dxa"/>
            <w:vAlign w:val="bottom"/>
          </w:tcPr>
          <w:p>
            <w:pPr>
              <w:spacing w:after="0"/>
              <w:rPr>
                <w:sz w:val="1"/>
                <w:szCs w:val="1"/>
                <w:color w:val="auto"/>
              </w:rPr>
            </w:pPr>
          </w:p>
        </w:tc>
      </w:tr>
      <w:tr>
        <w:trPr>
          <w:trHeight w:val="230"/>
        </w:trPr>
        <w:tc>
          <w:tcPr>
            <w:tcW w:w="3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2028</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93"/>
              </w:rPr>
              <w:t>[1.20% - 2.15%]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3.875% Convertible Senior Notes due 2025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April 2025</w:t>
            </w:r>
          </w:p>
        </w:tc>
        <w:tc>
          <w:tcPr>
            <w:tcW w:w="15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3.875%</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Mortgage Note Payable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17,800</w:t>
            </w:r>
          </w:p>
        </w:tc>
        <w:tc>
          <w:tcPr>
            <w:tcW w:w="2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2"/>
              </w:rPr>
              <w:t>August 2026</w:t>
            </w:r>
          </w:p>
        </w:tc>
        <w:tc>
          <w:tcPr>
            <w:tcW w:w="1540" w:type="dxa"/>
            <w:vAlign w:val="bottom"/>
            <w:tcBorders>
              <w:bottom w:val="single" w:sz="8" w:color="CCEEFF"/>
            </w:tcBorders>
          </w:tcPr>
          <w:p>
            <w:pPr>
              <w:jc w:val="center"/>
              <w:ind w:left="50"/>
              <w:spacing w:after="0"/>
              <w:rPr>
                <w:sz w:val="20"/>
                <w:szCs w:val="20"/>
                <w:color w:val="auto"/>
              </w:rPr>
            </w:pPr>
            <w:r>
              <w:rPr>
                <w:rFonts w:ascii="Arial" w:cs="Arial" w:eastAsia="Arial" w:hAnsi="Arial"/>
                <w:sz w:val="18"/>
                <w:szCs w:val="18"/>
                <w:color w:val="auto"/>
                <w:w w:val="91"/>
              </w:rPr>
              <w:t>4.060%</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Face Value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549,834</w:t>
            </w:r>
          </w:p>
        </w:tc>
        <w:tc>
          <w:tcPr>
            <w:tcW w:w="2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79" w:hanging="330"/>
        <w:spacing w:after="0" w:line="189" w:lineRule="auto"/>
        <w:tabs>
          <w:tab w:leader="none" w:pos="3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The Company utilized interest rate swaps on $100.0 million of the Credit Facility balance to fix SOFR and achieve a weighted average fixed swap rate of 3.28% plus the 10 bps SOFR adjustment plus the applicable spread.</w:t>
      </w:r>
    </w:p>
    <w:p>
      <w:pPr>
        <w:spacing w:after="0" w:line="1" w:lineRule="exact"/>
        <w:rPr>
          <w:rFonts w:ascii="Arial" w:cs="Arial" w:eastAsia="Arial" w:hAnsi="Arial"/>
          <w:sz w:val="20"/>
          <w:szCs w:val="20"/>
          <w:color w:val="auto"/>
          <w:vertAlign w:val="superscript"/>
        </w:rPr>
      </w:pPr>
    </w:p>
    <w:p>
      <w:pPr>
        <w:ind w:left="380" w:right="79" w:hanging="330"/>
        <w:spacing w:after="0" w:line="182" w:lineRule="auto"/>
        <w:tabs>
          <w:tab w:leader="none" w:pos="445"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The Company utilized interest rate swaps on the $65.0 million 2026 Term Loan balance to fix SOFR and achieve a weighted average fixed swap rate of 0.26% plus the 10 bps SOFR adjustment plus the applicable spread.</w:t>
      </w:r>
    </w:p>
    <w:p>
      <w:pPr>
        <w:ind w:left="380" w:right="79" w:hanging="330"/>
        <w:spacing w:after="0" w:line="182" w:lineRule="auto"/>
        <w:tabs>
          <w:tab w:leader="none" w:pos="3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The Company utilized interest rate swaps on the $100.0 million 2027 Term Loan balance to fix SOFR and achieve a fixed swap rate of 0.64% plus the 10 bps SOFR adjustment plus the applicable spread.</w:t>
      </w:r>
    </w:p>
    <w:p>
      <w:pPr>
        <w:ind w:left="380" w:right="79" w:hanging="330"/>
        <w:spacing w:after="0" w:line="184"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The Company utilized interest rate swaps on the $100.0 million 2028 Term Loan balance to fix SOFR and achieve a weighted average fixed swap rate of 3.78% plus the 10 bps SOFR adjustment plus the applicable spread.</w:t>
      </w:r>
    </w:p>
    <w:p>
      <w:pPr>
        <w:spacing w:after="0" w:line="188"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The Credit Facility, with Bank of Montreal (“BMO”) as the administrative agent for the lenders</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The Huntington National Bank, PNC Bank, National Association, and Regions Bank, were added as lenders to the Company’s Credit Facility.</w:t>
      </w:r>
    </w:p>
    <w:p>
      <w:pPr>
        <w:spacing w:after="0" w:line="177"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spacing w:after="0" w:line="18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July 1, 2020, the Company entered into the fourth amendment to the 2017 Amended Credit Facility (the “July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Revolver Amendment”) whereby the tangible net worth covenant was adjusted to be more reflective of market terms.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July 2020 Revolver Amendment was effective as of March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91" w:lineRule="auto"/>
        <w:rPr>
          <w:sz w:val="20"/>
          <w:szCs w:val="20"/>
          <w:color w:val="auto"/>
        </w:rPr>
      </w:pPr>
      <w:r>
        <w:rPr>
          <w:rFonts w:ascii="Arial" w:cs="Arial" w:eastAsia="Arial" w:hAnsi="Arial"/>
          <w:sz w:val="16"/>
          <w:szCs w:val="16"/>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95" w:lineRule="auto"/>
        <w:tabs>
          <w:tab w:leader="none" w:pos="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61"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w:t>
      </w:r>
    </w:p>
    <w:p>
      <w:pPr>
        <w:spacing w:after="0" w:line="1" w:lineRule="exact"/>
        <w:rPr>
          <w:sz w:val="20"/>
          <w:szCs w:val="20"/>
          <w:color w:val="auto"/>
        </w:rPr>
      </w:pPr>
    </w:p>
    <w:p>
      <w:pPr>
        <w:jc w:val="both"/>
        <w:ind w:left="60" w:right="59" w:hanging="10"/>
        <w:spacing w:after="0" w:line="253" w:lineRule="auto"/>
        <w:tabs>
          <w:tab w:leader="none" w:pos="3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spacing w:after="0" w:line="191"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78"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spacing w:after="0" w:line="15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At September 30, 2023, the current commitment level under the Credit Facility was $300.0 million. The undrawn commitment under the Credit Facility totaled $84.0 million. As of September 30, 2023, the Credit Facility had a $216.0 million balance outstanding.</w:t>
      </w:r>
    </w:p>
    <w:p>
      <w:pPr>
        <w:spacing w:after="0" w:line="18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6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Mortgage Notes Payable</w:t>
      </w:r>
      <w:r>
        <w:rPr>
          <w:rFonts w:ascii="Arial" w:cs="Arial" w:eastAsia="Arial" w:hAnsi="Arial"/>
          <w:sz w:val="18"/>
          <w:szCs w:val="18"/>
          <w:color w:val="auto"/>
        </w:rPr>
        <w:t>. On March 3, 2022, in connection with the acquisition of Price Plaza Shopping Center,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assumed an existing $17.8 million secured fixed-rate mortgage note payable, which bears interest at a fixed rate of 4.06% and matures in August 2026.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The Company had an initial aggregate principal amount of $75.0 million of 3.875%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September 30, 2023.</w:t>
      </w:r>
    </w:p>
    <w:p>
      <w:pPr>
        <w:spacing w:after="0" w:line="164"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The 2025 Notes Repurchase Program does not obligate the Company to acquire any particular amount of 2025 Notes and may be modified or suspended. The Company was not active under the 2025 Notes Repurchase Program during the nine months ended September 30, 2023.</w:t>
      </w:r>
    </w:p>
    <w:p>
      <w:pPr>
        <w:spacing w:after="0" w:line="19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third quarter 2023 dividend, the conversion rate is equal to 66.0051 shares of common stock for each $1,000 principal amount of 2025 Notes, which represents an adjusted conversion price of $15.15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74"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85"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September 30, 2023, the unamortized debt discount of our 2025 Notes was $0.2 million, which represents the cash component of the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Pr>
          <w:p>
            <w:pPr>
              <w:spacing w:after="0"/>
              <w:rPr>
                <w:sz w:val="20"/>
                <w:szCs w:val="20"/>
                <w:color w:val="auto"/>
              </w:rPr>
            </w:pPr>
          </w:p>
        </w:tc>
        <w:tc>
          <w:tcPr>
            <w:tcW w:w="250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3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Due Within</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Due Within</w:t>
            </w:r>
          </w:p>
        </w:tc>
      </w:tr>
      <w:tr>
        <w:trPr>
          <w:trHeight w:val="234"/>
        </w:trPr>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One Year</w:t>
            </w:r>
          </w:p>
        </w:tc>
        <w:tc>
          <w:tcPr>
            <w:tcW w:w="26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60" w:type="dxa"/>
            <w:vAlign w:val="bottom"/>
          </w:tcPr>
          <w:p>
            <w:pPr>
              <w:ind w:left="140"/>
              <w:spacing w:after="0"/>
              <w:rPr>
                <w:sz w:val="20"/>
                <w:szCs w:val="20"/>
                <w:color w:val="auto"/>
              </w:rPr>
            </w:pPr>
            <w:r>
              <w:rPr>
                <w:rFonts w:ascii="Arial" w:cs="Arial" w:eastAsia="Arial" w:hAnsi="Arial"/>
                <w:sz w:val="18"/>
                <w:szCs w:val="18"/>
                <w:b w:val="1"/>
                <w:bCs w:val="1"/>
                <w:color w:val="auto"/>
              </w:rPr>
              <w:t>One Year</w:t>
            </w: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Term Loan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2028 Term Loan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2"/>
        </w:trPr>
        <w:tc>
          <w:tcPr>
            <w:tcW w:w="3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3.875% Convertible Senior Notes, net of</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Mortgage Note Payable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2"/>
        </w:trPr>
        <w:tc>
          <w:tcPr>
            <w:tcW w:w="3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Financing Costs, net of Accumulated</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(1,370)</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(1,637)</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9"/>
        </w:trPr>
        <w:tc>
          <w:tcPr>
            <w:tcW w:w="32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548,219</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445,583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Payments applicable to reduction of principal amounts as of September 30, 2023 will be required as follows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September 30, 2023</w:t>
            </w:r>
          </w:p>
        </w:tc>
        <w:tc>
          <w:tcPr>
            <w:tcW w:w="560" w:type="dxa"/>
            <w:vAlign w:val="bottom"/>
          </w:tcPr>
          <w:p>
            <w:pPr>
              <w:spacing w:after="0"/>
              <w:rPr>
                <w:sz w:val="20"/>
                <w:szCs w:val="20"/>
                <w:color w:val="auto"/>
              </w:rPr>
            </w:pPr>
          </w:p>
        </w:tc>
        <w:tc>
          <w:tcPr>
            <w:tcW w:w="206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r>
      <w:tr>
        <w:trPr>
          <w:trHeight w:val="209"/>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82,800</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316,000</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5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Total Long-Term Debt - Face Value</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549,834</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of long-term debt as of September 30, 2023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Total</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549,834</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Unamortized Discount on Convertible Debt</w:t>
            </w:r>
          </w:p>
        </w:tc>
        <w:tc>
          <w:tcPr>
            <w:tcW w:w="6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6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548,219</w:t>
            </w: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In addition to the $1.4 million of financing costs, net of accumulated amortization included in the table above, as of September 30, 2023, the Company also had financing costs, net of accumulated amortization related to the Credit Facility of $1.8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2022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42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3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02"/>
        </w:trPr>
        <w:tc>
          <w:tcPr>
            <w:tcW w:w="34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Amortization of Discount on Convertible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w:t>
            </w:r>
          </w:p>
        </w:tc>
      </w:tr>
      <w:tr>
        <w:trPr>
          <w:trHeight w:val="197"/>
        </w:trPr>
        <w:tc>
          <w:tcPr>
            <w:tcW w:w="3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Total Interest Paid</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was in compliance with all of its debt covenants as of September 30, 2023 and December 31, 2022.</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INTEREST RATE SWAPS</w:t>
      </w:r>
    </w:p>
    <w:p>
      <w:pPr>
        <w:spacing w:after="0" w:line="270"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2023 and 2022. Accordingly, the changes in fair value on the interest rate swaps have been classified in accumulated other comprehensive income. The fair value of the interest rate swap agreements are included in other assets and accrued and other liabilities, respectively, on the consolidated balance sheets. Information related to the Company’s interest rate swap agreements as of September 30, 2023 is presented below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 xml:space="preserve">Hedged Item </w:t>
            </w:r>
            <w:r>
              <w:rPr>
                <w:rFonts w:ascii="Arial" w:cs="Arial" w:eastAsia="Arial" w:hAnsi="Arial"/>
                <w:sz w:val="24"/>
                <w:szCs w:val="24"/>
                <w:b w:val="1"/>
                <w:bCs w:val="1"/>
                <w:color w:val="auto"/>
                <w:vertAlign w:val="superscript"/>
              </w:rPr>
              <w:t>(1)</w:t>
            </w:r>
          </w:p>
        </w:tc>
        <w:tc>
          <w:tcPr>
            <w:tcW w:w="1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Effective</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Maturity</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Fair Value as of</w:t>
            </w:r>
          </w:p>
        </w:tc>
        <w:tc>
          <w:tcPr>
            <w:tcW w:w="0" w:type="dxa"/>
            <w:vAlign w:val="bottom"/>
          </w:tcPr>
          <w:p>
            <w:pPr>
              <w:spacing w:after="0"/>
              <w:rPr>
                <w:sz w:val="1"/>
                <w:szCs w:val="1"/>
                <w:color w:val="auto"/>
              </w:rPr>
            </w:pPr>
          </w:p>
        </w:tc>
      </w:tr>
      <w:tr>
        <w:trPr>
          <w:trHeight w:val="216"/>
        </w:trPr>
        <w:tc>
          <w:tcPr>
            <w:tcW w:w="1860" w:type="dxa"/>
            <w:vAlign w:val="bottom"/>
            <w:gridSpan w:val="3"/>
            <w:vMerge w:val="continue"/>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Rate</w:t>
            </w: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2023</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1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3/10/2021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0.12% + 0.10% + applicable spread</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Term Loan</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3/10/2026</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1.44% + 0.10% + 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8/31/2021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3/10/2026</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0.70% + 0.10% + 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150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(2)</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2"/>
              </w:rPr>
              <w:t>3/10/2026</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3/10/2031</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3.80% + 0.10% + 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11/5/2021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0.64% + 0.10% + 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Term Loan</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1/31/2027</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1.35% + 0.10% + 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7,714</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1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(2)</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1/31/2027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1/30/2032</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3.75% + 0.10% + 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2028</w:t>
            </w: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Term Loan</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2"/>
              </w:rPr>
              <w:t>9/30/2022</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1/31/2028</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3.78% + 0.10% + 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2028</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9/30/2022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1/31/2028</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3.78% + 0.10% + 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2028</w:t>
            </w:r>
          </w:p>
        </w:tc>
        <w:tc>
          <w:tcPr>
            <w:tcW w:w="150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(2)</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2"/>
              </w:rPr>
              <w:t>1/31/2028</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1/31/2033</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3.81% + 0.10% + 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3"/>
        </w:trPr>
        <w:tc>
          <w:tcPr>
            <w:tcW w:w="1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Credit Facility</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1/31/2030</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3.27% + 0.10% + 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203"/>
        </w:trPr>
        <w:tc>
          <w:tcPr>
            <w:tcW w:w="1860" w:type="dxa"/>
            <w:vAlign w:val="bottom"/>
            <w:gridSpan w:val="3"/>
          </w:tcPr>
          <w:p>
            <w:pPr>
              <w:ind w:left="20"/>
              <w:spacing w:after="0"/>
              <w:rPr>
                <w:sz w:val="20"/>
                <w:szCs w:val="20"/>
                <w:color w:val="auto"/>
              </w:rPr>
            </w:pPr>
            <w:r>
              <w:rPr>
                <w:rFonts w:ascii="Arial" w:cs="Arial" w:eastAsia="Arial" w:hAnsi="Arial"/>
                <w:sz w:val="16"/>
                <w:szCs w:val="16"/>
                <w:color w:val="auto"/>
              </w:rPr>
              <w:t>Credit Facility</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2"/>
              </w:rPr>
              <w:t>1/31/2023</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2"/>
              </w:rPr>
              <w:t>1/31/2030</w:t>
            </w:r>
          </w:p>
        </w:tc>
        <w:tc>
          <w:tcPr>
            <w:tcW w:w="14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3.26% + 0.10% + 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03"/>
        </w:trPr>
        <w:tc>
          <w:tcPr>
            <w:tcW w:w="1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Credit Facility</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1/31/2030</w:t>
            </w:r>
          </w:p>
        </w:tc>
        <w:tc>
          <w:tcPr>
            <w:tcW w:w="14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3.36% + 0.10% + 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30"/>
        <w:spacing w:after="0" w:line="193" w:lineRule="auto"/>
        <w:tabs>
          <w:tab w:leader="none" w:pos="38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On September 30, 2022, the Company converted its existing interest rate swaps from 1-month LIBOR to SOFR.</w:t>
      </w:r>
    </w:p>
    <w:p>
      <w:pPr>
        <w:ind w:left="380" w:right="79" w:hanging="330"/>
        <w:spacing w:after="0" w:line="190" w:lineRule="auto"/>
        <w:tabs>
          <w:tab w:leader="none" w:pos="380" w:val="left"/>
        </w:tabs>
        <w:numPr>
          <w:ilvl w:val="0"/>
          <w:numId w:val="16"/>
        </w:numPr>
        <w:rPr>
          <w:rFonts w:ascii="Arial" w:cs="Arial" w:eastAsia="Arial" w:hAnsi="Arial"/>
          <w:sz w:val="22"/>
          <w:szCs w:val="22"/>
          <w:color w:val="auto"/>
          <w:vertAlign w:val="superscript"/>
        </w:rPr>
      </w:pPr>
      <w:r>
        <w:rPr>
          <w:rFonts w:ascii="Arial" w:cs="Arial" w:eastAsia="Arial" w:hAnsi="Arial"/>
          <w:sz w:val="13"/>
          <w:szCs w:val="13"/>
          <w:color w:val="auto"/>
        </w:rPr>
        <w:t>During the three months ended September 30, 2023, the Company entered into forward swaps to further fix interest rates through periods that the Company reasonably expects to extend its current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8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17. ACCRUED AND OTHER LIABILITIES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60" w:type="dxa"/>
            <w:vAlign w:val="bottom"/>
            <w:gridSpan w:val="2"/>
          </w:tcPr>
          <w:p>
            <w:pPr>
              <w:ind w:left="440"/>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0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Property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Reserve for Tenant Improvements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Security Deposits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Accrued Construction Costs</w:t>
            </w: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Environmental Reserve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Operating Leases - Liability</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09"/>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Total Accrued and Other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i w:val="1"/>
          <w:iCs w:val="1"/>
          <w:color w:val="auto"/>
        </w:rPr>
        <w:t xml:space="preserve">Reserve for Tenant Improvements. </w:t>
      </w:r>
      <w:r>
        <w:rPr>
          <w:rFonts w:ascii="Arial" w:cs="Arial" w:eastAsia="Arial" w:hAnsi="Arial"/>
          <w:sz w:val="16"/>
          <w:szCs w:val="16"/>
          <w:color w:val="auto"/>
        </w:rPr>
        <w:t>In connection with recent acquisitions, the Company received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$8.0 million from the sellers of certain properties for tenant improvement allowances, leasing commissions and other capital improvements. These amounts are included in accrued and other liabilities on the consolidated balance sheets. Through September 30, 2023, payments totaling $3.4 million were made and a $2.3 million contingent obligation to fund certain tenant improvements was extinguished, leaving a remaining reserve for tenant improvements of $2.3 million.</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2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18. DEFERRED REVENUE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Deferred revenue consisted of the following (in thousands):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w:t>
            </w:r>
          </w:p>
        </w:tc>
        <w:tc>
          <w:tcPr>
            <w:tcW w:w="126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10"/>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r>
      <w:tr>
        <w:trPr>
          <w:trHeight w:val="216"/>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Interest Reserve from Commercial Loans and Investments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16"/>
        </w:trPr>
        <w:tc>
          <w:tcPr>
            <w:tcW w:w="5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Contributions</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10"/>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Total Deferred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486"/>
        <w:spacing w:after="0" w:line="296" w:lineRule="auto"/>
        <w:rPr>
          <w:sz w:val="20"/>
          <w:szCs w:val="20"/>
          <w:color w:val="auto"/>
        </w:rPr>
      </w:pPr>
      <w:r>
        <w:rPr>
          <w:rFonts w:ascii="Arial" w:cs="Arial" w:eastAsia="Arial" w:hAnsi="Arial"/>
          <w:sz w:val="16"/>
          <w:szCs w:val="16"/>
          <w:i w:val="1"/>
          <w:iCs w:val="1"/>
          <w:color w:val="auto"/>
        </w:rPr>
        <w:t>Interest Reserve from Commercial Loans and Investments</w:t>
      </w:r>
      <w:r>
        <w:rPr>
          <w:rFonts w:ascii="Arial" w:cs="Arial" w:eastAsia="Arial" w:hAnsi="Arial"/>
          <w:sz w:val="16"/>
          <w:szCs w:val="16"/>
          <w:color w:val="auto"/>
        </w:rPr>
        <w:t>. In connection with three of the Company’s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19.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STOCK-BASED COMPENSATION</w:t>
      </w:r>
    </w:p>
    <w:p>
      <w:pPr>
        <w:spacing w:after="0" w:line="229" w:lineRule="exact"/>
        <w:rPr>
          <w:sz w:val="20"/>
          <w:szCs w:val="20"/>
          <w:color w:val="auto"/>
        </w:rPr>
      </w:pPr>
    </w:p>
    <w:p>
      <w:pPr>
        <w:jc w:val="both"/>
        <w:ind w:left="60" w:right="59" w:firstLine="486"/>
        <w:spacing w:after="0" w:line="277" w:lineRule="auto"/>
        <w:rPr>
          <w:sz w:val="20"/>
          <w:szCs w:val="20"/>
          <w:color w:val="auto"/>
        </w:rPr>
      </w:pPr>
      <w:r>
        <w:rPr>
          <w:rFonts w:ascii="Arial" w:cs="Arial" w:eastAsia="Arial" w:hAnsi="Arial"/>
          <w:sz w:val="18"/>
          <w:szCs w:val="18"/>
          <w:color w:val="auto"/>
        </w:rPr>
        <w:t>A summary of share activity for all equity classified stock compensation during the nine months ended September 30, 2023 is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7"/>
              </w:rPr>
              <w:t>Vested /</w:t>
            </w: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Outstanding</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Granted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7"/>
              </w:rPr>
              <w:t>Exercised</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5"/>
              </w:rPr>
              <w:t>Expired</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Forfeited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Arial" w:cs="Arial" w:eastAsia="Arial" w:hAnsi="Arial"/>
                <w:sz w:val="16"/>
                <w:szCs w:val="16"/>
                <w:b w:val="1"/>
                <w:bCs w:val="1"/>
                <w:color w:val="auto"/>
              </w:rPr>
              <w:t>Type of Award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at 1/1/2023</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at 9/30/2023</w:t>
            </w:r>
          </w:p>
        </w:tc>
        <w:tc>
          <w:tcPr>
            <w:tcW w:w="0" w:type="dxa"/>
            <w:vAlign w:val="bottom"/>
          </w:tcPr>
          <w:p>
            <w:pPr>
              <w:spacing w:after="0"/>
              <w:rPr>
                <w:sz w:val="1"/>
                <w:szCs w:val="1"/>
                <w:color w:val="auto"/>
              </w:rPr>
            </w:pPr>
          </w:p>
        </w:tc>
      </w:tr>
      <w:tr>
        <w:trPr>
          <w:trHeight w:val="189"/>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9"/>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Peer Group Market Condition Vesting</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230,247</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88,754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(72,141)</w:t>
            </w:r>
          </w:p>
        </w:tc>
        <w:tc>
          <w:tcPr>
            <w:tcW w:w="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(9,485)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237,375</w:t>
            </w: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Equity Classified - Three Year Vest Restricted</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Shares</w:t>
            </w:r>
          </w:p>
        </w:tc>
        <w:tc>
          <w:tcPr>
            <w:tcW w:w="880" w:type="dxa"/>
            <w:vAlign w:val="bottom"/>
          </w:tcPr>
          <w:p>
            <w:pPr>
              <w:jc w:val="right"/>
              <w:spacing w:after="0"/>
              <w:rPr>
                <w:sz w:val="20"/>
                <w:szCs w:val="20"/>
                <w:color w:val="auto"/>
              </w:rPr>
            </w:pPr>
            <w:r>
              <w:rPr>
                <w:rFonts w:ascii="Arial" w:cs="Arial" w:eastAsia="Arial" w:hAnsi="Arial"/>
                <w:sz w:val="16"/>
                <w:szCs w:val="16"/>
                <w:color w:val="auto"/>
              </w:rPr>
              <w:t>212,079</w:t>
            </w:r>
          </w:p>
        </w:tc>
        <w:tc>
          <w:tcPr>
            <w:tcW w:w="16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96,453</w:t>
            </w:r>
          </w:p>
        </w:tc>
        <w:tc>
          <w:tcPr>
            <w:tcW w:w="820" w:type="dxa"/>
            <w:vAlign w:val="bottom"/>
          </w:tcPr>
          <w:p>
            <w:pPr>
              <w:jc w:val="right"/>
              <w:spacing w:after="0"/>
              <w:rPr>
                <w:sz w:val="20"/>
                <w:szCs w:val="20"/>
                <w:color w:val="auto"/>
              </w:rPr>
            </w:pPr>
            <w:r>
              <w:rPr>
                <w:rFonts w:ascii="Arial" w:cs="Arial" w:eastAsia="Arial" w:hAnsi="Arial"/>
                <w:sz w:val="16"/>
                <w:szCs w:val="16"/>
                <w:color w:val="auto"/>
              </w:rPr>
              <w:t>(74,229)</w:t>
            </w:r>
          </w:p>
        </w:tc>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(17,879)</w:t>
            </w:r>
          </w:p>
        </w:tc>
        <w:tc>
          <w:tcPr>
            <w:tcW w:w="900" w:type="dxa"/>
            <w:vAlign w:val="bottom"/>
          </w:tcPr>
          <w:p>
            <w:pPr>
              <w:jc w:val="right"/>
              <w:spacing w:after="0"/>
              <w:rPr>
                <w:sz w:val="20"/>
                <w:szCs w:val="20"/>
                <w:color w:val="auto"/>
              </w:rPr>
            </w:pPr>
            <w:r>
              <w:rPr>
                <w:rFonts w:ascii="Arial" w:cs="Arial" w:eastAsia="Arial" w:hAnsi="Arial"/>
                <w:sz w:val="16"/>
                <w:szCs w:val="16"/>
                <w:color w:val="auto"/>
              </w:rPr>
              <w:t>216,424</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Total Shares</w:t>
            </w: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442,326</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185,207</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(146,370)</w:t>
            </w:r>
          </w:p>
        </w:tc>
        <w:tc>
          <w:tcPr>
            <w:tcW w:w="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(27,364)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453,799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Amounts recognized in the financial statements for stock-based compensation are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3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Total Cost of Share-Based Plans Charged Against</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812</w:t>
            </w:r>
          </w:p>
        </w:tc>
        <w:tc>
          <w:tcPr>
            <w:tcW w:w="1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EQUITY-CLASSIFIED STOCK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Share Awards – Peer Group Market Condition Vesting</w:t>
      </w:r>
    </w:p>
    <w:p>
      <w:pPr>
        <w:spacing w:after="0" w:line="117"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88,754 performance shares during the nine months ended September 30, 2023.</w:t>
      </w:r>
    </w:p>
    <w:p>
      <w:pPr>
        <w:spacing w:after="0" w:line="17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September 30, 2023, there was $1.8 million of unrecognized compensation cost, adjusted for estimated forfeitures, related to the non-vested performance share awards, which will be recognized over a remaining weighted average period of 1.8 years.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for these awards during the nine months ended September 30, 2023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Wtd. Avg. Fair</w:t>
            </w:r>
          </w:p>
        </w:tc>
      </w:t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Performance Shares With Market Conditions</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Value Per Share</w:t>
            </w: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88,754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1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2023</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237,375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r>
      <w:tr>
        <w:trPr>
          <w:trHeight w:val="20"/>
        </w:trPr>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96,453 shares of restricted Company common stock during the nine months ended September 30, 2023.</w:t>
      </w:r>
    </w:p>
    <w:p>
      <w:pPr>
        <w:spacing w:after="0" w:line="16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September 30, 2023, there was $2.7 million of unrecognized compensation cost, adjusted for estimated forfeitures, related to the non-vested restricted share awards, which will be recognized over a remaining weighted average period of 1.9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activity for these awards during the nine months ended September 30, 2023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0"/>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96,453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2023</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216,424</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date two business days prior to the date of the award, rounded down to the nearest whole number of shares.</w:t>
      </w:r>
    </w:p>
    <w:p>
      <w:pPr>
        <w:spacing w:after="0" w:line="192"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Each non-employee director serving as of the beginning of each calendar year shall receive an annual award of the Company’s common stock. The value of such award totaled $35,000 for the nine months ended September 30, 2023 and 2022 (the “Annual Award”). The number of shares awarded is calculated based on the trailing 20-day average price of the Company’s common stock as of the date two business days prior to the date of the award, rounded down to the nearest whole number of shares. Non-employee directors do not receive meeting fees, but will receive additional retainers for service on Board committees, as set forth in the Company’s Non-Employee Director Compensation Policy available on the Company’s website (www.ctoreit.com).</w:t>
      </w:r>
    </w:p>
    <w:p>
      <w:pPr>
        <w:spacing w:after="0" w:line="204"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During the nine months ended September 30, 2023 and 2022, the expense recognized for the value of the Company’s common stock received by non-employee directors totaled $0.4 million, or 21,247 shares, and $0.4 million, or 21,400 shares, respectively. The expense recognized includes the Annual Award received during the first quarter of each respective year, which totaled $0.2 million during each of the nine months ended September 30, 2023 and 2022.</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20. INCOME TAXES</w:t>
      </w:r>
    </w:p>
    <w:p>
      <w:pPr>
        <w:spacing w:after="0" w:line="270"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21.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Commitments – Expenditures</w:t>
      </w:r>
    </w:p>
    <w:p>
      <w:pPr>
        <w:spacing w:after="0" w:line="212" w:lineRule="exact"/>
        <w:rPr>
          <w:sz w:val="20"/>
          <w:szCs w:val="20"/>
          <w:color w:val="auto"/>
        </w:rPr>
      </w:pPr>
    </w:p>
    <w:p>
      <w:pPr>
        <w:jc w:val="both"/>
        <w:ind w:left="60" w:right="59" w:firstLine="492"/>
        <w:spacing w:after="0" w:line="256" w:lineRule="auto"/>
        <w:rPr>
          <w:sz w:val="20"/>
          <w:szCs w:val="20"/>
          <w:color w:val="auto"/>
        </w:rPr>
      </w:pPr>
      <w:r>
        <w:rPr>
          <w:rFonts w:ascii="Arial" w:cs="Arial" w:eastAsia="Arial" w:hAnsi="Arial"/>
          <w:sz w:val="18"/>
          <w:szCs w:val="18"/>
          <w:color w:val="auto"/>
        </w:rPr>
        <w:t>The Company has committed to fund the following capital improvements. The improvements, which are related to several properties, are estimated to be generally completed within twelve months. These commitments, as of September 30, 2023, are as follows (in thousands):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As of September 30,</w:t>
            </w:r>
          </w:p>
        </w:tc>
      </w:tr>
      <w:tr>
        <w:trPr>
          <w:trHeight w:val="234"/>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r>
      <w:tr>
        <w:trPr>
          <w:trHeight w:val="210"/>
        </w:trPr>
        <w:tc>
          <w:tcPr>
            <w:tcW w:w="69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Funded</w:t>
            </w: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22. BUSINESS SEGMENT DATA</w:t>
      </w:r>
    </w:p>
    <w:p>
      <w:pPr>
        <w:spacing w:after="0" w:line="229"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Company operates in four primary business segments: income properties, management services, commercial loans and investments, and real estate operations. Our income property operations consist of income-producing properties, and our business plan is focused on investing in additional income-producing properties. Our income property operations accounted for 89% and 91% of our identifiable assets as of September 30, 2023 and December 31, 2022, and 88.8% and 82.3% of our consolidated revenues for the nine months ended September 30, 2023 and 2022, respectively. The management services segment consists of the revenue generated from managing PINE. As of September 30, 2023, our commercial loans and investments portfolio consisted of three commercial loan investments and one preferred equity investment which is classified as a commercial loan investment. Our real estate operations consist of revenues generated from the sale of and royalty income related to our interests in subsurface oil, gas, and mineral rights, and the sale of mitigation credits.</w:t>
      </w:r>
    </w:p>
    <w:p>
      <w:pPr>
        <w:spacing w:after="0" w:line="18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Information about the Company’s operations in different segments for the three and nine months ended September 30, 2023 and 2022 is as follows (in thousands):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0"/>
                <w:szCs w:val="20"/>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13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25,183</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17,694</w:t>
            </w:r>
          </w:p>
        </w:tc>
        <w:tc>
          <w:tcPr>
            <w:tcW w:w="1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70,373</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28,470</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79,234</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18,123</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12,579</w:t>
            </w:r>
          </w:p>
        </w:tc>
        <w:tc>
          <w:tcPr>
            <w:tcW w:w="1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49,490</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General and Corporate Expense</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(15,108)</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(10,558)</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(43,307)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Impairment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Commercial Loans and 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12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86,654</w:t>
            </w:r>
          </w:p>
        </w:tc>
        <w:tc>
          <w:tcPr>
            <w:tcW w:w="18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118,065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Identifiable assets of each segment as of September 30, 2023 and December 31, 2022 are as follows (in thousands):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As of</w:t>
            </w:r>
          </w:p>
        </w:tc>
      </w:tr>
      <w:tr>
        <w:trPr>
          <w:trHeight w:val="210"/>
        </w:trPr>
        <w:tc>
          <w:tcPr>
            <w:tcW w:w="5440" w:type="dxa"/>
            <w:vAlign w:val="bottom"/>
          </w:tcPr>
          <w:p>
            <w:pPr>
              <w:spacing w:after="0"/>
              <w:rPr>
                <w:sz w:val="18"/>
                <w:szCs w:val="18"/>
                <w:color w:val="auto"/>
              </w:rPr>
            </w:pPr>
          </w:p>
        </w:tc>
        <w:tc>
          <w:tcPr>
            <w:tcW w:w="18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 2022</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4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460" w:type="dxa"/>
            <w:vAlign w:val="bottom"/>
          </w:tcPr>
          <w:p>
            <w:pPr>
              <w:jc w:val="right"/>
              <w:ind w:right="301"/>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950,157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902,427</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Services</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Commercial Loans and Investments</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32,269</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46,438</w:t>
            </w:r>
          </w:p>
        </w:tc>
      </w:tr>
      <w:tr>
        <w:trPr>
          <w:trHeight w:val="20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1,066,373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986,545</w:t>
            </w:r>
          </w:p>
        </w:tc>
      </w:tr>
      <w:tr>
        <w:trPr>
          <w:trHeight w:val="20"/>
        </w:trPr>
        <w:tc>
          <w:tcPr>
            <w:tcW w:w="5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primarily includes the identifiable assets of the Company’s Subsurface Interests and mitigation credits. Corporate and other assets consist primarily of cash and restricted cash, property, plant, and equipment related to the other operations, as well as the general and corporate operations. The management services and real estate operations segments had no capital expenditures during the nine months ended September 30, 2023 or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23. ASSETS HELD FOR SALE</w:t>
      </w:r>
    </w:p>
    <w:p>
      <w:pPr>
        <w:spacing w:after="0" w:line="22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Assets held for sale as of September 30, 2023 are summarized below (in thousands) and are solely comprised of the Westcliff Property. There were no assets held for sale as of December 31, 2022.</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As of September 30, 2023</w:t>
            </w: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Property, and Equipment—Net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15,854</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w:t>
            </w:r>
          </w:p>
        </w:tc>
        <w:tc>
          <w:tcPr>
            <w:tcW w:w="360" w:type="dxa"/>
            <w:vAlign w:val="bottom"/>
            <w:shd w:val="clear" w:color="auto" w:fill="CCEEFF"/>
          </w:tcPr>
          <w:p>
            <w:pPr>
              <w:spacing w:after="0"/>
              <w:rPr>
                <w:sz w:val="18"/>
                <w:szCs w:val="18"/>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Intangible Lease Liabilities—Net</w:t>
            </w:r>
          </w:p>
        </w:tc>
        <w:tc>
          <w:tcPr>
            <w:tcW w:w="3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Impairment</w:t>
            </w:r>
          </w:p>
        </w:tc>
        <w:tc>
          <w:tcPr>
            <w:tcW w:w="36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rPr>
              <w:t>Total Assets Held for Sale</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r>
      <w:tr>
        <w:trPr>
          <w:trHeight w:val="20"/>
        </w:trPr>
        <w:tc>
          <w:tcPr>
            <w:tcW w:w="5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24. SUBSEQUENT EVENTS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Subsequent events and transactions were evaluated through October 26, 2023, the date the consolidated financial statements were issued.</w:t>
      </w:r>
    </w:p>
    <w:p>
      <w:pPr>
        <w:spacing w:after="0" w:line="17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On October 12, 2023, the Company sold the Westcliff Property, located in Fort Worth, Texas, for a sales price of $14.8 million, generating a loss on sale of $0.9 million which was recognized as an impairment charge during the three months ended September 30, 2023.</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Statements contained in this Quarterly Report on Form 10-Q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74" w:lineRule="exact"/>
        <w:rPr>
          <w:sz w:val="20"/>
          <w:szCs w:val="20"/>
          <w:color w:val="auto"/>
        </w:rPr>
      </w:pPr>
    </w:p>
    <w:p>
      <w:pPr>
        <w:ind w:left="880" w:right="79" w:hanging="317"/>
        <w:spacing w:after="0" w:line="25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that traditional retail tenants face from e-commerce retail sales, or the integration of brick and mortar stores with e-commerce retail operators, could adversely affect our business;</w:t>
      </w:r>
    </w:p>
    <w:p>
      <w:pPr>
        <w:ind w:left="880" w:right="79" w:hanging="317"/>
        <w:spacing w:after="0" w:line="281"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operate in a highly competitive market for the acquisition of income properties and more established entities or other investors may be able to compete more effectively for acquisition opportunities than we can;</w:t>
      </w:r>
    </w:p>
    <w:p>
      <w:pPr>
        <w:spacing w:after="0" w:line="1" w:lineRule="exact"/>
        <w:rPr>
          <w:rFonts w:ascii="Arial" w:cs="Arial" w:eastAsia="Arial" w:hAnsi="Arial"/>
          <w:sz w:val="16"/>
          <w:szCs w:val="16"/>
          <w:color w:val="auto"/>
        </w:rPr>
      </w:pPr>
    </w:p>
    <w:p>
      <w:pPr>
        <w:ind w:left="880" w:hanging="31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successfully execute on asset acquisitions or dispositions;</w:t>
      </w:r>
    </w:p>
    <w:p>
      <w:pPr>
        <w:spacing w:after="0" w:line="9"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revenues from our income property portfolio or certain tenants would adversely impact our results of operations and cash flows;</w:t>
      </w:r>
    </w:p>
    <w:p>
      <w:pPr>
        <w:jc w:val="both"/>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Arial" w:cs="Arial" w:eastAsia="Arial" w:hAnsi="Arial"/>
          <w:sz w:val="18"/>
          <w:szCs w:val="18"/>
          <w:color w:val="auto"/>
        </w:rPr>
      </w:pPr>
    </w:p>
    <w:p>
      <w:pPr>
        <w:jc w:val="both"/>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prolonged downturn in economic conditions could adversely impact our business, particularly with regard to our ability to maintain revenues from our income-producing assets;</w:t>
      </w: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part of our investment strategy is focused on investing in commercial loans and investments which may involve credit risk;</w:t>
      </w: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suffer losses when a borrower defaults on a loan and the value of the underlying collateral is less than the amount due;</w:t>
      </w:r>
    </w:p>
    <w:p>
      <w:pPr>
        <w:ind w:left="880" w:hanging="31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real estate investments are generally illiquid;</w:t>
      </w:r>
    </w:p>
    <w:p>
      <w:pPr>
        <w:spacing w:after="0" w:line="9" w:lineRule="exact"/>
        <w:rPr>
          <w:rFonts w:ascii="Arial" w:cs="Arial" w:eastAsia="Arial" w:hAnsi="Arial"/>
          <w:sz w:val="18"/>
          <w:szCs w:val="18"/>
          <w:color w:val="auto"/>
        </w:rPr>
      </w:pPr>
    </w:p>
    <w:p>
      <w:pPr>
        <w:jc w:val="both"/>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may be unable to obtain debt or equity capital on favorable terms, if at all, or additional borrowings may impact our liquidity or ability to monetize any assets securing such borrowings;</w:t>
      </w: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servicing our debt requires a significant amount of cash, and we may not have sufficient cash flow from our business to service or pay our debt;</w:t>
      </w:r>
    </w:p>
    <w:p>
      <w:pPr>
        <w:ind w:left="880" w:right="79" w:hanging="317"/>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operations and properties could be adversely affected in the event of natural disasters, pandemics, or other significant disruptions;</w:t>
      </w:r>
    </w:p>
    <w:p>
      <w:pPr>
        <w:ind w:left="880" w:right="79" w:hanging="317"/>
        <w:spacing w:after="0" w:line="290"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880" w:right="79" w:hanging="317"/>
        <w:spacing w:after="0" w:line="235"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remain qualified as real estate investment trust (“REIT”) for U.S. federal income tax purposes would cause us to be taxed as a regular corporation, which would substantially reduce funds available for distribution to stockholders;</w:t>
      </w:r>
    </w:p>
    <w:p>
      <w:pPr>
        <w:spacing w:after="0" w:line="1" w:lineRule="exact"/>
        <w:rPr>
          <w:rFonts w:ascii="Arial" w:cs="Arial" w:eastAsia="Arial" w:hAnsi="Arial"/>
          <w:sz w:val="18"/>
          <w:szCs w:val="18"/>
          <w:color w:val="auto"/>
        </w:rPr>
      </w:pPr>
    </w:p>
    <w:p>
      <w:pPr>
        <w:ind w:left="880" w:hanging="317"/>
        <w:spacing w:after="0" w:line="234"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the REIT requirements could limit our financial flexibility;</w:t>
      </w:r>
    </w:p>
    <w:p>
      <w:pPr>
        <w:ind w:left="880" w:hanging="317"/>
        <w:spacing w:after="0" w:line="219"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limited experience operating as a REIT;</w:t>
      </w:r>
    </w:p>
    <w:p>
      <w:pPr>
        <w:ind w:left="880" w:right="79" w:hanging="317"/>
        <w:spacing w:after="0" w:line="22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pay dividends consistent with the REIT requirements, and expectations as to timing and amounts of such dividends;</w:t>
      </w:r>
    </w:p>
    <w:p>
      <w:pPr>
        <w:spacing w:after="0" w:line="1" w:lineRule="exact"/>
        <w:rPr>
          <w:rFonts w:ascii="Arial" w:cs="Arial" w:eastAsia="Arial" w:hAnsi="Arial"/>
          <w:sz w:val="18"/>
          <w:szCs w:val="18"/>
          <w:color w:val="auto"/>
        </w:rPr>
      </w:pPr>
    </w:p>
    <w:p>
      <w:pPr>
        <w:ind w:left="880" w:hanging="317"/>
        <w:spacing w:after="0" w:line="232"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board of directors (the “Board”) to revoke our REIT status without stockholder approval;</w:t>
      </w:r>
    </w:p>
    <w:p>
      <w:pPr>
        <w:ind w:left="880" w:hanging="317"/>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exposure to changes in U.S. federal and state income tax laws, including changes to the REIT requirements;</w:t>
      </w:r>
    </w:p>
    <w:p>
      <w:pPr>
        <w:spacing w:after="0" w:line="5" w:lineRule="exact"/>
        <w:rPr>
          <w:rFonts w:ascii="Arial" w:cs="Arial" w:eastAsia="Arial" w:hAnsi="Arial"/>
          <w:sz w:val="16"/>
          <w:szCs w:val="16"/>
          <w:color w:val="auto"/>
        </w:rPr>
      </w:pPr>
    </w:p>
    <w:p>
      <w:pPr>
        <w:jc w:val="both"/>
        <w:ind w:left="880" w:right="79" w:hanging="317"/>
        <w:spacing w:after="0" w:line="224"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business and economic conditions, including unstable macroeconomic conditions due to, among other things, political unrest and economic uncertainty due to terrorism or war, inflation, rising interest rates and distress in the banking sector; and</w:t>
      </w:r>
    </w:p>
    <w:p>
      <w:pPr>
        <w:jc w:val="both"/>
        <w:ind w:left="880" w:right="79" w:hanging="317"/>
        <w:spacing w:after="0" w:line="265" w:lineRule="auto"/>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70"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2022),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retail demand that exceeds supply. We have pursued our investment strategy by investing primarily through fee simple ownership of our properties, commercial loans and preferred equity.</w:t>
      </w:r>
    </w:p>
    <w:p>
      <w:pPr>
        <w:spacing w:after="0" w:line="188"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color w:val="auto"/>
        </w:rPr>
        <w:t>We own and manage, sometimes utilizing third-party property management companies, 23 commercial real estate properties in 9 states in the United States. As of September 30, 2023, we owned 7 single-tenant and 16 multi-tenant income-producing properties comprising 4.1 million square feet of gross leasable space.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addition to our income property portfolio, as of September 30, 2023, our business included the following:</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117" w:lineRule="exact"/>
        <w:rPr>
          <w:sz w:val="20"/>
          <w:szCs w:val="20"/>
          <w:color w:val="auto"/>
        </w:rPr>
      </w:pPr>
    </w:p>
    <w:p>
      <w:pPr>
        <w:ind w:left="840" w:right="79" w:hanging="331"/>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PINE, see Note 5, “Related Party Management Services Business”.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Loans and Investments:</w:t>
      </w:r>
    </w:p>
    <w:p>
      <w:pPr>
        <w:spacing w:after="0" w:line="117" w:lineRule="exact"/>
        <w:rPr>
          <w:sz w:val="20"/>
          <w:szCs w:val="20"/>
          <w:color w:val="auto"/>
        </w:rPr>
      </w:pPr>
    </w:p>
    <w:p>
      <w:pPr>
        <w:ind w:left="840" w:right="79" w:hanging="331"/>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portfolio of three commercial loan investments and one preferred equity investment which is classified as a commercial loan investment.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117" w:lineRule="exact"/>
        <w:rPr>
          <w:sz w:val="20"/>
          <w:szCs w:val="20"/>
          <w:color w:val="auto"/>
        </w:rPr>
      </w:pPr>
    </w:p>
    <w:p>
      <w:pPr>
        <w:ind w:left="840" w:right="79" w:hanging="331"/>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352,000 surface acres in 19 counties in the State of Florida (“Subsurface Interests”); and</w:t>
      </w:r>
    </w:p>
    <w:p>
      <w:pPr>
        <w:spacing w:after="0" w:line="62" w:lineRule="exact"/>
        <w:rPr>
          <w:rFonts w:ascii="Arial" w:cs="Arial" w:eastAsia="Arial" w:hAnsi="Arial"/>
          <w:sz w:val="18"/>
          <w:szCs w:val="18"/>
          <w:color w:val="auto"/>
        </w:rPr>
      </w:pPr>
    </w:p>
    <w:p>
      <w:pPr>
        <w:ind w:left="840" w:hanging="331"/>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inventory of mitigation credits produced by the Company’s formerly owned mitigation bank.</w:t>
      </w:r>
    </w:p>
    <w:p>
      <w:pPr>
        <w:spacing w:after="0" w:line="117"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business also includes our investment in PINE. As of September 30, 2023, the fair value of our investment totaled $38.2 million, or 15.1%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will occur, the amount by which our investment will increase in value, or the timing thereof. Any dividends received from PINE are included in investment and other income (loss) on the accompanying consolidated statements of operations.</w:t>
      </w:r>
    </w:p>
    <w:p>
      <w:pPr>
        <w:spacing w:after="0" w:line="232"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81"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During the nine months ended September 30, 2023, the Company sold three income properties for an aggregate sales price of $22.9 million and aggregate gains on sales of $3.3 million. The sales consisted of (i) an outparcel of the multi-tenant property known as Eastern Commons, located in Henderson, Nevada, for $2.1 million, resulting in a gain of $0.8 million, (ii) an outparcel of the multi-tenant property known as Crossroads Towne Center, located in Chandler, Arizona, for $2.3 million, resulting in a gain of $1.2 million, and (iii) a single tenant office property located in Reston, Virginia leased to General Dynamics for $18.5 million, resulting in a gain of $1.3 million.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6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Our current portfolio of 16 multi-tenant properties generates $71.8 million of revenue from annualized straight-line base lease payments and had a weighted average remaining lease term of 4.3 years as of September 30, 2023. Our current portfolio of 7 single-tenant income properties generates $7.7 million of revenues from annualized straight-line base lease payments and had a weighted average remaining lease term of 5.3 years as of September 30, 2023.</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Total revenue for the three months ended September 30, 2023 is presented in the following summary and indicates the changes as compared to the three months ended September 30,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Segment</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 Variance</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10"/>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Management Services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Real Estate Operations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(2,070)</w:t>
            </w:r>
          </w:p>
        </w:tc>
        <w:tc>
          <w:tcPr>
            <w:tcW w:w="122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10"/>
        </w:trPr>
        <w:tc>
          <w:tcPr>
            <w:tcW w:w="3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Total revenue for the three months ended September 30, 2023 increased to $28.5 million, compared to $23.1 million during the three months ended September 30, 2022. The $5.4 million increase in total revenue is primarily attributable to $7.5 million of increased income produced by the Company’s recent income property acquisitions versus that of properties disposed of by the Company during the comparative period, partially offset by a $2.1 million decrease in revenue from real estate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70" w:lineRule="auto"/>
        <w:rPr>
          <w:sz w:val="20"/>
          <w:szCs w:val="20"/>
          <w:color w:val="auto"/>
        </w:rPr>
      </w:pPr>
      <w:r>
        <w:rPr>
          <w:rFonts w:ascii="Arial" w:cs="Arial" w:eastAsia="Arial" w:hAnsi="Arial"/>
          <w:sz w:val="17"/>
          <w:szCs w:val="17"/>
          <w:color w:val="auto"/>
        </w:rPr>
        <w:t>Revenue and operating income from our income property operations totaled $25.2 million and $18.1 million, respectively, during the three months ended September 30, 2023, compared to total revenue and operating income of $17.7 million and $12.6 million, respectively, for the three months ended September 30, 2022. The direct costs of revenues for our income property operations totaled $7.1 million and $5.1 million for the three months ended September 30, 2023 and 2022, respectively. The increase in revenues of $7.5 million, or 42.3%, during the three months ended September 30, 2023 is primarily related to the overall growth of the Company’s income property portfolio, as well as the timing of acquisitions versus dispositions. The increase in operating income of $5.5 million from our income property operations reflects increased rent revenues, offset by an increase of $2.0 million in our direct costs of revenues which is also related to the overall growth of the Company’s income property portfolio.</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Revenue from our management services from PINE totaled $1.1 million and $1.0 million during the three months ended September 30, 2023 and 2022, respectively, due to the increase in PINE’s total equity.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Interest income from our commercial loans and investments totaled $1.1 million and $1.3 million during the three months ended September 30, 2023 and 2022, respectively. The decrease is primarily due to decreased income as a result of the timing of investments made and principal repayments during the previous fiscal year ended December 31, 2022, and during the nine months ended September 30,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During the three months ended September 30, 2023 and 2022, operating income from real estate operations was $0.9 million and $1.5 million on revenues totaling $1.1 million and $3.1 million, respectively. During the three months ended September 30, 2022, there was $2.2 million more mitigation credit sales as compared to the same period in 2023, which led to $1.5 million more in the cost of sales on mitigation credit sales during the three months ended September 30, 2022, as compared to the same period in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Total general and administrative expenses for the three months ended September 30, 2023 is presented in the following summary and indicates the changes as compared to the three months ended September 30, 2022 (in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 Variance</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10"/>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Recurring General and Administrative Expenses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Non-Cash Stock Compensation</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308" w:lineRule="auto"/>
        <w:rPr>
          <w:sz w:val="20"/>
          <w:szCs w:val="20"/>
          <w:color w:val="auto"/>
        </w:rPr>
      </w:pPr>
      <w:r>
        <w:rPr>
          <w:rFonts w:ascii="Arial" w:cs="Arial" w:eastAsia="Arial" w:hAnsi="Arial"/>
          <w:sz w:val="17"/>
          <w:szCs w:val="17"/>
          <w:color w:val="auto"/>
        </w:rPr>
        <w:t>The primary reason for the increase in total general and administrative expenses is the overall higher employee count as a result of the increased operating activity from the significant increase in managed income property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Depreciation and amortization totaled $11.7 million and $7.3 million during the three months ended September 30, 2023 and 2022, respectively. The increase of $4.4 million is due to the overall growth in the Company’s income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 and Provision for Impairment</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2023 Dispositions. </w:t>
      </w:r>
      <w:r>
        <w:rPr>
          <w:rFonts w:ascii="Arial" w:cs="Arial" w:eastAsia="Arial" w:hAnsi="Arial"/>
          <w:sz w:val="18"/>
          <w:szCs w:val="18"/>
          <w:color w:val="auto"/>
        </w:rPr>
        <w:t>During the three months ended September 30, 2023, the Company sold two income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 an outparcel of the multi-tenant property known as Crossroads Towne Center, located in Chandler, Arizona, for $2.3 million and (ii) a single tenant office property located in Reston, Virginia leased to General Dynamics for $18.5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The sale of these two properties reflect a total disposition volume of $20.9 million, resulting in aggregate gains of $2.5 million.</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2022 Dispositions. </w:t>
      </w:r>
      <w:r>
        <w:rPr>
          <w:rFonts w:ascii="Arial" w:cs="Arial" w:eastAsia="Arial" w:hAnsi="Arial"/>
          <w:sz w:val="16"/>
          <w:szCs w:val="16"/>
          <w:color w:val="auto"/>
        </w:rPr>
        <w:t>During the three months ended September 30, 2022, the Company sold four income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multi-tenant Westland Gateway Plaza located in Hialeah, Florida, which was recorded as a commercial loan investment prior to its disposition, for $22.2 million, (ii) Chuy’s, a single-tenant property, located in Jacksonville, Florida for $5.8 million, (iii) Firebirds, a single-tenant property, located in Jacksonville, Florida for $5.5 million, and (iv) 245 Riverside, a multi-tenant office income property located in Jacksonville, Florida for $23.6 million. The sale of these four properties reflect a total disposition volume of $57.0 million, resulting in aggregate gains of $5.0 million.</w:t>
      </w:r>
    </w:p>
    <w:p>
      <w:pPr>
        <w:spacing w:after="0" w:line="16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Provision for Impairment. </w:t>
      </w:r>
      <w:r>
        <w:rPr>
          <w:rFonts w:ascii="Arial" w:cs="Arial" w:eastAsia="Arial" w:hAnsi="Arial"/>
          <w:sz w:val="18"/>
          <w:szCs w:val="18"/>
          <w:color w:val="auto"/>
        </w:rPr>
        <w:t>During the three months ended September 30, 2023, the Company recorded a $0.9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 on the sale of the Westcliff Property which represents the sales price, less the book value of the asset as of September 30, 2023, less costs to sell. There were no impairment charges on the Company’s income property portfolio or other assets during the three months ended September 30,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79" w:firstLine="441"/>
        <w:spacing w:after="0" w:line="293" w:lineRule="auto"/>
        <w:rPr>
          <w:sz w:val="20"/>
          <w:szCs w:val="20"/>
          <w:color w:val="auto"/>
        </w:rPr>
      </w:pPr>
      <w:r>
        <w:rPr>
          <w:rFonts w:ascii="Arial" w:cs="Arial" w:eastAsia="Arial" w:hAnsi="Arial"/>
          <w:sz w:val="16"/>
          <w:szCs w:val="16"/>
          <w:color w:val="auto"/>
        </w:rPr>
        <w:t>During the three months ended September 30, 2023, the closing stock price of PINE increased by $0.11 per share, with a closing price of $16.36 on September 30, 2023. During the three months ended September 30, 2022, the closing stock price of PINE decreased by $1.70 per share, with a closing price of $16.22 on September 30, 2022. The change in stock price resulted in an unrealized non-cash gain and unrealized non-cash loss on the Company’s investment in PINE in the amount of $0.3 million and $(3.7) million which is included in investment and other income (loss) in the consolidated statements of operations for the three months ended September 30, 2023 and 2022, respectively.</w:t>
      </w:r>
    </w:p>
    <w:p>
      <w:pPr>
        <w:spacing w:after="0" w:line="164"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$0.6 million during each of the three months ended September 30, 2023 and 2022,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Interest expense totaled $6.3 million and $3.0 million for the three months ended September 30, 2023 and 2022, respectively. The increase of $3.3 million resulted primarily from (i) the higher balance outstanding on the Company’s Credit Facility as well as the increase in the variable interest rate under the Credit Facility during the three months ended September 30, 2023, prior to fixing the rate on $100.0 million of outstanding principal effective January 31, 2023, and (ii) the increase in debt related to the $100.0 million 2028 Term Loan.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Attributable to the Company</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Net income attributable to the Company totaled $2.7 million and $4.8 million during the three months ended September 30, 2023 and 2022, respectively. The $2.1 million decrease in net income is attributable to the factors described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Total revenue for the nine months ended September 30, 2023 is presented in the following summary and indicates the changes as compared to the nine months September 30,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Segment</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 Variance</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21,144</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Management Services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Real Estate Operations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12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09"/>
        </w:trPr>
        <w:tc>
          <w:tcPr>
            <w:tcW w:w="3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Total revenue for the nine months ended September 30, 2023 increased to $79.2 million, compared to $59.8 million during the nine months ended September 30, 2022. The $19.4 million increase in total revenue is primarily attributable to increased income produced by the Company’s recent income property acquisitions versus that of properties disposed of by the Company during the comparative period, partially offset by a $1.8 million decrease in revenue from real estate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70" w:lineRule="auto"/>
        <w:rPr>
          <w:sz w:val="20"/>
          <w:szCs w:val="20"/>
          <w:color w:val="auto"/>
        </w:rPr>
      </w:pPr>
      <w:r>
        <w:rPr>
          <w:rFonts w:ascii="Arial" w:cs="Arial" w:eastAsia="Arial" w:hAnsi="Arial"/>
          <w:sz w:val="17"/>
          <w:szCs w:val="17"/>
          <w:color w:val="auto"/>
        </w:rPr>
        <w:t>Revenue and operating income from our income property operations totaled $70.4 million and $49.5 million, respectively, during the nine months ended September 30, 2023, compared to total revenue and operating income of $49.2 million and $35.3 million, respectively, for the nine months ended September 30, 2022. The direct costs of revenues for our income property operations totaled $20.9. million and $13.9 million for the nine months ended September 30, 2023 and 2022, respectively. The increase in revenues of $21.1 million, or 43.0%, during the nine months ended September 30, 2023 is primarily related to the overall growth of the Company’s income property portfolio, as well as the timing of acquisitions versus dispositions. The increase in operating income of $14.2 million from our income property operations reflects increased rent revenues, offset by an increase of $7.0 million in our direct costs of revenues which is also related to the overall growth of the Company’s income property portfolio.</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Revenue from our management services from PINE totaled $3.3 million and $2.8 million during the nine months ended September 30, 2023 and 2022, respectively, due to the increase in PINE’s total equity.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Interest income from our commercial loans and investments totaled $3.0 million and $3.3 million during the nine months ended September 30, 2023 and 2022, respectively. The decrease is primarily due to decreased income as a result of the timing of investments made and principal repayments during the previous fiscal year ended December 31, 2022, and during the nine months ended September 30,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During the nine months ended September 30, 2023 and 2022, operating income from real estate operations was $1.7 million and $2.5 million on revenues totaling $2.6 million and $4.4 million, respectively. During the nine months ended September 30, 2022, there was $1.5 million more mitigation credit sales as compared to the same period in 2023, which led to $1.0 million more in the cost of sales on mitigation credit sales during the nine months ended September 30, 2022, as compared to the same period in 2023. Additionally, Subsurface Interest sales and cash payments for the release of surface entry rights decreased by $0.3 million, in the aggregate, during the nine months ended September 30, 2023, as compared to the same period in 2022.</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Total general and administrative expenses for the nine months ended September 30, 2023 is presented in the following summary and indicates the changes as compared to the nine months ended September 30, 2022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 Variance</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Recurring General and Administrative Expenses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Non-Cash Stock Compensation</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09"/>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308" w:lineRule="auto"/>
        <w:rPr>
          <w:sz w:val="20"/>
          <w:szCs w:val="20"/>
          <w:color w:val="auto"/>
        </w:rPr>
      </w:pPr>
      <w:r>
        <w:rPr>
          <w:rFonts w:ascii="Arial" w:cs="Arial" w:eastAsia="Arial" w:hAnsi="Arial"/>
          <w:sz w:val="17"/>
          <w:szCs w:val="17"/>
          <w:color w:val="auto"/>
        </w:rPr>
        <w:t>The primary reason for the increase in total general and administrative expenses is the overall higher employee count as a result of the increased operating activity from the significant increase in managed income property assets.</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Depreciation and amortization totaled $32.8 million and $20.4 million during the nine months ended September 30, 2023 and 2022, respectively. The increase of $12.4 million is due to the overall growth in the Company’s income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 and Provision for Impairment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2023 Dispositions. </w:t>
      </w:r>
      <w:r>
        <w:rPr>
          <w:rFonts w:ascii="Arial" w:cs="Arial" w:eastAsia="Arial" w:hAnsi="Arial"/>
          <w:sz w:val="18"/>
          <w:szCs w:val="18"/>
          <w:color w:val="auto"/>
        </w:rPr>
        <w:t>During the nine months ended September 30, 2023, the Company sold three income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 an outparcel of the multi-tenant property known as Eastern Commons, located in Henderson, Nevada, for $2.1 million, (ii) an outparcel of the multi-tenant property known as Crossroads Towne Center, located in Chandler, Arizona, for $2.3 million, and (iii) a single tenant office property located in Reston, Virginia leased to General Dynamics for $18.5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The sale of these three properties reflect a total disposition volume of $22.9 million, resulting in aggregate gains of $3.3 million.</w:t>
      </w:r>
    </w:p>
    <w:p>
      <w:pPr>
        <w:spacing w:after="0" w:line="192"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i w:val="1"/>
          <w:iCs w:val="1"/>
          <w:color w:val="auto"/>
        </w:rPr>
        <w:t xml:space="preserve">2022 Dispositions. </w:t>
      </w:r>
      <w:r>
        <w:rPr>
          <w:rFonts w:ascii="Arial" w:cs="Arial" w:eastAsia="Arial" w:hAnsi="Arial"/>
          <w:sz w:val="16"/>
          <w:szCs w:val="16"/>
          <w:color w:val="auto"/>
        </w:rPr>
        <w:t>During the nine months ended September 30, 2022, the Company sold six income properties,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w:t>
      </w:r>
    </w:p>
    <w:p>
      <w:pPr>
        <w:spacing w:after="0" w:line="2" w:lineRule="exact"/>
        <w:rPr>
          <w:sz w:val="20"/>
          <w:szCs w:val="20"/>
          <w:color w:val="auto"/>
        </w:rPr>
      </w:pPr>
    </w:p>
    <w:p>
      <w:pPr>
        <w:jc w:val="both"/>
        <w:ind w:left="60" w:right="59" w:hanging="10"/>
        <w:spacing w:after="0" w:line="253" w:lineRule="auto"/>
        <w:tabs>
          <w:tab w:leader="none" w:pos="4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93"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Provision for Impairment. </w:t>
      </w:r>
      <w:r>
        <w:rPr>
          <w:rFonts w:ascii="Arial" w:cs="Arial" w:eastAsia="Arial" w:hAnsi="Arial"/>
          <w:sz w:val="16"/>
          <w:szCs w:val="16"/>
          <w:color w:val="auto"/>
        </w:rPr>
        <w:t>In the aggregate, $1.4 million of impairment charges were recorded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2023, with no such charges during the nine months ended September 30, 2022, as described below.</w:t>
      </w:r>
    </w:p>
    <w:p>
      <w:pPr>
        <w:spacing w:after="0" w:line="12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During the nine months ended September 30, 2023, the Company recorded a $0.9 million impairment charge on the sale of the Westcliff Property which represents the sales price, less the book value of the asset as of September 30, 2023, less costs to sell.</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recorded a $0.5 million impairment charge representing the provision for credit losses related to our commercial loans and investments,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During the nine months ended September 30, 2023, the closing stock price of PINE decreased by $2.72 per share, with a closing price of $16.36 on September 30, 2023. During the nine months ended September 30, 2022, the closing stock price of PINE decreased by $3.82 per share, with a closing price of $16.22 on September 30, 2022. The change in stock price resulted in unrealized, non-cash losses on the Company’s investment in PINE of $(6.0) million and $(8.1) million which is included in investment and other income (loss) in the consolidated statements of operations for the nine months ended September 30, 2023 and 2022, respectively.</w:t>
      </w:r>
    </w:p>
    <w:p>
      <w:pPr>
        <w:spacing w:after="0" w:line="17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$1.9 million and $1.7 million during the nine months ended September 30, 2023 and 2022, respectively.</w:t>
      </w:r>
    </w:p>
    <w:p>
      <w:pPr>
        <w:spacing w:after="0" w:line="170"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Company derecognized a contingent obligation through a $2.3 million increase in investment and other income (loss) during the nine months ended September 30, 2023, pursuant to a lease amendment whereby the Company’s obligation to fund certain tenant improvements was eliminated. The liability was previously included in Accrued and Other Liabilities on the Company’s consolidated balance sheets.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Interest expense totaled $16.1 million and $7.2 million for the nine months ended September 30, 2023 and 2022, respectively. The increase of $8.9 million resulted primarily from (i) the higher balance outstanding on the Company’s Credit Facility as well as the increase in the variable interest rate under the Credit Facility during the nine months ended September 30, 2023 prior to fixing the rate on $100.0 million of outstanding principal effective January 31, 2023, (ii) the increase in debt related to the $17.8 million mortgage loan assumed in connection with the acquisition of Price Plaza, and (iii) the increase in debt related to the $100.0 million 2028 Term Loan.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 Attributable to the Company</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Net loss attributable to the Company totaled $1.5 million during the nine months ended September 30, 2023, as compared to $6.2 million of net income during the nine months ended September 30, 2022. The $7.7 million decrease in net income is attributable to the factors described above, and most notably the increases in non-cash depreciation and amortization, non-cash unrealized loss on the investment in PINE, and interest expense, which are partially offset by increases in the operating income generated by the income property portfolio operations as well as the $2.3 million extinguishment of a contingent obligation.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totaled $7.0 million at September 30, 2023, while restricted cash totaled $22.6 million, see Note 2, “Summary of Significant Accounting Policies” under the heading Restricted Cash for the Company’s disclosure related to its restricted cash balance at September 30, 2023.</w:t>
      </w:r>
    </w:p>
    <w:p>
      <w:pPr>
        <w:spacing w:after="0" w:line="184"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Our cash flows provided by operating activities totaled $40.0 million during the nine months ended September 30, 2023, as compared to $34.1 million during the nine months ended September 30, 2022, an increase of $5.9 million. The primary reason for the increase is from increased cash flows provided by income properties, which is the result of the overall growth of the Company’s income property portfolio, which is partially offset by an increase in cash paid for interest expense as the result of higher overall debt balances and rising variable interest rates on the un-hedged portion of debt.</w:t>
      </w:r>
    </w:p>
    <w:p>
      <w:pPr>
        <w:spacing w:after="0" w:line="161"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Our cash flows used in investing activities totaled $98.3 million during the nine months ended September 30, 2023, as compared to $80.4 million during the nine months ended September 30, 2022, an increase in cash outflows of $17.9 million. The increase in cash used in investing activities is primarily the result of an increase in acquisition activity of income properties and commercial loan investments, net of principal repayments received on commercial loan investments and sales of income properties, for an increase in net cash used of $17.3 million during the nine months ended September 30, 2023 as compared to the same period in 2022.</w:t>
      </w:r>
    </w:p>
    <w:p>
      <w:pPr>
        <w:spacing w:after="0" w:line="192"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Our cash flows provided by financing activities totaled $66.8 million for the nine months ended September 30, 2023, compared to $61.8 million for the nine months ended September 30, 2022, an increase in cash inflows of $5.0 million. The increase is primarily related to a $30.8 million increase in cash inflows provided by net debt activity offset by (i) 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increase in cash outflows of $2.4 million related to repurchases of the Company’s common and preferred stock, (ii) a decrease in cash inflows of $20.7 million due to proceeds from the sale of shares of Company common stock during the nine months ended September 30, 2022 with no such activity during the nine months ended September 30, 2023, and (iii) an increase in cash outflows of $5.5 million related to the dividend paid on common stock as a result of the increased common stock outstanding as well as the increased dividend per share.</w:t>
      </w:r>
    </w:p>
    <w:p>
      <w:pPr>
        <w:spacing w:after="0" w:line="17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At September 30, 2023, the current commitment level under the Credit Facility was $300.0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undrawn commitment under the Credit Facility totaled $84.0 million. As of September 30, 2023, the Credit Facility had a $216.0 million balance outstanding. See Note 15, “Long-Term Debt” for the Company’s disclosure related to its long-term debt balance at September 30, 2023.</w:t>
      </w:r>
    </w:p>
    <w:p>
      <w:pPr>
        <w:spacing w:after="0" w:line="187" w:lineRule="exact"/>
        <w:rPr>
          <w:sz w:val="20"/>
          <w:szCs w:val="20"/>
          <w:color w:val="auto"/>
        </w:rPr>
      </w:pPr>
    </w:p>
    <w:p>
      <w:pPr>
        <w:jc w:val="both"/>
        <w:ind w:left="60" w:right="59" w:firstLine="492"/>
        <w:spacing w:after="0" w:line="281" w:lineRule="auto"/>
        <w:rPr>
          <w:sz w:val="20"/>
          <w:szCs w:val="20"/>
          <w:color w:val="auto"/>
        </w:rPr>
      </w:pPr>
      <w:r>
        <w:rPr>
          <w:rFonts w:ascii="Arial" w:cs="Arial" w:eastAsia="Arial" w:hAnsi="Arial"/>
          <w:sz w:val="16"/>
          <w:szCs w:val="16"/>
          <w:i w:val="1"/>
          <w:iCs w:val="1"/>
          <w:color w:val="auto"/>
        </w:rPr>
        <w:t xml:space="preserve">Acquisitions and Investments. </w:t>
      </w:r>
      <w:r>
        <w:rPr>
          <w:rFonts w:ascii="Arial" w:cs="Arial" w:eastAsia="Arial" w:hAnsi="Arial"/>
          <w:sz w:val="16"/>
          <w:szCs w:val="16"/>
          <w:color w:val="auto"/>
        </w:rPr>
        <w:t>During the nine months ended September 30, 2023, the Company acquired a vacant</w:t>
      </w:r>
      <w:r>
        <w:rPr>
          <w:rFonts w:ascii="Arial" w:cs="Arial" w:eastAsia="Arial" w:hAnsi="Arial"/>
          <w:sz w:val="16"/>
          <w:szCs w:val="16"/>
          <w:i w:val="1"/>
          <w:iCs w:val="1"/>
          <w:color w:val="auto"/>
        </w:rPr>
        <w:t xml:space="preserve"> </w:t>
      </w:r>
      <w:r>
        <w:rPr>
          <w:rFonts w:ascii="Arial" w:cs="Arial" w:eastAsia="Arial" w:hAnsi="Arial"/>
          <w:sz w:val="16"/>
          <w:szCs w:val="16"/>
          <w:color w:val="auto"/>
        </w:rPr>
        <w:t>land parcel adjacent to the previously acquired Collection at Forsyth property, located in the Forsyth County submarket of Atlanta, Georgia, for a purchase price of $4.3 million. During the nine months ended September 30, 2023, the Company acquired the Plaza at Rockwall, a multi-tenant income property located in Rockwall, Texas for a purchase price of $61.2 million, or a total acquisition cost of $61.3 million including capitalized acquisition costs. The Plaza at Rockwall comprises 446,500 square feet, was 95% occupied at acquisition, and had a weighted average remaining lease term of 4.2 years at acquisition. Also, during the nine months ended September 30, 2023, the Company acquired four properties, totaling 24,100 square feet, within the 28,100 square foot retail portion of Phase II of The Exchange at Gwinnett located in Buford, Georgia (the “Gwinnett Property”), for an aggregate purchase price of $14.6 million, or a total acquisition cost of $14.7 million including capitalized acquisition costs. The four properties are leased to six different tenants with a weighted average remaining lease term of 9.9 years at acquisition. The Company is under contract to acquire the remaining 4,000 square-foot property that makes up the remaining retail portion of Phase II of The Exchange at Gwinnett for a purchase price of $2.3 million. The Company previously purchased the Sprouts-anchored Phase I portion of The Exchange at Gwinnett in December 2021. The Company also originated one structured investment, to provide $15.0 million of funding towards the acquisition of Founders Square</w:t>
      </w:r>
      <w:r>
        <w:rPr>
          <w:sz w:val="1"/>
          <w:szCs w:val="1"/>
          <w:color w:val="auto"/>
        </w:rPr>
        <w:drawing>
          <wp:inline distT="0" distB="0" distL="0" distR="0">
            <wp:extent cx="34290"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in Dallas, Texas.</w:t>
      </w:r>
    </w:p>
    <w:p>
      <w:pPr>
        <w:spacing w:after="0" w:line="172"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Company’s guidance for 2023 investments in income-producing properties, including structured investments, ranges from $95.0 million to $100.0 million. 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pacing w:after="0" w:line="19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i w:val="1"/>
          <w:iCs w:val="1"/>
          <w:color w:val="auto"/>
        </w:rPr>
        <w:t xml:space="preserve">Dispositions. </w:t>
      </w:r>
      <w:r>
        <w:rPr>
          <w:rFonts w:ascii="Arial" w:cs="Arial" w:eastAsia="Arial" w:hAnsi="Arial"/>
          <w:sz w:val="17"/>
          <w:szCs w:val="17"/>
          <w:color w:val="auto"/>
        </w:rPr>
        <w:t>During the nine months ended September 30, 2023, the Company sold three income properties for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sales price of $22.9 million and aggregate gains on sales of $3.3 million. The sales consisted of (i) an outparcel of the multi-tenant property known as Eastern Commons, located in Henderson, Nevada, for $2.1 million, resulting in a gain of $0.8 million, (ii) an outparcel of the multi-tenant property known as Crossroads Towne Center, located in Chandler, Arizona, for $2.3 million, resulting in a gain of $1.2 million, and (iii) a single tenant office property located in Reston, Virginia leased to General Dynamics for $18.5 million, resulting in a gain of $1.3 million.</w:t>
      </w:r>
    </w:p>
    <w:p>
      <w:pPr>
        <w:spacing w:after="0" w:line="178"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i w:val="1"/>
          <w:iCs w:val="1"/>
          <w:color w:val="auto"/>
        </w:rPr>
        <w:t>ATM Program</w:t>
      </w:r>
      <w:r>
        <w:rPr>
          <w:rFonts w:ascii="Arial" w:cs="Arial" w:eastAsia="Arial" w:hAnsi="Arial"/>
          <w:sz w:val="18"/>
          <w:szCs w:val="18"/>
          <w:color w:val="auto"/>
        </w:rPr>
        <w:t>. The Company was not active under the 2022 ATM Program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w:t>
      </w:r>
    </w:p>
    <w:p>
      <w:pPr>
        <w:spacing w:after="0" w:line="17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Contractual Commitments – Expenditures. </w:t>
      </w:r>
      <w:r>
        <w:rPr>
          <w:rFonts w:ascii="Arial" w:cs="Arial" w:eastAsia="Arial" w:hAnsi="Arial"/>
          <w:sz w:val="18"/>
          <w:szCs w:val="18"/>
          <w:color w:val="auto"/>
        </w:rPr>
        <w:t>The Company has committed to fund the following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The improvements, which are related to several properties, are estimated to be generally completed within twelve months. These commitments, as of September 30, 2023, are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As of September 30,</w:t>
            </w:r>
          </w:p>
        </w:tc>
      </w:tr>
      <w:tr>
        <w:trPr>
          <w:trHeight w:val="234"/>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Funded</w:t>
            </w: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r>
      <w:tr>
        <w:trPr>
          <w:trHeight w:val="20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None.</w:t>
      </w:r>
    </w:p>
    <w:p>
      <w:pPr>
        <w:spacing w:after="0" w:line="225"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We believe we will have sufficient liquidity to fund our operations, capital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debt service requirements over the next twelve months and into the foreseeable future, with cash on hand, cash flow from our operations, $137.7 million of availability remaining under the ATM Program, and $84.0 million undrawn commitment under the existing $300.0 million Credit Facility as of September 30, 2023.</w:t>
      </w:r>
    </w:p>
    <w:p>
      <w:pPr>
        <w:spacing w:after="0" w:line="171"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166"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color w:val="auto"/>
        </w:rPr>
        <w:t>We believe that we currently have a reasonable level of leverage. Our strategy is to utilize leverage, when appropriate and necessary, and proceeds from sales of income properties, the disposition or payoffs on our commercial loan and master lease investments, and certain transactions in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p>
      <w:pPr>
        <w:spacing w:after="0" w:line="2" w:lineRule="exact"/>
        <w:rPr>
          <w:sz w:val="20"/>
          <w:szCs w:val="20"/>
          <w:color w:val="auto"/>
        </w:rPr>
      </w:pPr>
    </w:p>
    <w:p>
      <w:pPr>
        <w:ind w:left="840" w:right="79" w:hanging="331"/>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Multi-tenant, primarily retail-oriented, properties in major metropolitan areas and growth markets, typically stabilized;</w:t>
      </w:r>
    </w:p>
    <w:p>
      <w:pPr>
        <w:ind w:left="840" w:right="79" w:hanging="331"/>
        <w:spacing w:after="0" w:line="265"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Single-tenant retail or other commercial, double or triple net leased, properties in major metropolitan areas and growth markets that are compliant with our commitments under the PINE ROFO Agreement;</w:t>
      </w:r>
    </w:p>
    <w:p>
      <w:pPr>
        <w:ind w:left="840" w:right="79" w:hanging="331"/>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Ground leases, whether purchased or originated by the Company, that are compliant with our commitments under the ROFO Agreement;</w:t>
      </w:r>
    </w:p>
    <w:p>
      <w:pPr>
        <w:ind w:left="840" w:hanging="331"/>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Self-developed retail or other commercial properties;</w:t>
      </w:r>
    </w:p>
    <w:p>
      <w:pPr>
        <w:spacing w:after="0" w:line="9" w:lineRule="exact"/>
        <w:rPr>
          <w:rFonts w:ascii="Arial" w:cs="Arial" w:eastAsia="Arial" w:hAnsi="Arial"/>
          <w:sz w:val="18"/>
          <w:szCs w:val="18"/>
          <w:color w:val="auto"/>
        </w:rPr>
      </w:pPr>
    </w:p>
    <w:p>
      <w:pPr>
        <w:jc w:val="both"/>
        <w:ind w:left="840" w:right="79" w:hanging="331"/>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loan and master lease investments, whether purchased or originated by the Company, with loan terms of 1-10 years with strong risk-adjusted yields secured by property types to include hotel, retail, residential, land and industrial;</w:t>
      </w:r>
    </w:p>
    <w:p>
      <w:pPr>
        <w:spacing w:after="0" w:line="1" w:lineRule="exact"/>
        <w:rPr>
          <w:rFonts w:ascii="Arial" w:cs="Arial" w:eastAsia="Arial" w:hAnsi="Arial"/>
          <w:sz w:val="18"/>
          <w:szCs w:val="18"/>
          <w:color w:val="auto"/>
        </w:rPr>
      </w:pPr>
    </w:p>
    <w:p>
      <w:pPr>
        <w:ind w:left="840" w:right="79" w:hanging="331"/>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Real estate-related investment securities, including commercial mortgage-backed securities, preferred or common stock, and corporate bonds.</w:t>
      </w:r>
    </w:p>
    <w:p>
      <w:pPr>
        <w:spacing w:after="0" w:line="18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Our reported results are presented in accordance with accounting principles generally accepted in the United States of America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76"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71"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as well as adding back the interest related to the 2025 Notes, if the effect is dilutive. Such items may cause short-term fluctuations in net income but have no impact on operating cash flows or long-term operating performance. We use AFFO as one measure of our performance when we formulate corporate goals.</w:t>
      </w:r>
    </w:p>
    <w:p>
      <w:pPr>
        <w:spacing w:after="0" w:line="180"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780" w:type="dxa"/>
            <w:vAlign w:val="bottom"/>
            <w:gridSpan w:val="11"/>
          </w:tcPr>
          <w:p>
            <w:pPr>
              <w:ind w:left="20"/>
              <w:spacing w:after="0"/>
              <w:rPr>
                <w:sz w:val="20"/>
                <w:szCs w:val="20"/>
                <w:color w:val="auto"/>
              </w:rPr>
            </w:pPr>
            <w:r>
              <w:rPr>
                <w:rFonts w:ascii="Arial" w:cs="Arial" w:eastAsia="Arial" w:hAnsi="Arial"/>
                <w:sz w:val="18"/>
                <w:szCs w:val="18"/>
                <w:b w:val="1"/>
                <w:bCs w:val="1"/>
                <w:color w:val="auto"/>
                <w:w w:val="98"/>
              </w:rPr>
              <w:t>Reconciliation of Non-U.S. GAAP Measures (in thousands, except share and dividend data):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18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40" w:type="dxa"/>
            <w:vAlign w:val="bottom"/>
            <w:gridSpan w:val="2"/>
          </w:tcPr>
          <w:p>
            <w:pPr>
              <w:ind w:left="220"/>
              <w:spacing w:after="0" w:line="192" w:lineRule="exact"/>
              <w:rPr>
                <w:sz w:val="20"/>
                <w:szCs w:val="20"/>
                <w:color w:val="auto"/>
              </w:rPr>
            </w:pPr>
            <w:r>
              <w:rPr>
                <w:rFonts w:ascii="Arial" w:cs="Arial" w:eastAsia="Arial" w:hAnsi="Arial"/>
                <w:sz w:val="18"/>
                <w:szCs w:val="18"/>
                <w:color w:val="auto"/>
              </w:rPr>
              <w:t>Add Back: Effect of Dilutive Interest Related to</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40" w:type="dxa"/>
            <w:vAlign w:val="bottom"/>
            <w:gridSpan w:val="2"/>
          </w:tcPr>
          <w:p>
            <w:pPr>
              <w:ind w:left="220"/>
              <w:spacing w:after="0" w:line="24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14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(Loss) Attributable to the Company, If-</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 of Real Estate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(Gain) on Disposition of Assets, Net of Tax</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Gain on Disposition of Other Assets</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(1,739)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Unrealized Loss (Gain) on Investment Securities</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Extinguishment of Contingent Liability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Funds from Operations</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Distributions to Preferred Stockholders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Funds From Operations Attributable to Common</w:t>
            </w: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8,716</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Intangibles to Lease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40" w:type="dxa"/>
            <w:vAlign w:val="bottom"/>
            <w:gridSpan w:val="2"/>
          </w:tcPr>
          <w:p>
            <w:pPr>
              <w:ind w:left="220"/>
              <w:spacing w:after="0" w:line="192" w:lineRule="exact"/>
              <w:rPr>
                <w:sz w:val="20"/>
                <w:szCs w:val="20"/>
                <w:color w:val="auto"/>
              </w:rPr>
            </w:pPr>
            <w:r>
              <w:rPr>
                <w:rFonts w:ascii="Arial" w:cs="Arial" w:eastAsia="Arial" w:hAnsi="Arial"/>
                <w:sz w:val="18"/>
                <w:szCs w:val="18"/>
                <w:color w:val="auto"/>
              </w:rPr>
              <w:t>Less: Effect of Dilutive Interest Related to 2025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40" w:type="dxa"/>
            <w:vAlign w:val="bottom"/>
            <w:gridSpan w:val="2"/>
          </w:tcPr>
          <w:p>
            <w:pPr>
              <w:ind w:left="220"/>
              <w:spacing w:after="0" w:line="24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14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Core Funds From Operations Attributable to Common</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Straight-Line Rent Adjustment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COVID-19 Rent Repayments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Depreciation and Amortization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Amortization of Loan Costs, Discount 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ind w:left="220"/>
              <w:spacing w:after="0"/>
              <w:rPr>
                <w:sz w:val="20"/>
                <w:szCs w:val="20"/>
                <w:color w:val="auto"/>
              </w:rPr>
            </w:pPr>
            <w:r>
              <w:rPr>
                <w:rFonts w:ascii="Arial" w:cs="Arial" w:eastAsia="Arial" w:hAnsi="Arial"/>
                <w:sz w:val="18"/>
                <w:szCs w:val="18"/>
                <w:color w:val="auto"/>
              </w:rPr>
              <w:t>Convertible Debt, and Capitalized Interest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Adjusted Funds From Operations Attributable to</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8,957</w:t>
            </w:r>
          </w:p>
        </w:tc>
        <w:tc>
          <w:tcPr>
            <w:tcW w:w="8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31,410</w:t>
            </w:r>
          </w:p>
        </w:tc>
        <w:tc>
          <w:tcPr>
            <w:tcW w:w="8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26,564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Common Stockholders</w:t>
            </w:r>
          </w:p>
        </w:tc>
        <w:tc>
          <w:tcPr>
            <w:tcW w:w="1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22,484,561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18,386,435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22,556,642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18,044,299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 xml:space="preserve">Diluted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22,484,561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21,505,460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22,556,642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18,044,299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Dividends Declared and Paid - Preferred Stock</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Declared and Paid - Common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80" w:right="79" w:hanging="330"/>
        <w:spacing w:after="0" w:line="231" w:lineRule="auto"/>
        <w:tabs>
          <w:tab w:leader="none" w:pos="380"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As applicable, includes interest expense, amortization of discount, amortization of fees, and other changes in net income or loss that would result from the assumed conversion of the 2025 Convertible Senior Notes to derive FFO (as defined herein) effective January 1, 2022 due to the implementation of ASU 2020-06 which requires presentation on an if-converted basis. For the three and nine months ended September 30, 2023, a total of $0.5 million and $1.6 million of interest was not included, respectively, as the impact of the 2025 Notes, if-converted, would have been antidilutive to net income (loss) attributable to common stockholders for the respective periods. For the three months ended September 30 2022, a total of $0.5 million was included as the impact to earnings per share, if-converted, would have been dilutive to net income attributable to common stockholders for the period. For the nine months ended September 30, 2022, the impact of $1.6 million was not included as the impact to earnings per share, if-converted, would have been antidilutive to net income attributable to common stockholders for the period.</w:t>
      </w:r>
    </w:p>
    <w:p>
      <w:pPr>
        <w:spacing w:after="0" w:line="4" w:lineRule="exact"/>
        <w:rPr>
          <w:rFonts w:ascii="Arial" w:cs="Arial" w:eastAsia="Arial" w:hAnsi="Arial"/>
          <w:sz w:val="17"/>
          <w:szCs w:val="17"/>
          <w:color w:val="auto"/>
          <w:vertAlign w:val="superscript"/>
        </w:rPr>
      </w:pPr>
    </w:p>
    <w:p>
      <w:pPr>
        <w:jc w:val="both"/>
        <w:ind w:left="380" w:right="79" w:hanging="330"/>
        <w:spacing w:after="0" w:line="211"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A total of 3.4 million and 3.3 million shares, representing the dilutive impact of the 2025 Notes, upon adoption of ASU 2020-06 effective January 1, 2022, were not included in the computation of diluted net income (loss) attributable to common stockholders for each of the three and nine month periods ended September 30, 2023, respectively, because they were antidilutive to net income (loss) attributable to common stockholders for the respective periods. A total of 3.1 million shares, representing the dilutive impact of the 2025 Notes, upon adoption of ASU 2020-06 effective January 1, 2022, were included in the computation of diluted net income per share attributable to common stockholders for the three months ended September 30, 2022, because they were dilutive to net income attributable to common stockholders for the period. A total of 3.1 million shares, representing the dilutive impact of the 2025 Notes, were not included in the computation of diluted net income per share attributable to common stockholders for the nine months ended September 30, 2022, because they were antidilutive to net income attributable to common stockholders for the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w w:val="97"/>
              </w:rPr>
              <w:t>Other Data (in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5"/>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r>
      <w:tr>
        <w:trPr>
          <w:trHeight w:val="191"/>
        </w:trPr>
        <w:tc>
          <w:tcPr>
            <w:tcW w:w="414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r>
      <w:tr>
        <w:trPr>
          <w:trHeight w:val="234"/>
        </w:trPr>
        <w:tc>
          <w:tcPr>
            <w:tcW w:w="4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Attributable to Common 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w:t>
            </w:r>
          </w:p>
        </w:tc>
      </w:tr>
      <w:tr>
        <w:trPr>
          <w:trHeight w:val="202"/>
        </w:trPr>
        <w:tc>
          <w:tcPr>
            <w:tcW w:w="4140" w:type="dxa"/>
            <w:vAlign w:val="bottom"/>
          </w:tcPr>
          <w:p>
            <w:pPr>
              <w:ind w:left="20"/>
              <w:spacing w:after="0" w:line="201" w:lineRule="exact"/>
              <w:rPr>
                <w:sz w:val="20"/>
                <w:szCs w:val="20"/>
                <w:color w:val="auto"/>
              </w:rPr>
            </w:pPr>
            <w:r>
              <w:rPr>
                <w:rFonts w:ascii="Arial" w:cs="Arial" w:eastAsia="Arial" w:hAnsi="Arial"/>
                <w:sz w:val="18"/>
                <w:szCs w:val="18"/>
                <w:color w:val="auto"/>
              </w:rPr>
              <w:t>FFO Attributable to Common Stockholders per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Common Share - 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Core FFO Attributable to Common Stockholders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8,684</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28,937</w:t>
            </w: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25,396</w:t>
            </w:r>
          </w:p>
        </w:tc>
      </w:tr>
      <w:tr>
        <w:trPr>
          <w:trHeight w:val="192"/>
        </w:trPr>
        <w:tc>
          <w:tcPr>
            <w:tcW w:w="41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w w:val="98"/>
              </w:rPr>
              <w:t>Core FFO Attributable to Common Stockholders per</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0"/>
        </w:trPr>
        <w:tc>
          <w:tcPr>
            <w:tcW w:w="414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Common Share - Diluted </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 Attributable to Common 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r>
      <w:tr>
        <w:trPr>
          <w:trHeight w:val="192"/>
        </w:trPr>
        <w:tc>
          <w:tcPr>
            <w:tcW w:w="4140" w:type="dxa"/>
            <w:vAlign w:val="bottom"/>
          </w:tcPr>
          <w:p>
            <w:pPr>
              <w:ind w:left="20"/>
              <w:spacing w:after="0" w:line="192" w:lineRule="exact"/>
              <w:rPr>
                <w:sz w:val="20"/>
                <w:szCs w:val="20"/>
                <w:color w:val="auto"/>
              </w:rPr>
            </w:pPr>
            <w:r>
              <w:rPr>
                <w:rFonts w:ascii="Arial" w:cs="Arial" w:eastAsia="Arial" w:hAnsi="Arial"/>
                <w:sz w:val="18"/>
                <w:szCs w:val="18"/>
                <w:color w:val="auto"/>
              </w:rPr>
              <w:t>AFFO Attributable to Common Stockholders per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53"/>
        </w:trPr>
        <w:tc>
          <w:tcPr>
            <w:tcW w:w="4140" w:type="dxa"/>
            <w:vAlign w:val="bottom"/>
          </w:tcPr>
          <w:p>
            <w:pPr>
              <w:ind w:left="20"/>
              <w:spacing w:after="0"/>
              <w:rPr>
                <w:sz w:val="20"/>
                <w:szCs w:val="20"/>
                <w:color w:val="auto"/>
              </w:rPr>
            </w:pPr>
            <w:r>
              <w:rPr>
                <w:rFonts w:ascii="Arial" w:cs="Arial" w:eastAsia="Arial" w:hAnsi="Arial"/>
                <w:sz w:val="18"/>
                <w:szCs w:val="18"/>
                <w:color w:val="auto"/>
              </w:rPr>
              <w:t xml:space="preserve">Common Share - Diluted </w:t>
            </w:r>
            <w:r>
              <w:rPr>
                <w:rFonts w:ascii="Arial" w:cs="Arial" w:eastAsia="Arial" w:hAnsi="Arial"/>
                <w:sz w:val="26"/>
                <w:szCs w:val="26"/>
                <w:color w:val="auto"/>
                <w:vertAlign w:val="superscript"/>
              </w:rPr>
              <w:t>(1)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414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65" w:lineRule="exact"/>
        <w:rPr>
          <w:sz w:val="20"/>
          <w:szCs w:val="20"/>
          <w:color w:val="auto"/>
        </w:rPr>
      </w:pPr>
    </w:p>
    <w:p>
      <w:pPr>
        <w:jc w:val="both"/>
        <w:ind w:left="380" w:right="59" w:hanging="330"/>
        <w:spacing w:after="0" w:line="236" w:lineRule="auto"/>
        <w:tabs>
          <w:tab w:leader="none" w:pos="360"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A total of 3.3 million shares, representing the dilutive impact of the 2025 Notes, upon adoption of ASU 2020-06 effective January 1, 2022, were not included in the computation of diluted net income (loss) attributable to common stockholders for each of the three and nine month periods ended September 30, 2023, because they were antidilutive to net income (loss) attributable to common stockholders for the respective periods. A total of 3.1 million shares representing the dilutive impact of the 2025 Notes, upon adoption of ASU 2020-06 effective January 1, 2022, were included in the computation of diluted net income per share attributable to common stockholders for the three months ended September 30, 2022, because they were dilutive to net income attributable to common stockholders for the period. A total of 3.1 million shares representing the dilutive impact of the 2025 Notes, were not included in the computation of diluted net income per share attributable to common stockholders for the nine months ended September 30, 2022 because they were antidilutive to net income attributable to common stockholders for the period.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84" w:lineRule="exact"/>
        <w:rPr>
          <w:sz w:val="20"/>
          <w:szCs w:val="20"/>
          <w:color w:val="auto"/>
        </w:rPr>
      </w:pPr>
    </w:p>
    <w:p>
      <w:pPr>
        <w:jc w:val="both"/>
        <w:ind w:left="60" w:right="59" w:firstLine="441"/>
        <w:spacing w:after="0" w:line="267" w:lineRule="auto"/>
        <w:rPr>
          <w:sz w:val="20"/>
          <w:szCs w:val="20"/>
          <w:color w:val="auto"/>
        </w:rPr>
      </w:pPr>
      <w:r>
        <w:rPr>
          <w:rFonts w:ascii="Arial" w:cs="Arial" w:eastAsia="Arial" w:hAnsi="Arial"/>
          <w:sz w:val="17"/>
          <w:szCs w:val="17"/>
          <w:i w:val="1"/>
          <w:iCs w:val="1"/>
          <w:color w:val="auto"/>
        </w:rPr>
        <w:t>Purchase Accounting for Acquisitions of Real Estate Subject to a Lease</w:t>
      </w:r>
      <w:r>
        <w:rPr>
          <w:rFonts w:ascii="Arial" w:cs="Arial" w:eastAsia="Arial" w:hAnsi="Arial"/>
          <w:sz w:val="17"/>
          <w:szCs w:val="17"/>
          <w:color w:val="auto"/>
        </w:rPr>
        <w:t>. As required by U.S. GAAP,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four buildings within an existing multi-tenant income property, one multi-tenant property, and one vacant land parcel adjacent to an existing multi-tenant property for an aggregate purchase price of $80.0 million for the nine months ended September 30, 2023, and two multi-tenant income properties for a purchase price of $119.3 million for the nine months ended September 30, 2022.</w:t>
      </w:r>
    </w:p>
    <w:p>
      <w:pPr>
        <w:spacing w:after="0" w:line="230"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See Note 2, “Summary of Significant Accounting Policies”, for further discussion of the Company’s accounting estimates and policies.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187"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We are primarily exposed to interest rate risk relating to our own debt in connection with our Credit Facility, as this facility carries a variable rate of interest. Our borrowings on the un-hedged portion of our $300.0 million revolving Credit Facility bear a variable rate of interest based on SOFR plus a rate of between 125 basis points and 220 basis points plus a 0.10% SOFR adjustment based on our level of borrowing as a percentage of our total asset value. Effective January 31, 2023, the interest rate on $100.0 million of the Credit Facility balance was fixed by virtue of three interest rate swaps. As of September 30, 2023 and 2022, the outstanding balance on our Credit Facility totaled $216.0 million and $38.5 million, of which $116.0 million and $38.5 million, respectively, were not fixed by virtue of an interest rate swap agreement. A hypothetical change in the interest rate of 100 basis points (i.e., 1%) would affect our financial position, results of operations, and cash flows by $1.2 million and $0.4 million as of September 30, 2023 and 2022, respectively. The Company entered into interest rate swap agreements to hedge against changes in future cash flows resulting from fluctuating interest rates related to certain of its debt borrowings, see Note 16, “Interest Rate Swaps.”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2023,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For a discussion of the Company’s potential risks and uncertainties, see the information under the heading Part I, “Item 1A. Risk Factors” in the Company’s Annual Report on Form 10-K for the year ended December 31, 2022. The risks described in the Form 10-K are not the only risks facing the Company. Additional risks and uncertainties not currently known to the Company or that the Company currently deems to be immaterial also may materially adversely affect the Company. As of September 30, 2023, there have been no material changes in our risk factors from those set forth within the Company’s Annual Report on Form 10-K for the year ended December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repurchases of shares of the Company’s common stock during the three months ended September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143"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The following repurchases of shares of the Company’s Series A Preferred Stock were made during the three months ended September 30, 2023:</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Total Number</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79"/>
              </w:rPr>
              <w:t>as</w:t>
            </w:r>
          </w:p>
        </w:tc>
        <w:tc>
          <w:tcPr>
            <w:tcW w:w="18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May yet be Purchased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a Part of 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 Price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Paid per Share</w:t>
            </w:r>
          </w:p>
        </w:tc>
        <w:tc>
          <w:tcPr>
            <w:tcW w:w="140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7"/>
              </w:rPr>
              <w:t xml:space="preserve">or Programs </w:t>
            </w:r>
            <w:r>
              <w:rPr>
                <w:rFonts w:ascii="Arial" w:cs="Arial" w:eastAsia="Arial" w:hAnsi="Arial"/>
                <w:sz w:val="26"/>
                <w:szCs w:val="26"/>
                <w:b w:val="1"/>
                <w:bCs w:val="1"/>
                <w:color w:val="auto"/>
                <w:w w:val="87"/>
                <w:vertAlign w:val="superscript"/>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6"/>
              </w:rPr>
              <w:t xml:space="preserve">($000's) </w:t>
            </w:r>
            <w:r>
              <w:rPr>
                <w:rFonts w:ascii="Arial" w:cs="Arial" w:eastAsia="Arial" w:hAnsi="Arial"/>
                <w:sz w:val="26"/>
                <w:szCs w:val="26"/>
                <w:b w:val="1"/>
                <w:bCs w:val="1"/>
                <w:color w:val="auto"/>
                <w:w w:val="86"/>
                <w:vertAlign w:val="superscript"/>
              </w:rPr>
              <w:t>(1)</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7/01/2023 - 7/31/2023</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8/01/2023 - 8/31/2023</w:t>
            </w:r>
          </w:p>
        </w:tc>
        <w:tc>
          <w:tcPr>
            <w:tcW w:w="6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9/01/2023 - 9/30/2023</w:t>
            </w:r>
          </w:p>
        </w:tc>
        <w:tc>
          <w:tcPr>
            <w:tcW w:w="6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0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720" w:right="79" w:hanging="319"/>
        <w:spacing w:after="0" w:line="253" w:lineRule="auto"/>
        <w:tabs>
          <w:tab w:leader="none" w:pos="720" w:val="left"/>
        </w:tabs>
        <w:numPr>
          <w:ilvl w:val="0"/>
          <w:numId w:val="28"/>
        </w:numPr>
        <w:rPr>
          <w:rFonts w:ascii="Arial" w:cs="Arial" w:eastAsia="Arial" w:hAnsi="Arial"/>
          <w:sz w:val="13"/>
          <w:szCs w:val="13"/>
          <w:color w:val="auto"/>
        </w:rPr>
      </w:pPr>
      <w:r>
        <w:rPr>
          <w:rFonts w:ascii="Arial" w:cs="Arial" w:eastAsia="Arial" w:hAnsi="Arial"/>
          <w:sz w:val="14"/>
          <w:szCs w:val="14"/>
          <w:color w:val="auto"/>
        </w:rPr>
        <w:t>On February 16, 2023, the Board approved a $3.0 million Series A Preferred Stock repurchase program, of which $2.87 million remained available as of September 30, 2023.</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ectPr>
          <w:pgSz w:w="11900" w:h="16838" w:orient="portrait"/>
          <w:cols w:equalWidth="0" w:num="1">
            <w:col w:w="9019"/>
          </w:cols>
          <w:pgMar w:left="1440" w:top="517" w:right="1440" w:bottom="1440" w:gutter="0" w:footer="0" w:header="0"/>
        </w:sectPr>
      </w:pPr>
    </w:p>
    <w:p>
      <w:pPr>
        <w:spacing w:after="0" w:line="121" w:lineRule="exact"/>
        <w:rPr>
          <w:sz w:val="20"/>
          <w:szCs w:val="20"/>
          <w:color w:val="auto"/>
        </w:rPr>
      </w:pPr>
    </w:p>
    <w:p>
      <w:pPr>
        <w:ind w:left="60" w:hanging="10"/>
        <w:spacing w:after="0" w:line="442" w:lineRule="auto"/>
        <w:tabs>
          <w:tab w:leader="none" w:pos="3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Exhibits: </w:t>
      </w:r>
      <w:r>
        <w:rPr>
          <w:rFonts w:ascii="Arial" w:cs="Arial" w:eastAsia="Arial" w:hAnsi="Arial"/>
          <w:sz w:val="15"/>
          <w:szCs w:val="15"/>
          <w:color w:val="auto"/>
        </w:rPr>
        <w:t>(3.1)</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119"/>
        <w:spacing w:after="0" w:line="263" w:lineRule="auto"/>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Articles of Amendment and Restatement of CTO Realty Growth, Inc., as amended by the Articles of</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Amendment (Name Change), filed as Exhibit 3.1 to the registrant’s current report on Form 8-K12B filed</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February 1, 2021, and incorporated herein by reference.</w:t>
        </w:r>
      </w:hyperlink>
    </w:p>
    <w:p>
      <w:pPr>
        <w:spacing w:after="0" w:line="89" w:lineRule="exact"/>
        <w:rPr>
          <w:rFonts w:ascii="Arial" w:cs="Arial" w:eastAsia="Arial" w:hAnsi="Arial"/>
          <w:sz w:val="18"/>
          <w:szCs w:val="18"/>
          <w:u w:val="single" w:color="auto"/>
          <w:color w:val="0000EE"/>
        </w:rPr>
      </w:pPr>
    </w:p>
    <w:p>
      <w:pPr>
        <w:ind w:right="159"/>
        <w:spacing w:after="0" w:line="248" w:lineRule="auto"/>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Articles Supplementary, designating CTO Realty Growth, Inc.’s 6.375% Series A Cumulative</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Redeemable Preferred Stock, filed as Exhibit 3.2 to the registrant's Registration Statement on Form 8-A</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filed July 1, 2021 (File No. 001-11350), and incorporated herein by reference.</w:t>
        </w:r>
      </w:hyperlink>
    </w:p>
    <w:p>
      <w:pPr>
        <w:spacing w:after="0" w:line="70" w:lineRule="exact"/>
        <w:rPr>
          <w:rFonts w:ascii="Arial" w:cs="Arial" w:eastAsia="Arial" w:hAnsi="Arial"/>
          <w:sz w:val="18"/>
          <w:szCs w:val="18"/>
          <w:u w:val="single" w:color="auto"/>
          <w:color w:val="0000EE"/>
        </w:rPr>
      </w:pPr>
    </w:p>
    <w:p>
      <w:pPr>
        <w:sectPr>
          <w:pgSz w:w="11900" w:h="16838" w:orient="portrait"/>
          <w:cols w:equalWidth="0" w:num="2">
            <w:col w:w="940" w:space="440"/>
            <w:col w:w="763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7"/>
                <w:szCs w:val="17"/>
                <w:color w:val="auto"/>
              </w:rPr>
              <w:t>(3.3)</w:t>
            </w:r>
          </w:p>
        </w:tc>
        <w:tc>
          <w:tcPr>
            <w:tcW w:w="7520" w:type="dxa"/>
            <w:vAlign w:val="bottom"/>
            <w:gridSpan w:val="6"/>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Third Amended and Restated Bylaws of CTO Realty Growth, Inc., effective as of February 16, 2023,</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7300" w:type="dxa"/>
            <w:vAlign w:val="bottom"/>
            <w:tcBorders>
              <w:top w:val="single" w:sz="8" w:color="0000EE"/>
            </w:tcBorders>
            <w:gridSpan w:val="5"/>
          </w:tcPr>
          <w:p>
            <w:pPr>
              <w:spacing w:after="0" w:line="182"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filed as Exhibit 3.1 to the registrant’s Current Report on Form 8-K filed February 17, 2023, and</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68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incorporated herein by reference</w:t>
              </w:r>
              <w:r>
                <w:rPr>
                  <w:rFonts w:ascii="Arial" w:cs="Arial" w:eastAsia="Arial" w:hAnsi="Arial"/>
                  <w:sz w:val="18"/>
                  <w:szCs w:val="18"/>
                  <w:color w:val="000000"/>
                </w:rPr>
                <w:t>.</w:t>
              </w:r>
            </w:hyperlink>
          </w:p>
        </w:tc>
        <w:tc>
          <w:tcPr>
            <w:tcW w:w="6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Arial" w:cs="Arial" w:eastAsia="Arial" w:hAnsi="Arial"/>
                <w:sz w:val="17"/>
                <w:szCs w:val="17"/>
                <w:color w:val="auto"/>
              </w:rPr>
              <w:t>(4.1)</w:t>
            </w:r>
          </w:p>
        </w:tc>
        <w:tc>
          <w:tcPr>
            <w:tcW w:w="23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vMerge w:val="continue"/>
          </w:tcPr>
          <w:p>
            <w:pPr>
              <w:spacing w:after="0"/>
              <w:rPr>
                <w:sz w:val="24"/>
                <w:szCs w:val="24"/>
                <w:color w:val="auto"/>
              </w:rPr>
            </w:pPr>
          </w:p>
        </w:tc>
        <w:tc>
          <w:tcPr>
            <w:tcW w:w="7520" w:type="dxa"/>
            <w:vAlign w:val="bottom"/>
            <w:tcBorders>
              <w:bottom w:val="single" w:sz="8" w:color="0000EE"/>
            </w:tcBorders>
            <w:gridSpan w:val="6"/>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Specimen Common Stock Certificate of CTO Realty Growth, Inc., filed as Exhibit 4.2 to the registrant’s</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6720" w:type="dxa"/>
            <w:vAlign w:val="bottom"/>
            <w:tcBorders>
              <w:bottom w:val="single" w:sz="8" w:color="0000EE"/>
            </w:tcBorders>
            <w:gridSpan w:val="3"/>
          </w:tcPr>
          <w:p>
            <w:pPr>
              <w:spacing w:after="0" w:line="182"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current report on Form 8-K12B filed February 1, 2021, and incorporated herein by reference.</w:t>
              </w:r>
            </w:hyperlink>
          </w:p>
        </w:tc>
        <w:tc>
          <w:tcPr>
            <w:tcW w:w="8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7"/>
                <w:szCs w:val="17"/>
                <w:color w:val="auto"/>
              </w:rPr>
              <w:t>(10.1)†</w:t>
            </w:r>
          </w:p>
        </w:tc>
        <w:tc>
          <w:tcPr>
            <w:tcW w:w="39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Amended 2017 Executive Annual Cash Incentive Plan.</w:t>
            </w:r>
          </w:p>
        </w:tc>
        <w:tc>
          <w:tcPr>
            <w:tcW w:w="3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7"/>
          <w:szCs w:val="17"/>
          <w:color w:val="auto"/>
        </w:rPr>
        <w:t>Exhibit 31.1</w:t>
      </w:r>
      <w:r>
        <w:rPr>
          <w:sz w:val="20"/>
          <w:szCs w:val="20"/>
          <w:color w:val="auto"/>
        </w:rPr>
        <w:tab/>
      </w:r>
      <w:r>
        <w:rPr>
          <w:rFonts w:ascii="Arial" w:cs="Arial" w:eastAsia="Arial" w:hAnsi="Arial"/>
          <w:sz w:val="15"/>
          <w:szCs w:val="15"/>
          <w:u w:val="single" w:color="auto"/>
          <w:color w:val="0000EE"/>
        </w:rPr>
        <w:t>Certification filed pursuant to Section 302 of the Sarbanes-Oxley Act of 2002</w:t>
      </w:r>
      <w:r>
        <w:rPr>
          <w:rFonts w:ascii="Arial" w:cs="Arial" w:eastAsia="Arial" w:hAnsi="Arial"/>
          <w:sz w:val="15"/>
          <w:szCs w:val="15"/>
          <w:color w:val="000000"/>
        </w:rPr>
        <w:t>.</w:t>
      </w:r>
    </w:p>
    <w:p>
      <w:pPr>
        <w:spacing w:after="0" w:line="11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7"/>
          <w:szCs w:val="17"/>
          <w:color w:val="auto"/>
        </w:rPr>
        <w:t>Exhibit 31.2</w:t>
      </w:r>
      <w:r>
        <w:rPr>
          <w:sz w:val="20"/>
          <w:szCs w:val="20"/>
          <w:color w:val="auto"/>
        </w:rPr>
        <w:tab/>
      </w:r>
      <w:r>
        <w:rPr>
          <w:rFonts w:ascii="Arial" w:cs="Arial" w:eastAsia="Arial" w:hAnsi="Arial"/>
          <w:sz w:val="15"/>
          <w:szCs w:val="15"/>
          <w:u w:val="single" w:color="auto"/>
          <w:color w:val="0000EE"/>
        </w:rPr>
        <w:t>Certification filed pursuant to Section 302 of the Sarbanes-Oxley Act of 2002</w:t>
      </w:r>
      <w:r>
        <w:rPr>
          <w:rFonts w:ascii="Arial" w:cs="Arial" w:eastAsia="Arial" w:hAnsi="Arial"/>
          <w:sz w:val="15"/>
          <w:szCs w:val="15"/>
          <w:color w:val="000000"/>
        </w:rPr>
        <w:t>.</w:t>
      </w:r>
    </w:p>
    <w:p>
      <w:pPr>
        <w:spacing w:after="0" w:line="115" w:lineRule="exact"/>
        <w:rPr>
          <w:sz w:val="20"/>
          <w:szCs w:val="20"/>
          <w:color w:val="auto"/>
        </w:rPr>
      </w:pPr>
    </w:p>
    <w:p>
      <w:pPr>
        <w:ind w:left="1380" w:right="659" w:hanging="1336"/>
        <w:spacing w:after="0" w:line="241" w:lineRule="auto"/>
        <w:tabs>
          <w:tab w:leader="none" w:pos="1360" w:val="left"/>
        </w:tabs>
        <w:rPr>
          <w:sz w:val="20"/>
          <w:szCs w:val="20"/>
          <w:color w:val="auto"/>
        </w:rPr>
      </w:pPr>
      <w:r>
        <w:rPr>
          <w:rFonts w:ascii="Arial" w:cs="Arial" w:eastAsia="Arial" w:hAnsi="Arial"/>
          <w:sz w:val="17"/>
          <w:szCs w:val="17"/>
          <w:color w:val="auto"/>
        </w:rPr>
        <w:t>*Exhibit 32.1</w:t>
      </w:r>
      <w:r>
        <w:rPr>
          <w:sz w:val="20"/>
          <w:szCs w:val="20"/>
          <w:color w:val="auto"/>
        </w:rPr>
        <w:tab/>
      </w:r>
      <w:r>
        <w:rPr>
          <w:rFonts w:ascii="Arial" w:cs="Arial" w:eastAsia="Arial" w:hAnsi="Arial"/>
          <w:sz w:val="17"/>
          <w:szCs w:val="17"/>
          <w:u w:val="single" w:color="auto"/>
          <w:color w:val="0000EE"/>
        </w:rPr>
        <w:t>Certification furnished pursuant to 18 U.S.C. Section 1350, as Adopted pursuant to Section 906 of the Sarbanes-Oxley Act of 2002</w:t>
      </w:r>
      <w:r>
        <w:rPr>
          <w:rFonts w:ascii="Arial" w:cs="Arial" w:eastAsia="Arial" w:hAnsi="Arial"/>
          <w:sz w:val="17"/>
          <w:szCs w:val="17"/>
          <w:color w:val="000000"/>
        </w:rPr>
        <w:t>.</w:t>
      </w:r>
    </w:p>
    <w:p>
      <w:pPr>
        <w:spacing w:after="0" w:line="93" w:lineRule="exact"/>
        <w:rPr>
          <w:sz w:val="20"/>
          <w:szCs w:val="20"/>
          <w:color w:val="auto"/>
        </w:rPr>
      </w:pPr>
    </w:p>
    <w:p>
      <w:pPr>
        <w:ind w:left="1380" w:right="659" w:hanging="1336"/>
        <w:spacing w:after="0" w:line="241" w:lineRule="auto"/>
        <w:tabs>
          <w:tab w:leader="none" w:pos="1360" w:val="left"/>
        </w:tabs>
        <w:rPr>
          <w:sz w:val="20"/>
          <w:szCs w:val="20"/>
          <w:color w:val="auto"/>
        </w:rPr>
      </w:pPr>
      <w:r>
        <w:rPr>
          <w:rFonts w:ascii="Arial" w:cs="Arial" w:eastAsia="Arial" w:hAnsi="Arial"/>
          <w:sz w:val="17"/>
          <w:szCs w:val="17"/>
          <w:color w:val="auto"/>
        </w:rPr>
        <w:t>*Exhibit 32.2</w:t>
      </w:r>
      <w:r>
        <w:rPr>
          <w:sz w:val="20"/>
          <w:szCs w:val="20"/>
          <w:color w:val="auto"/>
        </w:rPr>
        <w:tab/>
      </w:r>
      <w:r>
        <w:rPr>
          <w:rFonts w:ascii="Arial" w:cs="Arial" w:eastAsia="Arial" w:hAnsi="Arial"/>
          <w:sz w:val="17"/>
          <w:szCs w:val="17"/>
          <w:u w:val="single" w:color="auto"/>
          <w:color w:val="0000EE"/>
        </w:rPr>
        <w:t>Certification furnished pursuant to 18 U.S.C. Section 1350, as Adopted pursuant to Section 906 of the Sarbanes-Oxley Act of 2002</w:t>
      </w:r>
      <w:r>
        <w:rPr>
          <w:rFonts w:ascii="Arial" w:cs="Arial" w:eastAsia="Arial" w:hAnsi="Arial"/>
          <w:sz w:val="17"/>
          <w:szCs w:val="17"/>
          <w:color w:val="000000"/>
        </w:rPr>
        <w:t>.</w:t>
      </w:r>
    </w:p>
    <w:p>
      <w:pPr>
        <w:spacing w:after="0" w:line="93"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7"/>
          <w:szCs w:val="17"/>
          <w:color w:val="auto"/>
        </w:rPr>
        <w:t>Exhibit 101.INS</w:t>
      </w:r>
      <w:r>
        <w:rPr>
          <w:sz w:val="20"/>
          <w:szCs w:val="20"/>
          <w:color w:val="auto"/>
        </w:rPr>
        <w:tab/>
      </w:r>
      <w:r>
        <w:rPr>
          <w:rFonts w:ascii="Arial" w:cs="Arial" w:eastAsia="Arial" w:hAnsi="Arial"/>
          <w:sz w:val="16"/>
          <w:szCs w:val="16"/>
          <w:color w:val="auto"/>
        </w:rPr>
        <w:t>Inline XBRL Instance Document</w:t>
      </w:r>
    </w:p>
    <w:p>
      <w:pPr>
        <w:spacing w:after="0" w:line="115"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7"/>
          <w:szCs w:val="17"/>
          <w:color w:val="auto"/>
        </w:rPr>
        <w:t>Exhibit 101.SCH</w:t>
      </w:r>
      <w:r>
        <w:rPr>
          <w:sz w:val="20"/>
          <w:szCs w:val="20"/>
          <w:color w:val="auto"/>
        </w:rPr>
        <w:tab/>
      </w:r>
      <w:r>
        <w:rPr>
          <w:rFonts w:ascii="Arial" w:cs="Arial" w:eastAsia="Arial" w:hAnsi="Arial"/>
          <w:sz w:val="15"/>
          <w:szCs w:val="15"/>
          <w:color w:val="auto"/>
        </w:rPr>
        <w:t>Inline XBRL Taxonomy Extension Schema Document</w:t>
      </w:r>
    </w:p>
    <w:p>
      <w:pPr>
        <w:spacing w:after="0" w:line="115" w:lineRule="exact"/>
        <w:rPr>
          <w:sz w:val="20"/>
          <w:szCs w:val="20"/>
          <w:color w:val="auto"/>
        </w:rPr>
      </w:pPr>
    </w:p>
    <w:p>
      <w:pPr>
        <w:ind w:left="60" w:right="2979"/>
        <w:spacing w:after="0" w:line="405" w:lineRule="auto"/>
        <w:rPr>
          <w:sz w:val="20"/>
          <w:szCs w:val="20"/>
          <w:color w:val="auto"/>
        </w:rPr>
      </w:pPr>
      <w:r>
        <w:rPr>
          <w:rFonts w:ascii="Arial" w:cs="Arial" w:eastAsia="Arial" w:hAnsi="Arial"/>
          <w:sz w:val="16"/>
          <w:szCs w:val="16"/>
          <w:color w:val="auto"/>
        </w:rPr>
        <w:t>Exhibit 101.CAL Inline XBRL Taxonomy Extension Calculation Linkbase Document Exhibit 101.DEF Inline XBRL Taxonomy Definition Linkbase Document</w:t>
      </w:r>
    </w:p>
    <w:p>
      <w:pPr>
        <w:ind w:left="60" w:right="2919"/>
        <w:spacing w:after="0" w:line="405" w:lineRule="auto"/>
        <w:rPr>
          <w:sz w:val="20"/>
          <w:szCs w:val="20"/>
          <w:color w:val="auto"/>
        </w:rPr>
      </w:pPr>
      <w:r>
        <w:rPr>
          <w:rFonts w:ascii="Arial" w:cs="Arial" w:eastAsia="Arial" w:hAnsi="Arial"/>
          <w:sz w:val="16"/>
          <w:szCs w:val="16"/>
          <w:color w:val="auto"/>
        </w:rPr>
        <w:t>Exhibit 101.LAB Inline XBRL Taxonomy Extension Label Linkbase Document Exhibit 101.PRE Inline XBRL Taxonomy Extension Presentation Linkbase Document</w:t>
      </w:r>
    </w:p>
    <w:p>
      <w:pPr>
        <w:ind w:left="60"/>
        <w:spacing w:after="0"/>
        <w:tabs>
          <w:tab w:leader="none" w:pos="1360" w:val="left"/>
        </w:tabs>
        <w:rPr>
          <w:sz w:val="20"/>
          <w:szCs w:val="20"/>
          <w:color w:val="auto"/>
        </w:rPr>
      </w:pPr>
      <w:r>
        <w:rPr>
          <w:rFonts w:ascii="Arial" w:cs="Arial" w:eastAsia="Arial" w:hAnsi="Arial"/>
          <w:sz w:val="17"/>
          <w:szCs w:val="17"/>
          <w:color w:val="auto"/>
        </w:rPr>
        <w:t>Exhibit 104</w:t>
      </w:r>
      <w:r>
        <w:rPr>
          <w:sz w:val="20"/>
          <w:szCs w:val="20"/>
          <w:color w:val="auto"/>
        </w:rPr>
        <w:tab/>
      </w:r>
      <w:r>
        <w:rPr>
          <w:rFonts w:ascii="Arial" w:cs="Arial" w:eastAsia="Arial" w:hAnsi="Arial"/>
          <w:sz w:val="15"/>
          <w:szCs w:val="15"/>
          <w:color w:val="auto"/>
        </w:rPr>
        <w:t>Cover Page Interactive Data File (embedded within the Inline XBRL document)</w:t>
      </w:r>
    </w:p>
    <w:p>
      <w:pPr>
        <w:spacing w:after="0" w:line="199" w:lineRule="exact"/>
        <w:rPr>
          <w:sz w:val="20"/>
          <w:szCs w:val="20"/>
          <w:color w:val="auto"/>
        </w:rPr>
      </w:pPr>
    </w:p>
    <w:p>
      <w:pPr>
        <w:jc w:val="both"/>
        <w:ind w:left="380" w:right="79" w:hanging="330"/>
        <w:spacing w:after="0" w:line="259"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308"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7"/>
          <w:szCs w:val="17"/>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4400"/>
        <w:spacing w:after="0"/>
        <w:rPr>
          <w:rFonts w:ascii="Arial" w:cs="Arial" w:eastAsia="Arial" w:hAnsi="Arial"/>
          <w:sz w:val="17"/>
          <w:szCs w:val="17"/>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Matthew M. Partridge, Senior Vice President,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20"/>
          <w:szCs w:val="20"/>
          <w:b w:val="1"/>
          <w:bCs w:val="1"/>
          <w:color w:val="auto"/>
        </w:rPr>
        <w:t>Exhibit 10.1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CTO REALTY GROWTH,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2017 EXECUTIVE ANNUAL CASH INCENTIVE PLAN</w:t>
      </w:r>
    </w:p>
    <w:p>
      <w:pPr>
        <w:spacing w:after="0" w:line="209" w:lineRule="exact"/>
        <w:rPr>
          <w:sz w:val="20"/>
          <w:szCs w:val="20"/>
          <w:color w:val="auto"/>
        </w:rPr>
      </w:pPr>
    </w:p>
    <w:p>
      <w:pPr>
        <w:jc w:val="both"/>
        <w:ind w:left="200" w:right="219" w:firstLine="657"/>
        <w:spacing w:after="0" w:line="289" w:lineRule="auto"/>
        <w:tabs>
          <w:tab w:leader="none" w:pos="1496"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Purpose. </w:t>
      </w:r>
      <w:r>
        <w:rPr>
          <w:rFonts w:ascii="Arial" w:cs="Arial" w:eastAsia="Arial" w:hAnsi="Arial"/>
          <w:sz w:val="19"/>
          <w:szCs w:val="19"/>
          <w:color w:val="auto"/>
        </w:rPr>
        <w:t>The purpose of the CTO Realty Growth, Inc. 2017 Executive Annual</w:t>
      </w:r>
      <w:r>
        <w:rPr>
          <w:rFonts w:ascii="Arial" w:cs="Arial" w:eastAsia="Arial" w:hAnsi="Arial"/>
          <w:sz w:val="19"/>
          <w:szCs w:val="19"/>
          <w:b w:val="1"/>
          <w:bCs w:val="1"/>
          <w:color w:val="auto"/>
        </w:rPr>
        <w:t xml:space="preserve"> </w:t>
      </w:r>
      <w:r>
        <w:rPr>
          <w:rFonts w:ascii="Arial" w:cs="Arial" w:eastAsia="Arial" w:hAnsi="Arial"/>
          <w:sz w:val="19"/>
          <w:szCs w:val="19"/>
          <w:color w:val="auto"/>
        </w:rPr>
        <w:t>Cash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is to create a mutuality of interest between the senior officers and the shareholders of CTO Realty Growth, Inc. (the “</w:t>
      </w:r>
      <w:r>
        <w:rPr>
          <w:rFonts w:ascii="Arial" w:cs="Arial" w:eastAsia="Arial" w:hAnsi="Arial"/>
          <w:sz w:val="19"/>
          <w:szCs w:val="19"/>
          <w:u w:val="single" w:color="auto"/>
          <w:color w:val="auto"/>
        </w:rPr>
        <w:t>Company</w:t>
      </w:r>
      <w:r>
        <w:rPr>
          <w:rFonts w:ascii="Arial" w:cs="Arial" w:eastAsia="Arial" w:hAnsi="Arial"/>
          <w:sz w:val="19"/>
          <w:szCs w:val="19"/>
          <w:color w:val="auto"/>
        </w:rPr>
        <w:t>”) through an annual cash incentive compensation structure designed to reward actions that will increase long-term shareholder value.</w:t>
      </w:r>
    </w:p>
    <w:p>
      <w:pPr>
        <w:spacing w:after="0" w:line="162" w:lineRule="exact"/>
        <w:rPr>
          <w:rFonts w:ascii="Arial" w:cs="Arial" w:eastAsia="Arial" w:hAnsi="Arial"/>
          <w:sz w:val="19"/>
          <w:szCs w:val="19"/>
          <w:color w:val="auto"/>
        </w:rPr>
      </w:pPr>
    </w:p>
    <w:p>
      <w:pPr>
        <w:jc w:val="both"/>
        <w:ind w:left="200" w:right="219" w:firstLine="657"/>
        <w:spacing w:after="0" w:line="235" w:lineRule="auto"/>
        <w:tabs>
          <w:tab w:leader="none" w:pos="1496"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Eligibility. </w:t>
      </w:r>
      <w:r>
        <w:rPr>
          <w:rFonts w:ascii="Arial" w:cs="Arial" w:eastAsia="Arial" w:hAnsi="Arial"/>
          <w:sz w:val="22"/>
          <w:szCs w:val="22"/>
          <w:color w:val="auto"/>
        </w:rPr>
        <w:t>The participants in the Plan shall be those eligible Company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(each, a “</w:t>
      </w:r>
      <w:r>
        <w:rPr>
          <w:rFonts w:ascii="Arial" w:cs="Arial" w:eastAsia="Arial" w:hAnsi="Arial"/>
          <w:sz w:val="22"/>
          <w:szCs w:val="22"/>
          <w:u w:val="single" w:color="auto"/>
          <w:color w:val="auto"/>
        </w:rPr>
        <w:t>CTO Officer</w:t>
      </w:r>
      <w:r>
        <w:rPr>
          <w:rFonts w:ascii="Arial" w:cs="Arial" w:eastAsia="Arial" w:hAnsi="Arial"/>
          <w:sz w:val="22"/>
          <w:szCs w:val="22"/>
          <w:color w:val="auto"/>
        </w:rPr>
        <w:t>”) whose participation in the Plan has been approved by the Compensation Committee (the “</w:t>
      </w:r>
      <w:r>
        <w:rPr>
          <w:rFonts w:ascii="Arial" w:cs="Arial" w:eastAsia="Arial" w:hAnsi="Arial"/>
          <w:sz w:val="22"/>
          <w:szCs w:val="22"/>
          <w:u w:val="single" w:color="auto"/>
          <w:color w:val="auto"/>
        </w:rPr>
        <w:t>Committee</w:t>
      </w:r>
      <w:r>
        <w:rPr>
          <w:rFonts w:ascii="Arial" w:cs="Arial" w:eastAsia="Arial" w:hAnsi="Arial"/>
          <w:sz w:val="22"/>
          <w:szCs w:val="22"/>
          <w:color w:val="auto"/>
        </w:rPr>
        <w:t>”) of 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of the Company. Except as set forth in Section 11, to be eligible, the CTO Officer must be employed by the Company or one of its subsidiaries as a full-time employee from January 1 through December 31 of the incentive plan year (each, a “</w:t>
      </w:r>
      <w:r>
        <w:rPr>
          <w:rFonts w:ascii="Arial" w:cs="Arial" w:eastAsia="Arial" w:hAnsi="Arial"/>
          <w:sz w:val="22"/>
          <w:szCs w:val="22"/>
          <w:u w:val="single" w:color="auto"/>
          <w:color w:val="auto"/>
        </w:rPr>
        <w:t>Plan Year</w:t>
      </w:r>
      <w:r>
        <w:rPr>
          <w:rFonts w:ascii="Arial" w:cs="Arial" w:eastAsia="Arial" w:hAnsi="Arial"/>
          <w:sz w:val="22"/>
          <w:szCs w:val="22"/>
          <w:color w:val="auto"/>
        </w:rPr>
        <w:t>”), unless otherwise recommended by the Committee and approved by the Board.</w:t>
      </w:r>
    </w:p>
    <w:p>
      <w:pPr>
        <w:spacing w:after="0" w:line="210" w:lineRule="exact"/>
        <w:rPr>
          <w:rFonts w:ascii="Arial" w:cs="Arial" w:eastAsia="Arial" w:hAnsi="Arial"/>
          <w:sz w:val="22"/>
          <w:szCs w:val="22"/>
          <w:color w:val="auto"/>
        </w:rPr>
      </w:pPr>
    </w:p>
    <w:p>
      <w:pPr>
        <w:jc w:val="both"/>
        <w:ind w:left="200" w:right="219" w:firstLine="657"/>
        <w:spacing w:after="0" w:line="273" w:lineRule="auto"/>
        <w:tabs>
          <w:tab w:leader="none" w:pos="1496"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Administration of Plan. </w:t>
      </w:r>
      <w:r>
        <w:rPr>
          <w:rFonts w:ascii="Arial" w:cs="Arial" w:eastAsia="Arial" w:hAnsi="Arial"/>
          <w:sz w:val="19"/>
          <w:szCs w:val="19"/>
          <w:color w:val="auto"/>
        </w:rPr>
        <w:t>The Plan shall be administered by the Committee.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have the authority to select CTO Officers to participate in the Plan (each, a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Participant</w:t>
      </w:r>
      <w:r>
        <w:rPr>
          <w:rFonts w:ascii="Arial" w:cs="Arial" w:eastAsia="Arial" w:hAnsi="Arial"/>
          <w:sz w:val="19"/>
          <w:szCs w:val="19"/>
          <w:color w:val="auto"/>
        </w:rPr>
        <w:t>”), to make awards, to establish performance metrics and goals for such metrics, to determine the payout percentage for various levels of achievement regarding such goals, to determine other terms and conditions of awards under the Plan, to establish and amend rules and regulations relating to the Plan, and to make all other determinations necessary and advisable for the administration of the Plan. The Committee may correct any defect, supply any omission or reconcile any inconsistency in the Plan or any award in the manner and to the extent it shall deem desirable to carry it into effect. All decisions made by the Committee pursuant to the Plan shall be made in the Committee’s sole and absolute discretion and shall be final and binding on officers, Plan Participants, and the Company.</w:t>
      </w:r>
    </w:p>
    <w:p>
      <w:pPr>
        <w:spacing w:after="0" w:line="182" w:lineRule="exact"/>
        <w:rPr>
          <w:rFonts w:ascii="Arial" w:cs="Arial" w:eastAsia="Arial" w:hAnsi="Arial"/>
          <w:sz w:val="19"/>
          <w:szCs w:val="19"/>
          <w:color w:val="auto"/>
        </w:rPr>
      </w:pPr>
    </w:p>
    <w:p>
      <w:pPr>
        <w:jc w:val="both"/>
        <w:ind w:left="200" w:right="219" w:firstLine="657"/>
        <w:spacing w:after="0" w:line="247" w:lineRule="auto"/>
        <w:tabs>
          <w:tab w:leader="none" w:pos="1496"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 xml:space="preserve">Individual Target Awards. </w:t>
      </w:r>
      <w:r>
        <w:rPr>
          <w:rFonts w:ascii="Arial" w:cs="Arial" w:eastAsia="Arial" w:hAnsi="Arial"/>
          <w:sz w:val="21"/>
          <w:szCs w:val="21"/>
          <w:color w:val="auto"/>
        </w:rPr>
        <w:t>For each Plan Year, the Committee shall establish, for</w:t>
      </w:r>
      <w:r>
        <w:rPr>
          <w:rFonts w:ascii="Arial" w:cs="Arial" w:eastAsia="Arial" w:hAnsi="Arial"/>
          <w:sz w:val="21"/>
          <w:szCs w:val="21"/>
          <w:b w:val="1"/>
          <w:bCs w:val="1"/>
          <w:color w:val="auto"/>
        </w:rPr>
        <w:t xml:space="preserve"> </w:t>
      </w:r>
      <w:r>
        <w:rPr>
          <w:rFonts w:ascii="Arial" w:cs="Arial" w:eastAsia="Arial" w:hAnsi="Arial"/>
          <w:sz w:val="21"/>
          <w:szCs w:val="21"/>
          <w:color w:val="auto"/>
        </w:rPr>
        <w:t>each Plan Participant (taking into account any applicable employment agreement), an individual target award opportunity (each, an “</w:t>
      </w:r>
      <w:r>
        <w:rPr>
          <w:rFonts w:ascii="Arial" w:cs="Arial" w:eastAsia="Arial" w:hAnsi="Arial"/>
          <w:sz w:val="21"/>
          <w:szCs w:val="21"/>
          <w:u w:val="single" w:color="auto"/>
          <w:color w:val="auto"/>
        </w:rPr>
        <w:t>Individual Target Opportunity</w:t>
      </w:r>
      <w:r>
        <w:rPr>
          <w:rFonts w:ascii="Arial" w:cs="Arial" w:eastAsia="Arial" w:hAnsi="Arial"/>
          <w:sz w:val="21"/>
          <w:szCs w:val="21"/>
          <w:color w:val="auto"/>
        </w:rPr>
        <w:t>”) equal to a percentage of such Plan Participant’s annual base salary. For purposes of the Plan, “base salary” means a Plan Participant’s regular base pay, excluding cash and equity-based incentive compensation, discretionary bonuses, health or welfare benefits, 401(k) plan matching contributions and other similar payments or benefits.</w:t>
      </w:r>
    </w:p>
    <w:p>
      <w:pPr>
        <w:spacing w:after="0" w:line="204" w:lineRule="exact"/>
        <w:rPr>
          <w:rFonts w:ascii="Arial" w:cs="Arial" w:eastAsia="Arial" w:hAnsi="Arial"/>
          <w:sz w:val="21"/>
          <w:szCs w:val="21"/>
          <w:color w:val="auto"/>
        </w:rPr>
      </w:pPr>
    </w:p>
    <w:p>
      <w:pPr>
        <w:jc w:val="both"/>
        <w:ind w:left="200" w:right="219" w:firstLine="657"/>
        <w:spacing w:after="0" w:line="289" w:lineRule="auto"/>
        <w:tabs>
          <w:tab w:leader="none" w:pos="1496"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Multipliers. </w:t>
      </w:r>
      <w:r>
        <w:rPr>
          <w:rFonts w:ascii="Arial" w:cs="Arial" w:eastAsia="Arial" w:hAnsi="Arial"/>
          <w:sz w:val="19"/>
          <w:szCs w:val="19"/>
          <w:color w:val="auto"/>
        </w:rPr>
        <w:t>For each Plan Year, the Committee shall establish, for each Plan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(taking into account any applicable employment agreement), a payout schedule setting forth the “threshold,” “target” and “maximum” multipliers (collectively, the “</w:t>
      </w:r>
      <w:r>
        <w:rPr>
          <w:rFonts w:ascii="Arial" w:cs="Arial" w:eastAsia="Arial" w:hAnsi="Arial"/>
          <w:sz w:val="19"/>
          <w:szCs w:val="19"/>
          <w:u w:val="single" w:color="auto"/>
          <w:color w:val="auto"/>
        </w:rPr>
        <w:t>Multipliers</w:t>
      </w:r>
      <w:r>
        <w:rPr>
          <w:rFonts w:ascii="Arial" w:cs="Arial" w:eastAsia="Arial" w:hAnsi="Arial"/>
          <w:sz w:val="19"/>
          <w:szCs w:val="19"/>
          <w:color w:val="auto"/>
        </w:rPr>
        <w:t>”) that will be used to calculate such Plan Participant’s Annual Incentive Award (as defined below).</w:t>
      </w:r>
    </w:p>
    <w:p>
      <w:pPr>
        <w:spacing w:after="0" w:line="162" w:lineRule="exact"/>
        <w:rPr>
          <w:rFonts w:ascii="Arial" w:cs="Arial" w:eastAsia="Arial" w:hAnsi="Arial"/>
          <w:sz w:val="19"/>
          <w:szCs w:val="19"/>
          <w:color w:val="auto"/>
        </w:rPr>
      </w:pPr>
    </w:p>
    <w:p>
      <w:pPr>
        <w:jc w:val="both"/>
        <w:ind w:left="200" w:right="219" w:firstLine="657"/>
        <w:spacing w:after="0" w:line="289" w:lineRule="auto"/>
        <w:tabs>
          <w:tab w:leader="none" w:pos="1496"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Performance Metrics and Weighting. </w:t>
      </w:r>
      <w:r>
        <w:rPr>
          <w:rFonts w:ascii="Arial" w:cs="Arial" w:eastAsia="Arial" w:hAnsi="Arial"/>
          <w:sz w:val="19"/>
          <w:szCs w:val="19"/>
          <w:color w:val="auto"/>
        </w:rPr>
        <w:t>For each Plan Year, the Committee shall</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 performance metrics (the “</w:t>
      </w:r>
      <w:r>
        <w:rPr>
          <w:rFonts w:ascii="Arial" w:cs="Arial" w:eastAsia="Arial" w:hAnsi="Arial"/>
          <w:sz w:val="19"/>
          <w:szCs w:val="19"/>
          <w:u w:val="single" w:color="auto"/>
          <w:color w:val="auto"/>
        </w:rPr>
        <w:t>Performance Metrics</w:t>
      </w:r>
      <w:r>
        <w:rPr>
          <w:rFonts w:ascii="Arial" w:cs="Arial" w:eastAsia="Arial" w:hAnsi="Arial"/>
          <w:sz w:val="19"/>
          <w:szCs w:val="19"/>
          <w:color w:val="auto"/>
        </w:rPr>
        <w:t>”) and the percentage weighting of each Performance Metric (the “</w:t>
      </w:r>
      <w:r>
        <w:rPr>
          <w:rFonts w:ascii="Arial" w:cs="Arial" w:eastAsia="Arial" w:hAnsi="Arial"/>
          <w:sz w:val="19"/>
          <w:szCs w:val="19"/>
          <w:u w:val="single" w:color="auto"/>
          <w:color w:val="auto"/>
        </w:rPr>
        <w:t>Weighting</w:t>
      </w:r>
      <w:r>
        <w:rPr>
          <w:rFonts w:ascii="Arial" w:cs="Arial" w:eastAsia="Arial" w:hAnsi="Arial"/>
          <w:sz w:val="19"/>
          <w:szCs w:val="19"/>
          <w:color w:val="auto"/>
        </w:rPr>
        <w:t>”) which will be utilized to measure the performance of the Plan Participants during a Plan Year. The Performance Metrics, together with the Goals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309245</wp:posOffset>
            </wp:positionV>
            <wp:extent cx="545211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200" w:right="219"/>
        <w:spacing w:after="0" w:line="272" w:lineRule="auto"/>
        <w:rPr>
          <w:sz w:val="20"/>
          <w:szCs w:val="20"/>
          <w:color w:val="auto"/>
        </w:rPr>
      </w:pPr>
      <w:r>
        <w:rPr>
          <w:rFonts w:ascii="Arial" w:cs="Arial" w:eastAsia="Arial" w:hAnsi="Arial"/>
          <w:sz w:val="19"/>
          <w:szCs w:val="19"/>
          <w:color w:val="auto"/>
        </w:rPr>
        <w:t xml:space="preserve">defined below) established annually for each Performance Metric, will be designed to incentivize those actions by CTO Officers that best serve the short and long-term interests of the Company’s shareholders. In addition, for each Plan Year, the Weighting of the individual Performance Metrics will be such that the total Weighting of all Performance Metrics shall equal 100%. The Committee shall have discretion in establishing the Performance Metrics;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it is the desire and intent of the Board that (a) the majority of the Weighting each Plan Year will be attributable to Performance Metrics that are objective, measurable and transparent, and (b) that the remaining portion of the Weighting will be attributable to qualitative Performance Metrics</w:t>
      </w:r>
      <w:r>
        <w:rPr>
          <w:rFonts w:ascii="Arial" w:cs="Arial" w:eastAsia="Arial" w:hAnsi="Arial"/>
          <w:sz w:val="19"/>
          <w:szCs w:val="19"/>
          <w:color w:val="7030A0"/>
        </w:rPr>
        <w:t>.</w:t>
      </w:r>
      <w:r>
        <w:rPr>
          <w:rFonts w:ascii="Arial" w:cs="Arial" w:eastAsia="Arial" w:hAnsi="Arial"/>
          <w:sz w:val="19"/>
          <w:szCs w:val="19"/>
          <w:color w:val="auto"/>
        </w:rPr>
        <w:t xml:space="preserve"> Examples of Performance Metrics that the Committee may establish are those listed in the Company’s Fourth Amended and Restated 2010 Equity Incentive Plan, as may be amended from time to time (or any successor plan) (the “</w:t>
      </w:r>
      <w:r>
        <w:rPr>
          <w:rFonts w:ascii="Arial" w:cs="Arial" w:eastAsia="Arial" w:hAnsi="Arial"/>
          <w:sz w:val="19"/>
          <w:szCs w:val="19"/>
          <w:u w:val="single" w:color="auto"/>
          <w:color w:val="auto"/>
        </w:rPr>
        <w:t>Equity Plan</w:t>
      </w:r>
      <w:r>
        <w:rPr>
          <w:rFonts w:ascii="Arial" w:cs="Arial" w:eastAsia="Arial" w:hAnsi="Arial"/>
          <w:sz w:val="19"/>
          <w:szCs w:val="19"/>
          <w:color w:val="auto"/>
        </w:rPr>
        <w:t>”), as well as financial and other metrics that the Committee may deem appropriate to accomplish the purposes of the Plan.</w:t>
      </w:r>
    </w:p>
    <w:p>
      <w:pPr>
        <w:spacing w:after="0" w:line="188"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9"/>
          <w:szCs w:val="19"/>
          <w:color w:val="auto"/>
        </w:rPr>
        <w:t>The Board and the Committee anticipate that as the Company executes its strategic business plan, or as a result of a change in the Company’s business, operations, corporate structure or capital structure, or the manner in which the Company conducts its business, or other events or circumstances, that it may be appropriate, at the commencement of each year when the Committee establishes the Performance Metrics and Weighting thereof, to make modifications thereto, in whole or in part, as the Committee deems appropriate and equitable.</w:t>
      </w:r>
    </w:p>
    <w:p>
      <w:pPr>
        <w:spacing w:after="0" w:line="171" w:lineRule="exact"/>
        <w:rPr>
          <w:sz w:val="20"/>
          <w:szCs w:val="20"/>
          <w:color w:val="auto"/>
        </w:rPr>
      </w:pPr>
    </w:p>
    <w:p>
      <w:pPr>
        <w:jc w:val="both"/>
        <w:ind w:left="200" w:right="219" w:firstLine="657"/>
        <w:spacing w:after="0" w:line="274" w:lineRule="auto"/>
        <w:tabs>
          <w:tab w:leader="none" w:pos="1496"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Annual Goals</w:t>
      </w:r>
      <w:r>
        <w:rPr>
          <w:rFonts w:ascii="Arial" w:cs="Arial" w:eastAsia="Arial" w:hAnsi="Arial"/>
          <w:sz w:val="19"/>
          <w:szCs w:val="19"/>
          <w:color w:val="auto"/>
        </w:rPr>
        <w:t>. As provided below in Section 10, for each Plan Year,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establish, with respect to each Performance Metric, a “threshold,” “target” and “maximum” goal or level of achievement (the “</w:t>
      </w:r>
      <w:r>
        <w:rPr>
          <w:rFonts w:ascii="Arial" w:cs="Arial" w:eastAsia="Arial" w:hAnsi="Arial"/>
          <w:sz w:val="19"/>
          <w:szCs w:val="19"/>
          <w:u w:val="single" w:color="auto"/>
          <w:color w:val="auto"/>
        </w:rPr>
        <w:t>Goals</w:t>
      </w:r>
      <w:r>
        <w:rPr>
          <w:rFonts w:ascii="Arial" w:cs="Arial" w:eastAsia="Arial" w:hAnsi="Arial"/>
          <w:sz w:val="19"/>
          <w:szCs w:val="19"/>
          <w:color w:val="auto"/>
        </w:rPr>
        <w:t>”). The “threshold” Goal means the minimum level of achievement of the Performance Metrics required for an Annual Incentive Award to be earned and paid; the “target” Goal means the level of achievement of the Performance Metrics required for the target Annual Incentive Award to be earned and paid; and the “maximum” Goal means the level of achievement of the Performance Metrics required for the maximum Annual Incentive Award to be earned and paid. Straight-line linear interpolation will be used to determine amounts earned and paid based on achievement levels between the “threshold” and “target” Goals and between the “target” and “maximum” Goals.</w:t>
      </w:r>
    </w:p>
    <w:p>
      <w:pPr>
        <w:spacing w:after="0" w:line="178" w:lineRule="exact"/>
        <w:rPr>
          <w:rFonts w:ascii="Arial" w:cs="Arial" w:eastAsia="Arial" w:hAnsi="Arial"/>
          <w:sz w:val="19"/>
          <w:szCs w:val="19"/>
          <w:b w:val="1"/>
          <w:bCs w:val="1"/>
          <w:color w:val="auto"/>
        </w:rPr>
      </w:pPr>
    </w:p>
    <w:p>
      <w:pPr>
        <w:jc w:val="both"/>
        <w:ind w:left="200" w:right="219" w:firstLine="657"/>
        <w:spacing w:after="0" w:line="273" w:lineRule="auto"/>
        <w:tabs>
          <w:tab w:leader="none" w:pos="1496"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Overall Performance Levels. </w:t>
      </w:r>
      <w:r>
        <w:rPr>
          <w:rFonts w:ascii="Arial" w:cs="Arial" w:eastAsia="Arial" w:hAnsi="Arial"/>
          <w:sz w:val="19"/>
          <w:szCs w:val="19"/>
          <w:color w:val="auto"/>
        </w:rPr>
        <w:t>At the conclusion of each Plan Year,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determine, for each Plan Participant, the Overall Performance Level achieved and the corresponding Multiplier to be applied to such Plan Participant’s Individual Target Opportunity for such Plan Year. The “</w:t>
      </w:r>
      <w:r>
        <w:rPr>
          <w:rFonts w:ascii="Arial" w:cs="Arial" w:eastAsia="Arial" w:hAnsi="Arial"/>
          <w:sz w:val="19"/>
          <w:szCs w:val="19"/>
          <w:u w:val="single" w:color="auto"/>
          <w:color w:val="auto"/>
        </w:rPr>
        <w:t>Overall Performance Level</w:t>
      </w:r>
      <w:r>
        <w:rPr>
          <w:rFonts w:ascii="Arial" w:cs="Arial" w:eastAsia="Arial" w:hAnsi="Arial"/>
          <w:sz w:val="19"/>
          <w:szCs w:val="19"/>
          <w:color w:val="auto"/>
        </w:rPr>
        <w:t>” means the sum of the weighted actual achievement of the “target,” “threshold” and “maximum” Goals for the various Performance Metrics for such Plan Year; provided, however, in the event the level of achievement with respect to any Performance Metric exceeds the “maximum” Goal, the Committee shall have discretion to allocate such excess achievement to any other Performance Metric where the level of achievement for such other Performance Metric did not reach the “maximum” Goal. Straight-line linear interpolation will be used where Overall Performance Level falls between the “threshold” and “target” Goals and between the “target” and “maximum” Goals.</w:t>
      </w:r>
    </w:p>
    <w:p>
      <w:pPr>
        <w:spacing w:after="0" w:line="182" w:lineRule="exact"/>
        <w:rPr>
          <w:rFonts w:ascii="Arial" w:cs="Arial" w:eastAsia="Arial" w:hAnsi="Arial"/>
          <w:sz w:val="19"/>
          <w:szCs w:val="19"/>
          <w:color w:val="auto"/>
        </w:rPr>
      </w:pPr>
    </w:p>
    <w:p>
      <w:pPr>
        <w:jc w:val="both"/>
        <w:ind w:left="200" w:right="219" w:firstLine="657"/>
        <w:spacing w:after="0" w:line="300" w:lineRule="auto"/>
        <w:tabs>
          <w:tab w:leader="none" w:pos="1550"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Calculation of Annual Incentive Awards. </w:t>
      </w:r>
      <w:r>
        <w:rPr>
          <w:rFonts w:ascii="Arial" w:cs="Arial" w:eastAsia="Arial" w:hAnsi="Arial"/>
          <w:sz w:val="19"/>
          <w:szCs w:val="19"/>
          <w:color w:val="auto"/>
        </w:rPr>
        <w:t>The amount of each Plan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actual annual incentive award that will be earned by and paid to such Plan Participant (the “</w:t>
      </w:r>
      <w:r>
        <w:rPr>
          <w:rFonts w:ascii="Arial" w:cs="Arial" w:eastAsia="Arial" w:hAnsi="Arial"/>
          <w:sz w:val="19"/>
          <w:szCs w:val="19"/>
          <w:u w:val="single" w:color="auto"/>
          <w:color w:val="auto"/>
        </w:rPr>
        <w:t>Annual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Incentive Award</w:t>
      </w:r>
      <w:r>
        <w:rPr>
          <w:rFonts w:ascii="Arial" w:cs="Arial" w:eastAsia="Arial" w:hAnsi="Arial"/>
          <w:sz w:val="19"/>
          <w:szCs w:val="19"/>
          <w:color w:val="auto"/>
        </w:rPr>
        <w:t>”) under the Plan shall be calculated by multiplying such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302895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jc w:val="both"/>
        <w:ind w:left="200" w:right="219"/>
        <w:spacing w:after="0" w:line="238" w:lineRule="auto"/>
        <w:rPr>
          <w:sz w:val="20"/>
          <w:szCs w:val="20"/>
          <w:color w:val="auto"/>
        </w:rPr>
      </w:pPr>
      <w:r>
        <w:rPr>
          <w:rFonts w:ascii="Arial" w:cs="Arial" w:eastAsia="Arial" w:hAnsi="Arial"/>
          <w:sz w:val="22"/>
          <w:szCs w:val="22"/>
          <w:color w:val="auto"/>
        </w:rPr>
        <w:t>Individual Target Opportunity by the applicable Multiplier associated with the Overall Performance Level. Annual Incentive Awards will be paid in the year following the applicable Plan Year, but no earlier than the date of the filing of the Company’s annual report on Form 10-K for the applicable Plan Year.</w:t>
      </w:r>
    </w:p>
    <w:p>
      <w:pPr>
        <w:spacing w:after="0" w:line="206" w:lineRule="exact"/>
        <w:rPr>
          <w:sz w:val="20"/>
          <w:szCs w:val="20"/>
          <w:color w:val="auto"/>
        </w:rPr>
      </w:pPr>
    </w:p>
    <w:p>
      <w:pPr>
        <w:jc w:val="both"/>
        <w:ind w:left="200" w:right="219" w:firstLine="657"/>
        <w:spacing w:after="0" w:line="273" w:lineRule="auto"/>
        <w:tabs>
          <w:tab w:leader="none" w:pos="1496" w:val="left"/>
        </w:tabs>
        <w:numPr>
          <w:ilvl w:val="1"/>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Committee Procedure. </w:t>
      </w:r>
      <w:r>
        <w:rPr>
          <w:rFonts w:ascii="Arial" w:cs="Arial" w:eastAsia="Arial" w:hAnsi="Arial"/>
          <w:sz w:val="19"/>
          <w:szCs w:val="19"/>
          <w:color w:val="auto"/>
        </w:rPr>
        <w:t>As early as practicable, but in no event later than the 90</w:t>
      </w:r>
      <w:r>
        <w:rPr>
          <w:rFonts w:ascii="Arial" w:cs="Arial" w:eastAsia="Arial" w:hAnsi="Arial"/>
          <w:sz w:val="14"/>
          <w:szCs w:val="14"/>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day of each new Plan Year, the Committee will establish and approve (taking into account any applicable employment agreements) (a) the Performance Metrics that will be utilized for the current Plan Year, (b) for each Performance Metric, a “threshold,” “target” and “maximum” Goal,</w:t>
      </w:r>
    </w:p>
    <w:p>
      <w:pPr>
        <w:spacing w:after="0" w:line="1" w:lineRule="exact"/>
        <w:rPr>
          <w:rFonts w:ascii="Arial" w:cs="Arial" w:eastAsia="Arial" w:hAnsi="Arial"/>
          <w:sz w:val="19"/>
          <w:szCs w:val="19"/>
          <w:color w:val="auto"/>
        </w:rPr>
      </w:pPr>
    </w:p>
    <w:p>
      <w:pPr>
        <w:jc w:val="both"/>
        <w:ind w:left="200" w:right="219" w:firstLine="9"/>
        <w:spacing w:after="0" w:line="243" w:lineRule="auto"/>
        <w:tabs>
          <w:tab w:leader="none" w:pos="551"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the identity of the Plan Participants for the current Plan Year, (d) the Individual Target Opportunity for each Plan Participant, (e) the Weighting of each Performance Metric (it being understood that such Weighting need not be uniform among Plan Participants) and (f) the Multipliers for each Plan Participant. Following completion of the applicable Plan Year, the Committee shall determine and certify the amount of the Annual Incentive Awards to be awarded and paid by the Company to the Plan Participants.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sets forth additional detail regarding the foregoing actions as well as the actions to be taken by the Committee following the completion of a Plan Year.</w:t>
      </w:r>
    </w:p>
    <w:p>
      <w:pPr>
        <w:spacing w:after="0" w:line="206" w:lineRule="exact"/>
        <w:rPr>
          <w:rFonts w:ascii="Arial" w:cs="Arial" w:eastAsia="Arial" w:hAnsi="Arial"/>
          <w:sz w:val="21"/>
          <w:szCs w:val="21"/>
          <w:color w:val="auto"/>
        </w:rPr>
      </w:pPr>
    </w:p>
    <w:p>
      <w:pPr>
        <w:jc w:val="both"/>
        <w:ind w:left="200" w:right="219" w:firstLine="657"/>
        <w:spacing w:after="0" w:line="280" w:lineRule="auto"/>
        <w:tabs>
          <w:tab w:leader="none" w:pos="1496"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If a Plan Participant’s employment is terminated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after December 31 of the applicable Plan Year, such Plan Participant will be deemed to have earned the Annual Incentive Award for the applicable Plan year, irrespective of such termination of employment. The amount of such Annual Incentive Award will be paid at such time as the Annual Incentive Award would have been paid had the termination of employment not occurred, and will be calculated based on actual performance.</w:t>
      </w:r>
    </w:p>
    <w:p>
      <w:pPr>
        <w:spacing w:after="0" w:line="178"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If a Plan Participant experiences a Qualifying Termination (as defined below) prior to or on December 31 of the applicable Plan Year, such Plan Participant shall be entitled to receive a prorated Annual Incentive Award for such Plan Year. A prorated Annual Incentive Award payable under this Section 11 shall be based on the number of days that the Plan Participant was an employee of the Company during the applicable Plan Year prior to and including the date on which the Plan Participant’s termination of employment occurs. For purposes of the Plan, a “</w:t>
      </w:r>
      <w:r>
        <w:rPr>
          <w:rFonts w:ascii="Arial" w:cs="Arial" w:eastAsia="Arial" w:hAnsi="Arial"/>
          <w:sz w:val="19"/>
          <w:szCs w:val="19"/>
          <w:u w:val="single" w:color="auto"/>
          <w:color w:val="auto"/>
        </w:rPr>
        <w:t>Qualifying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w:t>
      </w:r>
      <w:r>
        <w:rPr>
          <w:rFonts w:ascii="Arial" w:cs="Arial" w:eastAsia="Arial" w:hAnsi="Arial"/>
          <w:sz w:val="19"/>
          <w:szCs w:val="19"/>
          <w:color w:val="auto"/>
        </w:rPr>
        <w:t>” means that the Plan Participant’s employment is terminated on or after April 1 of the applicable Plan Year by (a) the Company or one of its affiliates without “Cause” (as such term is defined in such Plan Participant’s employment or similar agreement or, if no such agreement exists, then as defined below) or (b) the Participant for “Good Reason” (as such term is defined in such Plan Participant’s employment or similar agreement or, if no such agreement exists, then as defined below). Any prorated Annual Incentive Awards shall be payable no later than thirty (30) days following the consummation of the Plan Participant’s termination of employment. The amount of the pro rata Annual Incentive Award will be calculated as if the “target” level of achievement had been obtained for each of the Goals. For purposes of the Plan:</w:t>
      </w:r>
    </w:p>
    <w:p>
      <w:pPr>
        <w:spacing w:after="0" w:line="187" w:lineRule="exact"/>
        <w:rPr>
          <w:sz w:val="20"/>
          <w:szCs w:val="20"/>
          <w:color w:val="auto"/>
        </w:rPr>
      </w:pPr>
    </w:p>
    <w:p>
      <w:pPr>
        <w:jc w:val="both"/>
        <w:ind w:left="1500" w:right="219" w:hanging="433"/>
        <w:spacing w:after="0" w:line="282" w:lineRule="auto"/>
        <w:tabs>
          <w:tab w:leader="none" w:pos="15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a Plan Participant’s (i) arrest or conviction for, plea of </w:t>
      </w:r>
      <w:r>
        <w:rPr>
          <w:rFonts w:ascii="Arial" w:cs="Arial" w:eastAsia="Arial" w:hAnsi="Arial"/>
          <w:sz w:val="19"/>
          <w:szCs w:val="19"/>
          <w:i w:val="1"/>
          <w:iCs w:val="1"/>
          <w:color w:val="auto"/>
        </w:rPr>
        <w:t>nolo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contendere </w:t>
      </w:r>
      <w:r>
        <w:rPr>
          <w:rFonts w:ascii="Arial" w:cs="Arial" w:eastAsia="Arial" w:hAnsi="Arial"/>
          <w:sz w:val="19"/>
          <w:szCs w:val="19"/>
          <w:color w:val="auto"/>
        </w:rPr>
        <w:t>to, or admission of the commission of, any act of fraud,</w:t>
      </w:r>
      <w:r>
        <w:rPr>
          <w:rFonts w:ascii="Arial" w:cs="Arial" w:eastAsia="Arial" w:hAnsi="Arial"/>
          <w:sz w:val="19"/>
          <w:szCs w:val="19"/>
          <w:i w:val="1"/>
          <w:iCs w:val="1"/>
          <w:color w:val="auto"/>
        </w:rPr>
        <w:t xml:space="preserve"> </w:t>
      </w:r>
      <w:r>
        <w:rPr>
          <w:rFonts w:ascii="Arial" w:cs="Arial" w:eastAsia="Arial" w:hAnsi="Arial"/>
          <w:sz w:val="19"/>
          <w:szCs w:val="19"/>
          <w:color w:val="auto"/>
        </w:rPr>
        <w:t>misappropriation, or embezzlement, or a criminal felony involving dishonesty or moral turpitude; (ii) breach of any material provision of his or her employment or similar agreement, provided that the Plan Participant is given reasonable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both"/>
        <w:ind w:left="1500" w:right="219"/>
        <w:spacing w:after="0" w:line="275" w:lineRule="auto"/>
        <w:rPr>
          <w:sz w:val="20"/>
          <w:szCs w:val="20"/>
          <w:color w:val="auto"/>
        </w:rPr>
      </w:pPr>
      <w:r>
        <w:rPr>
          <w:rFonts w:ascii="Arial" w:cs="Arial" w:eastAsia="Arial" w:hAnsi="Arial"/>
          <w:sz w:val="19"/>
          <w:szCs w:val="19"/>
          <w:color w:val="auto"/>
        </w:rPr>
        <w:t>and a reasonable opportunity to cure within thirty (30) days of such notice (if such breach is curable), any such breach; (iii) act or intentional omission involving dishonesty or moral turpitude; (iv) material failure to adequately perform his or her duties and responsibilities as such duties and responsibilities are, from time to time, in the Company’s discretion, determined and after reasonable notice of, and a reasonable opportunity to cure within thirty (30) days of such notice (if such breach is curable), any such breach; or (v) intentional independent act that would cause the Company significant reputational injury.</w:t>
      </w:r>
    </w:p>
    <w:p>
      <w:pPr>
        <w:spacing w:after="0" w:line="185" w:lineRule="exact"/>
        <w:rPr>
          <w:sz w:val="20"/>
          <w:szCs w:val="20"/>
          <w:color w:val="auto"/>
        </w:rPr>
      </w:pPr>
    </w:p>
    <w:p>
      <w:pPr>
        <w:jc w:val="both"/>
        <w:ind w:left="1500" w:right="219" w:hanging="493"/>
        <w:spacing w:after="0" w:line="273" w:lineRule="auto"/>
        <w:tabs>
          <w:tab w:leader="none" w:pos="15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 material reduction in a Plan Participant’s compensation or employment related benefits, or a material change in the Plan Participant’s status, working conditions or management responsibilities. The Plan Participant’s termination of employment will not constitute a termination for Good Reason unless (i) the Plan Participant first provides written notice to the Company of the existence of the Good Reason within sixty (60) days following the effective date of the occurrence of the Good Reason, (ii) the Good Reason remains uncorrected by the Company for more than thirty (30) days following such written notice of the Good Reason from the Plan Participant to the Company and (iii) the effective date of the Plan Participant’s termination of employment is within sixty (60) days following the effective date of the occurrence of the Good Reason.</w:t>
      </w:r>
    </w:p>
    <w:p>
      <w:pPr>
        <w:spacing w:after="0" w:line="176" w:lineRule="exact"/>
        <w:rPr>
          <w:rFonts w:ascii="Arial" w:cs="Arial" w:eastAsia="Arial" w:hAnsi="Arial"/>
          <w:sz w:val="19"/>
          <w:szCs w:val="19"/>
          <w:color w:val="auto"/>
        </w:rPr>
      </w:pPr>
    </w:p>
    <w:p>
      <w:pPr>
        <w:jc w:val="both"/>
        <w:ind w:left="200" w:right="219" w:firstLine="657"/>
        <w:spacing w:after="0" w:line="278" w:lineRule="auto"/>
        <w:tabs>
          <w:tab w:leader="none" w:pos="1496"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Participant’s Interests. </w:t>
      </w:r>
      <w:r>
        <w:rPr>
          <w:rFonts w:ascii="Arial" w:cs="Arial" w:eastAsia="Arial" w:hAnsi="Arial"/>
          <w:sz w:val="19"/>
          <w:szCs w:val="19"/>
          <w:color w:val="auto"/>
        </w:rPr>
        <w:t>A Plan Participant’s interest in any Annual Incentive</w:t>
      </w:r>
      <w:r>
        <w:rPr>
          <w:rFonts w:ascii="Arial" w:cs="Arial" w:eastAsia="Arial" w:hAnsi="Arial"/>
          <w:sz w:val="19"/>
          <w:szCs w:val="19"/>
          <w:b w:val="1"/>
          <w:bCs w:val="1"/>
          <w:color w:val="auto"/>
        </w:rPr>
        <w:t xml:space="preserve"> </w:t>
      </w:r>
      <w:r>
        <w:rPr>
          <w:rFonts w:ascii="Arial" w:cs="Arial" w:eastAsia="Arial" w:hAnsi="Arial"/>
          <w:sz w:val="19"/>
          <w:szCs w:val="19"/>
          <w:color w:val="auto"/>
        </w:rPr>
        <w:t>Award shall at all times be reflected on the Company’s books as a general unsecured and unfunded obligation of the Company subject to the terms and conditions of the Plan. The Plan shall not give any person any right or security interest in any asset of the Company or any fund in which any deferred payment is deemed invested. The Company, the Board, and the Committee shall not be responsible for the adequacy of the general assets of the Company to discharge, or required to reserve or set aside funds for, the payment of its obligations hereunder.</w:t>
      </w:r>
    </w:p>
    <w:p>
      <w:pPr>
        <w:spacing w:after="0" w:line="172" w:lineRule="exact"/>
        <w:rPr>
          <w:rFonts w:ascii="Arial" w:cs="Arial" w:eastAsia="Arial" w:hAnsi="Arial"/>
          <w:sz w:val="19"/>
          <w:szCs w:val="19"/>
          <w:color w:val="auto"/>
        </w:rPr>
      </w:pPr>
    </w:p>
    <w:p>
      <w:pPr>
        <w:jc w:val="both"/>
        <w:ind w:left="200" w:right="219" w:firstLine="657"/>
        <w:spacing w:after="0" w:line="247" w:lineRule="auto"/>
        <w:tabs>
          <w:tab w:leader="none" w:pos="1496"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 xml:space="preserve">Non-Alienation of Benefits; Beneficiary Designation. </w:t>
      </w:r>
      <w:r>
        <w:rPr>
          <w:rFonts w:ascii="Arial" w:cs="Arial" w:eastAsia="Arial" w:hAnsi="Arial"/>
          <w:sz w:val="21"/>
          <w:szCs w:val="21"/>
          <w:color w:val="auto"/>
        </w:rPr>
        <w:t>All rights and 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are personal to the Plan Participant, and neither the Plan nor any right or interest of a Plan Participant or any other person arising under the Plan is subject to voluntary or involuntary alienation, sale, transfer or assignment. Subject to the foregoing, the Company shall establish such procedures as it deems necessary for a Plan Participant to designate one or more beneficiaries to whom any payment the Committee determines to make would be payable in the event of the Plan Participant’s death.</w:t>
      </w:r>
    </w:p>
    <w:p>
      <w:pPr>
        <w:spacing w:after="0" w:line="204" w:lineRule="exact"/>
        <w:rPr>
          <w:rFonts w:ascii="Arial" w:cs="Arial" w:eastAsia="Arial" w:hAnsi="Arial"/>
          <w:sz w:val="21"/>
          <w:szCs w:val="21"/>
          <w:color w:val="auto"/>
        </w:rPr>
      </w:pPr>
    </w:p>
    <w:p>
      <w:pPr>
        <w:jc w:val="both"/>
        <w:ind w:left="200" w:right="219" w:firstLine="657"/>
        <w:spacing w:after="0" w:line="239" w:lineRule="auto"/>
        <w:tabs>
          <w:tab w:leader="none" w:pos="1496"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Withholding for Taxes. </w:t>
      </w:r>
      <w:r>
        <w:rPr>
          <w:rFonts w:ascii="Arial" w:cs="Arial" w:eastAsia="Arial" w:hAnsi="Arial"/>
          <w:sz w:val="22"/>
          <w:szCs w:val="22"/>
          <w:color w:val="auto"/>
        </w:rPr>
        <w:t>Notwithstanding any other provisions of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withhold from any payment made by it under the Plan such amount or amounts as may be required for purposes of complying with any federal, state and local tax or withholding requirements.</w:t>
      </w:r>
    </w:p>
    <w:p>
      <w:pPr>
        <w:spacing w:after="0" w:line="207" w:lineRule="exact"/>
        <w:rPr>
          <w:rFonts w:ascii="Arial" w:cs="Arial" w:eastAsia="Arial" w:hAnsi="Arial"/>
          <w:sz w:val="22"/>
          <w:szCs w:val="22"/>
          <w:color w:val="auto"/>
        </w:rPr>
      </w:pPr>
    </w:p>
    <w:p>
      <w:pPr>
        <w:jc w:val="both"/>
        <w:ind w:left="200" w:right="219" w:firstLine="657"/>
        <w:spacing w:after="0" w:line="289" w:lineRule="auto"/>
        <w:tabs>
          <w:tab w:leader="none" w:pos="1496"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Rights of Employees. </w:t>
      </w:r>
      <w:r>
        <w:rPr>
          <w:rFonts w:ascii="Arial" w:cs="Arial" w:eastAsia="Arial" w:hAnsi="Arial"/>
          <w:sz w:val="19"/>
          <w:szCs w:val="19"/>
          <w:color w:val="auto"/>
        </w:rPr>
        <w:t>Nothing in the Plan shall interfere with or limit in any way</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of the Company to terminate a Plan Participant’s employment at any time, or confer upon any Plan Participant any right to continued employment with the Company or any of its subsidiaries or affiliates. A Plan Participant shall not be entitled to any claim or recourse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309245</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both"/>
        <w:ind w:left="200" w:right="219"/>
        <w:spacing w:after="0" w:line="238" w:lineRule="auto"/>
        <w:rPr>
          <w:sz w:val="20"/>
          <w:szCs w:val="20"/>
          <w:color w:val="auto"/>
        </w:rPr>
      </w:pPr>
      <w:r>
        <w:rPr>
          <w:rFonts w:ascii="Arial" w:cs="Arial" w:eastAsia="Arial" w:hAnsi="Arial"/>
          <w:sz w:val="22"/>
          <w:szCs w:val="22"/>
          <w:color w:val="auto"/>
        </w:rPr>
        <w:t>action or inaction by the Company, or any other circumstance or event, including any circumstance or event outside the control of the Plan Participant, adversely affects the ability of the Plan Participant to satisfy a performance goal or in any way prevents the satisfaction of a performance goal.</w:t>
      </w:r>
    </w:p>
    <w:p>
      <w:pPr>
        <w:spacing w:after="0" w:line="206" w:lineRule="exact"/>
        <w:rPr>
          <w:sz w:val="20"/>
          <w:szCs w:val="20"/>
          <w:color w:val="auto"/>
        </w:rPr>
      </w:pPr>
    </w:p>
    <w:p>
      <w:pPr>
        <w:jc w:val="both"/>
        <w:ind w:left="200" w:right="219" w:firstLine="657"/>
        <w:spacing w:after="0" w:line="239" w:lineRule="auto"/>
        <w:tabs>
          <w:tab w:leader="none" w:pos="1496"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Adjustment of Awards. </w:t>
      </w:r>
      <w:r>
        <w:rPr>
          <w:rFonts w:ascii="Arial" w:cs="Arial" w:eastAsia="Arial" w:hAnsi="Arial"/>
          <w:sz w:val="22"/>
          <w:szCs w:val="22"/>
          <w:color w:val="auto"/>
        </w:rPr>
        <w:t>The Committee shall be authorized to make 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method of calculating attainment of Goals in recognition of unusual or nonrecurring events affecting the Company or its consolidated financial statements or changes in applicable laws, regulations or accounting principles.</w:t>
      </w:r>
    </w:p>
    <w:p>
      <w:pPr>
        <w:spacing w:after="0" w:line="207" w:lineRule="exact"/>
        <w:rPr>
          <w:rFonts w:ascii="Arial" w:cs="Arial" w:eastAsia="Arial" w:hAnsi="Arial"/>
          <w:sz w:val="22"/>
          <w:szCs w:val="22"/>
          <w:color w:val="auto"/>
        </w:rPr>
      </w:pPr>
    </w:p>
    <w:p>
      <w:pPr>
        <w:jc w:val="both"/>
        <w:ind w:left="200" w:right="219" w:firstLine="657"/>
        <w:spacing w:after="0" w:line="243" w:lineRule="auto"/>
        <w:tabs>
          <w:tab w:leader="none" w:pos="1496"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Amendment or Termination. </w:t>
      </w:r>
      <w:r>
        <w:rPr>
          <w:rFonts w:ascii="Arial" w:cs="Arial" w:eastAsia="Arial" w:hAnsi="Arial"/>
          <w:sz w:val="22"/>
          <w:szCs w:val="22"/>
          <w:color w:val="auto"/>
        </w:rPr>
        <w:t>The Plan is provided at the discretion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Board. The Board reserves the right to modify or terminate the Plan with or without notice.</w:t>
      </w:r>
    </w:p>
    <w:p>
      <w:pPr>
        <w:spacing w:after="0" w:line="203" w:lineRule="exact"/>
        <w:rPr>
          <w:rFonts w:ascii="Arial" w:cs="Arial" w:eastAsia="Arial" w:hAnsi="Arial"/>
          <w:sz w:val="22"/>
          <w:szCs w:val="22"/>
          <w:color w:val="auto"/>
        </w:rPr>
      </w:pPr>
    </w:p>
    <w:p>
      <w:pPr>
        <w:jc w:val="both"/>
        <w:ind w:left="200" w:right="219" w:firstLine="657"/>
        <w:spacing w:after="0" w:line="270" w:lineRule="auto"/>
        <w:tabs>
          <w:tab w:leader="none" w:pos="1496"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6303A"/>
        </w:rPr>
        <w:t>With respect to payments subject to Section 409A of the Internal</w:t>
      </w:r>
      <w:r>
        <w:rPr>
          <w:rFonts w:ascii="Arial" w:cs="Arial" w:eastAsia="Arial" w:hAnsi="Arial"/>
          <w:sz w:val="19"/>
          <w:szCs w:val="19"/>
          <w:b w:val="1"/>
          <w:bCs w:val="1"/>
          <w:color w:val="auto"/>
        </w:rPr>
        <w:t xml:space="preserve"> </w:t>
      </w:r>
      <w:r>
        <w:rPr>
          <w:rFonts w:ascii="Arial" w:cs="Arial" w:eastAsia="Arial" w:hAnsi="Arial"/>
          <w:sz w:val="19"/>
          <w:szCs w:val="19"/>
          <w:color w:val="26303A"/>
        </w:rPr>
        <w:t>Revenue Code of 1986, as amended, and the rules and regulations thereunder (“</w:t>
      </w:r>
      <w:r>
        <w:rPr>
          <w:rFonts w:ascii="Arial" w:cs="Arial" w:eastAsia="Arial" w:hAnsi="Arial"/>
          <w:sz w:val="19"/>
          <w:szCs w:val="19"/>
          <w:u w:val="single" w:color="auto"/>
          <w:color w:val="26303A"/>
        </w:rPr>
        <w:t>Section 409A</w:t>
      </w:r>
      <w:r>
        <w:rPr>
          <w:rFonts w:ascii="Arial" w:cs="Arial" w:eastAsia="Arial" w:hAnsi="Arial"/>
          <w:sz w:val="19"/>
          <w:szCs w:val="19"/>
          <w:color w:val="26303A"/>
        </w:rPr>
        <w:t>”), the Plan is intended to comply with the requirements of Section 409A, and the provisions of the Plan shall be interpreted in a manner that satisfies the requirements of Section 409A, and the Plan shall be operated accordingly. If any provision of the Plan would otherwise frustrate or conflict with this intent, the provision, term or condition shall be interpreted and deemed amended so as to avoid this conflict. Notwithstanding anything in the Plan to the contrary, if the Board considers a Plan Participant to be a “specified employee” under Section 409A at the time of such Plan Participant’s “separation from service” (as defined in Section 409A), and any amount hereunder is “deferred compensation” subject to Section 409A, any payment that otherwise would be made to such Plan Participant as a result of such “separation from service” shall not be made until the date that is six (6) months after such “separation from service,” except to the extent that earlier distribution would not result in such Plan Participant’s incurring interest or additional tax under Section 409A. If an amount includes a “series of installment payments” (within the meaning of Section 1.409A-2(b)(2)(iii) of the Treasury Regulations), the Plan Participant’s right to such series of installment payments shall be treated as a right to a series of separate payments and not as a right to a single payment. Notwithstanding the foregoing, the tax treatment of the benefits provided under the Plan is not warranted or guaranteed, and in no event shall the Company be liable for all or any portion of any taxes, penalties, interest or other expenses that may be incurred by any Plan Participant on account of non-compliance with Section 409A.</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left="200" w:right="219" w:firstLine="657"/>
        <w:spacing w:after="0" w:line="236" w:lineRule="auto"/>
        <w:tabs>
          <w:tab w:leader="none" w:pos="1496"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Executive Compensation Recovery Policy</w:t>
      </w:r>
      <w:r>
        <w:rPr>
          <w:rFonts w:ascii="Arial" w:cs="Arial" w:eastAsia="Arial" w:hAnsi="Arial"/>
          <w:sz w:val="22"/>
          <w:szCs w:val="22"/>
          <w:color w:val="auto"/>
        </w:rPr>
        <w:t>. Notwithstanding anything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contained herein, any payment received under this Plan by a Plan Participant shall at all times be subject to the Company’s Executive Compensation Recovery Policy, as the same may be amended from time to time in good faith or to comply with applicable rules of the Securities and Exchange Commission or the listing standards of the securities exchange on which the Company’s securities are traded.</w:t>
      </w:r>
    </w:p>
    <w:p>
      <w:pPr>
        <w:spacing w:after="0" w:line="208" w:lineRule="exact"/>
        <w:rPr>
          <w:rFonts w:ascii="Arial" w:cs="Arial" w:eastAsia="Arial" w:hAnsi="Arial"/>
          <w:sz w:val="22"/>
          <w:szCs w:val="22"/>
          <w:color w:val="auto"/>
        </w:rPr>
      </w:pPr>
    </w:p>
    <w:p>
      <w:pPr>
        <w:ind w:left="200" w:right="219" w:firstLine="657"/>
        <w:spacing w:after="0" w:line="256" w:lineRule="auto"/>
        <w:tabs>
          <w:tab w:leader="none" w:pos="1496"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Plan shall be administered, interpreted and enforced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Maryland without regard to conflicts of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635000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ind w:left="200"/>
        <w:spacing w:after="0"/>
        <w:rPr>
          <w:sz w:val="20"/>
          <w:szCs w:val="20"/>
          <w:color w:val="auto"/>
        </w:rPr>
      </w:pPr>
      <w:r>
        <w:rPr>
          <w:rFonts w:ascii="Arial" w:cs="Arial" w:eastAsia="Arial" w:hAnsi="Arial"/>
          <w:sz w:val="19"/>
          <w:szCs w:val="19"/>
          <w:color w:val="auto"/>
        </w:rPr>
        <w:t>Adopted by the Board of Directors on February 22, 2017</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Amended by the Board of Directors on January 24, 2018</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Amended by the Board of Directors on April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608965</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Committee Procedure</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NEW PLAN YEAR</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Prior to the 90</w:t>
      </w:r>
      <w:r>
        <w:rPr>
          <w:rFonts w:ascii="Arial" w:cs="Arial" w:eastAsia="Arial" w:hAnsi="Arial"/>
          <w:sz w:val="16"/>
          <w:szCs w:val="16"/>
          <w:color w:val="auto"/>
        </w:rPr>
        <w:t>th</w:t>
      </w:r>
      <w:r>
        <w:rPr>
          <w:rFonts w:ascii="Arial" w:cs="Arial" w:eastAsia="Arial" w:hAnsi="Arial"/>
          <w:sz w:val="22"/>
          <w:szCs w:val="22"/>
          <w:color w:val="auto"/>
        </w:rPr>
        <w:t xml:space="preserve"> day of a Plan Year, the Committee shall:</w:t>
      </w:r>
    </w:p>
    <w:p>
      <w:pPr>
        <w:spacing w:after="0" w:line="233" w:lineRule="exact"/>
        <w:rPr>
          <w:sz w:val="20"/>
          <w:szCs w:val="20"/>
          <w:color w:val="auto"/>
        </w:rPr>
      </w:pPr>
    </w:p>
    <w:p>
      <w:pPr>
        <w:ind w:left="740" w:hanging="366"/>
        <w:spacing w:after="0"/>
        <w:tabs>
          <w:tab w:leader="none" w:pos="7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Establish the applicable Performance Metrics for the Plan Year.</w:t>
      </w:r>
    </w:p>
    <w:p>
      <w:pPr>
        <w:spacing w:after="0" w:line="233" w:lineRule="exact"/>
        <w:rPr>
          <w:rFonts w:ascii="Arial" w:cs="Arial" w:eastAsia="Arial" w:hAnsi="Arial"/>
          <w:sz w:val="22"/>
          <w:szCs w:val="22"/>
          <w:color w:val="auto"/>
        </w:rPr>
      </w:pPr>
    </w:p>
    <w:p>
      <w:pPr>
        <w:ind w:left="700" w:hanging="326"/>
        <w:spacing w:after="0"/>
        <w:tabs>
          <w:tab w:leader="none" w:pos="7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Establish the “threshold,” “target” and “maximum” Goals for each Performance Metric.</w:t>
      </w:r>
    </w:p>
    <w:p>
      <w:pPr>
        <w:spacing w:after="0" w:line="267" w:lineRule="exact"/>
        <w:rPr>
          <w:rFonts w:ascii="Arial" w:cs="Arial" w:eastAsia="Arial" w:hAnsi="Arial"/>
          <w:sz w:val="19"/>
          <w:szCs w:val="19"/>
          <w:color w:val="auto"/>
        </w:rPr>
      </w:pPr>
    </w:p>
    <w:p>
      <w:pPr>
        <w:ind w:left="700" w:hanging="326"/>
        <w:spacing w:after="0"/>
        <w:tabs>
          <w:tab w:leader="none" w:pos="7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Identify the Plan Participants.</w:t>
      </w:r>
    </w:p>
    <w:p>
      <w:pPr>
        <w:spacing w:after="0" w:line="233" w:lineRule="exact"/>
        <w:rPr>
          <w:rFonts w:ascii="Arial" w:cs="Arial" w:eastAsia="Arial" w:hAnsi="Arial"/>
          <w:sz w:val="22"/>
          <w:szCs w:val="22"/>
          <w:color w:val="auto"/>
        </w:rPr>
      </w:pPr>
    </w:p>
    <w:p>
      <w:pPr>
        <w:ind w:left="700" w:hanging="326"/>
        <w:spacing w:after="0"/>
        <w:tabs>
          <w:tab w:leader="none" w:pos="7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Establish the Individual Target Opportunity for each Plan Participant.</w:t>
      </w:r>
    </w:p>
    <w:p>
      <w:pPr>
        <w:spacing w:after="0" w:line="233" w:lineRule="exact"/>
        <w:rPr>
          <w:rFonts w:ascii="Arial" w:cs="Arial" w:eastAsia="Arial" w:hAnsi="Arial"/>
          <w:sz w:val="22"/>
          <w:szCs w:val="22"/>
          <w:color w:val="auto"/>
        </w:rPr>
      </w:pPr>
    </w:p>
    <w:p>
      <w:pPr>
        <w:ind w:left="700" w:right="999" w:hanging="326"/>
        <w:spacing w:after="0" w:line="250" w:lineRule="auto"/>
        <w:tabs>
          <w:tab w:leader="none" w:pos="7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Determine the Weighting of the Performance Metrics, which may vary between Plan Participants.</w:t>
      </w:r>
    </w:p>
    <w:p>
      <w:pPr>
        <w:spacing w:after="0" w:line="201" w:lineRule="exact"/>
        <w:rPr>
          <w:rFonts w:ascii="Arial" w:cs="Arial" w:eastAsia="Arial" w:hAnsi="Arial"/>
          <w:sz w:val="22"/>
          <w:szCs w:val="22"/>
          <w:color w:val="auto"/>
        </w:rPr>
      </w:pPr>
    </w:p>
    <w:p>
      <w:pPr>
        <w:ind w:left="700" w:hanging="326"/>
        <w:spacing w:after="0"/>
        <w:tabs>
          <w:tab w:leader="none" w:pos="7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Determine the “threshold,” “target” and “maximum” Multipliers for each Plan Participant.</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COMPLETED PLAN YEAR</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9"/>
          <w:szCs w:val="19"/>
          <w:color w:val="auto"/>
        </w:rPr>
        <w:t>As early as practicable, but no later than March 15 following the end of a completed Plan Year, the</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22"/>
          <w:szCs w:val="22"/>
          <w:color w:val="auto"/>
        </w:rPr>
        <w:t>Committee shall:</w:t>
      </w:r>
    </w:p>
    <w:p>
      <w:pPr>
        <w:spacing w:after="0" w:line="215" w:lineRule="exact"/>
        <w:rPr>
          <w:sz w:val="20"/>
          <w:szCs w:val="20"/>
          <w:color w:val="auto"/>
        </w:rPr>
      </w:pPr>
    </w:p>
    <w:p>
      <w:pPr>
        <w:ind w:left="720" w:hanging="346"/>
        <w:spacing w:after="0"/>
        <w:tabs>
          <w:tab w:leader="none" w:pos="7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Calculate the level of achievement of the Goals for each of the Performance Metrics.</w:t>
      </w:r>
    </w:p>
    <w:p>
      <w:pPr>
        <w:spacing w:after="0" w:line="244" w:lineRule="exact"/>
        <w:rPr>
          <w:rFonts w:ascii="Arial" w:cs="Arial" w:eastAsia="Arial" w:hAnsi="Arial"/>
          <w:sz w:val="21"/>
          <w:szCs w:val="21"/>
          <w:color w:val="auto"/>
        </w:rPr>
      </w:pPr>
    </w:p>
    <w:p>
      <w:pPr>
        <w:ind w:left="720" w:right="859" w:hanging="346"/>
        <w:spacing w:after="0" w:line="250" w:lineRule="auto"/>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Determine the Overall Performance Level for each Plan Participant and the applicable Multiplier.</w:t>
      </w:r>
    </w:p>
    <w:p>
      <w:pPr>
        <w:spacing w:after="0" w:line="201" w:lineRule="exact"/>
        <w:rPr>
          <w:rFonts w:ascii="Arial" w:cs="Arial" w:eastAsia="Arial" w:hAnsi="Arial"/>
          <w:sz w:val="22"/>
          <w:szCs w:val="22"/>
          <w:color w:val="auto"/>
        </w:rPr>
      </w:pPr>
    </w:p>
    <w:p>
      <w:pPr>
        <w:ind w:left="720" w:right="399" w:hanging="346"/>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Multiply each Plan Participant’s Individual Target Opportunity by the applicable Multiplier associated with such Plan Participant’s Overall Performance Level to determine such Plan Participant’s Annual Incentive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474980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62" w:name="page63"/>
    <w:bookmarkEnd w:id="6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26, 2023</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26, 2023</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connection with the Quarterly Report of CTO Realty Growth, Inc. (the “Company”) on Form 10-Q for the period ended September 30, 2023,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26, 2023</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5" w:name="page66"/>
    <w:bookmarkEnd w:id="6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159"/>
        <w:spacing w:after="0" w:line="279" w:lineRule="auto"/>
        <w:rPr>
          <w:sz w:val="20"/>
          <w:szCs w:val="20"/>
          <w:color w:val="auto"/>
        </w:rPr>
      </w:pPr>
      <w:r>
        <w:rPr>
          <w:rFonts w:ascii="Arial" w:cs="Arial" w:eastAsia="Arial" w:hAnsi="Arial"/>
          <w:sz w:val="17"/>
          <w:szCs w:val="17"/>
          <w:color w:val="auto"/>
        </w:rPr>
        <w:t>In connection with the Quarterly Report of CTO Realty Growth, Inc. (the “Company”) on Form 10-Q for the period ended September 30,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71" w:lineRule="exact"/>
        <w:rPr>
          <w:sz w:val="20"/>
          <w:szCs w:val="20"/>
          <w:color w:val="auto"/>
        </w:rPr>
      </w:pPr>
    </w:p>
    <w:p>
      <w:pPr>
        <w:ind w:left="1340" w:right="359" w:hanging="642"/>
        <w:spacing w:after="0" w:line="277"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26, 2023</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lowerRoman"/>
      <w:start w:val="4"/>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1)"/>
      <w:numFmt w:val="lowerRoman"/>
      <w:start w:val="4"/>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Roman"/>
      <w:start w:val="4"/>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7"/>
    </w:lvl>
  </w:abstractNum>
  <w:abstractNum w:abstractNumId="33">
    <w:nsid w:val="51EAD36B"/>
    <w:multiLevelType w:val="hybridMultilevel"/>
    <w:lvl w:ilvl="0">
      <w:lvlJc w:val="left"/>
      <w:lvlText w:val="%1"/>
      <w:numFmt w:val="lowerLetter"/>
      <w:start w:val="1"/>
    </w:lvl>
    <w:lvl w:ilvl="1">
      <w:lvlJc w:val="left"/>
      <w:lvlText w:val="%2."/>
      <w:numFmt w:val="decimal"/>
      <w:start w:val="10"/>
    </w:lvl>
  </w:abstractNum>
  <w:abstractNum w:abstractNumId="34">
    <w:nsid w:val="2D517796"/>
    <w:multiLevelType w:val="hybridMultilevel"/>
    <w:lvl w:ilvl="0">
      <w:lvlJc w:val="left"/>
      <w:lvlText w:val="(%1)"/>
      <w:numFmt w:val="lowerLetter"/>
      <w:start w:val="3"/>
    </w:lvl>
    <w:lvl w:ilvl="1">
      <w:lvlJc w:val="left"/>
      <w:lvlText w:val="%2."/>
      <w:numFmt w:val="decimal"/>
      <w:start w:val="11"/>
    </w:lvl>
  </w:abstractNum>
  <w:abstractNum w:abstractNumId="35">
    <w:nsid w:val="580BD78F"/>
    <w:multiLevelType w:val="hybridMultilevel"/>
    <w:lvl w:ilvl="0">
      <w:lvlJc w:val="left"/>
      <w:lvlText w:val="%1."/>
      <w:numFmt w:val="lowerRoman"/>
      <w:start w:val="1"/>
    </w:lvl>
  </w:abstractNum>
  <w:abstractNum w:abstractNumId="36">
    <w:nsid w:val="153EA438"/>
    <w:multiLevelType w:val="hybridMultilevel"/>
    <w:lvl w:ilvl="0">
      <w:lvlJc w:val="left"/>
      <w:lvlText w:val="%1"/>
      <w:numFmt w:val="decimal"/>
      <w:start w:val="1"/>
    </w:lvl>
    <w:lvl w:ilvl="1">
      <w:lvlJc w:val="left"/>
      <w:lvlText w:val="%2."/>
      <w:numFmt w:val="lowerRoman"/>
      <w:start w:val="2"/>
    </w:lvl>
  </w:abstractNum>
  <w:abstractNum w:abstractNumId="37">
    <w:nsid w:val="3855585C"/>
    <w:multiLevelType w:val="hybridMultilevel"/>
    <w:lvl w:ilvl="0">
      <w:lvlJc w:val="left"/>
      <w:lvlText w:val="%1."/>
      <w:numFmt w:val="decimal"/>
      <w:start w:val="12"/>
    </w:lvl>
    <w:lvl w:ilvl="1">
      <w:lvlJc w:val="left"/>
      <w:lvlText w:val="%2"/>
      <w:numFmt w:val="lowerRoman"/>
      <w:start w:val="1"/>
    </w:lvl>
  </w:abstractNum>
  <w:abstractNum w:abstractNumId="38">
    <w:nsid w:val="70A64E2A"/>
    <w:multiLevelType w:val="hybridMultilevel"/>
    <w:lvl w:ilvl="0">
      <w:lvlJc w:val="left"/>
      <w:lvlText w:val="%1."/>
      <w:numFmt w:val="decimal"/>
      <w:start w:val="16"/>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75" Type="http://schemas.openxmlformats.org/officeDocument/2006/relationships/hyperlink" Target="https://www.sec.gov/Archives/edgar/data/0000023795/000119312521023648/d113606dex31.htm" TargetMode="External"/><Relationship Id="rId76" Type="http://schemas.openxmlformats.org/officeDocument/2006/relationships/hyperlink" Target="https://www.sec.gov/Archives/edgar/data/23795/000119312521206336/d124719dex32.htm" TargetMode="External"/><Relationship Id="rId77" Type="http://schemas.openxmlformats.org/officeDocument/2006/relationships/hyperlink" Target="https://www.sec.gov/Archives/edgar/data/23795/000155837023001536/cto-20230216xex3d1.htm" TargetMode="External"/><Relationship Id="rId78" Type="http://schemas.openxmlformats.org/officeDocument/2006/relationships/hyperlink" Target="https://www.sec.gov/Archives/edgar/data/0000023795/000119312521023648/d1136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2023-10-26T15:57:18Z</dcterms:created>
  <dcterms:modified xsi:type="dcterms:W3CDTF">2023-10-26T15:57:18Z</dcterms:modified>
</cp:coreProperties>
</file>