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28,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CTO Realty Growth,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001-11350</w:t>
            </w:r>
          </w:p>
        </w:tc>
        <w:tc>
          <w:tcPr>
            <w:tcW w:w="30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59-0483700</w:t>
            </w:r>
          </w:p>
        </w:tc>
      </w:tr>
      <w:tr>
        <w:trPr>
          <w:trHeight w:val="216"/>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6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incorporation)</w:t>
            </w:r>
          </w:p>
        </w:tc>
        <w:tc>
          <w:tcPr>
            <w:tcW w:w="390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10"/>
        </w:trPr>
        <w:tc>
          <w:tcPr>
            <w:tcW w:w="2680" w:type="dxa"/>
            <w:vAlign w:val="bottom"/>
          </w:tcPr>
          <w:p>
            <w:pPr>
              <w:spacing w:after="0"/>
              <w:rPr>
                <w:sz w:val="24"/>
                <w:szCs w:val="24"/>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369 N. New York Ave.,</w:t>
            </w:r>
          </w:p>
        </w:tc>
        <w:tc>
          <w:tcPr>
            <w:tcW w:w="30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32789</w:t>
            </w:r>
          </w:p>
        </w:tc>
      </w:tr>
      <w:tr>
        <w:trPr>
          <w:trHeight w:val="216"/>
        </w:trPr>
        <w:tc>
          <w:tcPr>
            <w:tcW w:w="26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201</w:t>
            </w:r>
          </w:p>
        </w:tc>
        <w:tc>
          <w:tcPr>
            <w:tcW w:w="30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(Zip Code)</w:t>
            </w:r>
          </w:p>
        </w:tc>
      </w:tr>
      <w:tr>
        <w:trPr>
          <w:trHeight w:val="220"/>
        </w:trPr>
        <w:tc>
          <w:tcPr>
            <w:tcW w:w="2680" w:type="dxa"/>
            <w:vAlign w:val="bottom"/>
          </w:tcPr>
          <w:p>
            <w:pPr>
              <w:spacing w:after="0"/>
              <w:rPr>
                <w:sz w:val="19"/>
                <w:szCs w:val="19"/>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Winter Park, Florida</w:t>
            </w:r>
          </w:p>
        </w:tc>
        <w:tc>
          <w:tcPr>
            <w:tcW w:w="3060" w:type="dxa"/>
            <w:vAlign w:val="bottom"/>
          </w:tcPr>
          <w:p>
            <w:pPr>
              <w:spacing w:after="0"/>
              <w:rPr>
                <w:sz w:val="19"/>
                <w:szCs w:val="19"/>
                <w:color w:val="auto"/>
              </w:rPr>
            </w:pPr>
          </w:p>
        </w:tc>
      </w:tr>
      <w:tr>
        <w:trPr>
          <w:trHeight w:val="234"/>
        </w:trPr>
        <w:tc>
          <w:tcPr>
            <w:tcW w:w="2680" w:type="dxa"/>
            <w:vAlign w:val="bottom"/>
          </w:tcPr>
          <w:p>
            <w:pPr>
              <w:spacing w:after="0"/>
              <w:rPr>
                <w:sz w:val="20"/>
                <w:szCs w:val="20"/>
                <w:color w:val="auto"/>
              </w:rPr>
            </w:pPr>
          </w:p>
        </w:tc>
        <w:tc>
          <w:tcPr>
            <w:tcW w:w="39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(407) 904-3324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spacing w:after="0"/>
              <w:rPr>
                <w:sz w:val="24"/>
                <w:szCs w:val="24"/>
                <w:color w:val="auto"/>
              </w:rPr>
            </w:pPr>
          </w:p>
        </w:tc>
      </w:tr>
      <w:tr>
        <w:trPr>
          <w:trHeight w:val="23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8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CTO</w:t>
            </w:r>
          </w:p>
        </w:tc>
        <w:tc>
          <w:tcPr>
            <w:tcW w:w="1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16"/>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6.375% Series A Cumulative Redeemable Preferred Stock,</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CTO-PA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w:t>
            </w:r>
          </w:p>
        </w:tc>
      </w:tr>
      <w:tr>
        <w:trPr>
          <w:trHeight w:val="238"/>
        </w:trPr>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 par value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October 28, 2026, CTO Realty Growth, Inc. (the “Company”) entered into an equity distribution agreement, in substantially the form attached as Exhibit 1.1 to this Current Report on Form 8-K, and incorporated herein by reference (the “Common Equity Distribution Agreement”), and a master forward confirmation, in substantially the form attached as Exhibit 1.2 to this Current Report on Form 8-K, and incorporated herein by reference, with BofA Securities, Inc. (“BofA”), to include BofA, or its affiliate, as an additional sales agent, forward seller and forward purchaser in the Company’s previously announced at the market common stock offering program, pursuant to which the Company may issue and sell from time to time (the “Common Offering”) shares of the Company’s common stock, par value $0.01 per share, having an aggregate offering price of up to $250,000,000 (the “Common Shares”). The Common Equity Distribution Agreement is substantively identical to the Existing Common Equity Distribution Agreements, as amended by the Common Amendments (each as defined below).</w:t>
      </w:r>
    </w:p>
    <w:p>
      <w:pPr>
        <w:spacing w:after="0" w:line="19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on October 28, 2026, the Company entered into separate amendments, in substantially the form attached as Exhibit 1.3 to this Current Report on Form 8-K, and incorporated herein by reference (collectively, the “Common Amendments”), to each separate equity distribution agreement, dated November 12, 2024, as amended April 29, 2026, with each of A.G.P./Alliance Global Partners, B. Riley Securities, Inc., Robert W. Baird &amp; Co. Incorporated, Jefferies LLC, JonesTrading Institutional Services LLC, KeyBanc Capital Markets Inc., Lucid Capital Markets, LLC, Raymond James &amp; Associates, Inc., Regions Securities LLC, Truist Securities, Inc. and Wells Fargo Securities, LLC, and each separate equity distribution agreement, dated April 29, 2026, with each of Cantor Fitzgerald &amp; Co. and Huntington Securities, Inc. (collectively, the “Existing Common Equity Distribution Agreements”). The purpose of the Common Amendments was to update the Existing Common Equity Distribution Agreements to account for the participation of BofA or its affiliate in the Common Offering.</w:t>
      </w:r>
    </w:p>
    <w:p>
      <w:pPr>
        <w:spacing w:after="0" w:line="19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securities, nor shall there be any sale of the Common Shares in any state or jurisdiction in which such an offer, solicitation or sale would be unlawful prior to registration or qualification under the securities laws of any such state or other jurisdiction.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Common Equity Distribution Agreement, master forward confirmation and Common Amendments is qualified in its entirety by reference to the full text of the Common Equity Distribution Agreement, master forward confirmation and Common Amendments, the forms of which are attached as Exhibit 1.1, Exhibit 1.2 and Exhibit 1.3, respectively, to this Current Report on Form 8-K and incorporated in this Item 8.01 by reference.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10"/>
        </w:trPr>
        <w:tc>
          <w:tcPr>
            <w:tcW w:w="12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38"/>
        </w:trPr>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3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0000EE"/>
            </w:tcBorders>
          </w:tcPr>
          <w:p>
            <w:pPr>
              <w:jc w:val="center"/>
              <w:spacing w:after="0" w:line="169" w:lineRule="exact"/>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tcBorders>
              <w:top w:val="single" w:sz="8" w:color="auto"/>
              <w:bottom w:val="single" w:sz="8" w:color="0000EE"/>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Form of Common Equity Distribution Agreement.</w:t>
            </w:r>
          </w:p>
        </w:tc>
        <w:tc>
          <w:tcPr>
            <w:tcW w:w="6360" w:type="dxa"/>
            <w:vAlign w:val="bottom"/>
            <w:tcBorders>
              <w:top w:val="single" w:sz="8" w:color="auto"/>
            </w:tcBorders>
            <w:gridSpan w:val="2"/>
          </w:tcPr>
          <w:p>
            <w:pPr>
              <w:spacing w:after="0"/>
              <w:rPr>
                <w:sz w:val="14"/>
                <w:szCs w:val="14"/>
                <w:color w:val="auto"/>
              </w:rPr>
            </w:pPr>
          </w:p>
        </w:tc>
      </w:tr>
      <w:tr>
        <w:trPr>
          <w:trHeight w:val="277"/>
        </w:trPr>
        <w:tc>
          <w:tcPr>
            <w:tcW w:w="460" w:type="dxa"/>
            <w:vAlign w:val="bottom"/>
          </w:tcPr>
          <w:p>
            <w:pPr>
              <w:spacing w:after="0"/>
              <w:rPr>
                <w:sz w:val="24"/>
                <w:szCs w:val="24"/>
                <w:color w:val="auto"/>
              </w:rPr>
            </w:pPr>
          </w:p>
        </w:tc>
        <w:tc>
          <w:tcPr>
            <w:tcW w:w="22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9"/>
              </w:rPr>
              <w:t>Form of Master Forward Confirmation.</w:t>
            </w:r>
          </w:p>
        </w:tc>
        <w:tc>
          <w:tcPr>
            <w:tcW w:w="7140" w:type="dxa"/>
            <w:vAlign w:val="bottom"/>
            <w:gridSpan w:val="3"/>
          </w:tcPr>
          <w:p>
            <w:pPr>
              <w:spacing w:after="0"/>
              <w:rPr>
                <w:sz w:val="24"/>
                <w:szCs w:val="24"/>
                <w:color w:val="auto"/>
              </w:rPr>
            </w:pPr>
          </w:p>
        </w:tc>
      </w:tr>
      <w:tr>
        <w:trPr>
          <w:trHeight w:val="277"/>
        </w:trPr>
        <w:tc>
          <w:tcPr>
            <w:tcW w:w="46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3</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Form of Amendment No. 1/2 to Common Equity Distribution Agreement.</w:t>
            </w: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90" w:lineRule="exact"/>
        <w:rPr>
          <w:sz w:val="20"/>
          <w:szCs w:val="20"/>
          <w:color w:val="auto"/>
        </w:rPr>
      </w:pPr>
    </w:p>
    <w:p>
      <w:pPr>
        <w:ind w:left="5580" w:right="4160" w:hanging="5140"/>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Philip R. Mays</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Philip R. Mays</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91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2"/>
        </w:trPr>
        <w:tc>
          <w:tcPr>
            <w:tcW w:w="11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3"/>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DESCRIPTION OF SECURITIES</w:t>
            </w:r>
          </w:p>
        </w:tc>
        <w:tc>
          <w:tcPr>
            <w:tcW w:w="56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SECURITIES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SUSPENSION OF SALES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AND DELIVERY; SETTLEMENT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COVENANTS OF THE COMPANY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EXPENSES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OF THE OBLIGATIONS OF THE MANAGER, THE FORWARD SELLER AND THE FORWARD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180" w:type="dxa"/>
            <w:vAlign w:val="bottom"/>
          </w:tcPr>
          <w:p>
            <w:pPr>
              <w:spacing w:after="0"/>
              <w:rPr>
                <w:sz w:val="20"/>
                <w:szCs w:val="20"/>
                <w:color w:val="auto"/>
              </w:rPr>
            </w:pP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WARRANTIES AND AGREEMENTS TO SURVIVE DELIVERY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AGREEMENT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RECOGNITION OF THE U.S. SPECIAL RESOLUTION REGIMES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FOR SHARE SPLITS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AND TIME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HEADINGS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ANALYST INDEPENDENCE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FREE WRITING PROSPECTUSES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FIDUCIARY RELATIONSHIP</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 TO JURISDICTION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UNENFORCEABILITY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32"/>
        </w:trPr>
        <w:tc>
          <w:tcPr>
            <w:tcW w:w="11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4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Placement Notice</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Individuals for Placement Notices and Acceptances</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Officers’ Certificate of the Company</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Corporate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Tax Opinion of Vinson &amp; Elkins L.L.P.</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of Opinion of Venable LLP</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Permitted Free Writing Prospectus</w:t>
            </w:r>
          </w:p>
        </w:tc>
      </w:tr>
      <w:tr>
        <w:trPr>
          <w:trHeight w:val="432"/>
        </w:trPr>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ind w:left="4640"/>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EQUITY DISTRIBUTION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28,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Seller and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CTO Realty Growth, Inc., a Maryland corporation (the “</w:t>
      </w:r>
      <w:r>
        <w:rPr>
          <w:rFonts w:ascii="Times New Roman" w:cs="Times New Roman" w:eastAsia="Times New Roman" w:hAnsi="Times New Roman"/>
          <w:sz w:val="18"/>
          <w:szCs w:val="18"/>
          <w:u w:val="single" w:color="auto"/>
          <w:color w:val="auto"/>
        </w:rPr>
        <w:t>Compan</w:t>
      </w:r>
      <w:r>
        <w:rPr>
          <w:rFonts w:ascii="Times New Roman" w:cs="Times New Roman" w:eastAsia="Times New Roman" w:hAnsi="Times New Roman"/>
          <w:sz w:val="18"/>
          <w:szCs w:val="18"/>
          <w:color w:val="auto"/>
        </w:rPr>
        <w:t>y”),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 (in its capacity as purchaser under any Forward Contract (as defined below), the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 (in its capacity as agent for the Company and/or principal in connection with the offering and sale of any Issuance Securities (as defined below) hereunder,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(as defined below) hereunder, the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as follows: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DESCRIPTION OF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agrees that, from time to time during the term of this Agreement, on the terms and subject to the conditions set forth herein, the Company may issue and sell, in the manner contemplated by this Agreement,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having an aggregate offering price of up to $250,000,000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Notwithstanding anything to the contrary contained herein, the parties hereto agree that compliance with the limitations set forth in this Section 1 regarding the aggregate offering price of the Securities issued and sold under this Agreement shall be the sole responsibility of the Company, and the Manager or the Forward Seller, as applicable, shall have no obligation in connection with such compliance. The issuance and sale of the Securities through the Manager or the Forward Seller, as applicable, will be effected pursuant to the Registration Statement (as defined below) that was filed by the Company under the Securities Act of 1933, as amended (collectively with the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with the Commission a shelf registration statement on Form S-3 (File No. 333-282678) including a base prospectus, relating to certain securities, including the Securities to be issued from time to time by the Company, which shelf registration statement, including any amendments thereto, was declared effective by the Commission under the Securities Act and which incorporates by reference documents that the Company has filed or will file in accordance with the provisions of the Securities Exchange Act of 1934, as amended, and the rules and regulations of the Commission thereunder (collectively, the “</w:t>
      </w:r>
      <w:r>
        <w:rPr>
          <w:rFonts w:ascii="Times New Roman" w:cs="Times New Roman" w:eastAsia="Times New Roman" w:hAnsi="Times New Roman"/>
          <w:sz w:val="18"/>
          <w:szCs w:val="18"/>
          <w:u w:val="single" w:color="auto"/>
          <w:color w:val="auto"/>
        </w:rPr>
        <w:t>Exchan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Act</w:t>
      </w:r>
      <w:r>
        <w:rPr>
          <w:rFonts w:ascii="Times New Roman" w:cs="Times New Roman" w:eastAsia="Times New Roman" w:hAnsi="Times New Roman"/>
          <w:sz w:val="18"/>
          <w:szCs w:val="18"/>
          <w:color w:val="auto"/>
        </w:rPr>
        <w:t>”). The Company has prepared a prospectus supplement specifically relating to the Securities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to the base prospectus included as part of such registration statement. The Company will furnish to the Manager or the Forward Seller, as applicable, for use by the Manager or the Forward Seller, as applicable, copies of the base prospectus included as part of such registration statement, as supplemented by the Prospectus Supplement, relating to the Securities. Except where the context otherwise requires, such registration statement, on each date and time that such registration statement and any post-effective amendment thereto became or becomes effective, including all documents filed as part thereof or incorporated by reference therein, and including any information contained in a Prospectus (as defined below) subsequently filed with the Commission pursuant to Rule 424(b) of the Securities Act or deemed to be a part of such registration statement pursuant to Rule 430B of the Securities Act, is herein called the “</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istration Statement</w:t>
      </w:r>
      <w:r>
        <w:rPr>
          <w:rFonts w:ascii="Times New Roman" w:cs="Times New Roman" w:eastAsia="Times New Roman" w:hAnsi="Times New Roman"/>
          <w:sz w:val="18"/>
          <w:szCs w:val="18"/>
          <w:color w:val="auto"/>
        </w:rPr>
        <w:t>.” The base prospectus included in the Registration Statement, including all documents incorporated therein by reference, as it may be supplemented by the Prospectus Supplement, in the form in which such prospectus and/or Prospectus Supplement have most recently been filed by the Company with the Commission pursuant to Rule 424(b) of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Company may file one or more additional registration statements (which shall be the Registration Statement) from time to time that will contain a base prospectus and related prospectus or prospectus supplement, if applicable (which shall be the Prospectus Supplement), with respect to the Securities.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any copy filed with the Commission pursuant to the Commission’s Electronic Data Gathering, Analysis and Retrieval system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Securities by the Manager or the Forward Seller outside of the United States. 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respective meanings set forth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Sold Forward Amount</w:t>
      </w:r>
      <w:r>
        <w:rPr>
          <w:rFonts w:ascii="Times New Roman" w:cs="Times New Roman" w:eastAsia="Times New Roman" w:hAnsi="Times New Roman"/>
          <w:sz w:val="18"/>
          <w:szCs w:val="18"/>
          <w:color w:val="auto"/>
        </w:rPr>
        <w:t>” means, for any Forward Hedge Selling Period for any Forward, the number of Forward Hedge Securities that the Forward Seller has sold during such Forward Hedge Selling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Forward Hedge Price</w:t>
      </w:r>
      <w:r>
        <w:rPr>
          <w:rFonts w:ascii="Times New Roman" w:cs="Times New Roman" w:eastAsia="Times New Roman" w:hAnsi="Times New Roman"/>
          <w:sz w:val="18"/>
          <w:szCs w:val="18"/>
          <w:color w:val="auto"/>
        </w:rPr>
        <w:t>” means, with respect to a period, the product of the Actual Sold Forward Amount during such period and the Forward Hedge Price during such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Sales Price</w:t>
      </w:r>
      <w:r>
        <w:rPr>
          <w:rFonts w:ascii="Times New Roman" w:cs="Times New Roman" w:eastAsia="Times New Roman" w:hAnsi="Times New Roman"/>
          <w:sz w:val="18"/>
          <w:szCs w:val="18"/>
          <w:color w:val="auto"/>
        </w:rPr>
        <w:t>” means, with respect to a period, the sum of the Sales Prices for all Issuance Securities or Forward Hedge Securities, as applicable, sold during such 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the time of each sale of any Securities pursuant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Capped Number</w:t>
      </w:r>
      <w:r>
        <w:rPr>
          <w:rFonts w:ascii="Times New Roman" w:cs="Times New Roman" w:eastAsia="Times New Roman" w:hAnsi="Times New Roman"/>
          <w:sz w:val="18"/>
          <w:szCs w:val="18"/>
          <w:color w:val="auto"/>
        </w:rPr>
        <w:t>” with respect to any Forward Contract has the meaning set forth in such Forward Contract.</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date of this Agreement and expiring on the date this Agreement is terminated pursuant to Section 13.</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means the transaction resulting from each Placement Notice (as amended by the corresponding Acceptance, if applicable) specifying that it relates to a “Forward” and requiring the Forward Seller to use commercially reasonable efforts to sell, as specified in such Placement Notice and subject to the terms and conditions of this Agreement and the applicable Forward Contract, the Forward Hedge Securities.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Contract</w:t>
      </w:r>
      <w:r>
        <w:rPr>
          <w:rFonts w:ascii="Times New Roman" w:cs="Times New Roman" w:eastAsia="Times New Roman" w:hAnsi="Times New Roman"/>
          <w:sz w:val="18"/>
          <w:szCs w:val="18"/>
          <w:color w:val="auto"/>
        </w:rPr>
        <w:t>” means, for each Forward, the contract evidencing such Forward between the Company and the Forward Purchaser, which shall be comprised of the Master Forward Confirmation and the related “Supplemental Confirmation” (as defined in the Master Forward Confirmation) for such Forward.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Amount</w:t>
      </w:r>
      <w:r>
        <w:rPr>
          <w:rFonts w:ascii="Times New Roman" w:cs="Times New Roman" w:eastAsia="Times New Roman" w:hAnsi="Times New Roman"/>
          <w:sz w:val="18"/>
          <w:szCs w:val="18"/>
          <w:color w:val="auto"/>
        </w:rPr>
        <w:t>” means, for any Forward, the amount specified as such in the Placement Notice for such Forward (as amended by the corresponding Acceptance, if applicable), which amount shall be the target Aggregate Sales Price of the Forward Hedge Securities to be sold by the Forward Seller in respect of such Forward, subject to the terms and conditions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Price</w:t>
      </w:r>
      <w:r>
        <w:rPr>
          <w:rFonts w:ascii="Times New Roman" w:cs="Times New Roman" w:eastAsia="Times New Roman" w:hAnsi="Times New Roman"/>
          <w:sz w:val="18"/>
          <w:szCs w:val="18"/>
          <w:color w:val="auto"/>
        </w:rPr>
        <w:t>” means, for any Forward Contract, the product of (x) an amount equal to one (1) minus the Forward Hedge Selling Commission Rate for such Forward Contract; and (y) the Volume-Weighted Hedge Price.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Securities</w:t>
      </w:r>
      <w:r>
        <w:rPr>
          <w:rFonts w:ascii="Times New Roman" w:cs="Times New Roman" w:eastAsia="Times New Roman" w:hAnsi="Times New Roman"/>
          <w:sz w:val="18"/>
          <w:szCs w:val="18"/>
          <w:color w:val="auto"/>
        </w:rPr>
        <w:t>” means all Common Stock borrowed by the Forward Purchaser and offered and sold by the Forward Seller in connection with any Forward that has occurred or may occur in accordance with the terms and conditions of this Agreement. Where the context requires, the term “Forward Hedge Securities” as used herein shall include the definition of the same under the Alternative Distribution Agreements.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w:t>
      </w:r>
      <w:r>
        <w:rPr>
          <w:rFonts w:ascii="Times New Roman" w:cs="Times New Roman" w:eastAsia="Times New Roman" w:hAnsi="Times New Roman"/>
          <w:sz w:val="18"/>
          <w:szCs w:val="18"/>
          <w:color w:val="auto"/>
        </w:rPr>
        <w:t>” means, for any Forward Contract, the product of (x) the Forward Hedge Selling Commission Rate for such Forward Contract and (y) the Volume-Weighted Hedge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Hedge Selling Commission Rate</w:t>
      </w:r>
      <w:r>
        <w:rPr>
          <w:rFonts w:ascii="Times New Roman" w:cs="Times New Roman" w:eastAsia="Times New Roman" w:hAnsi="Times New Roman"/>
          <w:sz w:val="18"/>
          <w:szCs w:val="18"/>
          <w:color w:val="auto"/>
        </w:rPr>
        <w:t>” means, for any Forward Contract, a rate mutually agreed to between the Company and the Forward Seller and recorded in the applicable Placement Notice (as amended by the corresponding Acceptance, if applicable), not to exceed 2%.</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Hed</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 Selling Period</w:t>
      </w:r>
      <w:r>
        <w:rPr>
          <w:rFonts w:ascii="Times New Roman" w:cs="Times New Roman" w:eastAsia="Times New Roman" w:hAnsi="Times New Roman"/>
          <w:sz w:val="18"/>
          <w:szCs w:val="18"/>
          <w:color w:val="auto"/>
        </w:rPr>
        <w:t>” means, subject to Section 2(c) hereof, the period of one to 20 consecutive Trading Days (as determined by the Company in the Company’s sole discretion and specified in the applicable Placement Notice (as amended by the corresponding Acceptance, if applicable) specifying that it relates to a “Forward”) beginning on the date specified in the applicable Placement Notice (as amended by the corresponding Acceptance, if applicable) or, if such date is not a Trading Day, the next Trading Day following such date and ending on the last such Trading Day or such earlier date on which the Forward Seller shall have completed the sale of Forward Hedge Securities in connection with the applicable Forward; provided that if, prior to the scheduled end of any Forward Hedge Selling Period (x) any event occurs that would permit the Forward Purchaser to designate a “Scheduled Trading Day” as an “Early Valuation Date” (as each such term is defined in the Master Forward Confirmation) under, and pursuant to the provisions opposite the caption “Early Valuation” in Section 2 of the Master Forward Confirmation or (y) a “Bankruptcy Termination Event” (as such term is defined in the Master Forward Confirmation) occurs, then the Forward Hedge Selling Period shall, upon the Forward Seller becoming aware of such occurrence, immediately terminate as of the first such occurrence. Any Forward Hedge Selling Period then in effect shall immediately terminate upon the termination of this Agreement pursuant to Section 9 or Section 13 hereof and as set forth in Sections 2(b) and 4 hereof.</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has the meaning set forth in the introductory paragraph of this Agreement. If a Forward Purchaser has not been identified in the introductory paragraph of this Agreement, the Company agrees that all provisions of this Agreement related to the Forward Purchaser are not applicable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has the meaning set forth in the introductory paragraph of this Agreement. If a Forward Seller has not been identified in the introductory paragraph of this Agreement, the Company agrees that all provisions of this Agreement related to the Forward Seller are not applicable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means each occasion the Company elects to exercise its right to deliver a Placement Notice that does not involve a Forward and that specifies that it relates to an “Issuance” and requires the Manager to use commercially reasonable efforts to sell the Issuance Securities as specified in such Placement Notice, subject to the terms and conditions of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Selling Period</w:t>
      </w:r>
      <w:r>
        <w:rPr>
          <w:rFonts w:ascii="Times New Roman" w:cs="Times New Roman" w:eastAsia="Times New Roman" w:hAnsi="Times New Roman"/>
          <w:sz w:val="18"/>
          <w:szCs w:val="18"/>
          <w:color w:val="auto"/>
        </w:rPr>
        <w:t>” means the period of one to 20 consecutive Trading Days (as determined by the Company in the Company’s sole discretion and specified in the applicable Placement Notice (as amended by the corresponding Acceptance, if applicable) specifying that it relates to an “Issuance”) beginning on the date specified in the applicable Placement Notice (as amended by the corresponding Acceptance, if applicable) or, if such date is not a Trading Day, the next Trading Day following such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Issuance Securities</w:t>
      </w:r>
      <w:r>
        <w:rPr>
          <w:rFonts w:ascii="Times New Roman" w:cs="Times New Roman" w:eastAsia="Times New Roman" w:hAnsi="Times New Roman"/>
          <w:sz w:val="18"/>
          <w:szCs w:val="18"/>
          <w:color w:val="auto"/>
        </w:rPr>
        <w:t>” means all shares of Common Stock issued or issuable pursuant to an Issuance that has occurred or may occur in accordance with the terms and conditions of this Agreement. Where the context requires, the term “Issuance Securities” as used herein, shall include the definition of the same under the Alternative Distribution Agreements.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xml:space="preserve">” means any “issuer free writing prospectus,” as defined in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and all free writing prospectuses that are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in each case in the form furnished (electronically or otherwise) to the Manager for use in connection with the offering of the Securities.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Forward Confirmation</w:t>
      </w:r>
      <w:r>
        <w:rPr>
          <w:rFonts w:ascii="Times New Roman" w:cs="Times New Roman" w:eastAsia="Times New Roman" w:hAnsi="Times New Roman"/>
          <w:sz w:val="18"/>
          <w:szCs w:val="18"/>
          <w:color w:val="auto"/>
        </w:rPr>
        <w:t>” means the Master Confirmation for Issuer Share Forward Sale Transactions, dated as of the date hereof, by and among the Company and the Forward Purchaser, including all provisions incorporated by reference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Price</w:t>
      </w:r>
      <w:r>
        <w:rPr>
          <w:rFonts w:ascii="Times New Roman" w:cs="Times New Roman" w:eastAsia="Times New Roman" w:hAnsi="Times New Roman"/>
          <w:sz w:val="18"/>
          <w:szCs w:val="18"/>
          <w:color w:val="auto"/>
        </w:rPr>
        <w:t>” means, for each Forward or each Issuance hereunder, the actual sale execution price of each Forward Hedge Security or Issuance Security, as the case may be, sold by the Manager or the Forward Seller on the NYSE hereunder in the case of ordinary brokers’ transactions, or as otherwise agreed by the parties in other methods of sale. Where the context requires, the term “Sales Price” as used herein shall include the definition of the same under the Alternative Distribution Agreements.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means the Sarbanes-Oxley Act of 2002 and the rules and regulations promulgated thereunder or implementing the provisions thereof.</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Issuance Securities and Forward Hedge Securities, as applicable. Where the context requires, the term “Securities” as used herein shall include the definition of the same under the Alternative Distribution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Period</w:t>
      </w:r>
      <w:r>
        <w:rPr>
          <w:rFonts w:ascii="Times New Roman" w:cs="Times New Roman" w:eastAsia="Times New Roman" w:hAnsi="Times New Roman"/>
          <w:sz w:val="18"/>
          <w:szCs w:val="18"/>
          <w:color w:val="auto"/>
        </w:rPr>
        <w:t>” means any Forward Hedge Selling Period or any Issuance Selling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means, unless the Company and the Manager shall otherwise agree, any Forward Hedge Settlement Date or any Issuance Settlement Date,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which is a trading day on the NYSE.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Unwind Date</w:t>
      </w:r>
      <w:r>
        <w:rPr>
          <w:rFonts w:ascii="Times New Roman" w:cs="Times New Roman" w:eastAsia="Times New Roman" w:hAnsi="Times New Roman"/>
          <w:sz w:val="18"/>
          <w:szCs w:val="18"/>
          <w:color w:val="auto"/>
        </w:rPr>
        <w:t>” shall have the meaning set forth in the Master Forward Confirmation.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Volume-Weighted Hedge Price</w:t>
      </w:r>
      <w:r>
        <w:rPr>
          <w:rFonts w:ascii="Times New Roman" w:cs="Times New Roman" w:eastAsia="Times New Roman" w:hAnsi="Times New Roman"/>
          <w:sz w:val="18"/>
          <w:szCs w:val="18"/>
          <w:color w:val="auto"/>
        </w:rPr>
        <w:t>” has the meaning set forth in the Master Forward Confirmation; provided that, for purposes of determining the Aggregate Forward Hedge Price payable to the Forward Purchaser in respect of a Trading Day on which the Forward Seller has made sales of Forward Hedge Securities hereunder pursuant to Sections 3(b) and 6(e), the Volume-Weighted Hedge Price shall be determined solely with respect to the Forward Hedge Securities sold by the Forward Seller on such Trading Day.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Manager has been appointed by the Company as its agent to sell the Issuance Securities and agrees to use commercially reasonable efforts to sell the Issuance Securities offered by the Company upon the terms and subject to the conditions contained herein. The Forward Seller agrees with the Company and the Forward Purchaser to use commercially reasonable efforts to sell the Forward Hedge Securities to be borrowed by the Forward Purchaser upon the terms and subject to the conditions contained herein. Notwithstanding any other provision of this Agreement, if a Forward Seller and Forward Purchaser have not been identified in the introductory paragraph of this Agreement and have not executed this Agreement, the Company agrees that all provisions of this Agreement related to the Forward Seller, the Forward Purchaser and Forwards are not applicable hereunder and no sales of Forward Hedge Securities shall take place pursuant to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separate equity distribution agreements (collectively,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(i) dated as of November 12, 2024, as amended on April 29, 2026 and October 28, 2026, with each of A.G.P./Alliance Global Partners, B. Riley Securities, Inc., Robert W. Baird &amp; Co., Incorporated, Jefferies LLC, JonesTrading Institutional Services LLC, KeyBanc Capital Markets Inc., Lucid Capital Markets, LLC, Raymond James &amp; Associates, Inc., Regions Securities LLC, Truist Securities, Inc. and Wells Fargo Securities, LLC (and, as applicable, their respective affiliates); (ii) dated as of April 29, 2026, as amended on October 28, 2026, with Cantor Fitzgerald &amp; Co. and Huntington Securities, Inc. (and, as applicable, their respective affiliates) and (iii) dated as of October 28, 2026, with BofA Securities, Inc. (and its affiliate, Bank of America, N.A.) (each, in its capacity as agent and/or principal, forward seller and forward purchaser thereunder,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(in the case of the Issuance Securities) or borrowing (in the case of the Forward Hedge Securities) and sale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PLACEMENTS.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Upon the terms and subject to the conditions of this Agreement, on any Trading Day as provided in Section 2(c) hereof during the Commitment Period on which (i) the conditions set forth in Section 9 hereof have been satisfied and (ii) with respect to any Forward, no event described in clause (x) or clause (y) of the proviso contained in the definition of Forward Hedge Selling Period shall have occurred, the Company wishes to issue (in the case of an Issuance) and sell the Securities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by delivery of an email notice (or other method mutually agreed to in writing by the parties) to the Manager (in the case of an Issuance) or the Forward Seller and the Forward Purchaser (in the case of a Forward) containing the parameters in accordance with which it desires the Securities to be sold, which shall at a minimum specify whether it relates to an “Issuance” or a “Forward” and include the number of Securities to be issued (in the case of an Issuance) and/or sold (the “</w:t>
      </w:r>
      <w:r>
        <w:rPr>
          <w:rFonts w:ascii="Times New Roman" w:cs="Times New Roman" w:eastAsia="Times New Roman" w:hAnsi="Times New Roman"/>
          <w:sz w:val="18"/>
          <w:szCs w:val="18"/>
          <w:u w:val="single" w:color="auto"/>
          <w:color w:val="auto"/>
        </w:rPr>
        <w:t>Placement Securities</w:t>
      </w:r>
      <w:r>
        <w:rPr>
          <w:rFonts w:ascii="Times New Roman" w:cs="Times New Roman" w:eastAsia="Times New Roman" w:hAnsi="Times New Roman"/>
          <w:sz w:val="18"/>
          <w:szCs w:val="18"/>
          <w:color w:val="auto"/>
        </w:rPr>
        <w:t>”), the time period during which sales are requested to be made, any limitation on the number of Securities that may be sold in any one day, any minimum price below which sales may not be made or a formula pursuant to which such minimum price shall be determined and, as applicable, certain specified terms of the Forward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a form of which containing such minimum sales parameters necessary with respect to Issuances and Forwards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4" w:lineRule="exact"/>
        <w:rPr>
          <w:sz w:val="20"/>
          <w:szCs w:val="20"/>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the applicable EDA.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(b)           If the Manager or the Forward Seller and the Forward Purchaser, as applicable, wish to accept such proposed terms included in the Placement Notice (which they may decline to do for any reason in their sole discretion) or, following discussion with the Company, wish to accept amended terms, the Manager or the Forward Seller and the Forward Purchaser, as applicable, will, prior to 4:30 p.m. (New York City Time) on the business day following the business day on which such Placement Notice is delivered to the Manager or the Forward Seller and the Forward Purchaser, as applicable, issue to the Company a notice by email (or other method mutually agreed to in writing by the parties) addressed to all of the individuals from the Company and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setting forth the terms that the Manager or the Forward Seller and the Forward Purchaser, as applicable, are willing to accept. Where the terms provided in the Placement Notice are amended as provided for in the immediately preceding sentence, such terms will not be binding on the Company or the Manager or the Forward Seller and the Forward Purchaser, as applicable, until the Company delivers to the Manager or the Forward Seller and the Forward Purchaser, as applicable, an acceptance by email (or other method mutually agreed to in writing by the parties) of all of the terms of such Placement Notice, as amended (the “</w:t>
      </w: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xml:space="preserve">”), which email shall be addressed to all of the individuals from the Company and the Manager or the Forward Seller and the Forward Purchaser, as applicable,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The Placement Notice (as amended by the corresponding Acceptance, if applicable) shall be effective upon receipt by the Company of the Manager’s or the Forward Seller’s and the Forward Purchaser’s, as applicable, acceptance of the terms of the Placement Notice or upon receipt by the Manager or the Forward Seller and the Forward Purchaser, as applicable, of the Company’s Acceptance, as the case may be, unless and until (i) the entire amount of the Placement Securities has been sold, (ii) in accordance with the notice requirements set forth in the second sentence of the prior paragraph, the Company terminates the Placement Notice, (iii) the Company issues a subsequent Placement Notice with parameters superseding those on the earlier dated Placement Notice, (iv) this Agreement has been terminated under the provisions of Section 13 or (v) either party shall have suspended the sale of the Placement Securities in accordance with Section 4 below. The termination of the effectiveness of a Placement Notice as set forth in the prior sentence shall not affect or impair any party’s obligations with respect to any Securities sold hereunder prior to such termination or any Securities sold under any Alternative Distribution Agreement (including, in the case of any Forward Hedge Securities, the obligation to enter into the resulting Forward Contract). It is expressly acknowledged and agreed that neither the Company nor the Manager will have any obligation whatsoever with respect to a Placement or any Placement Securities unless and until the Company delivers a Placement Notice to the Manager and either (i) the Manager accepts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and herein. It is expressly acknowledged and agreed that the Company, the Forward Seller and the Forward Purchaser will have no obligation whatsoever with respect to a Placement or any Placement Securities unless and until the Company delivers a Placement Notice to the Forward Seller and the Forward Purchaser and either (i) the Forward Seller and the Forward Purchaser accept the terms of such Placement Notice or (ii) where the terms of such Placement Notice are amended, the Company accepts such amended terms by means of an Acceptance pursuant to the terms set forth above, and then only upon the terms specified in the Placement Notice (as amended by the corresponding Acceptance, if applicable), this Agreement and the Master Forward Confirmation. In the event of a conflict between the terms of this Agreement and the terms of a Placement Notice (as amended by the corresponding Acceptance, if applicable), the terms of the Placement Notice (as amended by the corresponding Acceptance, if applicable) will control.</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No Placement Notice may be delivered hereunder other than on a Trading Day during the Commitment Period; no Placement Notice may be delivered hereunder if the Selling Period specified therein may overlap in whole or in part with any Selling Period specified in a Placement Notice (as amended by the corresponding Acceptance, if applicable) delivered hereunder or under any Alternative Distribution Agreement unless the Securities to be sold under all such previously delivered Placement Notices have all been sold or all such previously delivered Placement Notices have been terminated or superseded; no Placement Notice may be delivered hereunder or under any Alternative Distribution Agreement if any Selling Period specified therein may overlap in whole or in part with any Unwind Date under any Forward Contract entered into between the Company and the Forward Purchaser or any Alternative Manager; and no Placement Notice specifying that it relates to a “Forward” may be delivered if such Placement Notice, together with all prior Placement Notices (as amended by the corresponding Acceptance, if applicable) delivered by the Company relating to a “Forward” hereunder and under any Alternative Distribution Agreements, would result in the sum of the number of shares of Common Stock issued under all Forward Contracts (whether with a Forward Purchaser or any Alternative Manager) that have settled, plus the Capped Numbers under all Forward Contracts then outstanding or to be entered into between the Company and the Forward Purchaser and any Forward Contracts then outstanding between the Company and any Alternative Manager exceeding 19.99% of the number of shares of Common Stock outstanding as of the date of this Agreement.</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Notwithstanding any other provision of this Agreement, any notice required to be delivered by the Company or by the Manager (in the case of an Issuance) or the Forward Seller and the Forward Purchaser (in the case of a Forward) pursuant to this Section 2 may be delivered by telephone (confirmed promptly by email addressed to all of the individuals from the Company and the Manager (in the case of an Issuance) or the Forward Seller and the Forward Purchaser (in the case of a Forward)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confirmation will be promptly acknowledged by the receiving party) or other method mutually agreed to in writing by the parties. For the avoidance of doubt, notices delivered by telephone shall originate from any of the individuals from the Company or the Manager (in the case of an Issuance) or the Forward Seller and the Forward Purchaser (in the case of a Forward)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SALE OF SECURITIES.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provisions of Sections 2(b) and 6(a), upon the delivery of a Placement Notice (as amended by the corresponding Acceptance, if applicable) specifying that it relates to an “Issuance,” the Manager will use its commercially reasonable efforts consistent with its normal trading and sales practices to sell the Issuance Securities at market prevailing prices up to the amount specified, and otherwise in accordance with the terms of such Placement Notice (as amended by the corresponding Acceptance, if applicable). The Manager will provide written confirmation to the Company no later than the opening of the Trading Day (as defined below) immediately following the Trading Day on which it has made sales of Issuance Securities hereunder setting forth the number of Issuance Securities sold on such day, the corresponding Aggregate Sales Price, the compensation payable by the Company to the Manager pursuant to this Section 3(a) with respect to such sales, and the Net Proceeds payable to the Company, with an itemization of deductions made by the Manager (as set forth in Section 6(b)) from the gross proceeds that it receives from such sales. The amount of any commission, discount or other compensation to be paid by the Company to the Manager, when the Manager is acting as agent, in connection with the sale of the Issuance Securities shall be determined in accordance with the terms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The amount of any commission, discount or other compensation to be paid by the Company to the Manager, when the Manager is acting as principal, in connection with the sale of the Issuance Securities shall be as separately agreed among the parties hereto at the time of any such sales.</w:t>
      </w:r>
    </w:p>
    <w:p>
      <w:pPr>
        <w:spacing w:after="0" w:line="190"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 xml:space="preserve">(b)           Subject to the provisions of Sections 2(b), 6(d) and the Master Forward Confirmation, upon the delivery of a Placement Notice (as amended by the corresponding Acceptance, if applicable) specifying that it relates to a “Forward,” the Forward Purchaser will use commercially reasonable efforts to borrow, offer and sell Forward Hedge Securities through the Forward Seller to hedge the Forward, and the Forward Seller will use its commercially reasonable efforts consistent with its normal trading and sales practices to sell such Forward Hedge Securities at market prevailing prices up to the Forward Hedge Amount specified in such Placement Notice (as amended by the corresponding Acceptance, if applicable), and otherwise in accordance with the terms of such Placement Notice (as amended by the corresponding Acceptance, if applicable). The Forward Seller will provide written confirmation by email to all of the individuals from the Company set forth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(as such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may be amended from time to time) and to the Forward Purchaser no later than the opening of the Trading Day immediately following each Trading Day on which it has made sales of Forward Hedge Securities hereunder setting forth the number of Forward Hedge Securities sold on such day, the Forward Hedge Selling Commission in respect of such Forward Hedge Securities, the corresponding Aggregate Sales Price and the Aggregate Forward Hedge Price payable to the Forward Purchaser in respect thereof.</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(c)           No later than the opening of the Trading Day immediately following the last Trading Day of each Forward Hedge Selling Period (or, if earlier, no later than the opening of the Trading Day immediately following the date on which any Forward Hedge Selling Period is suspended or terminated pursuant to Section 4 or the Forward Contract or this Agreement is terminated pursuant to Section 9 or Section 13 hereof), the Forward Purchaser shall execute and deliver to the Company a “Supplemental Confirmation” in respect of the Forward for such Forward Hedge Selling Period, which “Supplemental Confirmation” shall set forth the “Trade Date” for such Forward (which shall, subject to the terms of the Master Forward Confirmation, be the last Trading Day of such Forward Hedge Selling Period), the “Effective Date” for such Forward (which shall, subject to the terms of the Master Forward Confirmation, be the date one Settlement Cycle (as such term is defined in the Master Forward Confirmation) immediately following the last Trading Day of such Forward Hedge Selling Period), the initial “Number of Shares” for such Forward (which shall be the Actual Sold Forward Amount for such Forward Hedge Selling Period), the “Maturity Date” for such Forward (which shall, subject to the terms of the Master Forward Confirmation, be the date that follows the last Trading Day of such Forward Hedge Selling Period by the number of days or months set forth opposite the caption “Term” in the Placement Notice (as amended by the corresponding Acceptance, if applicable) for such Forward, which number of days or months shall in no event be less than three months nor more than two years), the “Initial Forward Price” for such Forward, the “Spread” for such Forward (as set forth in the related Placement Notice (as amended by the corresponding Acceptance, if applicable)), the “Volume-Weighted Hedge Price” for such Forward, the “Threshold Price” for such Forward, the “Initial Stock Loan Rate” for such Forward (as set forth in the related Placement Notice (as amended by the corresponding Acceptance, if applicable)), the “Maximum Stock Loan Rate” for such Forward (as set forth in the related Placement Notice (as amended by the corresponding Acceptance, if applicable)), the “Forward Price Reduction Dates” for such Forward (which shall be each of the dates set forth below the caption “Forward Price Reduction Dates” in the Placement Notice (as amended by the corresponding Acceptance, if applicable) for such Forward) and the “Forward Price Reduction Amounts” corresponding to such Forward Price Reduction Dates (which shall be each amount set forth opposite each “Forward Price Reduction Date” and below the caption “Forward Price Reduction Amounts” in the Placement Notice (as amended by the corresponding Acceptance, if applicable) for such Forward) and the “Regular Dividend Amounts” for such Forward (which shall be each of the amount(s) set forth below the caption “Regular Dividend Amounts” in the Placement Notice (as amended by the corresponding Acceptance, if applicable) for such Forward).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Notwithstanding anything herein to the contrary, the Forward Purchaser’s obligation to use its commercially reasonable efforts to borrow all or any portion of the Forward Hedge Securities (and the Forward Seller’s obligation to use its commercially reasonable efforts to sell such portion of the Forward Hedge Securities) for any Forward hereunder shall be subject in all respects to the last paragraph of Section 3 of the Master Forward Confirmation.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Securities may be offered and sold by any method permitted by law deemed to be an “at the market” offering as defined in Rule 415, including without limitation sales made directly on the NYSE, on any other existing trading market for the Common Stock or to or through a market maker, or subject to the terms of the Placement Notice (as amended by the corresponding Acceptance, if applicable), by any other method permitted by law, including but not limited to, privately negotiated transactions.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SUSPENSION OF SALES.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the Manager or the Forward Seller or the Forward Purchaser may, upon notice to the other parties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suspend any sale of Securities, and the applicable Selling Period shall immediately terminate;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suspension and termination shall not affect or impair any party’s obligations with respect to any Securities sold hereunder prior to the receipt of such notice or any Securities sold under any Alternative Distribution Agreement (including, in the case of any Forward Hedge Securities, the obligation to enter into the resulting Forward Contract). The Company agrees that no such notice under this Section 4 shall be effective against the Manager, the Forward Seller or the Forward Purchaser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Each of the Manager, the Forward Seller and the Forward Purchaser agrees that no such notice shall be effective against the Company unless it is made to one of the individuals named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such Exhibit may be amended from time to time; provided that the failure by the Manager, the Forward Seller or the Forward Purchaser to deliver such notice shall in no way effect such party’s right to suspend the sale of Securities hereunder.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REPRESENTATIONS AND WARRANTIES.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Manager as of the date hereof and as of each Representation Date (as defined below) on which certificates are required to be delivered pursuant to Section 7(o) hereof, as of each Applicable Time and as of each Settlement Date, as follows: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Company satisfies all of the requirements of the Securities Act for use of Form S-3 for the offering of Securities contemplated hereby and has prepared and filed with the Commission the Registration Statement on Form S-3 (File No. 333-282678). The Registration Statement has been declared effective by the Commission. No stop order suspending the effectiveness of the Registration Statement has been issued by the Commission, and no proceeding for that purpose or pursuant to Section 8A of the Securities Act has been initiated against the Company or, to the knowledge of the Company, threatened by the Commission.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At the time of filing of the Registration Statement, at the time of the most recent amendment thereto for the purposes of complying with Section 10(a)(3) of the Securities Act (whether such amendment was by post-effective amendment, incorporated report filed pursuant to Sections 13 or 15(d) of the Exchange Act or form of prospectus), at the earliest time thereafter that the Company or another offering participant made a bona fide offer (within the meaning of Rule 164(h)(2) under the Securities Act) of the Common Stock, on the date hereof and on each Representation Date, as of each Applicable Time and as of each Settlement Date, the Company was not, is not and will not be (as the case may be) an “ineligible issuer” (as defined in Rule 405).</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The Registration Statement and the Prospectus, when filed and as of their respective dates, complied in all material respects with the Securities Act and, if filed by electronic transmission pursuant to EDGAR (except as may be permitted by Regulation S-T under the Securities Act), was identical to the copies thereof delivered to the Manager and Forward Seller for use in connection with the offer and sale of the Securities. The Registration Statement and any post-effective amendment thereto, at the time it became effective and each deemed effective date with respect to the Manager and Forward Seller pursuant to Rule 430B(f)(2) under the Securities Act and at each Settlement Date, complied and will comply in all material respects with the Securities Act and did not and will not contain any untrue statement of a material fact or omit to state a material fact required to be stated therein or necessary to make the statements therein not misleading; provided, that no representation or warranty is made as to information contained in or omitted from the Registration Statement in reliance upon and in conformity with written information furnished to the Company by or on behalf of the Manager or the Forward Seller specifically for inclusion therein.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Any documents incorporated by reference into the Registration Statement and the Prospectus pursuant to Item 12 of Form S-3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heretofore filed, when they were filed (or, if any amendment with respect to any such document was filed, when such amendment was filed), conformed in all material respects with the requirements of the Exchange Act and the rules and regulations thereunder, and any further Incorporated Documents so filed will, when they are filed, conform in all material respects with the requirements of the Exchange Act and the rules and regulations thereunder; no such Incorporated Document when it was filed (or, if an amendment with respect to any such document was filed, when such amendment was filed), contained an untrue statement of a material fact or omitted to state a material fact necessary to make the statements therein, in light of the circumstances under which they were made, not misleading; and no such further Incorporated Document, when it is filed, will contain an untrue statement of a material fact or will omit to state a material fact required to be stated therein or necessary in order to make the statements therein not misleading.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Prospectus does not and will not, as of its date and on each Representation Date, as of each Applicable Time and as of each Settlement Date, contain an untrue statement of a material fact or omit to state a material fact necessary to make the statements therein, in light of the circumstances under which they were made, not misleading; provided that no representation or warranty is made as to information contained in or omitted from the Prospectus in reliance upon and in conformity with written information furnished to the Company by or on behalf of the Manager or the Forward Seller specifically for inclusion therein.</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            Each Issuer Free Writing Prospectus (including, without limitation, any “road show” (as defined in Rule 433) that is a free writing prospectus under Rule 433) did not contain an untrue statement of a material fact or omit to state a material fact necessary to make the statements therein, in light of the circumstances under which they were made, not misleading.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           Each Issuer Free Writing Prospectus conformed or will conform in all material respects to the requirements of the Securities Act on the date of first use, and the Company has complied with all of its prospectus delivery and any filing requirements applicable to such Issuer Free Writing Prospectus pursuant to the Securities Act. The Company has not made any offer relating to the Securities that would constitute an Issuer Free Writing Prospectus without the prior written consent of the Manager. The Company has retained in accordance with the Securities Act all Issuer Free Writing Prospectuses that were not required to be filed pursuant to the Securities Act.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           The Company has not distributed and, prior to the later to occur of each Settlement Date and completion of the distribution of the Securities, will not distribute any offering material in connection with the offering or sale of the Securities other than the Registration Statement and the Prospectus and any Issuer Free Writing Prospectus to which the Manager has consented, which consent will not be unreasonably withheld or delayed, or that is required by applicable law or the listing maintenance requirements of the NYSE.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A number of shares of Common Stock equal to the Capped Number (as defined in the Forward Contract) have been duly authorized and reserved for issuance upon settlement of the Forward Contract and, when issued and delivered by the Company to the Forward Purchaser pursuant thereto, against payment of any consideration required to be paid by the Forward Purchaser pursuant to the terms of the Forward Contract, the shares of Common Stock so issued and delivered will be validly issued, fully paid and non-assessable, free and clear of any pledge, lien, encumbrance, security interest or other claim, and the issuance of such shares of Common Stock will not be subject to any preemptive or other similar rights arising by operation of law, under the articles of incorporation, bylaws or other organizational documents of the Company or any one of its subsidiaries or under any agreement to which the Company or any one of its subsidiaries is a party or otherwise, except as set forth in the Registration Statement and the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The Company has been duly incorporated and is validly existing as a corporation in good standing under the laws of the State of Maryland and has the requisite corporate power and authority to own, lease and operate its properties (the “</w:t>
      </w:r>
      <w:r>
        <w:rPr>
          <w:rFonts w:ascii="Times New Roman" w:cs="Times New Roman" w:eastAsia="Times New Roman" w:hAnsi="Times New Roman"/>
          <w:sz w:val="18"/>
          <w:szCs w:val="18"/>
          <w:u w:val="single" w:color="auto"/>
          <w:color w:val="auto"/>
        </w:rPr>
        <w:t>Company 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to enter into and perform its obligations under this Agreement. The Company is duly qualified as a foreign corporation to transact business and is in good standing in each other jurisdiction in which such qualification is required, except where the failure to so qualify or to be in good standing would not, individually or in the aggregate, reasonably be expected to have a material adverse effect on the condition (financial or otherwise), business, properties, assets, net worth, results of operations or prospects of the Company and its subsidiaries, taken as a whole (a “Material Adverse Effect”).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Each subsidiary of the Company has been duly incorporated or formed and is validly existing in good standing under the laws of the jurisdiction of its incorporation or formation, and each such subsidiary has the requisite corporate or similar power and authority to own, lease and operate its properties (collectively, with the Company Properties, the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 and to conduct its business as described in the Registration Statement and the Prospectus (and any amendment or supplement thereto) and is duly qualified to transact business and is in good standing in each other jurisdiction in which such qualification is required, except where the failure to so qualify or to be in good standing would not, individually or in the aggregate, reasonably be expected to have a Material Adverse Effect. Except as otherwise disclosed in the Registration Statement and the Prospectus, all of the outstanding shares of capital stock or other ownership interests of each subsidiary of the Company have been duly authorized and validly issued, are (as applicable) fully paid and nonassessable and are owned by the Company, directly or indirectly through subsidiaries, free and clear of any security interests, liens, encumbrances, equities or claims. None of the outstanding shares of capital stock or other ownership interests of any subsidiary of the Company was issued in violation of the preemptive or similar rights of the securityholder of such subsidiary.</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The authorized capitalization of the Company is as set forth in the Registration Statement and the Prospectus as of the dates indicated therein. All the outstanding shares of capital stock of the Company have been duly authorized and validly issued and are fully paid and nonassessable. None of the outstanding shares of capital stock of the Company was issued in violation of the preemptive or similar rights of any securityholder of the Company. Except as described in the Registration Statement and the Prospectus, there are no outstanding options, warrants or similar rights to subscribe for, or contractual obligations to issue, sell, transfer or acquire, any shares of capital stock of the Company or any securities convertible into or exercisable or exchangeable for any shares of capital stock of the Company. The Securities to be issued and sold by the Company pursuant to this Agreement have been duly authorized and, when issued and delivered against full payment therefor in accordance with the terms hereof, will be validly issued, fully paid and nonassessable and will not be issued in violation of the preemptive or similar rights of any securityholder of the Company.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Except as disclosed in the Registration Statement and the Prospectus, the Company has no outstanding stock options or other equity-based awards of or to purchase shares of Common Stock pursuant to an equity-based compensation plan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This Agreement has been duly authorized, executed and delivered by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           This Agreement constitutes a valid and binding agreement of the Company, enforceable against the Company in accordance with its terms, except as may be limited by bankruptcy, insolvency, fraudulent transfer, reorganization, moratorium or similar laws affecting creditors’ rights generally or by general principles of equity, and except to the extent that any indemnification and contribution provisions hereof may be limited by federal or state securities laws or public policy considerations in respect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There are no legal or governmental proceedings pending or, to the knowledge of the Company, threatened, against the Company or any of its subsidiaries or to which the Company or any of its subsidiaries or any of the Properties are subject, that are required to be described in the Registration Statement and the Prospectus (or any amendment or supplement thereto) but are not described as required. Except as described in the Registration Statement and the Prospectus, there are no actions, suits, inquiries, proceedings or investigations by or before any court or governmental or other regulatory or administrative agency or commission pending or, to the knowledge of the Company, threatened against or involving the Company or any of its subsidiaries, which would, individually or in the aggregate, reasonably be expected to have a Material Adverse Effect or prevent or adversely affect the transactions contemplated by this Agreement or the Forward Contract, nor, to the knowledge of the Company, is there any basis for any such action, suit, inquiry, proceeding or investigation. There are no agreements, contracts, indentures, leases or other instruments that are required to be described in the Registration Statement and the Prospectus (or any amendment or supplement thereto) or to be filed as an exhibit to the Registration Statement that are not so described or filed. The Company has not received notice or been made aware that any other party is in breach of or default to the Company or the applicable subsidiary under any of such contracts.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(q)           None of the Company or any of its subsidiaries: is (i) in violation of (A) its articles of incorporation, bylaws, certificate of formation, limited liability company agreement, certificate of limited partnership, partnership agreement or other organizational document, (B) any federal, state or foreign law, ordinance, administrative or governmental rule or regulation applicable to the Company or any of its subsidiaries, or (C) any decree of any federal, state or foreign court or governmental agency or body having jurisdiction over the Company or any of its subsidiaries, except, in the case of</w:t>
      </w:r>
    </w:p>
    <w:p>
      <w:pPr>
        <w:spacing w:after="0" w:line="3" w:lineRule="exact"/>
        <w:rPr>
          <w:sz w:val="20"/>
          <w:szCs w:val="20"/>
          <w:color w:val="auto"/>
        </w:rPr>
      </w:pPr>
    </w:p>
    <w:p>
      <w:pPr>
        <w:jc w:val="both"/>
        <w:ind w:firstLine="8"/>
        <w:spacing w:after="0" w:line="252" w:lineRule="auto"/>
        <w:tabs>
          <w:tab w:leader="none" w:pos="2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for violations that would not, individually or in the aggregate, reasonably be expected to have a Material Adverse Effect; or (ii) in default in the performance of any obligation, agreement or condition contained in (A) any bond, debenture, note or any other evidence of indebtedness or (B) any agreement, contract, indenture, lease or other instrument (each of (A) and (B), an “</w:t>
      </w:r>
      <w:r>
        <w:rPr>
          <w:rFonts w:ascii="Times New Roman" w:cs="Times New Roman" w:eastAsia="Times New Roman" w:hAnsi="Times New Roman"/>
          <w:sz w:val="18"/>
          <w:szCs w:val="18"/>
          <w:u w:val="single" w:color="auto"/>
          <w:color w:val="auto"/>
        </w:rPr>
        <w:t>Existing Instrument</w:t>
      </w:r>
      <w:r>
        <w:rPr>
          <w:rFonts w:ascii="Times New Roman" w:cs="Times New Roman" w:eastAsia="Times New Roman" w:hAnsi="Times New Roman"/>
          <w:sz w:val="18"/>
          <w:szCs w:val="18"/>
          <w:color w:val="auto"/>
        </w:rPr>
        <w:t>”) to which the Company or any of its subsidiaries is a party or by which any of their properties may be bound, except for such defaults which would not, individually or in the aggregate, reasonably be expected to have a Material Adverse Effect; and there does not exist any state of facts that constitutes an event of default on the part of the Company or any of its subsidiaries as defined in such documents or that, with notice or lapse of time or both, would constitute such an event of default.</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(r)            Except as otherwise disclosed in the Registration Statement or the Prospectus, (i) the Company and its subsidiaries and the Properties have been and are in compliance with, and none of the Company or its subsidiaries has any liability under, applicable Environmental Laws (as hereinafter defined), except as would not, individually or in the aggregate, reasonably be expected to have a Material Adverse Effect, (ii) none of the Company, its subsidiaries, or, to the knowledge of the Company, the prior owners or occupants of the Properties has at any time released (as such term is defined in Section 101(22) of the Comprehensive Environmental Response, Compensation and Liability Act of 1980, as amended, 42 U.S.C. §§ 9601-9675 (“</w:t>
      </w:r>
      <w:r>
        <w:rPr>
          <w:rFonts w:ascii="Times New Roman" w:cs="Times New Roman" w:eastAsia="Times New Roman" w:hAnsi="Times New Roman"/>
          <w:sz w:val="18"/>
          <w:szCs w:val="18"/>
          <w:u w:val="single" w:color="auto"/>
          <w:color w:val="auto"/>
        </w:rPr>
        <w:t>CERCLA</w:t>
      </w:r>
      <w:r>
        <w:rPr>
          <w:rFonts w:ascii="Times New Roman" w:cs="Times New Roman" w:eastAsia="Times New Roman" w:hAnsi="Times New Roman"/>
          <w:sz w:val="18"/>
          <w:szCs w:val="18"/>
          <w:color w:val="auto"/>
        </w:rPr>
        <w:t>”)) or otherwise disposed of Hazardous Materials (as hereinafter defined) on, to or from the Properties, except for such releases or dispositions which would not, individually or in the aggregate, reasonably be expected to have a Material Adverse Effect, (iii) the Company does not intend to use the Properties other than in compliance with applicable Environmental Laws, except as would not, individually or in the aggregate, reasonably be expected to have a Material Adverse Effect, (iv) the Company does not know of any seepage, leak, discharge, release, emission, spill, or dumping of Hazardous Materials into waters (including, but not limited to, groundwater and surface water) on or beneath the Properties, or onto lands owned by the Company or its subsidiaries from which Hazardous Materials might seep, flow or drain into such waters, except as would not, individually or in the aggregate, reasonably be expected to have a Material Adverse Effect, (v) none of the Company or its subsidiaries has received any notice of, and the Company has no knowledge of any occurrence or circumstance which, with notice or passage of time or both, would give rise to a claim under or pursuant to any Environmental Law with respect to the Properties or arising out of the conduct of the Company or its subsidiaries, except for such claims which would not, individually or in the aggregate, reasonably be expected to have a Material Adverse Effect and which would not require disclosure pursuant to Environmental Laws and (vi) the Properties are not included or, to the knowledge of the Company, proposed for inclusion on the National Priorities List issued pursuant to CERCLA by the United States Environmental Protection Agency or, to the knowledge of the Company proposed for inclusion on any similar list or inventory issued pursuant to any other applicable Environmental Law or issued by any other governmental authority. Except as described in the Registration Statement and the Prospectus, to the knowledge of the Company, there have been no and are no (i) aboveground or underground storage tanks, (ii) polychlorinated biphenyls (“</w:t>
      </w:r>
      <w:r>
        <w:rPr>
          <w:rFonts w:ascii="Times New Roman" w:cs="Times New Roman" w:eastAsia="Times New Roman" w:hAnsi="Times New Roman"/>
          <w:sz w:val="18"/>
          <w:szCs w:val="18"/>
          <w:u w:val="single" w:color="auto"/>
          <w:color w:val="auto"/>
        </w:rPr>
        <w:t>PCBs</w:t>
      </w:r>
      <w:r>
        <w:rPr>
          <w:rFonts w:ascii="Times New Roman" w:cs="Times New Roman" w:eastAsia="Times New Roman" w:hAnsi="Times New Roman"/>
          <w:sz w:val="18"/>
          <w:szCs w:val="18"/>
          <w:color w:val="auto"/>
        </w:rPr>
        <w:t>”) or PCB-containing equipment, (iii) asbestos or asbestos containing materials, (iv) lead based paints, (v) dry-cleaning facilities, or (vi) wet lands, in each case in, on, or under any of the Properties the existence of which has had, or is reasonably expected to have, a Material Adverse Effect.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           As used herein, “</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shall include, without limitation, any flammable explosives, radioactive materials, hazardous materials, hazardous wastes, toxic substances, including asbestos or any hazardous material as defined by any applicable federal, state or local environmental law, ordinance, statute, rule or regulation including, without limitation, CERCLA, the Hazardous Materials Transportation Act, as amended, 49 U.S.C. §§ 5101-5128, the Solid Waste Disposal Act, as amended, 42 U.S.C. §§ 6901-6992k, the Emergency Planning and Community Right-to-Know Act of 1986, 42 U.S.C. §§ 11001-11050, the Toxic Substances Control Act, 15 U.S.C. §§ 2601-2692, the Federal Insecticide, Fungicide and Rodenticide Act, 7 U.S.C. §§ 136-136y, the Clean Air Act, 42 U.S.C. §§ 7401-7671q, the Clean Water Act (Federal Water Pollution Control Act), 33 U.S.C. §§ 1251-1387, the Safe Drinking Water Act, 42 U.S.C. §§ 300f-300j-26, and the Occupational Safety and Health Act, 29 U.S.C. §§ 651-678, as any of the above statutes may be amended from time to time, and in the regulations promulgated pursuant to any of the foregoing (including environmental statutes not specifically defined herein) (individually, an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or by any federal, state or local governmental authority having or claiming jurisdiction over the Properties and other assets described in the Registration Statement and the Prospectus.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            Except as would not, individually or in the aggregate, reasonably be expected to result in a Material Adverse Effect, (i) to the knowledge of the Company, there has been no security breach or other security compromise of or relating to the Company’s information technology and computer systems, networks, hardware, software, data, trade secrets, or equipment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(ii) the Company’s IT Systems are adequate for, and operate and perform as required in connection with, the operation of the business of the Company as currently conducted and are free and clear of all bugs, errors, defects, Trojan horses, time bombs, malware and other corruptants; and (iii) the Company is presently in compliance with all applicable laws, regulations, contractual obligations and internal policies relating to data privacy and security or personally identifiable information.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           Neither the issuance and sale of the Securities by the Company nor the execution, delivery and performance of this Agreement and the Forward Contract by the Company (i) requires any consent, approval, authorization or other order of or registration or filing with, any court, regulatory body, administrative agency or other governmental body, agency or official, except such as have been already obtained or may be required under the Securities Act, the Exchange Act, the rules of the NYSE, state securities or Blue Sky laws and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(ii) conflicts with or will conflict with or constitutes or will constitute a breach of, or a default under, the organizational documents of the Company or any of its subsidiaries, (iii) constitutes or will constitute a breach of, or a default under, any Existing Instrument to which the Company or any of its subsidiaries is a party or by which any of their properties may be bound, (iv) violates any statute, law, regulation, ruling, filing, judgment, injunction, order or decree applicable to the Company or any of its subsidiaries or any of their properties, or (v) results in a breach of, or default or Debt Repayment Triggering Event (as defined below) under, or results in the creation or imposition of any lien, charge or encumbrance upon any property or assets of the Company or any of its subsidiaries pursuant to, or requires the consent of any other party to, any Existing Instrument, except, (A) with respect to the sale of any Securities offered hereunder, such approvals as have been obtained, or will have been obtained before the first Settlement Date under the Securities Act and the Exchange Act, (B) such approvals as may be required in connection with the approval of the listing of the Securities on the NYSE, (C) such consents, approvals, authorizations, orders, registrations or qualifications, if any, as may be required by FINRA and (D) any necessary qualification under the securities or blue sky laws of the various jurisdictions in which the Securities are being offered by the Manager, the Forward Seller or Forward Purchaser, as applicable, and, with respect to clauses (ii), (iii), (iv) and (v), such conflicts, breaches, defaults, violations, liens, charges or encumbrances that would not, individually or in the aggregate, reasonably be expected to have a Material Adverse Effect. As used herein, a “</w:t>
      </w:r>
      <w:r>
        <w:rPr>
          <w:rFonts w:ascii="Times New Roman" w:cs="Times New Roman" w:eastAsia="Times New Roman" w:hAnsi="Times New Roman"/>
          <w:sz w:val="18"/>
          <w:szCs w:val="18"/>
          <w:u w:val="single" w:color="auto"/>
          <w:color w:val="auto"/>
        </w:rPr>
        <w:t>Debt Repayment Triggering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           Grant Thornton LLP, who has certified certain financial statements and supporting schedules filed as part of the Registration Statement and the Prospectus, is an independent registered public accounting firm as required by the Securities Act and the applicable rules and regulations adopted by the Commission and the Public Company Accounting Oversight Board (United States)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656"/>
        <w:spacing w:after="0" w:line="253" w:lineRule="auto"/>
        <w:tabs>
          <w:tab w:leader="none" w:pos="16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included in the Registration Statement and the Prospectus, together with the related schedules and notes, present fairly in all material respects the financial position of the Company at the dates indicated and the results of operations, changes in equity and cash flows of the Company for the periods specified, and such financial statements have been prepared in conformity with U.S. generally accepted accounting principles (“GAAP”) applied on a consistent basis throughout the periods presented. Except as included or incorporated by reference in the Registration Statement and the Prospectus, no historical or pro forma financial statements or supporting schedules are required to be included in the Registration Statement or the Prospectus under the Securities Act. All disclosures contained or incorporated by reference in the Registration Statement or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 The interactive data in eXtensible Business Reporting Language included or incorporated by reference in the Registration Statement fairly present the information called for in all material respects and have been prepared in accordance with the Commission’s rules and guidelines applicable thereto</w:t>
      </w:r>
    </w:p>
    <w:p>
      <w:pPr>
        <w:spacing w:after="0" w:line="19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(x)            Except as disclosed in the Registration Statement and the Prospectus, since the date of the most recent audited financial statements included in the Registration Statement and the Prospectus (or any amendment or supplement thereto), (i) none of the Company or any of its subsidiaries has incurred any material liabilities or obligations, indirect, direct or contingent, or entered into any material transaction that is not in the ordinary course of business;</w:t>
      </w:r>
    </w:p>
    <w:p>
      <w:pPr>
        <w:spacing w:after="0" w:line="2" w:lineRule="exact"/>
        <w:rPr>
          <w:sz w:val="20"/>
          <w:szCs w:val="20"/>
          <w:color w:val="auto"/>
        </w:rPr>
      </w:pPr>
    </w:p>
    <w:p>
      <w:pPr>
        <w:jc w:val="both"/>
        <w:ind w:firstLine="8"/>
        <w:spacing w:after="0" w:line="253" w:lineRule="auto"/>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has sustained any material loss or interference with its business or properties from fire, flood, windstorm, accident or other calamity, whether or not covered by insurance; (iii) none of the Company or any of its subsidiaries is in default under the terms of any class of capital stock or other equity interests or any outstanding debt obligations, (iv) there has not been any material change in the indebtedness of the Company or its subsidiaries (other than in the ordinary course of business) and (v) there has not been any change, or any development or event involving a prospective change that would, individually or in the aggregate, reasonably be expected to have a Material Adverse Effect.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           The Company has filed with the Commission a registration statement on Form 8-A providing for the registration under the Exchange Act of the Common Stock, which registration is effective. The Securities have been, or prior to the first Settlement Date will be, approved for listing on the NYSE. The Company has taken no action designed to, or which is likely to have the effect of, terminating the registration of the Common Stock under the Exchange Act or delisting the Securities from the NYSE, nor has the Company received any notification that the Commission or the NYSE is contemplating terminating such registration or listing.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(z)           Other than excepted activity pursuant to Regulation M under the Exchange Act, the Company has not taken, directly or indirectly, any action that constituted, or any action designed to, or that might reasonably be expected to cause or result in or constitute, under the Securities Act or otherwise, stabilization or manipulation of the price of any securities of the Company to facilitate the sale or resale of the Securities or for any other purpose.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(aa)         The Company and each of its subsidiaries (A) have paid all federal and material state, local and foreign taxes (whether imposed directly, through withholding or otherwise and including any interest, additions to tax or penalties applicable thereto) required to be paid through the date hereof, other than those being contested in good faith by appropriate proceedings and for which adequate reserves have been provided on the books of the applicable entity, (B) have timely filed all federal and other material tax returns required to be filed through the date hereof, and all such tax returns are true, correct and complete in all material respects, and (C) have established adequate reserves for all taxes that have accrued but are not yet due and payable. The charges, accruals and reserves on the books of the Company and each of its subsidiaries in respect of any income and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 No tax deficiency has been asserted against the Company or its subsidiaries, nor does the Company know of any tax deficiency that could reasonably be asserted and, if determined adversely to any such entity, could have a Material Adverse Effect.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(bb)         Except as set forth in the Registration Statement and the Prospectus, there are no transactions with “affiliates” (as defined in Rule 405) or any officer, director or securityholder of the Company (whether or not an affiliate) that are required by the Securities Act to be disclosed in the Registration Statement. Additionally, no relationship, direct or indirect, exists between the Company or any of its subsidiaries on the one hand, and the directors, officers, stockholders, borrowers, customers or suppliers of the Company or any of its subsidiaries on the other hand that is required by the Securities Act to be disclosed in the Registration Statement and the Prospectus that is not so disclosed.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         The Company is not, and, after giving effect to the offering and sale of the Securities and the application of the proceeds thereof as described under the caption “Use of Proceeds” in the Prospectus, will not be, required to register as an “investment company” within the meaning of the Investment Company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(dd)         The Company and its subsidiaries have good and marketable title to the Properties, in each case, free and clear of all security interests, mortgages, pledges, liens, encumbrances, claims or equities of any kind other than those that (A) are described in the Registration Statement and the Prospectus or (B) do not, individually or in the aggregate, materially affect the value of such Property and do not materially interfere with the use made and proposed to be made of such Property by the Company and its subsidiaries. Except as described in the Registration Statement and the Prospectus or as would not, individually or in the aggregate, reasonably be expected to have a Material Adverse Effect, (i) the Company and its subsidiaries have valid, subsisting and enforceable leases with the tenants of the Properties, (ii) no third party has an option or right of first refusal to purchase any of the Properties other than those that have been properly waived, (iii) the use and occupancy of each of the Properties complies with all applicable codes, zoning laws and regulations, and (iv) the Company has no knowledge of any pending or threatened condemnation or zoning change that will in any material respect affect the size of, use of, improvements of, construction on, or access to any of the Properties.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(ee)         Except as disclosed in the Registration Statement and the Prospectus, the mortgages and deeds of trust encumbering the Properties are not convertible nor will the Company or any of its subsidiaries hold a participating interest therein and such mortgages and deeds of trust are not cross-defaulted or cross-collateralized to any property not owned directly or indirectly by the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(ff)           The Company and its subsidiaries have all permits, licenses, franchises, approvals, consents and authorizations of governmental or regulatory authorities (hereinafter “</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as are necessary to own the Properties and to conduct their business in the manner described in the Registration Statement and the Prospectus, subject to such qualifications as may be set forth in the Registration Statement and the Prospectus, except where the failure to have obtained any such permits would not, individually or in the aggregate, reasonably be expected to have a Material Adverse Effect; the Company and each of its subsidiaries has operated and is operating its business in material compliance with and not in material violation of its obligations with respect to each such permit and, to the knowledge of the Company, no event has occurred that allows, or after notice or lapse of time would allow, revocation or termination of any such permit or result in any other material impairment of the rights of any such permit.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(gg)         The Company and its subsidiaries maintain systems of “internal control over financial reporting” (as defined in Rule 13a-15 and Rule 15d-15 under the Exchange Act) and a system of internal accounting controls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authorizations and (iv) the recorded accountability for assets is compared with existing assets at reasonable intervals and appropriate action is taken with respect to any differences. Except as described in the Registration Statement and the Prospectus, there has been no (1)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The Company maintains “disclosure controls and procedures” (as defined in Rule 13a-15(e) under the Exchange Act) to the extent required by such rule.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(hh)         No material labor disturbance by or dispute with employees of the Company or any of its subsidiaries exists or, to the knowledge of the Company, is threatened, and none of the Company or any of its subsidiaries is aware of any existing or imminent labor disturbance by, or dispute with, the employees of any of the Company’s or subsidiary’s principal suppliers, contractors or customers, except as would not reasonably be expected, individually or in the aggregate, to have a Material Adverse Effect; neither the Company nor any of its subsidiaries has received written notice of any violation, or, to the Company’s knowledge, is in violation with respect to any federal or state law relating to discrimination in the hiring, promotion or pay of employees, nor any applicable federal or state wage and hour laws, nor any state law precluding the denial of credit due to the neighborhood in which a property is situated, the violation of any of which, individually or in the aggregate, would reasonably be expected to have a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(ii)           The principal executive officer and principal financial officer of the Company have made all certifications required by the Sarbanes-Oxley Act and any related rules and regulations promulgated by the Commission of which the Company is required to comply, and the statements contained in each such certification were complete and correct as of the date of their execution. The Company and its subsidiaries are, and the Company has taken all necessary actions to ensure that the Company’s directors and officers in their capacities as such are, each in compliance in all material respects with all applicable provisions of the Sarbanes-Oxley Act and the rules and regulations of the Commission and the NYSE promulgated thereunder.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(jj)           None of the Company or any of its subsidiaries or, to the knowledge of the Company, any director, officer, agent, employee or affiliate of the Company or any of its subsidiaries, has taken any action, directly or indirectly, that would result in a violation by such persons of the Foreign Corrupt Practices Act of 1977, as amended (the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and the rules and regulations thereunder or any similar anti-corruption law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taking any action in furtherance of an offer, payment, promise to pay or authorization of the payment of any money, or other property, gift, promise to give, or authorization of the giving of anything of value to any “foreign official” (as such term is defined in the Foreign Corrupt Practices Act) or any foreign political party or official thereof or any candidate for foreign political office, in contravention of the Anti-Corruption Laws; the Company and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(kk)         None of the Company or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of the Securities, or lend, contribute or otherwise make available such proceeds to any subsidiary, joint venture partner or other person or entity, for the purpose of financing the activities of any person currently subject to any U.S. sanctions administered by OFAC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In addition, none of the Company or any of its subsidiaries or, to the knowledge of the Company, any director, officer, employee, agent or affiliate of the Company, is an individual or entity currently the subject of any sanctions administered or enforced by OFAC, the United Nations Security Council, the European Union or His Majesty’s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comprehensive Sanctions, including, without limitation, Crimea, Cuba, the so-called Donetsk People’s Republic, Iran, the so-called Luhansk People’s Republic and North Korea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The Company will not, directly or indirectly, use the proceeds of the sale of the Securities,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Country, in each case, in any manner that will result in a violation by any person (including any person participating in the transaction, whether as manager, underwriter, advisor, investor or otherwise) of Sanctions. Since their inception, none of the Company or any of its subsidiaries has knowingly engaged in, or is now knowingly engaged in, any dealings or transactions with any person that at the time of the dealing or transaction is or was a Sanctioned Person or with any Sanctioned Country.</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(ll)           The operations of the Company and its subsidiaries are and have been conducted at all times in compliance in all material respects with applicable financial recordkeeping and reporting requirements of the Currency and Foreign Transactions Reporting Act of 1970, as amended, the USA PATRIOT Act of 2001, as amended, or the money laundering statutes of all jurisdictions where the Company conducts business (the “</w:t>
      </w:r>
      <w:r>
        <w:rPr>
          <w:rFonts w:ascii="Times New Roman" w:cs="Times New Roman" w:eastAsia="Times New Roman" w:hAnsi="Times New Roman"/>
          <w:sz w:val="18"/>
          <w:szCs w:val="18"/>
          <w:u w:val="single" w:color="auto"/>
          <w:color w:val="auto"/>
        </w:rPr>
        <w:t>Anti-Money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Laundering Laws</w:t>
      </w:r>
      <w:r>
        <w:rPr>
          <w:rFonts w:ascii="Times New Roman" w:cs="Times New Roman" w:eastAsia="Times New Roman" w:hAnsi="Times New Roman"/>
          <w:sz w:val="18"/>
          <w:szCs w:val="18"/>
          <w:color w:val="auto"/>
        </w:rPr>
        <w:t>”), the rules and regulations thereunder and any related or similar rules, regulations or guidelines, issued, administered or enforced by any governmental agency.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(mm)       The Company, prior to the date hereof, has not made any offer or sale of securities, which could be “integrated” for purposes of the Securities Act with the offer and sale of the Securities pursuant to the Registration Statement and the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(nn)         Except as otherwise disclosed in the Registration Statement and the Prospectus, there are no pending or, to the knowledge of the Company, threatened costs or liabilities associated with Environmental Laws (including, without limitation, any capital or operating expenditures required for investigation, clean up, closure of the Properties or compliance with Environmental Laws or any permit, license or approval, any related constraints on operating activities and any potential liabilities to third parties) which would, individually or in the aggregate, reasonably be expected to have a Material Adverse Effect.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(oo)           The Company and its subsidiaries maintain insurance of the types and in the amounts generally deemed adequate by the Company for the business of the Company and its subsidiaries, all of which insurance is in full force and effect in all material respects. Without limiting the generality of the foregoing, except as would not, individually or in the aggregate, reasonably be expected to have a Material Adverse Effect, each of the Company and its subsidiaries carries or is entitled to the benefits of title insurance on the fee interests with respect to each Property with insurers of nationally recognized reputability, in an amount not less than such entity’s purchase price for the real property comprising such Property and as of the date that such entity first acquired the real property comprising such Property, insuring that such party is vested with good and insurable fee to each such Property.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(pp)         Each of the Company and its subsidiaries owns or has the valid right, title and interest in and to, or has valid licenses to use, each material trade name, trade and service marks, trade and service mark registrations, patent, patent applications copyright, licenses, inventions, technology, know-how, approval, trade secret and other similar rights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business of the Company and its subsidiaries as now conducted or as proposed in the Prospectus to be conducted. There is no claim pending against the Company or any of its subsidiaries with respect to any Intellectual Property and none of the Company or its subsidiaries have received notice or otherwise become aware that any Intellectual Property that such entities use or have used in the conduct of their business infringes upon or conflicts with the rights of any third party. None of the Company or any of its subsidiaries has become aware that any Intellectual Property that it uses or has used in the conduct of its business infringes upon or conflicts with the rights of any third party.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(qq)         The Company meets the definition of the term “experienced issuer” specified in FINRA Conduct Rule 5110(j)(6).</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(rr)           Except as would not, individually or in the aggregate, reasonably be expected to have a Material Adverse Effect: (i)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7"/>
          <w:szCs w:val="17"/>
          <w:u w:val="single" w:color="auto"/>
          <w:color w:val="auto"/>
        </w:rPr>
        <w:t>ERISA</w:t>
      </w:r>
      <w:r>
        <w:rPr>
          <w:rFonts w:ascii="Times New Roman" w:cs="Times New Roman" w:eastAsia="Times New Roman" w:hAnsi="Times New Roman"/>
          <w:sz w:val="17"/>
          <w:szCs w:val="17"/>
          <w:color w:val="auto"/>
        </w:rPr>
        <w:t>”) established or maintained by the Company and its subsidiaries (each, a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are in compliance with ERISA and all other applicable state and federal laws; (ii) no “reportable event” (as defined in Section 4043(c) of ERISA) has occurred or is reasonably expected to occur with respect to each Plan; (iii) no “employee benefit plan” established or maintained by the Company or its subsidiaries, if such “employee benefit plan” were terminated, would have any “amount of unfunded benefit liabilities” (as defined in ERISA); (iv) none of the Company or any of its subsidiaries has incurred or reasonably expects to incur, any liability under (A) Title IV of ERISA with respect to termination of, or withdrawal from, any Plan or</w:t>
      </w:r>
    </w:p>
    <w:p>
      <w:pPr>
        <w:spacing w:after="0" w:line="2" w:lineRule="exact"/>
        <w:rPr>
          <w:sz w:val="20"/>
          <w:szCs w:val="20"/>
          <w:color w:val="auto"/>
        </w:rPr>
      </w:pPr>
    </w:p>
    <w:p>
      <w:pPr>
        <w:jc w:val="both"/>
        <w:ind w:firstLine="8"/>
        <w:spacing w:after="0" w:line="255" w:lineRule="auto"/>
        <w:tabs>
          <w:tab w:leader="none" w:pos="3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412, 4971, 4975 or 4980B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in respect of a Plan; and (v) each Plan that is intended to be qualified under Section 401(a) of the Code is so qualified and nothing has occurred, whether by action or failure to act, that could reasonably be expected to cause the loss of such qualification.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(ss)         The Company and its subsidiaries have good and marketable title to all personal property owned by them, in each case free and clear of all liens, encumbrances, claims and defects and imperfections of title except those that (i) do not materially interfere with the use made and proposed to be made of such personal property by the Company and its subsidiaries or (ii) would not, individually or in the aggregate, reasonably be expected to have a Material Adverse Effect.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(tt)           Except as described in the Registration Statement and the Prospectus, none of the Company or any of its subsidiaries is a party to any contract, agreement or understanding with any person (other than this Agreement) that would give rise to a valid claim against the Company or any of its subsidiaries or the Manager for a brokerage commission, finder’s fee or like payment in connection with the offering and sale of the Securities.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(uu)         Other than as disclosed in the Registration Statement and the Prospectus, no person has the right to require the Company or any of its subsidiaries to register any securities for sale under the Securities Act by reason of the filing of the Registration Statement with the Commission or the issuance and sale of the Securities.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(vv)         Nothing has come to the attention of the Company that has caused the Company to believe that the statistical and market-related data included in the Registration Statement and the Prospectus are not based on or derived from sources that are reliable and accurate in all material respects and, to the extent required, the Company has obtained the written consent to the use of such data from such sources.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(ww)       Commencing with its taxable year ended December 31, 2020, the Company has been organized and operated in conformity with the requirements for qualification and taxation as real estate investment trust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under the Code, and the Company’s current and proposed method of operation will enable it to continue to meet the requirements for qualification and taxation as a REIT under the Code for its taxable year ending December 31, 2026 and thereafter. All statements regarding the Company’s qualification and taxation as a REIT and descriptions of the Company’s organization and method of operation set forth in the Registration Statement and the Prospectus are true, complete and correct in all material respects.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(xx)          Except as disclosed in the Registration Statement and the Prospectus, the Company is not a party to or otherwise bound by any instrument or agreement that limits or prohibits (whether with or without the giving of notice or the passage of time or both), directly or indirectly, the Company from paying any dividends or making other distributions on its capital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(yy)         No subsidiary of the Company is currently prohibited, directly or indirectly, under any agreement or other instrument to which it is a party or is subject, from paying any dividends to the Company or from making any other distribution on such subsidiary’s capital stock or similar ownership interest, except as would not, individually or in the aggregate, reasonably be expected to have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(zz)          The Shares of Common Stock are “actively traded securities” excepted from the requirements of Rule 101 of Regulation M under the Exchange Act by subsection (c)(1) of such rule.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(aaa)       Except as described in the Registration Statement and the Prospectus, the Company does not (i) have any material lending or other relationship with the Manager or any affiliate of the Manager or (ii) intend to use any of the proceeds from the sale of the Securities to repay any outstanding debt owed to the Manager or any affiliate of the Manager.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(bbb)      The statements included in the Registration Statement and the Prospectus under the headings “Description of Capital Stock,” “Certain Provisions of Maryland Law and of Our Charter and Bylaws,” “Material U.S. Federal Income Tax Considerations,” and “Plan of Distribution,” insofar as such statements summarize legal matters, agreements, documents or proceedings discussed therein, are accurate and fair summaries of such legal matters, agreements, documents or proceedings in all material respects.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(ccc)       No securities issued by the Company or any of its subsidiaries are rated by a “nationally recognized statistical rating organization,” as such term is defined under Section 3(a)(62) of the Exchange Act; provided, however, that the foregoing shall not apply to any rating assigned to any loan investment (or any participation interest therein) held, originated or sold by the Company or any of its subsidiaries.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certificate signed by any officer or any authorized representative of the Company and delivered to the Manager, Forward Seller or Forward Purchaser or to counsel for the Manager, Forward Seller or Forward Purchaser pursuant to or in connection with this Agreement shall be deemed a representation and warranty by the Company, as the case may be, to the Manager, Forward Seller or Forward Purchaser as to the matters covered thereby as of the date or dates indicated on such certificate.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SALE AND DELIVERY; SETTLEMENT.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Sale of Issuance Securities.</w:t>
      </w:r>
      <w:r>
        <w:rPr>
          <w:rFonts w:ascii="Times New Roman" w:cs="Times New Roman" w:eastAsia="Times New Roman" w:hAnsi="Times New Roman"/>
          <w:sz w:val="18"/>
          <w:szCs w:val="18"/>
          <w:color w:val="auto"/>
        </w:rPr>
        <w:t xml:space="preserve"> On the basis of the representations and warranties herein contained and subject to the terms and conditions herein set forth, upon the Manager’s acceptance of the terms of a Placement Notice specifying that it relates to an “Issuance” or upon receipt by the Manager of an Acceptance, as the case may be, and unless the sale of the Issuance Securities described therein has been declined, suspended, or otherwise terminated in accordance with the terms of this Agreement, the Manager will use its commercially reasonable efforts consistent with its normal trading and sales practices to sell such Issuance Securities at market prevailing prices up to the amount specified, and otherwise in accordance with the terms of such Placement Notice (as amended by the corresponding Acceptance, if applicable). The Company acknowledges and agrees that (i) there can be no assurance that the Manager will be successful in selling Issuance Securities, (ii) the Manager will incur no liability or obligation to the Company or any other person or entity if it does not sell Issuance Securities for any reason other than a failure by the Manager to use its commercially reasonable efforts consistent with its normal trading and sales practices to sell such Issuance Securities as required under this Section 6 and (iii) the Manager shall be under no obligation to purchase Issuance Securities on a principal basis pursuant to this Agreement, except as otherwise agreed by the Manager in the Placement Notice (as amended by the corresponding Acceptance, if applicable).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Settlement of Issuance Securities.</w:t>
      </w:r>
      <w:r>
        <w:rPr>
          <w:rFonts w:ascii="Times New Roman" w:cs="Times New Roman" w:eastAsia="Times New Roman" w:hAnsi="Times New Roman"/>
          <w:sz w:val="18"/>
          <w:szCs w:val="18"/>
          <w:color w:val="auto"/>
        </w:rPr>
        <w:t xml:space="preserve"> Unless otherwise specified in the applicable Placement Notice (as amended by the corresponding Acceptance, if applicable), settlement for sales of Issuance Securities will occur on the first (1st) Trading Day (or such earlier day as is industry practice for regular-way trading) following the date on which such sales are made (each, an “</w:t>
      </w:r>
      <w:r>
        <w:rPr>
          <w:rFonts w:ascii="Times New Roman" w:cs="Times New Roman" w:eastAsia="Times New Roman" w:hAnsi="Times New Roman"/>
          <w:sz w:val="18"/>
          <w:szCs w:val="18"/>
          <w:u w:val="single" w:color="auto"/>
          <w:color w:val="auto"/>
        </w:rPr>
        <w:t>Issuance Settlement Date</w:t>
      </w:r>
      <w:r>
        <w:rPr>
          <w:rFonts w:ascii="Times New Roman" w:cs="Times New Roman" w:eastAsia="Times New Roman" w:hAnsi="Times New Roman"/>
          <w:sz w:val="18"/>
          <w:szCs w:val="18"/>
          <w:color w:val="auto"/>
        </w:rPr>
        <w:t>”). The amount of proceeds to be delivered to the Company on an Issuance Settlement Date against receipt of the Issuance Securities sold will be equal to the aggregate offering price received by the Manager at which such Issuance Securities were sold, after deduction for (i) the Manager’s commission, discount or other compensation for such sales payable by the Company pursuant to Section 3 hereof, (ii) any other amounts due and payable by the Company to the Manager hereunder pursuant to Section 8(a) hereof, and (iii)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Proceeds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Issuance Securities</w:t>
      </w:r>
      <w:r>
        <w:rPr>
          <w:rFonts w:ascii="Times New Roman" w:cs="Times New Roman" w:eastAsia="Times New Roman" w:hAnsi="Times New Roman"/>
          <w:sz w:val="18"/>
          <w:szCs w:val="18"/>
          <w:color w:val="auto"/>
        </w:rPr>
        <w:t>. On or before each Issuance Settlement Date, the Company will, or will cause its transfer agent to, electronically transfer the Issuance Securities being sold by crediting the Manager’s or its designee’s account (provided the Manager shall have given the Company written notice of such designee prior to the Issuance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Issuance Settlement Date, the Manager will deliver the related Net Proceeds in same day funds to an account designated by the Company prior to the Issuance Settlement Date. The Company agrees that if the Company, or its transfer agent (if applicable), defaults in its obligation to deliver Issuance Securities on an Issuance Settlement Date, the Company agrees that in addition to and in no way limiting the rights and obligations set forth in Section 10(a) and Section 11 hereto, it will (i) hold the Manager harmless against any loss, liability, claim, damage, or expense whatsoever (including reasonable legal fees and expenses), as incurred, arising out of or in connection with such default by the Company or its transfer agent (if applicable) and (ii) pay to the Manager any commission, discount, or other compensation to which it would otherwise have been entitled absent such default. If the Manager breaches this Agreement by failing to deliver the applicable Net Proceeds on any Settlement Date for Issuance Securities delivered by the Company, the Manager will pay the Company interest based on the effective overnight federal funds rate until such proceeds, together with interest, have been fully paid.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Sale of Forward Hedge Securities</w:t>
      </w:r>
      <w:r>
        <w:rPr>
          <w:rFonts w:ascii="Times New Roman" w:cs="Times New Roman" w:eastAsia="Times New Roman" w:hAnsi="Times New Roman"/>
          <w:sz w:val="18"/>
          <w:szCs w:val="18"/>
          <w:color w:val="auto"/>
        </w:rPr>
        <w:t>. On the basis of the representations and warranties herein contained and subject to the terms and conditions in this Agreement and the Master Forward Confirmation, upon the Forward Purchaser’s and the Forward Seller’s acceptance of the terms of a Placement Notice specifying that it relates to a “Forward” or upon receipt by the Forward Purchaser and Forward Seller of an Acceptance, as the case may be, and unless the sale of the Forward Hedge Securities described therein has been declined, suspended, or otherwise terminated in accordance with the terms of this Agreement or the Master Forward Confirmation (including without limitation as a result of any event described in clause (x) or (y) of the proviso contained in the definition of Forward Hedge Selling Period), the Forward Purchaser will use its commercially reasonable efforts to borrow a number of Forward Hedge Securities sufficient to have an Aggregate Sales Price as close as reasonably practicable to the Forward Hedge Amount specified in the Placement Notice (as amended by the corresponding Acceptance, if applicable) and the Forward Seller will use its commercially reasonable efforts consistent with its normal trading and sales practices to sell such Forward Hedge Securities at market prevailing prices, and otherwise in accordance with the terms of such Placement Notice (as amended by the corresponding Acceptance, if applicable). Each of the Company and the Forward Purchaser acknowledges and agrees that (i) there can be no assurance that the Forward Purchaser will be successful in borrowing or that the Forward Seller will be successful in selling Forward Hedge Securities, (ii) the Forward Seller will incur no liability or obligation to the Company, the Forward Purchaser, or any other person or entity if it does not sell Forward Hedge Securities borrowed by the Forward Purchaser for any reason other than a failure by the Forward Seller to use its commercially reasonable efforts consistent with its normal trading and sales practices to sell such Forward Hedge Securities as required under this Section 6, and (iii) the Forward Purchaser will incur no liability or obligation to the Company, the Forward Seller, or any other person or entity if it does not borrow Forward Hedge Securities for any reason other than a failure by the Forward Purchaser to use its commercially reasonable efforts to borrow such Forward Hedge Securities as required under this Section 6. In acting hereunder, the Forward Seller will be acting as agent for the Forward Purchaser and not as principal.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Delivery of Forward Hedge Securities</w:t>
      </w:r>
      <w:r>
        <w:rPr>
          <w:rFonts w:ascii="Times New Roman" w:cs="Times New Roman" w:eastAsia="Times New Roman" w:hAnsi="Times New Roman"/>
          <w:sz w:val="18"/>
          <w:szCs w:val="18"/>
          <w:color w:val="auto"/>
        </w:rPr>
        <w:t>. Unless otherwise specified in the applicable Placement Notice (as amended by the corresponding Acceptance, if applicable), settlement for sales of Forward Hedge Securities will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(or such earlier day as is industry practice for regular-way trading) following the date on which such sales are made (each, a “</w:t>
      </w:r>
      <w:r>
        <w:rPr>
          <w:rFonts w:ascii="Times New Roman" w:cs="Times New Roman" w:eastAsia="Times New Roman" w:hAnsi="Times New Roman"/>
          <w:sz w:val="18"/>
          <w:szCs w:val="18"/>
          <w:u w:val="single" w:color="auto"/>
          <w:color w:val="auto"/>
        </w:rPr>
        <w:t>Forward Hedge Settlement Date</w:t>
      </w:r>
      <w:r>
        <w:rPr>
          <w:rFonts w:ascii="Times New Roman" w:cs="Times New Roman" w:eastAsia="Times New Roman" w:hAnsi="Times New Roman"/>
          <w:sz w:val="18"/>
          <w:szCs w:val="18"/>
          <w:color w:val="auto"/>
        </w:rPr>
        <w:t>”). On or before each Forward Hedge Settlement Date, the Forward Purchaser will, or will cause its transfer agent to, electronically transfer the Forward Hedge Securities being sold by crediting the Forward Seller or its designee’s account (provided Forward Seller shall have given the Forward Purchaser written notice of such designee prior to the Forward Hedge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Forward Hedge Settlement Date, the Forward Seller will deliver the related Aggregate Forward Hedge Price to the Forward Purchaser in same day funds to an account designated by the Forward Purchaser prior to the relevant Forward Hedge Settlement Date.</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Denominations; Registration.</w:t>
      </w:r>
      <w:r>
        <w:rPr>
          <w:rFonts w:ascii="Times New Roman" w:cs="Times New Roman" w:eastAsia="Times New Roman" w:hAnsi="Times New Roman"/>
          <w:sz w:val="18"/>
          <w:szCs w:val="18"/>
          <w:color w:val="auto"/>
        </w:rPr>
        <w:t xml:space="preserve"> The Securities shall be in such denominations and registered in such names as the Manager or the Forward Seller, as applicable, may request in writing at least one full business day before the Settlement Date. The Company or the Forward Purchaser, as the case may be, shall deliver the Securities, if any, through the facilities of The Depository Trust Company as described in the preceding paragraphs unless the Manager or the Forward Seller, as applicable, shall otherwise instruct.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Securities, if after giving effect to the sale of such Securities, the aggregate offering price of the Securities sold pursuant to this Agreement would exceed the lesser of (A) together with (i) all sales of Issuance Securities under this Agreement and each of the Alternative Distribution Agreements and (ii) all Forward Hedge Securities sold under this Agreement and each of the Alternative Distribution Agreements, the Maximum Amount, (B) the amount available for offer and sale under the currently effective Registration Statement, and (C) the amount authorized from time to time to be issued and sold under this Agreement by the Company and notified to the Manager, the Forward Seller and the Forward Purchaser in writing. Under no circumstances shall the Company cause or request the offer or sale of any Securities pursuant to this Agreement at a price lower than the minimum price authorized from time to time by the Company and notified to the Manager in writing. Further, under no circumstances shall the aggregate offering price of Securities sold pursuant to this Agreement and the Alternative Distribution Agreements, including any separate underwriting or similar agreement covering principal transactions described in Section 1 of this Agreement and the Alternative Distribution Agreements, exceed the Maximum Amount.</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Limitation on Managers.</w:t>
      </w:r>
      <w:r>
        <w:rPr>
          <w:rFonts w:ascii="Times New Roman" w:cs="Times New Roman" w:eastAsia="Times New Roman" w:hAnsi="Times New Roman"/>
          <w:sz w:val="18"/>
          <w:szCs w:val="18"/>
          <w:color w:val="auto"/>
        </w:rPr>
        <w:t xml:space="preserve"> The Company agrees that any offer to sell, any solicitation of an offer to buy or any sales of Securities shall only be effected by or through only one of the Manager or the Forward Seller, as the case may be, or the respective Alternative Manager on any single given day, but in no event more than one (the “</w:t>
      </w:r>
      <w:r>
        <w:rPr>
          <w:rFonts w:ascii="Times New Roman" w:cs="Times New Roman" w:eastAsia="Times New Roman" w:hAnsi="Times New Roman"/>
          <w:sz w:val="18"/>
          <w:szCs w:val="18"/>
          <w:u w:val="single" w:color="auto"/>
          <w:color w:val="auto"/>
        </w:rPr>
        <w:t>Current Manager</w:t>
      </w:r>
      <w:r>
        <w:rPr>
          <w:rFonts w:ascii="Times New Roman" w:cs="Times New Roman" w:eastAsia="Times New Roman" w:hAnsi="Times New Roman"/>
          <w:sz w:val="18"/>
          <w:szCs w:val="18"/>
          <w:color w:val="auto"/>
        </w:rPr>
        <w:t xml:space="preserve">”), and the Company shall in no event request that the Manager or the Forward Seller, as the case may be, or one or more of the Alternative Managers sell Securities on the same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foregoing limitation shall not apply to</w:t>
      </w:r>
    </w:p>
    <w:p>
      <w:pPr>
        <w:spacing w:after="0" w:line="1" w:lineRule="exact"/>
        <w:rPr>
          <w:sz w:val="20"/>
          <w:szCs w:val="20"/>
          <w:color w:val="auto"/>
        </w:rPr>
      </w:pPr>
    </w:p>
    <w:p>
      <w:pPr>
        <w:jc w:val="both"/>
        <w:ind w:firstLine="8"/>
        <w:spacing w:after="0" w:line="251" w:lineRule="auto"/>
        <w:tabs>
          <w:tab w:leader="none" w:pos="2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any option, warrant, right or any conversion privilege set forth in the instrument governing such security or (ii) sales solely to employees or security holders of the Company or its subsidiaries, or to a trustee or other person acquiring such securities for the accounts of such persons, (b) such limitation shall not apply on any day during which no sales are made pursuant to this Agreement and (c) such limitation shall not apply if, prior to any such request to sell Securities, all Securities the Company has previously requested the Manager, the Forward Seller or any Alternative Managers to sell have been sold or the applicable Placement Notice has been terminated or superseded. Notwithstanding the foregoing, a sale may be effected by a second Manager (the “</w:t>
      </w:r>
      <w:r>
        <w:rPr>
          <w:rFonts w:ascii="Times New Roman" w:cs="Times New Roman" w:eastAsia="Times New Roman" w:hAnsi="Times New Roman"/>
          <w:sz w:val="18"/>
          <w:szCs w:val="18"/>
          <w:u w:val="single" w:color="auto"/>
          <w:color w:val="auto"/>
        </w:rPr>
        <w:t>Second Manager</w:t>
      </w:r>
      <w:r>
        <w:rPr>
          <w:rFonts w:ascii="Times New Roman" w:cs="Times New Roman" w:eastAsia="Times New Roman" w:hAnsi="Times New Roman"/>
          <w:sz w:val="18"/>
          <w:szCs w:val="18"/>
          <w:color w:val="auto"/>
        </w:rPr>
        <w:t>”) on a single given day if (i) such sale is executed pursuant to a single privately negotiated transaction, which may include a block trade (a “</w:t>
      </w:r>
      <w:r>
        <w:rPr>
          <w:rFonts w:ascii="Times New Roman" w:cs="Times New Roman" w:eastAsia="Times New Roman" w:hAnsi="Times New Roman"/>
          <w:sz w:val="18"/>
          <w:szCs w:val="18"/>
          <w:u w:val="single" w:color="auto"/>
          <w:color w:val="auto"/>
        </w:rPr>
        <w:t>Single Negotiated Transaction</w:t>
      </w:r>
      <w:r>
        <w:rPr>
          <w:rFonts w:ascii="Times New Roman" w:cs="Times New Roman" w:eastAsia="Times New Roman" w:hAnsi="Times New Roman"/>
          <w:sz w:val="18"/>
          <w:szCs w:val="18"/>
          <w:color w:val="auto"/>
        </w:rPr>
        <w:t>”), and (ii) the Company notifies the applicable Current Manager that a Second Manager was appointed to execute such Single Negotiated Transaction.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            Notwithstanding any other provision of this Agreement, the Company shall not offer, sell or deliver, or request the offer or sale of, any Securities and, by notice to the Manager (in the case of an Issuance) or the Forward Seller and the Forward Purchaser (in the case of a Forward) given by telephone (confirmed promptly by email), shall cancel any instructions for the offer or sale of any Securities, and the Manager, the Forward Seller and the Forward Purchaser, as the case may be, shall not be obligated to offer or sell any Securities, (i) during any period in which the Company is, or reasonably could be deemed to be, in possession of material non-public information, (ii) at any time during the period commencing on the 10th business day prior to the date (each, an “</w:t>
      </w:r>
      <w:r>
        <w:rPr>
          <w:rFonts w:ascii="Times New Roman" w:cs="Times New Roman" w:eastAsia="Times New Roman" w:hAnsi="Times New Roman"/>
          <w:sz w:val="18"/>
          <w:szCs w:val="18"/>
          <w:u w:val="single" w:color="auto"/>
          <w:color w:val="auto"/>
        </w:rPr>
        <w:t>Announcement Date</w:t>
      </w:r>
      <w:r>
        <w:rPr>
          <w:rFonts w:ascii="Times New Roman" w:cs="Times New Roman" w:eastAsia="Times New Roman" w:hAnsi="Times New Roman"/>
          <w:sz w:val="18"/>
          <w:szCs w:val="18"/>
          <w:color w:val="auto"/>
        </w:rPr>
        <w:t>”) on which the Company issues a press release containing, or shall otherwise publicly announce, its earnings, revenues or other results of operations (each,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(iii) except as provided in Section 6(j) below, at any time from and including an Announcement Date through and including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 provided that, unless otherwise agreed between the Company and the Manager, the Forward Seller or the Forward Purchaser, as the case may be, for purposes of (i) and (ii) above, such period shall be deemed to end at the relevant Filing Time.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If the Company wishes to offer, sell or deliver Securities at any time during the period from and including an Announcement Date through and including time that is 24 hours after the corresponding Filing Time, the Company shall (i) prepare and deliver to the Manager (in the case of an Issuance) or the Forward Seller and the Forward Purchaser (in the case of a Forward) (with a copy to their counsel) a Current Report on Form 8-K which shall include substantially the same financial and related information as was set forth in the relevant Earnings Announcement (other than any earnings projections, similar forward-looking data and officers’ quotations) (each, an “</w:t>
      </w:r>
      <w:r>
        <w:rPr>
          <w:rFonts w:ascii="Times New Roman" w:cs="Times New Roman" w:eastAsia="Times New Roman" w:hAnsi="Times New Roman"/>
          <w:sz w:val="18"/>
          <w:szCs w:val="18"/>
          <w:u w:val="single" w:color="auto"/>
          <w:color w:val="auto"/>
        </w:rPr>
        <w:t>Earnings 8-K</w:t>
      </w:r>
      <w:r>
        <w:rPr>
          <w:rFonts w:ascii="Times New Roman" w:cs="Times New Roman" w:eastAsia="Times New Roman" w:hAnsi="Times New Roman"/>
          <w:sz w:val="18"/>
          <w:szCs w:val="18"/>
          <w:color w:val="auto"/>
        </w:rPr>
        <w:t>”), in form and substance reasonably satisfactory to the Manager or the Forward Seller and the Forward Purchaser, as the case may be, (ii) provide the Manager or the Forward Seller and the Forward Purchaser, as the case may be, with the officers’ certificate, opinions/letters of counsel and accountants’ letter called for by Sections 7(o), (p), (q), (r), and (s) hereof; respectively,</w:t>
      </w:r>
    </w:p>
    <w:p>
      <w:pPr>
        <w:spacing w:after="0" w:line="3" w:lineRule="exact"/>
        <w:rPr>
          <w:sz w:val="20"/>
          <w:szCs w:val="20"/>
          <w:color w:val="auto"/>
        </w:rPr>
      </w:pPr>
    </w:p>
    <w:p>
      <w:pPr>
        <w:jc w:val="both"/>
        <w:ind w:firstLine="8"/>
        <w:spacing w:after="0" w:line="250" w:lineRule="auto"/>
        <w:tabs>
          <w:tab w:leader="none" w:pos="3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afford the Manager or the Forward Seller and the Forward Purchaser, as the case may be, the opportunity to conduct a due diligence review in accordance with Section 7(m) hereof and (iv) file such Earnings 8-K with the Commission. The provisions of clause (ii) of Section 6(i) shall not be applicable for the period from and after the time at which the foregoing conditions shall have been satisfied (or, if later, the time that is 24 hours after the time that the relevant Earnings Announcement was first publicly released) through and including the Filing Time of the relevant Quarterly Report on Form 10-Q or Annual Report on Form 10-K under the Exchange Act, as the case may be. For purposes of clarity, the parties hereto agree that (A) the delivery of any officers’ certificate, opinions/letters of counsel and accountants’ letter pursuant to this Section 6(j) shall not relieve the Company from any of its obligations under this Agreement with respect to any Quarterly Report on Form 10-Q or Annual Report on Form 10-K, as the case may be, including, without limitation, the obligation to deliver officers’ certificates, opinions/letters of counsel and accountants’ letters as provided in Section 7 hereof and</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other than as set forth in this Section 6(j), this Section 6(j) shall in no way affect or limit the operation of the provisions of clauses (i) and (iii) of Section 6(j), which shall have independent application.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u w:val="single" w:color="auto"/>
          <w:color w:val="auto"/>
        </w:rPr>
        <w:t>  COVENANTS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covenants with the Manager, the Forward Seller and the Forward Purchaser as follows:</w:t>
      </w:r>
    </w:p>
    <w:p>
      <w:pPr>
        <w:spacing w:after="0" w:line="22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Registration Statement Amendments</w:t>
      </w:r>
      <w:r>
        <w:rPr>
          <w:rFonts w:ascii="Times New Roman" w:cs="Times New Roman" w:eastAsia="Times New Roman" w:hAnsi="Times New Roman"/>
          <w:sz w:val="18"/>
          <w:szCs w:val="18"/>
          <w:color w:val="auto"/>
        </w:rPr>
        <w:t>. After the date of this Agreement and during any Selling Period or period in which a Prospectus relating to any Securities is required to be delivered by the Manager under the Securities Act (including in circumstances where such requirement may be satisfied pursuant to Rule 172), (i) the Company will promptly notify the Manager, the Forward Seller and the Forward Purchaser of the time when any subsequent amendment to the Registration Statement, other than documents incorporated by reference therein, has been filed with the Commission and/or has become effective or any subsequent supplement to the Prospectus has been filed and of any comment letter from the Commission or any request by the Commission for any amendment or supplement to the Registration Statement or Prospectus or for additional information; (ii) the Company will prepare and file with the Commission, promptly upon the request of the Manager or the Forward Seller and the Forward Purchaser, as the case may be, any amendments or supplements to the Registration Statement or Prospectus that, in the reasonable opinion of the Manager or the Forward Seller and the Forward Purchaser, as the case may be, may be necessary or advisable in connection with the distribution of the Securities by the Manager, the Forward Seller or the Forward Purchaser,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the Forward Seller or the Forward Purchaser to make such request shall not relieve the Company of any obligation or liability hereunder, or affect the Manager’s, the Forward Seller’s or the Forward Purchaser’s right to rely on the representations and warranties made by the Company in this Agreement); (iii) the Company will not file any amendment or supplement to the Registration Statement or Prospectus, other than documents incorporated by reference into the Registration Statement, relating to the Securities or a security convertible into the Securities unless a copy thereof has been submitted to the Manager, the Forward Seller and the Forward Purchaser within a reasonable period of time before the filing and the Manager, the Forward Seller and the Forward Purchaser have not reasonably objected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of the Manager, the Forward Seller or the Forward Purchaser to make such objection shall not relieve the Company of any obligation or liability hereunder, or affect the Manager’s, the Forward Seller’s or the Forward Purchaser’s right to rely on the representations and warranties made by the Company in this Agreement); and (iv) the Company will cause each amendment or supplement to the Prospectus, other than documents incorporated by reference into the Registration Statement, to be filed with the Commission as required pursuant to the applicable paragraph of Rule 424(b)(without reliance on Rule 424(b)(8)).</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Commission Stop Orders</w:t>
      </w:r>
      <w:r>
        <w:rPr>
          <w:rFonts w:ascii="Times New Roman" w:cs="Times New Roman" w:eastAsia="Times New Roman" w:hAnsi="Times New Roman"/>
          <w:sz w:val="18"/>
          <w:szCs w:val="18"/>
          <w:color w:val="auto"/>
        </w:rPr>
        <w:t>. The Company will advise the Manager, the Forward Seller and the Forward Purchaser, promptly after it receives notice or obtains knowledge thereof, of the issuance or threatened issuance by the Commission of any stop order suspending the effectiveness of the Registration Statement or of any other order preventing or suspending the use of the Prospectus or any Issuer Free Writing Prospectus, or of the suspension of the qualification of the Securities for offering or sale in any jurisdiction or of the loss or suspension of any exemption from any such qualification, or of the initiation or threatening of any proceedings for any of such purposes, or of any examination pursuant to Section 8(e) of the Securities Act concerning the Registration Statement or if the Company becomes the subject of a proceeding under Section 8A of the Securities Act in connection with the offering of the Securities. The Company will use its commercially reasonable efforts to prevent the issuance of any stop order, the suspension of any qualification of the Securities for offering or sale and any loss or suspension of any exemption from any such qualification, and if any such stop order is issued or any such suspension or loss occurs, to obtain the lifting thereof at the earliest possible moment.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Manager, the Forward Seller, the Forward Purchaser and their respective counsel (at the expense of the Company) copies of the Registration Statement, the Prospectus (including all documents incorporated by reference therein) and all amendments and supplements to the Registration Statement or Prospectus, and any Issuer Free Writing Prospectuses, that are filed with the Commission during any Selling Period or period in which a Prospectus relating to the Securities is required to be delivered under the Securities Act, in such quantities and at such locations as the Manager, the Forward Seller or the Forward Purchaser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Manager, the Forward Seller and the Forward Purchaser to the extent such document is available on EDGAR. The copies of the Registration Statement and the Prospectus and any supplements or amendments thereto furnished to the Manager will be identical to the electronically transmitted copies thereof filed with the Commission pursuant to EDGAR, except to the extent permitted by Regulation S-T.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xml:space="preserve"> If at any time during any Selling Period or period when a Prospectus is required by the Securities Act or the Exchange Act to be delivered in connection with a pending sale of the Securities (including, without limitation, pursuant to Rule 172), any event shall occur or condition shall exist as a result of which it is necessary, in the opinion of counsel for the Manager, the Forward Seller or the Forward Purchaser or for the Company, to (i) amend the Registration Statement in order that the Registration Statement will not include an untrue statement of a material fact or omit to state a material fact required to be stated therein or necessary to make the statements therein not misleading,</w:t>
      </w:r>
    </w:p>
    <w:p>
      <w:pPr>
        <w:spacing w:after="0" w:line="1" w:lineRule="exact"/>
        <w:rPr>
          <w:sz w:val="20"/>
          <w:szCs w:val="20"/>
          <w:color w:val="auto"/>
        </w:rPr>
      </w:pPr>
    </w:p>
    <w:p>
      <w:pPr>
        <w:jc w:val="both"/>
        <w:ind w:firstLine="8"/>
        <w:spacing w:after="0" w:line="250"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w:t>
      </w:r>
    </w:p>
    <w:p>
      <w:pPr>
        <w:jc w:val="both"/>
        <w:ind w:firstLine="8"/>
        <w:spacing w:after="0" w:line="251" w:lineRule="auto"/>
        <w:tabs>
          <w:tab w:leader="none" w:pos="3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Registration Statement or amend or supplement the Prospectus in order to comply with the requirements of the Securities Act, the Company will promptly notify the Manager or the Forward Seller and the Forward Purchaser, as applicable, to suspend the offering of Securities during such period and the Company will promptly prepare and file with the Commission such amendment or supplement as may be necessary to correct such statement or omission or to make the Registration Statement or the Prospectus comply with such requirements, and the Company will furnish to the Manager or the Forward Seller and the Forward Purchaser, as applicable, such number of copies of such amendment or supplement as the Manager or the Forward Seller and the Forward Purchaser, as applicable, may reasonably request. If at any time following issuance of an Issuer Free Writing Prospectus there occurred or occurs an event or development as a result of which such Issuer Free Writing Prospectus conflicted, conflicts or would conflict with the information contained in the Registration Statement or the Prospectus or included, includes or would include an untrue statement of a material fact or omitted, omits or would omit to state a material fact necessary in order to make the statements therein, in the light of the circumstances under which they were made, prevailing at that subsequent time, not misleading, the Company will promptly notify the Manager or the Forward Seller and the Forward Purchaser, as applicable, to suspend the offering of Securities during such period and the Company will, subject to Section 7(a) hereof, promptly amend or supplement, at its own expense, such Issuer Free Writing Prospectus to eliminate or correct such conflict, untrue statement or omission.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Blue Sky and Other Qualifications.</w:t>
      </w:r>
      <w:r>
        <w:rPr>
          <w:rFonts w:ascii="Times New Roman" w:cs="Times New Roman" w:eastAsia="Times New Roman" w:hAnsi="Times New Roman"/>
          <w:sz w:val="18"/>
          <w:szCs w:val="18"/>
          <w:color w:val="auto"/>
        </w:rPr>
        <w:t xml:space="preserve"> The Company will use its best efforts, in cooperation with the Manager and the Forward Seller, to qualify the Securities for offering and sale, or to obtain an exemption for the Securities to be offered and sold, under the applicable securities laws of such states and other jurisdictions (domestic or foreign) as the Manager and the Forward Seller may designate and to maintain such qualifications and exemptions in effect for so long as required for the distribution of the Securities (but in no event for less than one year from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or exempt, the Company will file such statements and reports as may be required by the laws of such jurisdiction to continue such qualification or exemption, as the case may be, in effect for so long as required for the distribution of the Securities (but in no event for less than one year from the date of this Agreement).</w:t>
      </w:r>
    </w:p>
    <w:p>
      <w:pPr>
        <w:spacing w:after="0" w:line="188" w:lineRule="exact"/>
        <w:rPr>
          <w:sz w:val="20"/>
          <w:szCs w:val="20"/>
          <w:color w:val="auto"/>
        </w:rPr>
      </w:pPr>
    </w:p>
    <w:p>
      <w:pPr>
        <w:jc w:val="both"/>
        <w:ind w:firstLine="648"/>
        <w:spacing w:after="0" w:line="315" w:lineRule="auto"/>
        <w:rPr>
          <w:sz w:val="20"/>
          <w:szCs w:val="20"/>
          <w:color w:val="auto"/>
        </w:rPr>
      </w:pPr>
      <w:r>
        <w:rPr>
          <w:rFonts w:ascii="Times New Roman" w:cs="Times New Roman" w:eastAsia="Times New Roman" w:hAnsi="Times New Roman"/>
          <w:sz w:val="17"/>
          <w:szCs w:val="17"/>
          <w:color w:val="auto"/>
        </w:rPr>
        <w:t>(f)            </w:t>
      </w:r>
      <w:r>
        <w:rPr>
          <w:rFonts w:ascii="Times New Roman" w:cs="Times New Roman" w:eastAsia="Times New Roman" w:hAnsi="Times New Roman"/>
          <w:sz w:val="17"/>
          <w:szCs w:val="17"/>
          <w:i w:val="1"/>
          <w:iCs w:val="1"/>
          <w:color w:val="auto"/>
        </w:rPr>
        <w:t>Rule 158.</w:t>
      </w:r>
      <w:r>
        <w:rPr>
          <w:rFonts w:ascii="Times New Roman" w:cs="Times New Roman" w:eastAsia="Times New Roman" w:hAnsi="Times New Roman"/>
          <w:sz w:val="17"/>
          <w:szCs w:val="17"/>
          <w:color w:val="auto"/>
        </w:rPr>
        <w:t xml:space="preserve"> The Company will make generally available to its securityholders as soon as practicable an earnings statement for the purposes of, and to provide to the Manager and the Forward Seller the benefits contemplated by, the last paragraph of Section 11(a) of the Securities Act and Rule 158.</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by them from the sale of the Securities and the net proceeds received under each Forward Contract in the manner specified in the Prospectus under “Use of Proceeds.”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xml:space="preserve"> During any Selling Period or any period in which the Prospectus relating to the Securities is required to be delivered by the Manager or the Forward Seller under the Securities Act with respect to a pending sale of the Securities (including in circumstances where such requirement may be satisfied pursuant to Rule 172), the Company will use its commercially reasonable efforts to cause the Securities to be listed on the NYSE. The Company will use its commercially reasonable efforts to cause all Securities delivered to the Forward Purchaser in settlement of any Forward Contract to be listed on the NYSE.</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Filings with the NYSE</w:t>
      </w:r>
      <w:r>
        <w:rPr>
          <w:rFonts w:ascii="Times New Roman" w:cs="Times New Roman" w:eastAsia="Times New Roman" w:hAnsi="Times New Roman"/>
          <w:sz w:val="18"/>
          <w:szCs w:val="18"/>
          <w:color w:val="auto"/>
        </w:rPr>
        <w:t>. The Company will timely file with the NYSE all material documents and notices required by the NYSE of companies that have or will issue securities that are traded on the NYSE.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xml:space="preserve"> The Company, during any Selling Period or period when the Prospectus is required to be delivered under the Securities Act and the Exchange Act (including in circumstances where such requirement may be satisfied pursuant to Rule 172), will file all documents required to be filed with the Commission pursuant to the Exchange Act within the time periods required by the Exchange Act.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Notice of Other Sales</w:t>
      </w:r>
      <w:r>
        <w:rPr>
          <w:rFonts w:ascii="Times New Roman" w:cs="Times New Roman" w:eastAsia="Times New Roman" w:hAnsi="Times New Roman"/>
          <w:sz w:val="18"/>
          <w:szCs w:val="18"/>
          <w:color w:val="auto"/>
        </w:rPr>
        <w:t xml:space="preserve">. During any Selling Period, the Company shall provide the Manager, the Forward Seller and the Forward Purchaser notice as promptly as reasonably possible (and, in any event, at least two (2) business days) before it offers to sell, contracts to sell, sells, grants any option to sell or otherwise disposes of any shares of Common Stock (other than Securities offered pursuant to the provisions of this Agreement or the Alternative Distribution Agreements) or securities convertible into or exchangeable for Common Stock, warrants or any rights to purchase or acquire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notice shall not be required in connection with (i) the issuance, grant or sale of Common Stock, options to purchase shares of Common Stock or shares of Common Stock issuable upon the exercise of options or other equity awards pursuant to any stock option, stock bonus or other stock or compensatory plan or arrangement described in the Prospectus, (ii) the issuance of securities in connection with an acquisition, merger or sale or purchase of assets, or (iii) the issuance or sale of shares of Common Stock pursuant to any dividend reinvestment plan that the Company may adopt from time to time, provided the implementation of such dividend reinvestment plan is disclosed to the Manager, the Forward Seller and the Forward Purchaser in advance.</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Change of Circumstances</w:t>
      </w:r>
      <w:r>
        <w:rPr>
          <w:rFonts w:ascii="Times New Roman" w:cs="Times New Roman" w:eastAsia="Times New Roman" w:hAnsi="Times New Roman"/>
          <w:sz w:val="18"/>
          <w:szCs w:val="18"/>
          <w:color w:val="auto"/>
        </w:rPr>
        <w:t>. The Company will, at any time during a fiscal quarter in which the Company intends to tender a Placement Notice or sell Securities, advise the Manager or Forward Seller, as applicable, promptly after it shall have received notice or obtained knowledge thereof, of any information or fact that would alter or affect in any material respect any opinion, certificate, letter or other document provided to the Manager or Forward Seller, as applicable, pursuant to this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Due Diligence Cooperation</w:t>
      </w:r>
      <w:r>
        <w:rPr>
          <w:rFonts w:ascii="Times New Roman" w:cs="Times New Roman" w:eastAsia="Times New Roman" w:hAnsi="Times New Roman"/>
          <w:sz w:val="18"/>
          <w:szCs w:val="18"/>
          <w:color w:val="auto"/>
        </w:rPr>
        <w:t>. The Company will cooperate with any reasonable due diligence review conducted by the Manager or the Forward Seller and the Forward Purchaser or their respective agents in connection with the transactions contemplated hereby, including, without limitation, providing information and making available documents and senior officers, during regular business hours and at the Company’s principal offices, as the Manager or the Forward Seller and the Forward Purchaser may reasonably request.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Disclosure of Sales.</w:t>
      </w:r>
      <w:r>
        <w:rPr>
          <w:rFonts w:ascii="Times New Roman" w:cs="Times New Roman" w:eastAsia="Times New Roman" w:hAnsi="Times New Roman"/>
          <w:sz w:val="18"/>
          <w:szCs w:val="18"/>
          <w:color w:val="auto"/>
        </w:rPr>
        <w:t xml:space="preserve"> The Company will disclose in its Quarterly Reports on Form 10-Q and in its Annual Report on Form 10-K in respect of any quarter in which sales of Securities were made under this Agreement, and/or, at the Company’s option, in a Current Report on Form 8-K, the number of Securities sold under this Agreement and any Alternative Distribution Agreement, the Net Proceeds to the Company and the compensation payable by the Company with respect to such sales.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Representation Dates; Certificates</w:t>
      </w:r>
      <w:r>
        <w:rPr>
          <w:rFonts w:ascii="Times New Roman" w:cs="Times New Roman" w:eastAsia="Times New Roman" w:hAnsi="Times New Roman"/>
          <w:sz w:val="18"/>
          <w:szCs w:val="18"/>
          <w:color w:val="auto"/>
        </w:rPr>
        <w:t>. On or prior to the date that the first Securities are sold pursuant to the terms of this Agreement, each time Securities are delivered to the Manager as principal on a Settlement Date and each time the Company:</w:t>
      </w:r>
    </w:p>
    <w:p>
      <w:pPr>
        <w:spacing w:after="0" w:line="16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files the Prospectus relating to the Securities or amends or supplements the Registration Statement or the Prospectus relating to the Securities by means of a post-effective amendment, sticker, or supplement but not by means of incorporation of documents by reference into the Registration Statement or the Prospectus relating to the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files an Annual Report on Form 10-K under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files a Quarterly Report on Form 10-Q under the Exchange Act; or</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(iv)          files a Current Report on Form 8-K containing amended financial information (other than an Earnings Announcement, to “furnish” information pursuant to Item 2.02 or 7.01 of Form 8-K or to provide disclosure pursuant to Item 8.01 of Form 8-K relating to the reclassifications of certain properties as discontinued operations in accordance with Statement of Financial Accounting Standards No. 144) under the Exchange Act (each such date of filing of one or more of the documents referred to in clauses (1)(i)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xml:space="preserve">”), the Company shall furnish the Manager, the Forward Seller and the Forward Purchaser with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as promptly as possible and in no event later than three (3) Trading Days after any Representation Date. The requirement to provide certificates under this Section 7(o) shall be waived for any Representation Date occurring at a time at which no Placement Notice (as amended by the corresponding Acceptance, if applicable)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Securities following a Representation Date when the Company relied on such waiver and did not provide the Manager with a certificate under this Section 7(o), then before the Company delivers the Placement Notice or the Manager or the Forward Seller sells any Securities, the Company shall provide the Manager, the Forward Seller and the Forward Purchaser with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dated the date of the Placement Notice.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the Forward Seller and the Forward Purchaser a written opinion and to the Manager and the Forward Seller a 10b-5 statement of Vinson &amp; Elkins L.L.P., counsel for the Company, in form and substance satisfactory to the Manager, the Forward Seller and the Forward Purchaser and its counsel, dated the date that the opinion and 10b-5 statement is required to be delivered, substantially similar to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Opinion of Tax Counsel</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to be furnished to the Manager, the Forward Seller and the Forward Purchaser a written opinion of Vinson &amp; Elkins L.L.P., tax counsel for the Company, in form and substance satisfactory to the Manager, the Forward Seller and the Forward Purchaser and its counsel,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modified, as necessary, to relate to the Registration Statement and the Prospectus as then amended or supplemented.</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Maryland Counsel Legal Opinion</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Manager, the Forward Seller and the Forward Purchaser shall have received the favorable opinion of Venable LLP, Maryland counsel for the Company, dated the date that the opinion is required to be delivered, substantially similar to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modified, as necessary, to relate to the Registration Statement and the Prospectus as then amended or supplemented;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lieu of such opinions for subsequent Representation Dates, any such counsel may furnish the Manager, the Forward Seller and the Forward Purchaser with a letter to the effect that the Manager, the Forward Seller and the Forward Purchaser may rely on a prior opinion delivered under this Section 7(r) to the same extent as if it were dated the date of such letter (except that statements in such prior opinion shall be deemed to relate to the Registration Statement and the Prospectus as amended or supplemented at such Representation Date).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Comfort Letters</w:t>
      </w:r>
      <w:r>
        <w:rPr>
          <w:rFonts w:ascii="Times New Roman" w:cs="Times New Roman" w:eastAsia="Times New Roman" w:hAnsi="Times New Roman"/>
          <w:sz w:val="18"/>
          <w:szCs w:val="18"/>
          <w:color w:val="auto"/>
        </w:rPr>
        <w:t xml:space="preserve">. On or prior to the date that the first Securities are sold pursuant to the terms of this Agreement, each time Securities are delivered to the Manager as principal on a Settlement Date, and as promptly as possible and in no event later than three (3) Trading Days after each Representation Date with respect to which the Company is obligated to deliver a certificate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for which no waiver is applicable, the Company shall cause its independent accountants to furnish the Manager and the Forward Seller a letter (a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dated the date the Comfort Letter is delivered, in form and substance satisfactory to the Manager and the Forward Seller, (i) confirming that they are an independent registered public accounting firm within the meaning of the Securities Act, the Exchange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Market Activities</w:t>
      </w:r>
      <w:r>
        <w:rPr>
          <w:rFonts w:ascii="Times New Roman" w:cs="Times New Roman" w:eastAsia="Times New Roman" w:hAnsi="Times New Roman"/>
          <w:sz w:val="18"/>
          <w:szCs w:val="18"/>
          <w:color w:val="auto"/>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Securities or (ii) sell, bid for, or purchase the Securities to be issued and sold pursuant to this Agreement, or pay anyone any compensation for soliciting purchases of the Securities to be issued and sold pursuant to this Agreement other than the Manager;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bid for and purchase shares of its Common Stock in accordance with Rule 10b-18 under the Exchange Act. In connection with entering into any Forward Contract, the Company will not acquire any long position (either directly or indirectly, including through an Affiliate or through a derivative transaction) with respect to shares of Common Stock. For purposes of the foregoing, Affiliate means, with respect to any person or entity, any other person or entity directly or indirectly controlling, controlled by, or under common control with such person or entity. For purposes of this definition, “control” when used with respect to any person or entity means ownership of 50% or more of the voting power or value of such person or entity.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Compliance with Laws</w:t>
      </w:r>
      <w:r>
        <w:rPr>
          <w:rFonts w:ascii="Times New Roman" w:cs="Times New Roman" w:eastAsia="Times New Roman" w:hAnsi="Times New Roman"/>
          <w:sz w:val="18"/>
          <w:szCs w:val="18"/>
          <w:color w:val="auto"/>
        </w:rPr>
        <w:t>.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have a Material Adverse Effect.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Securities Act and Exchange Act</w:t>
      </w:r>
      <w:r>
        <w:rPr>
          <w:rFonts w:ascii="Times New Roman" w:cs="Times New Roman" w:eastAsia="Times New Roman" w:hAnsi="Times New Roman"/>
          <w:sz w:val="18"/>
          <w:szCs w:val="18"/>
          <w:color w:val="auto"/>
        </w:rPr>
        <w:t>. The Company will use its best efforts to comply with all requirements imposed upon it by the Securities Act and the Exchange Act as from time to time in force, so far as necessary to permit the continuance of sales of, or dealings in, the Securities as contemplated by the provisions hereof and the Prospectus.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Offer to Sell</w:t>
      </w:r>
      <w:r>
        <w:rPr>
          <w:rFonts w:ascii="Times New Roman" w:cs="Times New Roman" w:eastAsia="Times New Roman" w:hAnsi="Times New Roman"/>
          <w:sz w:val="18"/>
          <w:szCs w:val="18"/>
          <w:color w:val="auto"/>
        </w:rPr>
        <w:t>. Other than a free writing prospectus (as defined in Rule 405) approved in advance in writing by the Company and the Manager in its capacity as principal or agent hereunder or the Forward Seller as agent hereunder, as applicable, the Company (including its agents and representatives, other than the Manager or the Forward Seller, in their respective capacities as such) will not, directly or indirectly, make, use, prepare, authorize, approve or refer to any free writing prospectus relating to the Securities to be sold by the Manager as principal or agent hereunder or by the Forward Seller as agent hereunder.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            [Reserved]</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Qualification and Taxation as a REIT</w:t>
      </w:r>
      <w:r>
        <w:rPr>
          <w:rFonts w:ascii="Times New Roman" w:cs="Times New Roman" w:eastAsia="Times New Roman" w:hAnsi="Times New Roman"/>
          <w:sz w:val="18"/>
          <w:szCs w:val="18"/>
          <w:color w:val="auto"/>
        </w:rPr>
        <w:t>. The Company will use its best efforts to continue to qualify for taxation as a REIT under the Code for its taxable year ending December 31, 2026, and thereafter, and will not take any action to revoke or otherwise terminate the Company’s REIT election, unless the Company’s board of directors determines in good faith that it is no longer in the best interests of the Company and its stockholders to be so qualified.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Renewal of Registration Statement.</w:t>
      </w:r>
      <w:r>
        <w:rPr>
          <w:rFonts w:ascii="Times New Roman" w:cs="Times New Roman" w:eastAsia="Times New Roman" w:hAnsi="Times New Roman"/>
          <w:sz w:val="18"/>
          <w:szCs w:val="18"/>
          <w:color w:val="auto"/>
        </w:rPr>
        <w:t xml:space="preserve"> The date of this Agreement is not more than three years subsequent to the initial effective date of the Registration Statement (the “</w:t>
      </w:r>
      <w:r>
        <w:rPr>
          <w:rFonts w:ascii="Times New Roman" w:cs="Times New Roman" w:eastAsia="Times New Roman" w:hAnsi="Times New Roman"/>
          <w:sz w:val="18"/>
          <w:szCs w:val="18"/>
          <w:u w:val="single" w:color="auto"/>
          <w:color w:val="auto"/>
        </w:rPr>
        <w:t>Renewal Date</w:t>
      </w:r>
      <w:r>
        <w:rPr>
          <w:rFonts w:ascii="Times New Roman" w:cs="Times New Roman" w:eastAsia="Times New Roman" w:hAnsi="Times New Roman"/>
          <w:sz w:val="18"/>
          <w:szCs w:val="18"/>
          <w:color w:val="auto"/>
        </w:rPr>
        <w:t>”). If, immediately prior to the Renewal Date, this Agreement has not terminated and a prospectus is required to be delivered or made available by the Manager or the Forward Seller under the Securities Act or the Exchange Act in connection with the sale of such Securities, the Company will, prior to the Renewal Date, file, if it has not already done so, a new shelf registration statement or, if applicable, an automatic shelf registration statement relating to such Securities, and, if such registration statement is not an automatic shelf registration statement, will use its best efforts to cause such registration statement to be declared effective within 180 days after the Renewal Date, and will take all other reasonable actions necessary or appropriate to permit the public offer and sale of such Securities to continue as contemplated in the expired registration statement relating to such Securities. References herein to the “Registration Statement” shall include such new shelf registration statement or automatic shelf registration statement, as the case may be.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Rights to Refuse Purchase.</w:t>
      </w:r>
      <w:r>
        <w:rPr>
          <w:rFonts w:ascii="Times New Roman" w:cs="Times New Roman" w:eastAsia="Times New Roman" w:hAnsi="Times New Roman"/>
          <w:sz w:val="18"/>
          <w:szCs w:val="18"/>
          <w:color w:val="auto"/>
        </w:rPr>
        <w:t xml:space="preserve"> If, to the knowledge of the Company, all filings required by Rule 424 under the Securities Act in connection with the offering of the Securities shall not have been made or the representations and warranties of the Company in Section 5 hereof shall not be true and correct on any applicable Settlement Date, the Company will offer to any person who has agreed to purchase Securities from the Company as a result of an offer to purchase solicited by the Manager the right to refuse to purchase and pay for such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1" w:name="page32"/>
    <w:bookmarkEnd w:id="31"/>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i w:val="1"/>
          <w:iCs w:val="1"/>
          <w:color w:val="auto"/>
        </w:rPr>
        <w:t>Reservation of Shares</w:t>
      </w:r>
      <w:r>
        <w:rPr>
          <w:rFonts w:ascii="Times New Roman" w:cs="Times New Roman" w:eastAsia="Times New Roman" w:hAnsi="Times New Roman"/>
          <w:sz w:val="18"/>
          <w:szCs w:val="18"/>
          <w:color w:val="auto"/>
        </w:rPr>
        <w:t>. In respect of any Forward, a number of shares of Common Stock at least equal to the Capped Number will be reserved for issuance by the Company’s board of directors.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u w:val="single" w:color="auto"/>
          <w:color w:val="auto"/>
        </w:rPr>
        <w:t>  PAYMENT OF EXPENSES.</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printing and filing of the Registration Statement (including financial statements and exhibits) as originally filed and of each amendment and supplement thereto, (ii) the preparation, issuance and delivery of the certificates for the Securities to the Manager, including any stock or other transfer taxes and any capital duties, stamp duties or other duties or taxes payable upon the sale, issuance or delivery of the Securities to the Manager, (iii) the fees and disbursements of the counsel, accountants and other advisors to the Company, (iv) the qualification or exemption of the Securities under securities laws in accordance with the provisions of Section 7(e) hereof, (v) the printing and delivery to the Manager, the Forward Seller and the Forward Purchaser of copies of any Permitted Free Writing Prospectus and the Prospectus and any amendments or supplements thereto and any costs associated with electronic delivery of any of the foregoing by the Manager or the Forward Seller to investors, (vi) the fees and expenses of the custodian and the transfer agent and registrar for the Securities, (vii) the filing fees incident to, and the reasonable fees and disbursements of counsel to the Manager in connection with, the review by FINRA of the terms of the sale of the Securities up to an aggregate amount not to exceed $1,000 and (viii) the fees and expenses incurred in connection with the listing of the Securities on the NYSE.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           </w:t>
      </w:r>
      <w:r>
        <w:rPr>
          <w:rFonts w:ascii="Times New Roman" w:cs="Times New Roman" w:eastAsia="Times New Roman" w:hAnsi="Times New Roman"/>
          <w:sz w:val="17"/>
          <w:szCs w:val="17"/>
          <w:i w:val="1"/>
          <w:iCs w:val="1"/>
          <w:color w:val="auto"/>
        </w:rPr>
        <w:t>Termination of Agreement</w:t>
      </w:r>
      <w:r>
        <w:rPr>
          <w:rFonts w:ascii="Times New Roman" w:cs="Times New Roman" w:eastAsia="Times New Roman" w:hAnsi="Times New Roman"/>
          <w:sz w:val="17"/>
          <w:szCs w:val="17"/>
          <w:color w:val="auto"/>
        </w:rPr>
        <w:t>. If this Agreement is terminated by the Manager in accordance with the provisions of Section 9 or Section 13(a)</w:t>
      </w:r>
    </w:p>
    <w:p>
      <w:pPr>
        <w:spacing w:after="0" w:line="41" w:lineRule="exact"/>
        <w:rPr>
          <w:sz w:val="20"/>
          <w:szCs w:val="20"/>
          <w:color w:val="auto"/>
        </w:rPr>
      </w:pPr>
    </w:p>
    <w:p>
      <w:pPr>
        <w:jc w:val="both"/>
        <w:ind w:firstLine="8"/>
        <w:spacing w:after="0" w:line="252" w:lineRule="auto"/>
        <w:tabs>
          <w:tab w:leader="none" w:pos="2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(iii) (with respect to the first clause only) hereof, the Company shall reimburse the Manager, the Forward Seller, the Forward Purchasers and the Alternative Managers for all reasonable, accountable out of pocket expenses, including reasonable fees and disbursements of counsel actually incurred by the Manager, the Forward Seller, the Forward Purchasers and the Alternative Managers in connection with the transactions contemplated by this Agreement and the Alternative Distribution Agreements, unless Securities having an aggregate offering price of $10,000,000 or more have previously been offered and sold under this Agreement and/or the Alternative Distribution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Expenses shall not exceed an aggregate amount under this Agreement and the Alternative Distribution Agreements of $25,000.</w:t>
      </w:r>
    </w:p>
    <w:p>
      <w:pPr>
        <w:spacing w:after="0" w:line="190" w:lineRule="exact"/>
        <w:rPr>
          <w:sz w:val="20"/>
          <w:szCs w:val="20"/>
          <w:color w:val="auto"/>
        </w:rPr>
      </w:pPr>
    </w:p>
    <w:p>
      <w:pPr>
        <w:ind w:left="1960" w:hanging="1295"/>
        <w:spacing w:after="0" w:line="282" w:lineRule="auto"/>
        <w:rPr>
          <w:sz w:val="20"/>
          <w:szCs w:val="20"/>
          <w:color w:val="auto"/>
        </w:rPr>
      </w:pPr>
      <w:r>
        <w:rPr>
          <w:rFonts w:ascii="Times New Roman" w:cs="Times New Roman" w:eastAsia="Times New Roman" w:hAnsi="Times New Roman"/>
          <w:sz w:val="18"/>
          <w:szCs w:val="18"/>
          <w:color w:val="auto"/>
        </w:rPr>
        <w:t>SECTION 9        </w:t>
      </w:r>
      <w:r>
        <w:rPr>
          <w:rFonts w:ascii="Times New Roman" w:cs="Times New Roman" w:eastAsia="Times New Roman" w:hAnsi="Times New Roman"/>
          <w:sz w:val="18"/>
          <w:szCs w:val="18"/>
          <w:u w:val="single" w:color="auto"/>
          <w:color w:val="auto"/>
        </w:rPr>
        <w:t>  CONDITIONS OF THE OBLIGATIONS OF THE MANAGER, THE FORWARD SELLER AND THE 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obligations of each of the Manager, the Forward Seller and the Forward Purchaser hereunder with respect to a Placement will be subject to the continuing accuracy and completeness of the representations and warranties of the Company contained in this Agreement or in certificates of any officer of the Company delivered pursuant to the provisions hereof, to the performance by the Company of its covenants and other obligations hereunder, and to the following further conditions:</w:t>
      </w:r>
    </w:p>
    <w:p>
      <w:pPr>
        <w:spacing w:after="0" w:line="17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and shall be available for (i) all sales of Securities issued pursuant to all prior Placement Notices (each as amended by a corresponding Acceptance, if applicable) and (ii) the sale of all Securities contemplated to be issued by any Placement Notice (as amended by the corresponding Acceptance, if applicable).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Securities for sale in any jurisdiction or the initiation or threatening of any proceeding for such purpose; or (iv) the occurrence of any event that makes any material statement made in the Registration Statement or the Prospectus, or any Issuer Free Writing Prospectus, or any material document incorporated or deemed to be incorporated therein by reference untrue in any material respect or that requires the making of any changes in the Registration Statement, related Prospectus, or any Issuer Free Writing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and any Issuer Free Writing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2" w:name="page33"/>
    <w:bookmarkEnd w:id="32"/>
    <w:p>
      <w:pPr>
        <w:jc w:val="both"/>
        <w:ind w:firstLine="648"/>
        <w:spacing w:after="0" w:line="290" w:lineRule="auto"/>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i w:val="1"/>
          <w:iCs w:val="1"/>
          <w:color w:val="auto"/>
        </w:rPr>
        <w:t>No Misstatement or Material Omission</w:t>
      </w:r>
      <w:r>
        <w:rPr>
          <w:rFonts w:ascii="Times New Roman" w:cs="Times New Roman" w:eastAsia="Times New Roman" w:hAnsi="Times New Roman"/>
          <w:sz w:val="17"/>
          <w:szCs w:val="17"/>
          <w:color w:val="auto"/>
        </w:rPr>
        <w:t>. None of the Manager, the Forward Seller or the Forward Purchaser shall have advised the Company that the Registration Statement or Prospectus, or any Issuer Free Writing Prospectus, or any amendment or supplement thereto, contains a material untrue statement of fact or omits to state a material fact that is required to be stated therein or is necessary to make the statements therein not misleading.</w:t>
      </w:r>
    </w:p>
    <w:p>
      <w:pPr>
        <w:spacing w:after="0" w:line="15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to the condition, financial or otherwise, or in the properties, earnings, business affairs or business prospects of the Company and each of its subsidiaries considered as one enterprise.</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Opinion of Counsel for Company.</w:t>
      </w:r>
      <w:r>
        <w:rPr>
          <w:rFonts w:ascii="Times New Roman" w:cs="Times New Roman" w:eastAsia="Times New Roman" w:hAnsi="Times New Roman"/>
          <w:sz w:val="18"/>
          <w:szCs w:val="18"/>
          <w:color w:val="auto"/>
        </w:rPr>
        <w:t xml:space="preserve"> The Manager, the Forward Seller and the Forward Purchaser shall have received the favorable opinions of Vinson &amp; Elkins L.L.P., required to be delivered pursuant to Section 7(p) on the date on which such delivery of such opinion is required pursuant to Section 7(p).</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Opinion of Tax Counsel for Company.</w:t>
      </w:r>
      <w:r>
        <w:rPr>
          <w:rFonts w:ascii="Times New Roman" w:cs="Times New Roman" w:eastAsia="Times New Roman" w:hAnsi="Times New Roman"/>
          <w:sz w:val="18"/>
          <w:szCs w:val="18"/>
          <w:color w:val="auto"/>
        </w:rPr>
        <w:t xml:space="preserve"> The Manager, the Forward Seller and the Forward Purchaser shall have received the favorable opinions of Vinson &amp; Elkins L.L.P., required to be delivered pursuant to Section 7(q) on the date on which such delivery of such opinion is required pursuant to Section 7(q).</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Opinion of Maryland Counsel for the Company</w:t>
      </w:r>
      <w:r>
        <w:rPr>
          <w:rFonts w:ascii="Times New Roman" w:cs="Times New Roman" w:eastAsia="Times New Roman" w:hAnsi="Times New Roman"/>
          <w:sz w:val="18"/>
          <w:szCs w:val="18"/>
          <w:color w:val="auto"/>
        </w:rPr>
        <w:t>. The Manager, the Forward Seller and the Forward Purchaser shall have received the favorable opinions of Venable LLP, required to be delivered pursuant to Section 7(r) on the date on which such delivery of such opinion is required pursuant to Section 7(r).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Opinion of Counsel for the Manager</w:t>
      </w:r>
      <w:r>
        <w:rPr>
          <w:rFonts w:ascii="Times New Roman" w:cs="Times New Roman" w:eastAsia="Times New Roman" w:hAnsi="Times New Roman"/>
          <w:sz w:val="18"/>
          <w:szCs w:val="18"/>
          <w:color w:val="auto"/>
        </w:rPr>
        <w:t>. On or prior to the date that the first Securities are sold pursuant to the terms of this Agreement and each time Securities are delivered to the Manager as principal on the Settlement Date, as promptly as possible and in no event later than three (3) Trading Days after each Representation Date with respect to which no waiver is applicable, the Manager, the Forward Seller and the Forward Purchaser shall have received the favorable opinion of Hunton Andrews Kurth LLP, counsel for the Manager, dated the date the opinion is required to be delivered, in customary form and substance satisfactory to the Manager, the Forward Seller and the Forward Purchaser, and the Company shall have furnished to such counsel such documents as they reasonably request for the purpose of enabling them to pass upon such matters. In rendering such opinion, Hunton Andrews Kurth LLP may rely as to matters involving the laws of the State of Maryland upon the opinion of Venable LLP referred to in Section 7(r).</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xml:space="preserve"> The Manager, the Forward Seller and the Forward Purchaser shall have received the certificate required to be delivered pursuant to Section 7(o) on the date on which delivery of such certificate is required pursuant to Section 7(o).</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xml:space="preserve"> The Manager and the Forward Seller shall have received the Comfort Letter required to be delivered pursuant to Section 7(s) on the date on which such delivery of such Comfort Letter is required pursuant to Section 7(s).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The Securities shall have been approved for listing on the NYSE, subject only to official notice of issuance.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No Suspension</w:t>
      </w:r>
      <w:r>
        <w:rPr>
          <w:rFonts w:ascii="Times New Roman" w:cs="Times New Roman" w:eastAsia="Times New Roman" w:hAnsi="Times New Roman"/>
          <w:sz w:val="18"/>
          <w:szCs w:val="18"/>
          <w:color w:val="auto"/>
        </w:rPr>
        <w:t>. Trading in the Securities shall not have been suspended on the NYSE.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Additional Documents.</w:t>
      </w:r>
      <w:r>
        <w:rPr>
          <w:rFonts w:ascii="Times New Roman" w:cs="Times New Roman" w:eastAsia="Times New Roman" w:hAnsi="Times New Roman"/>
          <w:sz w:val="18"/>
          <w:szCs w:val="18"/>
          <w:color w:val="auto"/>
        </w:rPr>
        <w:t xml:space="preserve"> On each date on which the Company is required to deliver a certificate pursuant to Section 7(o), counsel for the Manager, the Forward Seller and the Forward Purchaser, as applicable, shall have been 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3" w:name="page34"/>
    <w:bookmarkEnd w:id="3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Effectiveness of Master Forward Confirmation</w:t>
      </w:r>
      <w:r>
        <w:rPr>
          <w:rFonts w:ascii="Times New Roman" w:cs="Times New Roman" w:eastAsia="Times New Roman" w:hAnsi="Times New Roman"/>
          <w:sz w:val="18"/>
          <w:szCs w:val="18"/>
          <w:color w:val="auto"/>
        </w:rPr>
        <w:t>. In respect of any Placement Notice delivered in respect of any Forward, the Master Forward Confirmation shall be in full force and effect.</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Termination of Agreement.</w:t>
      </w:r>
      <w:r>
        <w:rPr>
          <w:rFonts w:ascii="Times New Roman" w:cs="Times New Roman" w:eastAsia="Times New Roman" w:hAnsi="Times New Roman"/>
          <w:sz w:val="18"/>
          <w:szCs w:val="18"/>
          <w:color w:val="auto"/>
        </w:rPr>
        <w:t xml:space="preserve"> If any condition specified in this Section 9 shall not have been fulfilled when and as required to be fulfilled, this Agreement may be terminated by the Manager, the Forward Seller or the Forward Purchaser, as applicable, by notice to the Company, and such termination shall be without liability of any party to any other party except as provided in Section 8 hereof and except that, in the case of any termination of this Agreement, Sections 5, 10, 11, 12 and 22 hereof, as well as the obligation to enter into any Forward Contract pursuant to Section 2(c) hereof as a result of sales of Forward Hedge Securities occurring prior to such termination, shall survive such termination and remain in full force and effect. For the avoidance of doubt, any such termination shall not affect or impair any party’s obligations with respect to any Securities sold hereunder prior to the occurrence thereof or any Securities sold under any Alternative Distribution Agreement (including, in the case of any Forward Hedge Securities, the obligation to enter into the resulting Forward Contract).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u w:val="single" w:color="auto"/>
          <w:color w:val="auto"/>
        </w:rPr>
        <w:t>  INDEMNIFICATION.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Indemnification by the Company.</w:t>
      </w:r>
    </w:p>
    <w:p>
      <w:pPr>
        <w:spacing w:after="0" w:line="227"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(1)           Subject to the limitations in this paragraph below, the Company agrees to indemnify and hold harmless each of the Manager, the Forward Seller and the Forward Purchaser, each of their respective directors, officers, employees, affiliates and agents, and each person, if any, who controls the Manager, the Forward Seller or the Forward Purchaser within the meaning of Section 15 of the Securities Act or Section 20 of the Exchange Act from and against any and all losses, claims, damages, liabilities and expenses, including reasonable costs of investigation and attorneys’ fees and expenses (collectively,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arising out of or based upon (i) any untrue statement or alleged untrue statement of a material fact contained in the Registration Statement, any Issuer Free Writing Prospectus, the Prospectus or in any amendment or supplement thereto, any “issuer information” filed or required to be filed pursuant to Rule 433(d), or (ii) any omission or alleged omission to state therein a material fact required to be stated therein or necessary to make the statements therein (in the case of the Prospectus, in the light of the circumstances under which they were made) not misleading; except with respect to (i) or (ii) to the extent that any such Damages arise out of or are based upon an untrue statement or omission or alleged untrue statement or omission that has been made therein or omitted therefrom in reliance upon and in conformity with the information furnished in writing to the Company by or on behalf of the Manager, the Forward Seller or the Forward Purchaser, expressly for use in connection therewith. This indemnification shall be in addition to any liability that the Company may otherwise have.</w:t>
      </w:r>
    </w:p>
    <w:p>
      <w:pPr>
        <w:spacing w:after="0" w:line="187" w:lineRule="exact"/>
        <w:rPr>
          <w:sz w:val="20"/>
          <w:szCs w:val="20"/>
          <w:color w:val="auto"/>
        </w:rPr>
      </w:pPr>
    </w:p>
    <w:p>
      <w:pPr>
        <w:jc w:val="both"/>
        <w:ind w:left="660" w:firstLine="648"/>
        <w:spacing w:after="0" w:line="268" w:lineRule="auto"/>
        <w:rPr>
          <w:sz w:val="20"/>
          <w:szCs w:val="20"/>
          <w:color w:val="auto"/>
        </w:rPr>
      </w:pPr>
      <w:r>
        <w:rPr>
          <w:rFonts w:ascii="Times New Roman" w:cs="Times New Roman" w:eastAsia="Times New Roman" w:hAnsi="Times New Roman"/>
          <w:sz w:val="17"/>
          <w:szCs w:val="17"/>
          <w:color w:val="auto"/>
        </w:rPr>
        <w:t>(2)            If any action or claim shall be brought against the Manager, the Forward Seller or the Forward Purchaser or any person controlling the Manager, the Forward Seller or the Forward Purchaser in respect of which indemnity may be sought against the Company, the Manager, the Forward Seller, the Forward Purchaser or such controlling person shall promptly notify in writing the party(s) against whom indemnification is being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indemnifying parties</w:t>
      </w:r>
      <w:r>
        <w:rPr>
          <w:rFonts w:ascii="Times New Roman" w:cs="Times New Roman" w:eastAsia="Times New Roman" w:hAnsi="Times New Roman"/>
          <w:sz w:val="17"/>
          <w:szCs w:val="17"/>
          <w:color w:val="auto"/>
        </w:rPr>
        <w:t>”), and such indemnifying party or parties shall assume the defense thereof, including the employment of counsel reasonably acceptable to the Manager, the Forward Seller, the Forward Purchaser or such controlling person and the payment of all reasonable fees of and expenses incurred by such counsel. The Manager, the Forward Seller, the Forward Purchaser or any such controlling person shall have the right to employ separate counsel in any such action and participate in the defense thereof, but the fees and expenses of such counsel shall be at the expense of the Manager, the Forward Seller, the Forward Purchaser or such controlling person, unless</w:t>
      </w:r>
    </w:p>
    <w:p>
      <w:pPr>
        <w:jc w:val="both"/>
        <w:ind w:left="660" w:hanging="4"/>
        <w:spacing w:after="0" w:line="250" w:lineRule="auto"/>
        <w:tabs>
          <w:tab w:leader="none" w:pos="8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party(s) has (have) agreed in writing to pay such fees and expenses, (ii) the indemnifying party(s) has (have) failed to assume the defense and employ counsel reasonably acceptable to the Manager, the Forward Seller, the Forward Purchaser or such controlling person or</w:t>
      </w:r>
    </w:p>
    <w:p>
      <w:pPr>
        <w:jc w:val="both"/>
        <w:ind w:left="660" w:hanging="4"/>
        <w:spacing w:after="0" w:line="251" w:lineRule="auto"/>
        <w:tabs>
          <w:tab w:leader="none" w:pos="9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parties to any such action (including any impleaded parties) include both the Manager, the Forward Seller, the Forward Purchaser or such controlling person and the indemnifying party(s), and the Manager, the Forward Seller, the Forward Purchaser or such controlling person shall have been advised by its counsel that one or more legal defenses may be available to the Manager, the Forward Seller or the Forward Purchaser that may not be available to the Company, or that representation of such indemnified party and any indemnifying party(s) by the same counsel would be inappropriate under applicable standards of professional conduct (whether or not such representation by the same counsel has been proposed) due to actual or potential differing interests between them (in which case the indemnifying party(s) shall not have the right to assume the defense of such action on behalf of the Manager, the Forward Seller, the Forward Purchaser or such controlling person (but the Company shall not be liable for the fees and expenses of more than one counsel for the Manager, the Forward Seller, the Forward Purchaser and such controlling persons)). The indemnifying party(s) shall not be liable for any settlement of any such action effected without its (their several) written consent, but if settled with such written consent, or if there be a final judgment for the plaintiff in any such action, the indemnifying party(s) agree(s) to indemnify and hold harmless the Manager, the Forward Seller, the Forward Purchaser and any such controlling person from and against any loss, claim, damage, liability or expense by reason of such settlement or judgment, but in the case of a judgment only to the extent stated in the first paragraph of this Section 10.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Indemnification by the Manager, the Forward Seller or the Forward Purchaser</w:t>
      </w:r>
      <w:r>
        <w:rPr>
          <w:rFonts w:ascii="Times New Roman" w:cs="Times New Roman" w:eastAsia="Times New Roman" w:hAnsi="Times New Roman"/>
          <w:sz w:val="18"/>
          <w:szCs w:val="18"/>
          <w:color w:val="auto"/>
        </w:rPr>
        <w:t>. Each of the Manager, the Forward Seller and the Forward Purchaser agrees to indemnify and hold harmless each of the Company, its directors and its officers who sign the Registration Statement and any person who controls the Company within the meaning of Section 15 of the Securities Act or Section 20 of the Exchange Act, to the same extent as the foregoing indemnity from the Company to the Manager, the Forward Seller and the Forward Purchaser, but only with respect to information furnished in writing by or on behalf of the Manager, the Forward Seller or the Forward Purchaser expressly for use in the Registration Statement, the Prospectus, any Issuer Free Writing Prospectus, or any amendment or supplement thereto. If any action or claim shall be brought or asserted against the Company or any of its directors, any of its officers or any such controlling person based on the Registration Statement, the Prospectus or any amendment or supplement thereto, and in respect of which indemnity may be sought against the Manager, the Forward Seller or the Forward Purchaser pursuant to this Section 10(b), the Manager, the Forward Seller and the Forward Purchaser shall have the rights and duties given to the Company by Section 10(a)(2) (except that if the Company shall have assumed the defense thereof the Manager, the Forward Seller and the Forward Purchaser shall not be required to do so, but may employ separate counsel therein and participate in the defense thereof, but the fees and expenses of such counsel shall be at the expense of the Manager, the Forward Seller and the Forward Purchaser), and the Company, its directors, its officers and any such controlling persons, shall have the rights and duties given to the Manager, the Forward Seller and the Forward Purchaser by Section 10(a)(2).</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Settlement.</w:t>
      </w:r>
      <w:r>
        <w:rPr>
          <w:rFonts w:ascii="Times New Roman" w:cs="Times New Roman" w:eastAsia="Times New Roman" w:hAnsi="Times New Roman"/>
          <w:sz w:val="18"/>
          <w:szCs w:val="18"/>
          <w:color w:val="auto"/>
        </w:rPr>
        <w:t xml:space="preserve"> In any event, (i) the Company will not, without the prior written consent of the Manager, the Forward Seller and the Forward Purchaser, as the case may be, settle or compromise or consent to the entry of any judgment in any proceeding or threatened claim, action, suit or proceeding in respect of which indemnification may be sought hereunder (whether or not the Manager, the Forward Seller or the Forward Purchaser, as the case may be, or any person who controls the Manager, the Forward Seller or the Forward Purchaser, as the case may be, within the meaning of Section 15 of the Securities Act or Section 20 of the Exchange Act is a party to such claim, action, suit or proceeding) unless such settlement, compromise or consent includes an unconditional release of the Manager, the Forward Seller, the Forward Purchaser, as the case may be, and such controlling persons from all liability arising out of such claim, action, suit or proceeding and (ii) the Manager, the Forward Seller and the Forward Purchaser will not, without the prior written consent of the Company, settle or compromise or consent to the entry of any judgment in any proceeding or threatened claim, action, suit or proceeding in respect of which the indemnification may be sought hereunder unless such settlement, compromise or consent includes an unconditional release of the Company from all liability arising out of such claim, action, suit or proceeding.</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Settlement without Consent if Failure to Reimburse</w:t>
      </w:r>
      <w:r>
        <w:rPr>
          <w:rFonts w:ascii="Times New Roman" w:cs="Times New Roman" w:eastAsia="Times New Roman" w:hAnsi="Times New Roman"/>
          <w:sz w:val="18"/>
          <w:szCs w:val="18"/>
          <w:color w:val="auto"/>
        </w:rPr>
        <w:t>. If at any time an indemnified party shall have requested an indemnifying party to reimburse the indemnified party for fees and expenses of counsel as contemplated by this Section 10, such indemnifying party agrees that it shall be liable for any settlement of the nature contemplated by this Section 10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u w:val="single" w:color="auto"/>
          <w:color w:val="auto"/>
        </w:rPr>
        <w:t>  CONTRIBUTION.</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If the indemnification provided for in Section 10 is unavailable or insufficient for any reason whatsoever to an indemnified party in respect of any Damages referred to therein, then an indemnifying party, in lieu of indemnifying such indemnified party, shall contribute to the amount paid or payable by such indemnified party as a result of such Damages (i) in such proportion as is appropriate to reflect the relative benefits received by the Company on the one hand, and the Manager, the Forward Seller and the Forward Purchaser on the other hand, from the offering and sale of the Securities or (ii) if the allocation provided by clause (i) above is not permitted by applicable law, in such proportion as is appropriate to reflect not only the relative benefits referred to in clause (i) above but also the relative and several fault of the Company on the one hand, and the Manager, the Forward Seller and the Forward Purchaser on the other hand, in connection with the statements or omissions that resulted in such Damages as well as any other relevant equitable considerations. The relative benefits received by the Company, on the one hand, and the Manager, the Forward Seller and the Forward Purchaser, on the other hand, in connection with the offering of the Securities pursuant to this Agreement shall be deemed to be in the same respective proportions as (a) in the case of the Company, (x) the total net proceeds from the offering of the Issuance Securities for each Issuance under this Agreement (before deducting expenses) received by the Company bear to the Aggregate Sales Price of the Issuance Securities, or (y) the Actual Sold Forward Amount for each Forward under this Agreement, multiplied by the Forward Hedge Price for such Forward (the “</w:t>
      </w:r>
      <w:r>
        <w:rPr>
          <w:rFonts w:ascii="Times New Roman" w:cs="Times New Roman" w:eastAsia="Times New Roman" w:hAnsi="Times New Roman"/>
          <w:sz w:val="18"/>
          <w:szCs w:val="18"/>
          <w:u w:val="single" w:color="auto"/>
          <w:color w:val="auto"/>
        </w:rPr>
        <w:t>Net Forward Proceeds</w:t>
      </w:r>
      <w:r>
        <w:rPr>
          <w:rFonts w:ascii="Times New Roman" w:cs="Times New Roman" w:eastAsia="Times New Roman" w:hAnsi="Times New Roman"/>
          <w:sz w:val="18"/>
          <w:szCs w:val="18"/>
          <w:color w:val="auto"/>
        </w:rPr>
        <w:t>”), bear to the sum of the Net Forward Proceeds and the Actual Forward Commission (as defined below) (such sum, the “</w:t>
      </w:r>
      <w:r>
        <w:rPr>
          <w:rFonts w:ascii="Times New Roman" w:cs="Times New Roman" w:eastAsia="Times New Roman" w:hAnsi="Times New Roman"/>
          <w:sz w:val="18"/>
          <w:szCs w:val="18"/>
          <w:u w:val="single" w:color="auto"/>
          <w:color w:val="auto"/>
        </w:rPr>
        <w:t>Gross Forward Amount</w:t>
      </w:r>
      <w:r>
        <w:rPr>
          <w:rFonts w:ascii="Times New Roman" w:cs="Times New Roman" w:eastAsia="Times New Roman" w:hAnsi="Times New Roman"/>
          <w:sz w:val="18"/>
          <w:szCs w:val="18"/>
          <w:color w:val="auto"/>
        </w:rPr>
        <w:t>”), (b) in the case of the Manager, the total commissions received by the Manager bear to the aggregate public offering price of the Issuance Securities, (c) in the case of the Forward Seller, the Actual Sold Forward Amount for each Forward under this Agreement, multiplied by the Forward Hedge Selling Commission for such Forward (the “</w:t>
      </w:r>
      <w:r>
        <w:rPr>
          <w:rFonts w:ascii="Times New Roman" w:cs="Times New Roman" w:eastAsia="Times New Roman" w:hAnsi="Times New Roman"/>
          <w:sz w:val="18"/>
          <w:szCs w:val="18"/>
          <w:u w:val="single" w:color="auto"/>
          <w:color w:val="auto"/>
        </w:rPr>
        <w:t>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Forward Commission</w:t>
      </w:r>
      <w:r>
        <w:rPr>
          <w:rFonts w:ascii="Times New Roman" w:cs="Times New Roman" w:eastAsia="Times New Roman" w:hAnsi="Times New Roman"/>
          <w:sz w:val="18"/>
          <w:szCs w:val="18"/>
          <w:color w:val="auto"/>
        </w:rPr>
        <w:t>”), bear to the Gross Forward Amount, and (d) in the case of the Forward Purchaser, the net Spread (as such term is defined in the Master Forward Confirmation and net of any related stock borrow costs or other costs or expenses actually incurred) for all Forward Contracts executed in connection with this Agreement, bear to the Gross Forward Amount. The relative fault of the Company on the one hand, and the Manager, the Forward Seller and the Forward Purchaser, on the other hand, shall be determined by reference to, among other things, whether the untrue or alleged untrue statement of a material fact or the omission or alleged omission to state a material fact relates to information supplied by the Company on the one hand, or by the Manager, the Forward Seller and the Forward Purchaser on the other hand and the parties’ relative intent, knowledge, access to information and opportunity to correct or prevent such statement or omission.</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of the Company, the Manager, the Forward Seller and the Forward Purchaser agrees that it would not be just and equitable if contribution pursuant to this Section 11 was determined by a pro rata allocation or by any other method of allocation that does not take into account the equitable considerations referred to in the immediately preceding paragraph. The amount paid or payable by an indemnified party as a result of the Damages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11, the Manager, the Forward Purchaser and the Forward Seller shall not be required to contribute any amount in excess of the amount by which, in the case of the Manager, the total price at which the Issuance Securities sold by such Manager, or in the case of the Forward Seller and the Forward Purchaser, as applicable, the total price of the Forward Hedge Securities sold by the Forward Seller, in each case pursuant to this Agreement, exceeds the amount of any damages which the Manager, the Forward Seller or the Forward Purchaser has otherwise been required to pay by reason of any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Damages for which an indemnified party is entitled to indemnification or contribution under Section 10 or this Section 11 shall be paid by the indemnifying party to the indemnified party as Damages are incurred after receipt of reasonably itemized invoices therefor. The indemnity, contribution and reimbursement agreements contained in Section 10 and this Section 11 shall remain operative and in full force and effect, regardless of (i) any investigation made by or on behalf of the Manager, the Forward Seller, the Forward Purchaser or any person controlling the Manager, the Forward Seller, the Forward Purchaser, the Company and its directors, its officers or any person controlling the Company, (ii) acceptance of any Securities and payment therefor hereunder and (iii) any termination of this Agreement. A successor to the Manager, the Forward Seller, the Forward Purchaser or any person controlling the Manager, the Forward Seller, the Forward Purchaser or to the Company, its directors, its officers or any person controlling the Company, shall be entitled to the benefits of the indemnity, contribution and reimbursement agreements contained in Section 10 and this Section 11.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remedies provided for in Section 10 and this Section 11 are not exclusive and shall not limit any rights or remedies that otherwise may be available to any indemnified person at law or in equity.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        </w:t>
      </w:r>
      <w:r>
        <w:rPr>
          <w:rFonts w:ascii="Times New Roman" w:cs="Times New Roman" w:eastAsia="Times New Roman" w:hAnsi="Times New Roman"/>
          <w:sz w:val="18"/>
          <w:szCs w:val="18"/>
          <w:u w:val="single" w:color="auto"/>
          <w:color w:val="auto"/>
        </w:rPr>
        <w:t>  REPRESENTATIONS, WARRANTIES AND AGREEMENTS TO SURVIVE DELIVERY.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Company submitted pursuant hereto, shall remain operative and in full force and effect, regardless of any investigation made by or on behalf of the Manager, the Forward Seller or the Forward Purchaser or any of their Affiliates or selling agents, any person controlling the Manager, the Forward Seller or the Forward Purchaser or their respective officers or directors, or by or on behalf of the Company or any person controlling the Company, and shall survive delivery of the Securities to the Manager and shall survive delivery and acceptance of the Securities and payment therefor and the settlement of any Forward Contract or any termination of this Agreement or the Master Forward Confirmation and any “Supplemental Confirmation” executed in connection with the Master Forward Confirmation.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u w:val="single" w:color="auto"/>
          <w:color w:val="auto"/>
        </w:rPr>
        <w:t>  TERMINATION OF AGREEMENT.</w:t>
      </w:r>
    </w:p>
    <w:p>
      <w:pPr>
        <w:spacing w:after="0" w:line="22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Termination; General.</w:t>
      </w:r>
      <w:r>
        <w:rPr>
          <w:rFonts w:ascii="Times New Roman" w:cs="Times New Roman" w:eastAsia="Times New Roman" w:hAnsi="Times New Roman"/>
          <w:sz w:val="18"/>
          <w:szCs w:val="18"/>
          <w:color w:val="auto"/>
        </w:rPr>
        <w:t xml:space="preserve"> Each of the Manager, the Forward Seller or the Forward Purchaser, as applicable may terminate this Agreement, by notice to the Company, as hereinafter specified at any time (i) if there has been, since the time of execution of this Agreement or since the date as of which information is given in the Prospectus, any material adverse change in the condition, financial or otherwise, or in the properties, earnings, business affairs or business prospects of the Company and each of its subsidiaries whether or not arising in the ordinary course of business, (ii) if there has occurred any material adverse change in the financial markets in the United States or the international financial markets, any outbreak of hostilities or escalation thereof, any acts of terrorism involving the United States or other calamity or crisis or any change or development involving a prospective change in national or international political, financial or economic conditions, in each case the effect of which is such as to make it, in the sole judgment of the Manager, impracticable or inadvisable to market the Securities or to enforce contracts for the sale of the Securities, (iii) if trading in the Securities has been suspended or materially limited by the Commission or the NYSE, or (iv) if trading generally on the NYSE or the Nasdaq Global Market has been suspended or materially limited, or minimum or maximum prices for trading have been fixed, or maximum ranges for prices have been required, by any of said exchanges or by order of the Commission, FINRA or any other governmental authority, or a material disruption has occurred in commercial banking or securities settlement or clearance services in the United States, or (v) if a banking moratorium has been declared by either Federal or New York authorities.</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Termination by the Company.</w:t>
      </w:r>
      <w:r>
        <w:rPr>
          <w:rFonts w:ascii="Times New Roman" w:cs="Times New Roman" w:eastAsia="Times New Roman" w:hAnsi="Times New Roman"/>
          <w:sz w:val="18"/>
          <w:szCs w:val="18"/>
          <w:color w:val="auto"/>
        </w:rPr>
        <w:t xml:space="preserve"> Subject to Section 13(f) hereof, the Company shall have the right to terminate this Agreement in its sole discretion at any time after the date of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Termination by the Manager, the Forward Seller or the Forward Purchaser.</w:t>
      </w:r>
      <w:r>
        <w:rPr>
          <w:rFonts w:ascii="Times New Roman" w:cs="Times New Roman" w:eastAsia="Times New Roman" w:hAnsi="Times New Roman"/>
          <w:sz w:val="18"/>
          <w:szCs w:val="18"/>
          <w:color w:val="auto"/>
        </w:rPr>
        <w:t xml:space="preserve"> Subject to Section 13(f) hereof, each of the Manager, the Forward Seller or the Forward Purchaser, as applicable, shall have the right to terminate this Agreement in its sole discretion at any time after the date of this Agreement.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Automatic Termination.</w:t>
      </w:r>
      <w:r>
        <w:rPr>
          <w:rFonts w:ascii="Times New Roman" w:cs="Times New Roman" w:eastAsia="Times New Roman" w:hAnsi="Times New Roman"/>
          <w:sz w:val="18"/>
          <w:szCs w:val="18"/>
          <w:color w:val="auto"/>
        </w:rPr>
        <w:t xml:space="preserve"> Unless earlier terminated pursuant to this Section 13, this Agreement shall automatically terminate upon the issuance and sale of Securities through the Manager or the Alternative Managers on the terms and subject to the conditions set forth herein or in the Alternative Distribution Agreements, as applicable, with an aggregate Sales Price equal to the Maximum Amount.</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Continued Force and Effect.</w:t>
      </w:r>
      <w:r>
        <w:rPr>
          <w:rFonts w:ascii="Times New Roman" w:cs="Times New Roman" w:eastAsia="Times New Roman" w:hAnsi="Times New Roman"/>
          <w:sz w:val="18"/>
          <w:szCs w:val="18"/>
          <w:color w:val="auto"/>
        </w:rPr>
        <w:t xml:space="preserve"> This Agreement shall remain in full force and effect unless terminated pursuant to Sections 13(a), (b), (c), or (d) above or otherwise by mutual agreement of the parties.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Effectiveness of Termination.</w:t>
      </w:r>
      <w:r>
        <w:rPr>
          <w:rFonts w:ascii="Times New Roman" w:cs="Times New Roman" w:eastAsia="Times New Roman" w:hAnsi="Times New Roman"/>
          <w:sz w:val="18"/>
          <w:szCs w:val="18"/>
          <w:color w:val="auto"/>
        </w:rPr>
        <w:t xml:space="preserve">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Manager, the Forward Seller, the Forward Purchaser or the Company, as the case may be. If such termination shall occur prior to the Settlement Date for any sale of Securities, such Securities shall settle in accordance with the provisions of this Agreement. Notwithstanding anything to the contrary contained herein, the obligation to enter into any Forward Contract pursuant to Section 2(c) hereof as a result of sales of Forward Hedge Securities occurring prior to such termination, shall survive such termination and remain in full force and effect. For the avoidance of doubt, any such termination shall not affect or impair any party’s obligations with respect to any Securities sold hereunder prior to the occurrence thereof or any Securities sold under any Alternative Distribution Agreement (including, in the case of any Forward Hedge Securities, the obligation to enter into the resulting Forward Contract).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If this Agreement is terminated pursuant to this Section 13, such termination shall be without liability of any party to any other party except as provided in Section 8 hereof, and except that, in the case of any termination of this Agreement, Section 5, Section 10, Section 11, Section 12, Section 22 and Section 23 hereof shall survive such termination and remain in full force and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14        </w:t>
      </w:r>
      <w:r>
        <w:rPr>
          <w:rFonts w:ascii="Times New Roman" w:cs="Times New Roman" w:eastAsia="Times New Roman" w:hAnsi="Times New Roman"/>
          <w:sz w:val="18"/>
          <w:szCs w:val="18"/>
          <w:u w:val="single" w:color="auto"/>
          <w:color w:val="auto"/>
        </w:rPr>
        <w:t>  NOTICES.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Agreement, all notices and other communications hereunder shall be in writing and shall be deemed to have been duly given if mailed or transmitted by any standard form of telecommunication.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Notices to the Manager and the Forward Seller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Pennsylvania Avenue,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Robert K. Smith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Notices to the Forward Purchaser shall be sent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Hunton Andrews Kurth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2200 Pennsylvania Avenue, NW</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Washington, DC 20037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Robert K. Smith</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Notices to the Company shall be directed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369 N. New York Avenue, Suite 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Winter Park, FL 32789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ind w:left="1960"/>
        <w:spacing w:after="0" w:line="205" w:lineRule="auto"/>
        <w:rPr>
          <w:sz w:val="20"/>
          <w:szCs w:val="20"/>
          <w:color w:val="auto"/>
        </w:rPr>
      </w:pPr>
      <w:r>
        <w:rPr>
          <w:rFonts w:ascii="Times New Roman" w:cs="Times New Roman" w:eastAsia="Times New Roman" w:hAnsi="Times New Roman"/>
          <w:sz w:val="18"/>
          <w:szCs w:val="18"/>
          <w:color w:val="auto"/>
        </w:rPr>
        <w:t>1114 Avenue of the Americas,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Zachary Swartz</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u w:val="single" w:color="auto"/>
          <w:color w:val="auto"/>
        </w:rPr>
        <w:t>  RECOGNITION OF THE U.S. SPECIAL RESOLUTION REGIMES.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In the event that the Manager, Forward Seller or Forward Purchaser is a Covered Entity and becomes subject to a proceeding under a U.S. Special Resolution Regime, the transfer from the Manager, Forward Seller or Forward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In the event that the Manager, Forward Seller or Forward Purchaser is a Covered Entity or a BHC Act Affiliate of the Manager, Forward Seller or Forward Purchaser and becomes subject to a proceeding under a U.S. Special Resolution Regime, Default Rights under this Agreement that may be exercised against the Manager, Forward Seller or Forward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Section 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260" w:hanging="185"/>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260" w:hanging="185"/>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300" w:hanging="211"/>
        <w:spacing w:after="0"/>
        <w:tabs>
          <w:tab w:leader="none" w:pos="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u w:val="single" w:color="auto"/>
          <w:color w:val="auto"/>
        </w:rPr>
        <w:t>  PARTIES.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Manager, the Forward Seller, the Forward Purchaser, the Company and their respective successors. Nothing expressed or mentioned in this Agreement is intended or shall be construed to give any person, firm or corporation, other than the Manager, the Forward Seller, the Forward Purchaser, the Company and their respective successors and the controlling persons and officers, directors, employees or affiliates referred to in Section 10 and their heirs and legal representatives, any legal or equitable right, remedy or claim under or in respect of this Agreement or any provision herein contained. This Agreement and all conditions and provisions hereof are intended to be for the sole and exclusive benefit of the Manager, the Forward Seller, the Forward Purchaser, the Company and their respective successors, and said controlling persons and officers, directors, employees or affiliates and their heirs and legal representatives, and for the benefit of no other person, firm or corporation. No purchaser of Securities from the Manager or the Forward Seller shall be deemed to be a successor by reason merely of such purchase.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u w:val="single" w:color="auto"/>
          <w:color w:val="auto"/>
        </w:rPr>
        <w:t>  ADJUSTMENTS FOR SHARE SPLITS.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acknowledge and agree that all share-related numbers contained in this Agreement shall be adjusted to take into account any share split, share dividend or similar event effected with respect to the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18        </w:t>
      </w:r>
      <w:r>
        <w:rPr>
          <w:rFonts w:ascii="Times New Roman" w:cs="Times New Roman" w:eastAsia="Times New Roman" w:hAnsi="Times New Roman"/>
          <w:sz w:val="18"/>
          <w:szCs w:val="18"/>
          <w:u w:val="single" w:color="auto"/>
          <w:color w:val="auto"/>
        </w:rPr>
        <w:t>  GOVERNING LAW AND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AGREEMENT AND ANY CLAIM, CONTROVERSY OR DISPUTE ARISING UNDER OR RELATED TO THIS AGREEMENT SHALL BE GOVERNED BY AND CONSTRUED IN ACCORDANCE WITH THE LAWS OF THE STATE OF NEW YORK WITHOUT REGARD TO ITS CHOICE OF LAW PROVISIONS. UNLESS OTHERWISE EXPLICITLY PROVIDED, SPECIFIED TIMES OF DAY REFER TO NEW YORK CITY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19        </w:t>
      </w:r>
      <w:r>
        <w:rPr>
          <w:rFonts w:ascii="Times New Roman" w:cs="Times New Roman" w:eastAsia="Times New Roman" w:hAnsi="Times New Roman"/>
          <w:sz w:val="18"/>
          <w:szCs w:val="18"/>
          <w:u w:val="single" w:color="auto"/>
          <w:color w:val="auto"/>
        </w:rPr>
        <w:t>  EFFECT OF HEADINGS.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Section and Exhibit headings herein are for convenience only and shall not affect the construction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        </w:t>
      </w:r>
      <w:r>
        <w:rPr>
          <w:rFonts w:ascii="Times New Roman" w:cs="Times New Roman" w:eastAsia="Times New Roman" w:hAnsi="Times New Roman"/>
          <w:sz w:val="18"/>
          <w:szCs w:val="18"/>
          <w:u w:val="single" w:color="auto"/>
          <w:color w:val="auto"/>
        </w:rPr>
        <w:t>  RESEARCH ANALYST INDEPENDENCE.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that (a) the Manager’s research analysts and research departments are required to be independent from their respective investment banking divisions and are subject to certain regulations and internal policies and (b) the Manager’s research analysts may hold views and make statements or investment recommendations and/or publish research reports with respect to the Company, the value of the Common Stock and/or the offering that differ from the views of their respective investment banking divisions. The Company hereby waives and releases, to the fullest extent permitted by law, any claims that it may have against the Manager with respect to any conflict of interest that may arise from the fact that the views expressed by the Manager’s independent research analysts and research departments may be different from or inconsistent with the views or advice communicated to the Company by the Manager’s investment banking division. The Company acknowledges that the Manager is a full service securities firm and as such, from time to time, subject to applicable securities laws, may effect transactions for its own account or the account of its customers and hold long or short positions in debt or equity securities of the companies that are the subject of the transactions contemplated by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21        </w:t>
      </w:r>
      <w:r>
        <w:rPr>
          <w:rFonts w:ascii="Times New Roman" w:cs="Times New Roman" w:eastAsia="Times New Roman" w:hAnsi="Times New Roman"/>
          <w:sz w:val="18"/>
          <w:szCs w:val="18"/>
          <w:u w:val="single" w:color="auto"/>
          <w:color w:val="auto"/>
        </w:rPr>
        <w:t>  PERMITTED FREE WRITING PROSPECTUSES.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represents, warrants and agrees that, unless it obtains the prior consent of the Manager or the Forward Seller, as applicable, and the Manager or the Forward Seller, as applicable, represents, warrants and agrees that, unless it obtains the prior consent of the Company,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Manager or the Forward Seller, as applicable, or by the Company, as the case may be,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xml:space="preserve">.”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are Permitted Free Writing Prospectuses.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22        </w:t>
      </w:r>
      <w:r>
        <w:rPr>
          <w:rFonts w:ascii="Times New Roman" w:cs="Times New Roman" w:eastAsia="Times New Roman" w:hAnsi="Times New Roman"/>
          <w:sz w:val="18"/>
          <w:szCs w:val="18"/>
          <w:u w:val="single" w:color="auto"/>
          <w:color w:val="auto"/>
        </w:rPr>
        <w:t>  ABSENCE OF FIDUCIARY RELATIONSHIP.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acknowledges and agrees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Each of the Manager, the Forward Seller and the Forward Purchaser is acting solely as agent and/or principal in connection with the public offering of the Securities and in connection with each transaction contemplated by this Agreement and the process leading to such transactions, and no fiduciary or advisory relationship among the Company or any of their respective affiliates, stockholders (or other equity holders), creditors or employees or any other party, on the one hand, and the Manager, the Forward Seller and the Forward Purchaser, on the other hand, has been or will be created in respect of any of the transactions contemplated by this Agreement, irrespective of whether or not the Manager, the Forward Seller or the Forward Purchaser have advised or is advising the Company on other matters, and none of the Manager, the Forward Seller or the Forward Purchaser has any obligation to the Company with respect to the transactions contemplated by this Agreement except the obligations expressly set forth in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the public offering price of the Securities set forth in this Agreement was not established by the Manager, the Forward Seller or the Forward Purchaser;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it is capable of evaluating and understanding, and understands and accepts, the terms, risks and conditions of the transactions contemplated by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none of the Manager, the Forward Seller or the Forward Purchaser has provided any legal, accounting, regulatory or tax advice with respect to the transactions contemplated by this Agreement and it has consulted its own legal, accounting, regulatory and tax advisors to the extent it has deemed appropriate;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it is aware that the Manager, the Forward Seller, the Forward Purchaser and their respective affiliates are engaged in a broad range of transactions which may involve interests that differ from those of the Company and the Manager, the Forward Seller and the Forward Purchaser have no obligation to disclose such interests and transactions to the Company by virtue of any fiduciary, advisory or agency relationship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the Manager, the Forward Seller, the Forward Purchaser and their respective affiliates may engage in trading in the Common Stock for their own account or for the account of its clients at the same time as sales of the Securities occur pursuant to this Agreement; and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           it waives, to the fullest extent permitted by law, any claims it may have against the Manager, the Forward Seller or the Forward Purchaser for breach of fiduciary duty or alleged breach of fiduciary duty and agrees that the Manager, the Forward Seller and the Forward Purchaser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23        </w:t>
      </w:r>
      <w:r>
        <w:rPr>
          <w:rFonts w:ascii="Times New Roman" w:cs="Times New Roman" w:eastAsia="Times New Roman" w:hAnsi="Times New Roman"/>
          <w:sz w:val="18"/>
          <w:szCs w:val="18"/>
          <w:u w:val="single" w:color="auto"/>
          <w:color w:val="auto"/>
        </w:rPr>
        <w:t>  CONSENT TO JURISDICTION.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legal suit, action or proceeding arising out of or based upon this Agreement or the transactions contemplated hereby shall be instituted in</w:t>
      </w:r>
    </w:p>
    <w:p>
      <w:pPr>
        <w:spacing w:after="0" w:line="27" w:lineRule="exact"/>
        <w:rPr>
          <w:sz w:val="20"/>
          <w:szCs w:val="20"/>
          <w:color w:val="auto"/>
        </w:rPr>
      </w:pPr>
    </w:p>
    <w:p>
      <w:pPr>
        <w:jc w:val="both"/>
        <w:ind w:firstLine="8"/>
        <w:spacing w:after="0" w:line="251" w:lineRule="auto"/>
        <w:tabs>
          <w:tab w:leader="none" w:pos="2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u w:val="single" w:color="auto"/>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24        </w:t>
      </w:r>
      <w:r>
        <w:rPr>
          <w:rFonts w:ascii="Times New Roman" w:cs="Times New Roman" w:eastAsia="Times New Roman" w:hAnsi="Times New Roman"/>
          <w:sz w:val="18"/>
          <w:szCs w:val="18"/>
          <w:u w:val="single" w:color="auto"/>
          <w:color w:val="auto"/>
        </w:rPr>
        <w:t>  PARTIAL UNENFORCEABILITY.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25        </w:t>
      </w:r>
      <w:r>
        <w:rPr>
          <w:rFonts w:ascii="Times New Roman" w:cs="Times New Roman" w:eastAsia="Times New Roman" w:hAnsi="Times New Roman"/>
          <w:sz w:val="18"/>
          <w:szCs w:val="18"/>
          <w:u w:val="single" w:color="auto"/>
          <w:color w:val="auto"/>
        </w:rPr>
        <w:t>  WAIVER OF JURY TRIAL.</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Company (on its behalf and, to the extent permitted by applicable law, on behalf of its stockholders and affiliates), the Manager, the Forward Seller and the Forward Purchaser hereby irrevocably waives, to the fullest extent permitted by applicable law, any and all right to trial by jury in any legal proceeding arising out of or relating to this Agreement or the transactions contemplated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660"/>
        <w:spacing w:after="0"/>
        <w:rPr>
          <w:sz w:val="20"/>
          <w:szCs w:val="20"/>
          <w:color w:val="auto"/>
        </w:rPr>
      </w:pPr>
      <w:r>
        <w:rPr>
          <w:rFonts w:ascii="Times New Roman" w:cs="Times New Roman" w:eastAsia="Times New Roman" w:hAnsi="Times New Roman"/>
          <w:sz w:val="18"/>
          <w:szCs w:val="18"/>
          <w:color w:val="auto"/>
        </w:rPr>
        <w:t>SECTION 26        </w:t>
      </w:r>
      <w:r>
        <w:rPr>
          <w:rFonts w:ascii="Times New Roman" w:cs="Times New Roman" w:eastAsia="Times New Roman" w:hAnsi="Times New Roman"/>
          <w:sz w:val="18"/>
          <w:szCs w:val="18"/>
          <w:u w:val="single" w:color="auto"/>
          <w:color w:val="auto"/>
        </w:rPr>
        <w:t>  COUNTERPARTS.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Agreement may be executed in any number of counterparts, each of which shall be deemed to be an original, but all such counterparts shall together constitute one and the same Agreement. Counterparts may be delivered via electronic mail (including any electronic signature covered by the U.S. federal ESIGN Act of 2000, Uniform Electronic Transactions Act, the New York Electronic Signatures and Records Act or other applicable law, e.g., </w:t>
      </w:r>
      <w:r>
        <w:rPr>
          <w:rFonts w:ascii="Times New Roman" w:cs="Times New Roman" w:eastAsia="Times New Roman" w:hAnsi="Times New Roman"/>
          <w:sz w:val="18"/>
          <w:szCs w:val="18"/>
          <w:u w:val="single" w:color="auto"/>
          <w:color w:val="auto"/>
        </w:rPr>
        <w:t>www.docusign.com</w:t>
      </w:r>
      <w:r>
        <w:rPr>
          <w:rFonts w:ascii="Times New Roman" w:cs="Times New Roman" w:eastAsia="Times New Roman" w:hAnsi="Times New Roman"/>
          <w:sz w:val="18"/>
          <w:szCs w:val="18"/>
          <w:color w:val="auto"/>
        </w:rPr>
        <w:t>)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27        </w:t>
      </w:r>
      <w:r>
        <w:rPr>
          <w:rFonts w:ascii="Times New Roman" w:cs="Times New Roman" w:eastAsia="Times New Roman" w:hAnsi="Times New Roman"/>
          <w:sz w:val="18"/>
          <w:szCs w:val="18"/>
          <w:u w:val="single" w:color="auto"/>
          <w:color w:val="auto"/>
        </w:rPr>
        <w:t>  AMENDMENTS AND WAIVERS.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provision or requirement of this Agreement may be waived or amended in any respect by a writing signed by the parties hereto. No waiver or amendment shall be enforceable against any party hereto unless in writing and signed by the party against which such waiver is claimed. A waiver of any provision or requirement of this Agreement shall not constitute a waiver of any other term and shall not affect the other provisions of this Agreement. A waiver of a provision or requirement of this Agreement will apply only to the specific circumstances cited therein and will not prevent a party from subsequently requiring compliance with the waived provision or requirement in other circumstances.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by and between the Manager, the Forward Seller, the Forward Purchaser and the Company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the October 2026 Equity Distribution Agreement with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CONFIRMED AND ACCEPTED,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Forward Seller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as Forward Purchaser, solely as the recipient and/or beneficiary of certain representations, warranties, covenants and indemnities set forth in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22860</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the October 2026 Equity Distribution Agreement with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392"/>
        </w:trPr>
        <w:tc>
          <w:tcPr>
            <w:tcW w:w="2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 OF PLACEMENT NOTICE</w:t>
            </w:r>
          </w:p>
        </w:tc>
      </w:tr>
      <w:tr>
        <w:trPr>
          <w:trHeight w:val="453"/>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 ____, 20__</w:t>
            </w:r>
          </w:p>
        </w:tc>
        <w:tc>
          <w:tcPr>
            <w:tcW w:w="16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Attention:</w:t>
            </w:r>
          </w:p>
        </w:tc>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[_________________]</w:t>
            </w: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[______________________]</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Reference is made to the Equity Distribution Agreement among CTO Realty Growth, Inc. ,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 [ ] (the “</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 ] (in its capacity as agent for the Company in connection with the offering and sale of any Issuance Securities thereunder,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thereunder, the “</w:t>
      </w:r>
      <w:r>
        <w:rPr>
          <w:rFonts w:ascii="Times New Roman" w:cs="Times New Roman" w:eastAsia="Times New Roman" w:hAnsi="Times New Roman"/>
          <w:sz w:val="18"/>
          <w:szCs w:val="18"/>
          <w:u w:val="single" w:color="auto"/>
          <w:color w:val="auto"/>
        </w:rPr>
        <w:t>Forward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dated as of October 28, 2026 (the “</w:t>
      </w:r>
      <w:r>
        <w:rPr>
          <w:rFonts w:ascii="Times New Roman" w:cs="Times New Roman" w:eastAsia="Times New Roman" w:hAnsi="Times New Roman"/>
          <w:sz w:val="18"/>
          <w:szCs w:val="18"/>
          <w:u w:val="single" w:color="auto"/>
          <w:color w:val="auto"/>
        </w:rPr>
        <w:t>Equity Distribution Agreement</w:t>
      </w:r>
      <w:r>
        <w:rPr>
          <w:rFonts w:ascii="Times New Roman" w:cs="Times New Roman" w:eastAsia="Times New Roman" w:hAnsi="Times New Roman"/>
          <w:sz w:val="18"/>
          <w:szCs w:val="18"/>
          <w:color w:val="auto"/>
        </w:rPr>
        <w:t>”). Capitalized terms used in this Placement Notice without definition shall have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respective definitions ascribed to them in the Equity Distribution Agreement. This Placement Notice relates to [an “Issuance”]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 “Forward”]</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 Company confirms that all conditions to the delivery of this Placement Notice are satisfied as of the date hereof.</w:t>
      </w:r>
    </w:p>
    <w:p>
      <w:pPr>
        <w:spacing w:after="0" w:line="20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confirms that it has not declared and will not declare any dividend, or caused or cause there to be any distribution, on the Common Stock if the ex-dividend date or ex-date, as applicable, for such dividend or distribution will occur during the period from, and including, the first Trading Day of the Forward Hedge Selling Period to, and including, the last Trading Day of the Forward Hedge Selling Period.]</w:t>
      </w:r>
      <w:r>
        <w:rPr>
          <w:rFonts w:ascii="Times New Roman" w:cs="Times New Roman" w:eastAsia="Times New Roman" w:hAnsi="Times New Roman"/>
          <w:sz w:val="29"/>
          <w:szCs w:val="29"/>
          <w:color w:val="auto"/>
          <w:vertAlign w:val="superscript"/>
        </w:rPr>
        <w:t>4</w:t>
      </w:r>
    </w:p>
    <w:p>
      <w:pPr>
        <w:spacing w:after="0" w:line="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represents and warrants that each representation, warranty, covenant and other agreement of the Company contained in the Equity Distribution Agreement [and the Master Forward Confirmation]</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is true and correct on the date hereof, and that the Prospectus, including the documents incorporated by reference therein, and any applicable Issuer Free Writing Prospectus, as of the date hereof, do not contain an untrue statement of a material fact or omit to state a material fact necessary in order to make the statements therein, in light of the circumstances under which they were made, not misleading.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Days in [Issuance]</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Selling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Date of [Issuance]</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2"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a Placement Notice that relates to an “Issuance.”</w:t>
      </w:r>
    </w:p>
    <w:p>
      <w:pPr>
        <w:spacing w:after="0" w:line="42" w:lineRule="exact"/>
        <w:rPr>
          <w:rFonts w:ascii="Times New Roman" w:cs="Times New Roman" w:eastAsia="Times New Roman" w:hAnsi="Times New Roman"/>
          <w:sz w:val="30"/>
          <w:szCs w:val="30"/>
          <w:color w:val="auto"/>
          <w:vertAlign w:val="superscript"/>
        </w:rPr>
      </w:pPr>
    </w:p>
    <w:p>
      <w:pPr>
        <w:jc w:val="both"/>
        <w:ind w:right="7000"/>
        <w:spacing w:after="0" w:line="220"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Insert for a Placement Notice that relates to a “Forward.”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Insert for a Placement Notice that relates to a “Forward.” </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Insert for Placement Notice that relates to a “Forward.”</w:t>
      </w:r>
    </w:p>
    <w:p>
      <w:pPr>
        <w:ind w:right="690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Insert for a Placement Notice that relates to an “Issuance.”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Insert for a Placement Notice that relates to a “Forward.”</w:t>
      </w:r>
    </w:p>
    <w:p>
      <w:pPr>
        <w:spacing w:after="0" w:line="2" w:lineRule="exact"/>
        <w:rPr>
          <w:rFonts w:ascii="Times New Roman" w:cs="Times New Roman" w:eastAsia="Times New Roman" w:hAnsi="Times New Roman"/>
          <w:sz w:val="30"/>
          <w:szCs w:val="30"/>
          <w:color w:val="auto"/>
          <w:vertAlign w:val="superscript"/>
        </w:rPr>
      </w:pPr>
    </w:p>
    <w:p>
      <w:pPr>
        <w:ind w:right="6900"/>
        <w:spacing w:after="0" w:line="3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7"/>
          <w:szCs w:val="17"/>
          <w:color w:val="auto"/>
        </w:rPr>
        <w:t xml:space="preserve"> Insert for a Placement Notice that relates to an “Issuance.” </w:t>
      </w:r>
      <w:r>
        <w:rPr>
          <w:rFonts w:ascii="Times New Roman" w:cs="Times New Roman" w:eastAsia="Times New Roman" w:hAnsi="Times New Roman"/>
          <w:sz w:val="28"/>
          <w:szCs w:val="28"/>
          <w:color w:val="auto"/>
          <w:vertAlign w:val="superscript"/>
        </w:rPr>
        <w:t>9</w:t>
      </w:r>
      <w:r>
        <w:rPr>
          <w:rFonts w:ascii="Times New Roman" w:cs="Times New Roman" w:eastAsia="Times New Roman" w:hAnsi="Times New Roman"/>
          <w:sz w:val="17"/>
          <w:szCs w:val="17"/>
          <w:color w:val="auto"/>
        </w:rPr>
        <w:t xml:space="preserve"> Insert for a Placement Notice that relates to a “Forward.”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Securities to be Sold:</w:t>
            </w:r>
          </w:p>
        </w:tc>
        <w:tc>
          <w:tcPr>
            <w:tcW w:w="51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95"/>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Amount: $</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[Forward Hedge Selling Commission Rate: %</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518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Forward Price Reduction Dates</w:t>
            </w:r>
          </w:p>
        </w:tc>
        <w:tc>
          <w:tcPr>
            <w:tcW w:w="51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Forward Price Reduction Amounts</w:t>
            </w:r>
          </w:p>
        </w:tc>
        <w:tc>
          <w:tcPr>
            <w:tcW w:w="9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516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r>
      <w:tr>
        <w:trPr>
          <w:trHeight w:val="234"/>
        </w:trPr>
        <w:tc>
          <w:tcPr>
            <w:tcW w:w="5180" w:type="dxa"/>
            <w:vAlign w:val="bottom"/>
          </w:tcPr>
          <w:p>
            <w:pPr>
              <w:spacing w:after="0"/>
              <w:rPr>
                <w:sz w:val="20"/>
                <w:szCs w:val="20"/>
                <w:color w:val="auto"/>
              </w:rPr>
            </w:pPr>
          </w:p>
        </w:tc>
        <w:tc>
          <w:tcPr>
            <w:tcW w:w="5160" w:type="dxa"/>
            <w:vAlign w:val="bottom"/>
          </w:tcPr>
          <w:p>
            <w:pPr>
              <w:jc w:val="right"/>
              <w:ind w:right="46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Spread:</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Initial Stock Loan Rate: [ ] per annum</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Maximum Stock Loan Rate: [ ] per annum</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 Amounts:</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1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any calendar month ending on or prior to [December 31, 20[ ]]:</w:t>
            </w:r>
          </w:p>
        </w:tc>
        <w:tc>
          <w:tcPr>
            <w:tcW w:w="51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r>
      <w:tr>
        <w:trPr>
          <w:trHeight w:val="39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For any calendar month ending after [December 31, 20[ ]]:</w:t>
            </w:r>
          </w:p>
        </w:tc>
        <w:tc>
          <w:tcPr>
            <w:tcW w:w="5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1"/>
              </w:rPr>
              <w:t>[ ]</w:t>
            </w:r>
            <w:r>
              <w:rPr>
                <w:rFonts w:ascii="Times New Roman" w:cs="Times New Roman" w:eastAsia="Times New Roman" w:hAnsi="Times New Roman"/>
                <w:sz w:val="29"/>
                <w:szCs w:val="29"/>
                <w:color w:val="auto"/>
                <w:w w:val="91"/>
                <w:vertAlign w:val="superscript"/>
              </w:rPr>
              <w:t>12</w:t>
            </w:r>
          </w:p>
        </w:tc>
      </w:tr>
      <w:tr>
        <w:trPr>
          <w:trHeight w:val="458"/>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[Term: [Days][Months]]</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w:t>
            </w:r>
          </w:p>
        </w:tc>
        <w:tc>
          <w:tcPr>
            <w:tcW w:w="51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Floor Price (Adjustable by Company during the [Issuance]</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[Forward Hedge]</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Selling Period, and in no event less than $1.00 per share):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5" w:lineRule="exact"/>
        <w:rPr>
          <w:sz w:val="20"/>
          <w:szCs w:val="20"/>
          <w:color w:val="auto"/>
        </w:rPr>
      </w:pPr>
    </w:p>
    <w:p>
      <w:pPr>
        <w:ind w:left="200" w:hanging="192"/>
        <w:spacing w:after="0"/>
        <w:tabs>
          <w:tab w:leader="none" w:pos="20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 Placement Notice that relates to an “Issuance.”</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 “Forward.”</w:t>
      </w:r>
    </w:p>
    <w:p>
      <w:pPr>
        <w:spacing w:after="0" w:line="42" w:lineRule="exact"/>
        <w:rPr>
          <w:rFonts w:ascii="Times New Roman" w:cs="Times New Roman" w:eastAsia="Times New Roman" w:hAnsi="Times New Roman"/>
          <w:sz w:val="23"/>
          <w:szCs w:val="23"/>
          <w:color w:val="auto"/>
          <w:vertAlign w:val="superscript"/>
        </w:rPr>
      </w:pPr>
    </w:p>
    <w:p>
      <w:pPr>
        <w:ind w:firstLine="8"/>
        <w:spacing w:after="0" w:line="187" w:lineRule="auto"/>
        <w:tabs>
          <w:tab w:leader="none" w:pos="213"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for a Placement Notice that relates to a “Forward.” Regular Dividend Amounts shall not exceed the Forward Price Reduction Amount for the Forward Price Reduction Date occurring in the relevant month (or, if none, shall not exceed zero).</w:t>
      </w:r>
    </w:p>
    <w:p>
      <w:pPr>
        <w:ind w:left="200" w:hanging="192"/>
        <w:spacing w:after="0" w:line="191" w:lineRule="auto"/>
        <w:tabs>
          <w:tab w:leader="none" w:pos="20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Insert for a Placement Notice that relates to a “Forward” to be not less than three months and not more than 2 years.</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an “Issuance.”</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Insert for a Placement Notice that relates to a “Forward.”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INDIVIDUALS FOR PLACEMENT NOTICES AND ACCEPTANCES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CTO Realty Growth, Inc.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400" w:type="dxa"/>
            <w:vAlign w:val="bottom"/>
            <w:tcBorders>
              <w:top w:val="single" w:sz="8" w:color="auto"/>
              <w:left w:val="single" w:sz="8" w:color="auto"/>
            </w:tcBorders>
            <w:gridSpan w:val="3"/>
          </w:tcPr>
          <w:p>
            <w:pPr>
              <w:jc w:val="center"/>
              <w:ind w:left="115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right w:val="single" w:sz="8" w:color="auto"/>
            </w:tcBorders>
          </w:tcPr>
          <w:p>
            <w:pPr>
              <w:spacing w:after="0"/>
              <w:rPr>
                <w:sz w:val="16"/>
                <w:szCs w:val="16"/>
                <w:color w:val="auto"/>
              </w:rPr>
            </w:pPr>
          </w:p>
        </w:tc>
        <w:tc>
          <w:tcPr>
            <w:tcW w:w="560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1"/>
        </w:trPr>
        <w:tc>
          <w:tcPr>
            <w:tcW w:w="260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400" w:type="dxa"/>
            <w:vAlign w:val="bottom"/>
            <w:tcBorders>
              <w:left w:val="single" w:sz="8" w:color="auto"/>
              <w:bottom w:val="single" w:sz="8" w:color="auto"/>
            </w:tcBorders>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John Albright</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w:t>
            </w:r>
          </w:p>
        </w:tc>
      </w:tr>
      <w:tr>
        <w:trPr>
          <w:trHeight w:val="209"/>
        </w:trPr>
        <w:tc>
          <w:tcPr>
            <w:tcW w:w="4400" w:type="dxa"/>
            <w:vAlign w:val="bottom"/>
            <w:tcBorders>
              <w:left w:val="single" w:sz="8" w:color="auto"/>
              <w:bottom w:val="single" w:sz="8" w:color="auto"/>
            </w:tcBorders>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Philip Mays</w:t>
            </w:r>
          </w:p>
        </w:tc>
        <w:tc>
          <w:tcPr>
            <w:tcW w:w="124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***@****.com</w:t>
            </w:r>
          </w:p>
        </w:tc>
      </w:tr>
      <w:tr>
        <w:trPr>
          <w:trHeight w:val="426"/>
        </w:trPr>
        <w:tc>
          <w:tcPr>
            <w:tcW w:w="44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 as Manager</w:t>
            </w:r>
          </w:p>
        </w:tc>
        <w:tc>
          <w:tcPr>
            <w:tcW w:w="1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6"/>
        </w:trPr>
        <w:tc>
          <w:tcPr>
            <w:tcW w:w="2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169"/>
        </w:trPr>
        <w:tc>
          <w:tcPr>
            <w:tcW w:w="4400" w:type="dxa"/>
            <w:vAlign w:val="bottom"/>
            <w:tcBorders>
              <w:left w:val="single" w:sz="8" w:color="auto"/>
            </w:tcBorders>
            <w:gridSpan w:val="3"/>
          </w:tcPr>
          <w:p>
            <w:pPr>
              <w:jc w:val="center"/>
              <w:ind w:left="1150"/>
              <w:spacing w:after="0" w:line="169" w:lineRule="exact"/>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right w:val="single" w:sz="8" w:color="auto"/>
            </w:tcBorders>
          </w:tcPr>
          <w:p>
            <w:pPr>
              <w:spacing w:after="0"/>
              <w:rPr>
                <w:sz w:val="14"/>
                <w:szCs w:val="14"/>
                <w:color w:val="auto"/>
              </w:rPr>
            </w:pPr>
          </w:p>
        </w:tc>
        <w:tc>
          <w:tcPr>
            <w:tcW w:w="5600" w:type="dxa"/>
            <w:vAlign w:val="bottom"/>
            <w:tcBorders>
              <w:right w:val="single" w:sz="8" w:color="auto"/>
            </w:tcBorders>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7"/>
              </w:rPr>
              <w:t>Email</w:t>
            </w:r>
          </w:p>
        </w:tc>
      </w:tr>
      <w:tr>
        <w:trPr>
          <w:trHeight w:val="20"/>
        </w:trPr>
        <w:tc>
          <w:tcPr>
            <w:tcW w:w="260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260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8"/>
              </w:rPr>
              <w:t>[•]</w:t>
            </w:r>
          </w:p>
        </w:tc>
        <w:tc>
          <w:tcPr>
            <w:tcW w:w="124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w:t>
            </w:r>
          </w:p>
        </w:tc>
      </w:tr>
      <w:tr>
        <w:trPr>
          <w:trHeight w:val="209"/>
        </w:trPr>
        <w:tc>
          <w:tcPr>
            <w:tcW w:w="2600" w:type="dxa"/>
            <w:vAlign w:val="bottom"/>
            <w:tcBorders>
              <w:left w:val="single" w:sz="8" w:color="auto"/>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8"/>
              </w:rPr>
              <w:t>[•]</w:t>
            </w:r>
          </w:p>
        </w:tc>
        <w:tc>
          <w:tcPr>
            <w:tcW w:w="1240" w:type="dxa"/>
            <w:vAlign w:val="bottom"/>
            <w:tcBorders>
              <w:bottom w:val="single" w:sz="8" w:color="auto"/>
              <w:right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3020" w:type="dxa"/>
            <w:vAlign w:val="bottom"/>
            <w:tcBorders>
              <w:bottom w:val="single" w:sz="8" w:color="auto"/>
              <w:right w:val="single" w:sz="8" w:color="auto"/>
            </w:tcBorders>
            <w:gridSpan w:val="2"/>
          </w:tcPr>
          <w:p>
            <w:pPr>
              <w:jc w:val="center"/>
              <w:ind w:right="2600"/>
              <w:spacing w:after="0"/>
              <w:rPr>
                <w:sz w:val="20"/>
                <w:szCs w:val="20"/>
                <w:color w:val="auto"/>
              </w:rPr>
            </w:pPr>
            <w:r>
              <w:rPr>
                <w:rFonts w:ascii="Times New Roman" w:cs="Times New Roman" w:eastAsia="Times New Roman" w:hAnsi="Times New Roman"/>
                <w:sz w:val="18"/>
                <w:szCs w:val="18"/>
                <w:color w:val="auto"/>
                <w:w w:val="98"/>
              </w:rPr>
              <w:t>[•]</w:t>
            </w:r>
          </w:p>
        </w:tc>
      </w:tr>
      <w:tr>
        <w:trPr>
          <w:trHeight w:val="642"/>
        </w:trPr>
        <w:tc>
          <w:tcPr>
            <w:tcW w:w="2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8"/>
                <w:szCs w:val="18"/>
                <w:color w:val="auto"/>
              </w:rPr>
              <w:t>B-1</w:t>
            </w:r>
          </w:p>
        </w:tc>
      </w:tr>
    </w:tbl>
    <w:p>
      <w:pPr>
        <w:sectPr>
          <w:pgSz w:w="11900" w:h="16838" w:orient="portrait"/>
          <w:cols w:equalWidth="0" w:num="1">
            <w:col w:w="11240"/>
          </w:cols>
          <w:pgMar w:left="320" w:top="90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Manager shall be paid compensation at a mutually agreed rate, not to exceed 2.0% of the gross sales price of Issuance Securities pursuant to the terms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OFFICERS’ CERTIFICATE OF THE COMPANY</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CORPORATE OPINION OF VINSON &amp; ELKINS L.L.P.</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TAX OPINION OF VINSON &amp; ELKINS L.L.P.</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VENABLE LLP</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2" w:name="page53"/>
    <w:bookmarkEnd w:id="5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b w:val="1"/>
          <w:bCs w:val="1"/>
          <w:u w:val="single" w:color="auto"/>
          <w:color w:val="auto"/>
        </w:rPr>
        <w:t>PERMITTED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Opening Transaction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CTO Realty Growth, Inc.</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Issuer Share Forward Sale Transactions</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October 28,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this communication (this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is to set forth the terms and conditions of the transactions to be entered into from time to time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CTO Realty Growth,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in accordance with the terms of the Equity Distribution Agreement dated October 28, 2026 among Dealer, and Counterparty (the “</w:t>
      </w:r>
      <w:r>
        <w:rPr>
          <w:rFonts w:ascii="Times New Roman" w:cs="Times New Roman" w:eastAsia="Times New Roman" w:hAnsi="Times New Roman"/>
          <w:sz w:val="18"/>
          <w:szCs w:val="18"/>
          <w:b w:val="1"/>
          <w:bCs w:val="1"/>
          <w:color w:val="auto"/>
        </w:rPr>
        <w:t>Equity Distribution Agreement</w:t>
      </w:r>
      <w:r>
        <w:rPr>
          <w:rFonts w:ascii="Times New Roman" w:cs="Times New Roman" w:eastAsia="Times New Roman" w:hAnsi="Times New Roman"/>
          <w:sz w:val="18"/>
          <w:szCs w:val="18"/>
          <w:color w:val="auto"/>
        </w:rPr>
        <w:t>”) on the Trade Dates specified herein (collectively,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[Dealer is acting as principal in this Transaction and its affiliate [______] (“Agent”) is</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acting as agent for this Transaction solely in connection with Rule 15a-6 of the Exchange Act (as defined herein), as amended).]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This communication constitutes a “Confirmation” as referred to in the Agreement specified below. Each Transaction will be evidenced by a supplemental confirmation (each, a “</w:t>
      </w:r>
      <w:r>
        <w:rPr>
          <w:rFonts w:ascii="Times New Roman" w:cs="Times New Roman" w:eastAsia="Times New Roman" w:hAnsi="Times New Roman"/>
          <w:sz w:val="18"/>
          <w:szCs w:val="18"/>
          <w:b w:val="1"/>
          <w:bCs w:val="1"/>
          <w:color w:val="auto"/>
        </w:rPr>
        <w:t>Supplemental Confirmation</w:t>
      </w:r>
      <w:r>
        <w:rPr>
          <w:rFonts w:ascii="Times New Roman" w:cs="Times New Roman" w:eastAsia="Times New Roman" w:hAnsi="Times New Roman"/>
          <w:sz w:val="18"/>
          <w:szCs w:val="18"/>
          <w:color w:val="auto"/>
        </w:rPr>
        <w:t>,” and each such Supplemental Confirmation, together with this Master Confirmation, a “</w:t>
      </w:r>
      <w:r>
        <w:rPr>
          <w:rFonts w:ascii="Times New Roman" w:cs="Times New Roman" w:eastAsia="Times New Roman" w:hAnsi="Times New Roman"/>
          <w:sz w:val="18"/>
          <w:szCs w:val="18"/>
          <w:b w:val="1"/>
          <w:bCs w:val="1"/>
          <w:color w:val="auto"/>
        </w:rPr>
        <w:t>Confirmation</w:t>
      </w:r>
      <w:r>
        <w:rPr>
          <w:rFonts w:ascii="Times New Roman" w:cs="Times New Roman" w:eastAsia="Times New Roman" w:hAnsi="Times New Roman"/>
          <w:sz w:val="18"/>
          <w:szCs w:val="18"/>
          <w:color w:val="auto"/>
        </w:rPr>
        <w:t>” for purposes of the Agreement specified below) substantially in the form of Exhibit A hereto.</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            Each Confirmation is subject to, and incorporates, the 2002 ISDA Equity Derivatives Definitions (the “</w:t>
      </w:r>
      <w:r>
        <w:rPr>
          <w:rFonts w:ascii="Times New Roman" w:cs="Times New Roman" w:eastAsia="Times New Roman" w:hAnsi="Times New Roman"/>
          <w:sz w:val="18"/>
          <w:szCs w:val="18"/>
          <w:b w:val="1"/>
          <w:bCs w:val="1"/>
          <w:color w:val="auto"/>
        </w:rPr>
        <w:t>Equity Definitions</w:t>
      </w:r>
      <w:r>
        <w:rPr>
          <w:rFonts w:ascii="Times New Roman" w:cs="Times New Roman" w:eastAsia="Times New Roman" w:hAnsi="Times New Roman"/>
          <w:sz w:val="18"/>
          <w:szCs w:val="18"/>
          <w:color w:val="auto"/>
        </w:rPr>
        <w:t>”), as published by the International Swaps and Derivatives Association, Inc. (“</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For purposes of the Equity Definitions, each Transaction will be deemed to be a Share Forward Transaction.</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Confirmation shall supplement, form a part of and be subject to an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in the form of the ISDA 2002 Master Agreement (the “</w:t>
      </w:r>
      <w:r>
        <w:rPr>
          <w:rFonts w:ascii="Times New Roman" w:cs="Times New Roman" w:eastAsia="Times New Roman" w:hAnsi="Times New Roman"/>
          <w:sz w:val="18"/>
          <w:szCs w:val="18"/>
          <w:b w:val="1"/>
          <w:bCs w:val="1"/>
          <w:color w:val="auto"/>
        </w:rPr>
        <w:t>ISDA Form</w:t>
      </w:r>
      <w:r>
        <w:rPr>
          <w:rFonts w:ascii="Times New Roman" w:cs="Times New Roman" w:eastAsia="Times New Roman" w:hAnsi="Times New Roman"/>
          <w:sz w:val="18"/>
          <w:szCs w:val="18"/>
          <w:color w:val="auto"/>
        </w:rPr>
        <w:t>”), as published by ISDA, as if Dealer and Counterparty had executed the ISDA Form on the date hereof (but without any Schedule except for (i) the election of New York law (without regard to New York’s choice of laws doctrine other than Title 14 of Article 5 of the New York General Obligations Law (the “</w:t>
      </w:r>
      <w:r>
        <w:rPr>
          <w:rFonts w:ascii="Times New Roman" w:cs="Times New Roman" w:eastAsia="Times New Roman" w:hAnsi="Times New Roman"/>
          <w:sz w:val="18"/>
          <w:szCs w:val="18"/>
          <w:b w:val="1"/>
          <w:bCs w:val="1"/>
          <w:color w:val="auto"/>
        </w:rPr>
        <w:t>General Obligations Law</w:t>
      </w:r>
      <w:r>
        <w:rPr>
          <w:rFonts w:ascii="Times New Roman" w:cs="Times New Roman" w:eastAsia="Times New Roman" w:hAnsi="Times New Roman"/>
          <w:sz w:val="18"/>
          <w:szCs w:val="18"/>
          <w:color w:val="auto"/>
        </w:rPr>
        <w:t>”)) as the governing law and US Dollars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xml:space="preserve">”) as the Termination Currency and (ii) the election that the “Cross Default” provisions of Section 5(a)(vi) shall apply to Dealer and Counterparty with a “Threshold Amount” in respect of Dealer of 3% of the stockholders’ equity of Dealer and a “Threshold Amount” in respect of Counterparty of USD $100 million (including its equivalent in another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words “, or becoming capable at such time of being declared,” shall be deleted from clause (1) thereof, (y) “Specified Indebtedness” has the meaning specified in Section 14 of the Agreement, except that such term shall not include obligations in respect of deposits received in the ordinary course of Dealer’s banking business and (z)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provisions contained in the Agreement are incorporated into and shall govern each Confirmation except as expressly modified below. Each Confirmation evidences a complete and binding agreement between Dealer and Counterparty as to the terms of the relevant Transaction and replaces any previous agreement between the parties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3" w:lineRule="exact"/>
        <w:rPr>
          <w:sz w:val="20"/>
          <w:szCs w:val="20"/>
          <w:color w:val="auto"/>
        </w:rPr>
      </w:pPr>
    </w:p>
    <w:p>
      <w:pPr>
        <w:ind w:left="460" w:hanging="128"/>
        <w:spacing w:after="0"/>
        <w:tabs>
          <w:tab w:leader="none" w:pos="46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i w:val="1"/>
          <w:iCs w:val="1"/>
          <w:color w:val="auto"/>
        </w:rPr>
        <w:t>NTD</w:t>
      </w:r>
      <w:r>
        <w:rPr>
          <w:rFonts w:ascii="Times New Roman" w:cs="Times New Roman" w:eastAsia="Times New Roman" w:hAnsi="Times New Roman"/>
          <w:sz w:val="18"/>
          <w:szCs w:val="18"/>
          <w:color w:val="auto"/>
        </w:rPr>
        <w:t>: add for dealers with affiliated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Transactions hereunder shall be the sole Transactions under the Agreement. If there exists any ISDA Master Agreement between Dealer or any of its Affiliates and Counterparty or any confirmation or other agreement between Dealer or any of its Affiliates and Counterparty pursuant to which an ISDA Master Agreement is deemed to exist between Dealer or any of its Affiliates and Counterparty, then notwithstanding anything to the contrary in such ISDA Master Agreement, such confirmation or agreement or any other agreement to which Dealer or such other Affiliates and Counterparty are parties, the Transactions shall not be considered Transactions under, or otherwise governed by, such existing or deemed ISDA Master Agreement. In the event of any inconsistency among the Agreement, this Master Confirmation, any Supplemental Confirmation and the Equity Definitions, the following will prevail in the order of precedence indicated: (i) such Supplemental Confirmation; (ii) this Master Confirmation; (iii) the Equity Definitions; and (iv) the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terms of the particular Transactions to which this Master Confirmation relates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General Terms:</w:t>
            </w:r>
          </w:p>
        </w:tc>
        <w:tc>
          <w:tcPr>
            <w:tcW w:w="680" w:type="dxa"/>
            <w:vAlign w:val="bottom"/>
          </w:tcPr>
          <w:p>
            <w:pPr>
              <w:spacing w:after="0"/>
              <w:rPr>
                <w:sz w:val="17"/>
                <w:szCs w:val="17"/>
                <w:color w:val="auto"/>
              </w:rPr>
            </w:pPr>
          </w:p>
        </w:tc>
        <w:tc>
          <w:tcPr>
            <w:tcW w:w="9340" w:type="dxa"/>
            <w:vAlign w:val="bottom"/>
          </w:tcPr>
          <w:p>
            <w:pPr>
              <w:spacing w:after="0"/>
              <w:rPr>
                <w:sz w:val="17"/>
                <w:szCs w:val="17"/>
                <w:color w:val="auto"/>
              </w:rPr>
            </w:pPr>
          </w:p>
        </w:tc>
      </w:tr>
      <w:tr>
        <w:trPr>
          <w:trHeight w:val="434"/>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Date:</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subject to the provisions</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opposite the caption “Early Valuation” below, the last Trading Day (as defined in the Equity Distribution Agreement) of the</w:t>
            </w:r>
          </w:p>
        </w:tc>
      </w:tr>
      <w:tr>
        <w:trPr>
          <w:trHeight w:val="234"/>
        </w:trPr>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Forward Hedge Selling Period (as defined in the Equity Distribution Agreement) for such Transaction.</w:t>
            </w:r>
          </w:p>
        </w:tc>
      </w:tr>
      <w:tr>
        <w:trPr>
          <w:trHeight w:val="414"/>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Effective Date:</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date that is one</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Clearance System Business Day following the Trade Date for such Transaction, or such later date on which the conditions</w:t>
            </w:r>
          </w:p>
        </w:tc>
      </w:tr>
      <w:tr>
        <w:trPr>
          <w:trHeight w:val="234"/>
        </w:trPr>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 forth in Section 3 of this Master Confirmation shall have been satisfied or waived by Dealer.</w:t>
            </w:r>
          </w:p>
        </w:tc>
      </w:tr>
      <w:tr>
        <w:trPr>
          <w:trHeight w:val="432"/>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Buyer:</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Dealer</w:t>
            </w:r>
          </w:p>
        </w:tc>
      </w:tr>
      <w:tr>
        <w:trPr>
          <w:trHeight w:val="432"/>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Seller:</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Counterparty</w:t>
            </w:r>
          </w:p>
        </w:tc>
      </w:tr>
      <w:tr>
        <w:trPr>
          <w:trHeight w:val="414"/>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date that follows the</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Trade Date for such Transaction by the number of days or months set forth in the Placement Notice (as defined in the Equity</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 Agreement and amended by any corresponding Acceptance (as defined in the Equity Distribution Agreement),</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if applicable (the “Accepted Placement Notice”)) for such Transaction (or, if such date is not a Scheduled Trading Day, the</w:t>
            </w:r>
          </w:p>
        </w:tc>
      </w:tr>
      <w:tr>
        <w:trPr>
          <w:trHeight w:val="234"/>
        </w:trPr>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next following Scheduled Trading Day).</w:t>
            </w:r>
          </w:p>
        </w:tc>
      </w:tr>
      <w:tr>
        <w:trPr>
          <w:trHeight w:val="432"/>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shares of common stock, par value USD $0.01 per Share, of Counterparty (Ticker: “CTO”)</w:t>
            </w:r>
          </w:p>
        </w:tc>
      </w:tr>
      <w:tr>
        <w:trPr>
          <w:trHeight w:val="414"/>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Number of Shares:</w:t>
            </w: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 each Transaction, initially, as specified in the Supplemental Confirmation for such Transaction, to be the number of</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equal to the Actual Sold Forward Amount (as defined in the Equity Distribution Agreement) for the Forward Hedge</w:t>
            </w:r>
          </w:p>
        </w:tc>
      </w:tr>
      <w:tr>
        <w:trPr>
          <w:trHeight w:val="216"/>
        </w:trPr>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Period for such Transaction, as reduced on each Relevant Settlement Date (as defined under “Settlement Terms”</w:t>
            </w:r>
          </w:p>
        </w:tc>
      </w:tr>
      <w:tr>
        <w:trPr>
          <w:trHeight w:val="234"/>
        </w:trPr>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below) by the number of Settlement Shares to which the related Valuation Date relates.</w:t>
            </w:r>
          </w:p>
        </w:tc>
      </w:tr>
      <w:tr>
        <w:trPr>
          <w:trHeight w:val="459"/>
        </w:trPr>
        <w:tc>
          <w:tcPr>
            <w:tcW w:w="1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Currency:</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USD</w:t>
            </w:r>
          </w:p>
        </w:tc>
      </w:tr>
      <w:tr>
        <w:trPr>
          <w:trHeight w:val="43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New York Stock Exchange</w:t>
            </w:r>
          </w:p>
        </w:tc>
      </w:tr>
      <w:tr>
        <w:trPr>
          <w:trHeight w:val="43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Exchange: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Exchanges</w:t>
            </w:r>
          </w:p>
        </w:tc>
      </w:tr>
      <w:tr>
        <w:trPr>
          <w:trHeight w:val="43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Obligation:</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1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Price: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on the Effective Date for such Transaction, the Initial Forward Price for such Transaction, and on any</w:t>
            </w:r>
          </w:p>
        </w:tc>
      </w:tr>
      <w:tr>
        <w:trPr>
          <w:trHeight w:val="234"/>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day thereafter, the product of the Forward Price for such Transaction on the immediately preceding calendar day and</w:t>
            </w:r>
          </w:p>
        </w:tc>
      </w:tr>
      <w:tr>
        <w:trPr>
          <w:trHeight w:val="432"/>
        </w:trPr>
        <w:tc>
          <w:tcPr>
            <w:tcW w:w="2120" w:type="dxa"/>
            <w:vAlign w:val="bottom"/>
          </w:tcPr>
          <w:p>
            <w:pPr>
              <w:spacing w:after="0"/>
              <w:rPr>
                <w:sz w:val="24"/>
                <w:szCs w:val="24"/>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 + the Daily Rate * (1/365);</w:t>
            </w:r>
          </w:p>
        </w:tc>
      </w:tr>
      <w:tr>
        <w:trPr>
          <w:trHeight w:val="414"/>
        </w:trPr>
        <w:tc>
          <w:tcPr>
            <w:tcW w:w="2120" w:type="dxa"/>
            <w:vAlign w:val="bottom"/>
          </w:tcPr>
          <w:p>
            <w:pPr>
              <w:spacing w:after="0"/>
              <w:rPr>
                <w:sz w:val="24"/>
                <w:szCs w:val="24"/>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provided that the Forward Price for such Transaction on each Forward Price Reduction Date for such Transaction shall be</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Forward Price for such Transaction otherwise in effect on such date minus the Forward Price Reduction Amount for</w:t>
            </w:r>
          </w:p>
        </w:tc>
      </w:tr>
      <w:tr>
        <w:trPr>
          <w:trHeight w:val="234"/>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Forward Price Reduction Date.</w:t>
            </w:r>
          </w:p>
        </w:tc>
      </w:tr>
      <w:tr>
        <w:trPr>
          <w:trHeight w:val="414"/>
        </w:trPr>
        <w:tc>
          <w:tcPr>
            <w:tcW w:w="2120" w:type="dxa"/>
            <w:vAlign w:val="bottom"/>
          </w:tcPr>
          <w:p>
            <w:pPr>
              <w:spacing w:after="0"/>
              <w:rPr>
                <w:sz w:val="24"/>
                <w:szCs w:val="24"/>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Notwithstanding the foregoing, to the extent Counterparty delivers Shares hereunder on or after a Forward Price Reduction</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 and at or before the record date for an ordinary cash dividend with an ex-dividend date corresponding to such Forward</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 Reduction Date (and, for the avoidance of doubt, the related dividend will be paid on such Shares), the Calculation</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Agent shall adjust the Forward Price to the extent the Calculation Agent determines, in good faith and its commercially</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reasonable discretion, that such an adjustment is practicable and appropriate to preserve the economic intent of the parties</w:t>
            </w:r>
          </w:p>
        </w:tc>
      </w:tr>
      <w:tr>
        <w:trPr>
          <w:trHeight w:val="234"/>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(taking into account Dealer’s commercially reasonable Hedge Positions in respect of the Transaction).</w:t>
            </w:r>
          </w:p>
        </w:tc>
      </w:tr>
      <w:tr>
        <w:trPr>
          <w:trHeight w:val="41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Forward Price: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For each Transaction, as specified in the Supplemental Confirmation for such Transaction, to be the product of (i) an amount</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equal to 1 minus the Forward Hedge Selling Commission Rate (as defined in the Equity Distribution Agreement) applicable</w:t>
            </w:r>
          </w:p>
        </w:tc>
      </w:tr>
      <w:tr>
        <w:trPr>
          <w:trHeight w:val="234"/>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such Transaction; and (ii) the Volume-Weighted Hedge Price, subject to adjustment as set forth herein.</w:t>
            </w:r>
          </w:p>
        </w:tc>
      </w:tr>
      <w:tr>
        <w:trPr>
          <w:trHeight w:val="41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Volume-Weighted Hedge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the volume-weighted</w:t>
            </w:r>
          </w:p>
        </w:tc>
      </w:tr>
      <w:tr>
        <w:trPr>
          <w:trHeight w:val="216"/>
        </w:trPr>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Price:</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of the Sales Prices (as defined in the Equity Distribution Agreement) per share of Forward Hedge Securities (as</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in the Equity Distribution Agreement) sold on each Trading Day of the Forward Hedge Selling Period for such</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as determined by the Calculation Agent; provided that, solely for the purposes of calculating the Initial</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Price, each such Sales Price (other than, with respect to the application of the Daily Rate, the Sales Price for the</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last day of the relevant Forward Hedge Selling Period) shall be subject to adjustment by the Calculation Agent (including,</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the avoidance of doubt, by application of the Daily Rate and any Forward Price Reduction Amount), in the same manner</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the Forward Price pursuant to the definition thereof during the period from, and including, the date one Clearance System</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Day immediately following the first Trading Day of the relevant Forward Hedge Selling Period on which the</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Forward Hedge Securities related to such Sales Price are sold (or, for any Sales Price adjusted with respect to any Forward</w:t>
            </w:r>
          </w:p>
        </w:tc>
      </w:tr>
      <w:tr>
        <w:trPr>
          <w:trHeight w:val="216"/>
        </w:trPr>
        <w:tc>
          <w:tcPr>
            <w:tcW w:w="2120" w:type="dxa"/>
            <w:vAlign w:val="bottom"/>
          </w:tcPr>
          <w:p>
            <w:pPr>
              <w:spacing w:after="0"/>
              <w:rPr>
                <w:sz w:val="18"/>
                <w:szCs w:val="18"/>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 Reduction Amount, the related Forward Price Reduction Date after the Trading Day on which the related Forward</w:t>
            </w:r>
          </w:p>
        </w:tc>
      </w:tr>
      <w:tr>
        <w:trPr>
          <w:trHeight w:val="234"/>
        </w:trPr>
        <w:tc>
          <w:tcPr>
            <w:tcW w:w="2120" w:type="dxa"/>
            <w:vAlign w:val="bottom"/>
          </w:tcPr>
          <w:p>
            <w:pPr>
              <w:spacing w:after="0"/>
              <w:rPr>
                <w:sz w:val="20"/>
                <w:szCs w:val="20"/>
                <w:color w:val="auto"/>
              </w:rPr>
            </w:pP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Hedge Securities were sold for such Sales Price) to, and including, the Effective Date of such Transaction.</w:t>
            </w:r>
          </w:p>
        </w:tc>
      </w:tr>
      <w:tr>
        <w:trPr>
          <w:trHeight w:val="459"/>
        </w:trPr>
        <w:tc>
          <w:tcPr>
            <w:tcW w:w="2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Daily Rate:</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any day, the Overnight Bank Rate (or if the Overnight Bank Rate is no longer available, a successor rate selected by</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Calculation Agent in its commercially reasonable discretion) minus the Spread.</w:t>
            </w:r>
          </w:p>
        </w:tc>
      </w:tr>
      <w:tr>
        <w:trPr>
          <w:trHeight w:val="432"/>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Spread:</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414"/>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Overnight Bank Rate:</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any day, the rate set forth for such day opposite the caption “Overnight bank funding rate” as displayed on the</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page “OBFR01 &lt;Index&gt; &lt;GO&gt;” on the BLOOMBERG Professional Service, or any successor page; provided that, if no</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rate appears for such day on such page, Overnight Bank Rate for such day shall be such rate for the immediately</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preceding day for which such a rate appears.</w:t>
            </w:r>
          </w:p>
        </w:tc>
      </w:tr>
      <w:tr>
        <w:trPr>
          <w:trHeight w:val="414"/>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Forward Price Reduction</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Transaction, as specified in Schedule I to the Supplemental Confirmation for such Transaction, to be each date</w:t>
            </w:r>
          </w:p>
        </w:tc>
      </w:tr>
      <w:tr>
        <w:trPr>
          <w:trHeight w:val="216"/>
        </w:trPr>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Dates:</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after the first Trading Day of the relevant Forward Hedge Selling Period set forth under the heading “Forward Price</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 Dates” in the Accepted Placement Notice for such Transaction.</w:t>
            </w:r>
          </w:p>
        </w:tc>
      </w:tr>
      <w:tr>
        <w:trPr>
          <w:trHeight w:val="414"/>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Forward Price Reduction</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each Forward Price Reduction Date of a Transaction, as specified in Schedule I to the Supplemental Confirmation for</w:t>
            </w:r>
          </w:p>
        </w:tc>
      </w:tr>
      <w:tr>
        <w:trPr>
          <w:trHeight w:val="216"/>
        </w:trPr>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Transaction, to be the Forward Price Reduction Amount set forth opposite such date in the Accepted Placement</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for such Transaction.</w:t>
            </w:r>
          </w:p>
        </w:tc>
      </w:tr>
      <w:tr>
        <w:trPr>
          <w:trHeight w:val="391"/>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340" w:type="dxa"/>
            <w:vAlign w:val="bottom"/>
          </w:tcPr>
          <w:p>
            <w:pPr>
              <w:spacing w:after="0"/>
              <w:rPr>
                <w:sz w:val="24"/>
                <w:szCs w:val="24"/>
                <w:color w:val="auto"/>
              </w:rPr>
            </w:pPr>
          </w:p>
        </w:tc>
        <w:tc>
          <w:tcPr>
            <w:tcW w:w="9080" w:type="dxa"/>
            <w:vAlign w:val="bottom"/>
          </w:tcPr>
          <w:p>
            <w:pPr>
              <w:spacing w:after="0"/>
              <w:rPr>
                <w:sz w:val="24"/>
                <w:szCs w:val="24"/>
                <w:color w:val="auto"/>
              </w:rPr>
            </w:pPr>
          </w:p>
        </w:tc>
      </w:tr>
      <w:tr>
        <w:trPr>
          <w:trHeight w:val="434"/>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Valuation Date:</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any Settlement (as defined below) with respect to any Transaction, if Physical Settlement is applicable, as designated</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the relevant Settlement Notice (as defined below); or if Cash Settlement or Net Share Settlement is applicable, the last</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Unwind Date for such Settlement. Section 6.6 of the Equity Definitions shall not apply to any Valuation Date.</w:t>
            </w:r>
          </w:p>
        </w:tc>
      </w:tr>
      <w:tr>
        <w:trPr>
          <w:trHeight w:val="414"/>
        </w:trPr>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Unwind Dates:</w:t>
            </w: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each day on which</w:t>
            </w:r>
          </w:p>
        </w:tc>
      </w:tr>
      <w:tr>
        <w:trPr>
          <w:trHeight w:val="216"/>
        </w:trPr>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Dealer (or its agent or affiliate) purchases Shares in the market in connection with unwinding its commercially reasonable</w:t>
            </w:r>
          </w:p>
        </w:tc>
      </w:tr>
      <w:tr>
        <w:trPr>
          <w:trHeight w:val="234"/>
        </w:trPr>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hedge position in connection with such Settlement, starting on the First Unwind Date for such Settlement.</w:t>
            </w:r>
          </w:p>
        </w:tc>
      </w:tr>
      <w:tr>
        <w:trPr>
          <w:trHeight w:val="432"/>
        </w:trPr>
        <w:tc>
          <w:tcPr>
            <w:tcW w:w="8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 Unwind Date:</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as designated in the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relevant Settlement Notice.</w:t>
            </w:r>
          </w:p>
        </w:tc>
        <w:tc>
          <w:tcPr>
            <w:tcW w:w="0" w:type="dxa"/>
            <w:vAlign w:val="bottom"/>
          </w:tcPr>
          <w:p>
            <w:pPr>
              <w:spacing w:after="0"/>
              <w:rPr>
                <w:sz w:val="1"/>
                <w:szCs w:val="1"/>
                <w:color w:val="auto"/>
              </w:rPr>
            </w:pPr>
          </w:p>
        </w:tc>
      </w:tr>
      <w:tr>
        <w:trPr>
          <w:trHeight w:val="414"/>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Unwind Period:</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any Cash Settlement or Net Share Settlement with respect to any Settlement of any Transaction, the period starting on</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First Unwind Date for such Settlement and ending on the Valuation Date for such Settlement.</w:t>
            </w:r>
          </w:p>
        </w:tc>
        <w:tc>
          <w:tcPr>
            <w:tcW w:w="0" w:type="dxa"/>
            <w:vAlign w:val="bottom"/>
          </w:tcPr>
          <w:p>
            <w:pPr>
              <w:spacing w:after="0"/>
              <w:rPr>
                <w:sz w:val="1"/>
                <w:szCs w:val="1"/>
                <w:color w:val="auto"/>
              </w:rPr>
            </w:pPr>
          </w:p>
        </w:tc>
      </w:tr>
      <w:tr>
        <w:trPr>
          <w:trHeight w:val="414"/>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Settlement Valuation</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 Cash Settlement is applicable with respect to any Transaction and any Unwind Date during the related Unwind Period is</w:t>
            </w:r>
          </w:p>
        </w:tc>
        <w:tc>
          <w:tcPr>
            <w:tcW w:w="0" w:type="dxa"/>
            <w:vAlign w:val="bottom"/>
          </w:tcPr>
          <w:p>
            <w:pPr>
              <w:spacing w:after="0"/>
              <w:rPr>
                <w:sz w:val="1"/>
                <w:szCs w:val="1"/>
                <w:color w:val="auto"/>
              </w:rPr>
            </w:pPr>
          </w:p>
        </w:tc>
      </w:tr>
      <w:tr>
        <w:trPr>
          <w:trHeight w:val="216"/>
        </w:trPr>
        <w:tc>
          <w:tcPr>
            <w:tcW w:w="2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Disruption:</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Disrupted Day, the Calculation Agent shall determine (except in the case of a Disrupted Day that occurs as a result of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Disruption, which shall always be a Disrupted Day in full) whether (i) such Disrupted Day is a Disrupted Day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full, in which case the 10b-18 VWAP for such Disrupted Day shall not be included in the calculation of the Settlement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Price, or (ii) such Disrupted Day is a Disrupted Day only in part, in which case the 10b-18 VWAP for such Disrupted Day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shall be determined by the Calculation Agent based on Rule 10b-18 eligible transactions (as defined below) in the Shares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such Disrupted Day, taking into account the nature and duration of the relevant Market Disruption Event, and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weightings of the 10b-18 VWAP and the Forward Prices for each Unwind Date during such Unwind Period shall be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in a commercially reasonable manner by the Calculation Agent for purposes of determining the Settlement Price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the Relevant Forward Price, as applicable, to account for the occurrence of such partially Disrupted Day, with such</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based on, among other factors, the duration of any Market Disruption Event and the volume, historical trading</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patterns and price of the Shares.</w:t>
            </w:r>
          </w:p>
        </w:tc>
        <w:tc>
          <w:tcPr>
            <w:tcW w:w="0" w:type="dxa"/>
            <w:vAlign w:val="bottom"/>
          </w:tcPr>
          <w:p>
            <w:pPr>
              <w:spacing w:after="0"/>
              <w:rPr>
                <w:sz w:val="1"/>
                <w:szCs w:val="1"/>
                <w:color w:val="auto"/>
              </w:rPr>
            </w:pPr>
          </w:p>
        </w:tc>
      </w:tr>
      <w:tr>
        <w:trPr>
          <w:trHeight w:val="414"/>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Market Disruption Event:</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definition of “Market Disruption Event” in Section 6.3(a) of the Equity Definitions is hereby amended by deleting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words “at any time during the one- hour period that ends at the relevant Valuation Time, Latest Exercise Time, Knock-in</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Time or Knock-out Valuation Time, as the case may be” and inserting the words “at any time on any Exchange</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Day during the Unwind Period” after the word “material,” in the third line thereof.</w:t>
            </w:r>
          </w:p>
        </w:tc>
        <w:tc>
          <w:tcPr>
            <w:tcW w:w="0" w:type="dxa"/>
            <w:vAlign w:val="bottom"/>
          </w:tcPr>
          <w:p>
            <w:pPr>
              <w:spacing w:after="0"/>
              <w:rPr>
                <w:sz w:val="1"/>
                <w:szCs w:val="1"/>
                <w:color w:val="auto"/>
              </w:rPr>
            </w:pPr>
          </w:p>
        </w:tc>
      </w:tr>
      <w:tr>
        <w:trPr>
          <w:trHeight w:val="414"/>
        </w:trPr>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6.3(d) of the Equity Definitions is hereby amended by deleting the remainder of the provision following the term</w:t>
            </w:r>
          </w:p>
        </w:tc>
        <w:tc>
          <w:tcPr>
            <w:tcW w:w="0" w:type="dxa"/>
            <w:vAlign w:val="bottom"/>
          </w:tcPr>
          <w:p>
            <w:pPr>
              <w:spacing w:after="0"/>
              <w:rPr>
                <w:sz w:val="1"/>
                <w:szCs w:val="1"/>
                <w:color w:val="auto"/>
              </w:rPr>
            </w:pPr>
          </w:p>
        </w:tc>
      </w:tr>
      <w:tr>
        <w:trPr>
          <w:trHeight w:val="234"/>
        </w:trPr>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Settlement Terms:</w:t>
            </w:r>
          </w:p>
        </w:tc>
        <w:tc>
          <w:tcPr>
            <w:tcW w:w="800" w:type="dxa"/>
            <w:vAlign w:val="bottom"/>
            <w:vMerge w:val="restart"/>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“Scheduled Closing Time” in the fourth line thereof.</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2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Settlement:</w:t>
            </w: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respect to any Transaction, any Physical Settlement, Cash Settlement or Net Share Settlement of all or any portion of</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Transaction.</w:t>
            </w:r>
          </w:p>
        </w:tc>
        <w:tc>
          <w:tcPr>
            <w:tcW w:w="0" w:type="dxa"/>
            <w:vAlign w:val="bottom"/>
          </w:tcPr>
          <w:p>
            <w:pPr>
              <w:spacing w:after="0"/>
              <w:rPr>
                <w:sz w:val="1"/>
                <w:szCs w:val="1"/>
                <w:color w:val="auto"/>
              </w:rPr>
            </w:pPr>
          </w:p>
        </w:tc>
      </w:tr>
      <w:tr>
        <w:trPr>
          <w:trHeight w:val="432"/>
        </w:trPr>
        <w:tc>
          <w:tcPr>
            <w:tcW w:w="1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Notice:</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For any Transaction, subject to “Early Valuation” below, Counterparty may elect to effect a Settlement of all or any portion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of such Transaction by designating one or more Scheduled Trading Days following the Effective Date for such Transaction</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and on or prior to the Maturity Date for such Transaction to be Valuation Dates (or, with respect to Cash Settlements or Net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Settlements of such Transaction, First Unwind Dates, each of which First Unwind Dates shall occur no later than the</w:t>
            </w:r>
          </w:p>
        </w:tc>
        <w:tc>
          <w:tcPr>
            <w:tcW w:w="0" w:type="dxa"/>
            <w:vAlign w:val="bottom"/>
          </w:tcPr>
          <w:p>
            <w:pPr>
              <w:spacing w:after="0"/>
              <w:rPr>
                <w:sz w:val="1"/>
                <w:szCs w:val="1"/>
                <w:color w:val="auto"/>
              </w:rPr>
            </w:pPr>
          </w:p>
        </w:tc>
      </w:tr>
      <w:tr>
        <w:trPr>
          <w:trHeight w:val="212"/>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sixtieth (60th) Scheduled Trading Day immediately preceding the Maturity Date for such Transaction) in a written notice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Dealer (a “</w:t>
            </w:r>
            <w:r>
              <w:rPr>
                <w:rFonts w:ascii="Times New Roman" w:cs="Times New Roman" w:eastAsia="Times New Roman" w:hAnsi="Times New Roman"/>
                <w:sz w:val="18"/>
                <w:szCs w:val="18"/>
                <w:b w:val="1"/>
                <w:bCs w:val="1"/>
                <w:color w:val="auto"/>
              </w:rPr>
              <w:t>Settlement Notice</w:t>
            </w:r>
            <w:r>
              <w:rPr>
                <w:rFonts w:ascii="Times New Roman" w:cs="Times New Roman" w:eastAsia="Times New Roman" w:hAnsi="Times New Roman"/>
                <w:sz w:val="18"/>
                <w:szCs w:val="18"/>
                <w:color w:val="auto"/>
              </w:rPr>
              <w:t>”) delivered no later than the applicable Settlement Method Election Date for such</w:t>
            </w:r>
          </w:p>
        </w:tc>
        <w:tc>
          <w:tcPr>
            <w:tcW w:w="0" w:type="dxa"/>
            <w:vAlign w:val="bottom"/>
          </w:tcPr>
          <w:p>
            <w:pPr>
              <w:spacing w:after="0"/>
              <w:rPr>
                <w:sz w:val="1"/>
                <w:szCs w:val="1"/>
                <w:color w:val="auto"/>
              </w:rPr>
            </w:pPr>
          </w:p>
        </w:tc>
      </w:tr>
      <w:tr>
        <w:trPr>
          <w:trHeight w:val="220"/>
        </w:trPr>
        <w:tc>
          <w:tcPr>
            <w:tcW w:w="2040" w:type="dxa"/>
            <w:vAlign w:val="bottom"/>
          </w:tcPr>
          <w:p>
            <w:pPr>
              <w:spacing w:after="0"/>
              <w:rPr>
                <w:sz w:val="19"/>
                <w:szCs w:val="19"/>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Transaction, which notice shall also specify (i) the number of Shares (the “</w:t>
            </w:r>
            <w:r>
              <w:rPr>
                <w:rFonts w:ascii="Times New Roman" w:cs="Times New Roman" w:eastAsia="Times New Roman" w:hAnsi="Times New Roman"/>
                <w:sz w:val="18"/>
                <w:szCs w:val="18"/>
                <w:b w:val="1"/>
                <w:bCs w:val="1"/>
                <w:color w:val="auto"/>
                <w:w w:val="99"/>
              </w:rPr>
              <w:t>Settlement Shares</w:t>
            </w:r>
            <w:r>
              <w:rPr>
                <w:rFonts w:ascii="Times New Roman" w:cs="Times New Roman" w:eastAsia="Times New Roman" w:hAnsi="Times New Roman"/>
                <w:sz w:val="18"/>
                <w:szCs w:val="18"/>
                <w:color w:val="auto"/>
                <w:w w:val="99"/>
              </w:rPr>
              <w:t>”) for such Settlement (not to</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exceed the number of Undesignated Shares for such Transaction as of the date of such Settlement Notice) and (ii) the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Method applicable to such Settlement; provided that (A) Counterparty may not designate a First Unwind Date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a Cash Settlement or a Net Share Settlement of any Transaction if, as of the date of such Settlement Notice, any Shares</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have been designated as Settlement Shares for a Cash Settlement or a Net Share Settlement of such Transaction for which</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related Relevant Settlement Date has not occurred; and (B) if the number of Undesignated Shares as of the Maturity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 for such Transaction is not zero, then the Maturity Date for such Transaction shall be a Valuation Date for a Physical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of such Transaction and the number of Settlement Shares for such Settlement shall be the number of</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Undesignated Shares for such Transaction as of the Maturity Date for such Transaction (provided that if such Maturity</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 occurs during the period from the time any Settlement Notice is given for a Cash Settlement or Net Share Settlement</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such Transaction until the related Relevant Settlement Date, inclusive, then the provisions set forth below opposite</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“Early Valuation” shall apply to such Transaction as if the Maturity Date for such Transaction were the Early Valuation</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 for such Transaction).</w:t>
            </w:r>
          </w:p>
        </w:tc>
        <w:tc>
          <w:tcPr>
            <w:tcW w:w="0" w:type="dxa"/>
            <w:vAlign w:val="bottom"/>
          </w:tcPr>
          <w:p>
            <w:pPr>
              <w:spacing w:after="0"/>
              <w:rPr>
                <w:sz w:val="1"/>
                <w:szCs w:val="1"/>
                <w:color w:val="auto"/>
              </w:rPr>
            </w:pPr>
          </w:p>
        </w:tc>
      </w:tr>
      <w:tr>
        <w:trPr>
          <w:trHeight w:val="41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Undesignated Shares:</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any Transaction, as of any date, the Number of Shares for such Transaction minus the number of Shares designated as</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Shares for Settlements of such Transaction for which the related Relevant Settlement Date has not occurred.</w:t>
            </w:r>
          </w:p>
        </w:tc>
        <w:tc>
          <w:tcPr>
            <w:tcW w:w="0" w:type="dxa"/>
            <w:vAlign w:val="bottom"/>
          </w:tcPr>
          <w:p>
            <w:pPr>
              <w:spacing w:after="0"/>
              <w:rPr>
                <w:sz w:val="1"/>
                <w:szCs w:val="1"/>
                <w:color w:val="auto"/>
              </w:rPr>
            </w:pPr>
          </w:p>
        </w:tc>
      </w:tr>
      <w:tr>
        <w:trPr>
          <w:trHeight w:val="41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Method</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 any Transaction, applicable; provided that:</w:t>
            </w:r>
          </w:p>
        </w:tc>
        <w:tc>
          <w:tcPr>
            <w:tcW w:w="0" w:type="dxa"/>
            <w:vAlign w:val="bottom"/>
          </w:tcPr>
          <w:p>
            <w:pPr>
              <w:spacing w:after="0"/>
              <w:rPr>
                <w:sz w:val="1"/>
                <w:szCs w:val="1"/>
                <w:color w:val="auto"/>
              </w:rPr>
            </w:pPr>
          </w:p>
        </w:tc>
      </w:tr>
      <w:tr>
        <w:trPr>
          <w:trHeight w:val="234"/>
        </w:trPr>
        <w:tc>
          <w:tcPr>
            <w:tcW w:w="2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Election:</w:t>
            </w:r>
          </w:p>
        </w:tc>
        <w:tc>
          <w:tcPr>
            <w:tcW w:w="9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(i) Net Share Settlement shall be deemed to be included as an additional settlement method under Section 7.1 of the Equity</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0" w:type="dxa"/>
            <w:vAlign w:val="bottom"/>
          </w:tcPr>
          <w:p>
            <w:pPr>
              <w:spacing w:after="0"/>
              <w:rPr>
                <w:sz w:val="1"/>
                <w:szCs w:val="1"/>
                <w:color w:val="auto"/>
              </w:rPr>
            </w:pPr>
          </w:p>
        </w:tc>
      </w:tr>
      <w:tr>
        <w:trPr>
          <w:trHeight w:val="459"/>
        </w:trPr>
        <w:tc>
          <w:tcPr>
            <w:tcW w:w="20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59" w:name="page60"/>
    <w:bookmarkEnd w:id="59"/>
    <w:p>
      <w:pPr>
        <w:jc w:val="both"/>
        <w:ind w:left="1240" w:hanging="8"/>
        <w:spacing w:after="0" w:line="252" w:lineRule="auto"/>
        <w:tabs>
          <w:tab w:leader="none" w:pos="15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may elect Cash Settlement or Net Share Settlement for any Settlement of any Transaction only if Counterparty represents and warrants to Dealer in the Settlement Notice containing such election that, as of the date of such Settlement Notice: (A) Counterparty is not aware of any material nonpublic information concerning itself or the Shares; (B) Counterparty is electing the settlement method and designating the First Unwind Date specified in such Settlement Notice in good faith and not as part of a plan or scheme to evade compliance with Rule 10b-5 (“</w:t>
      </w:r>
      <w:r>
        <w:rPr>
          <w:rFonts w:ascii="Times New Roman" w:cs="Times New Roman" w:eastAsia="Times New Roman" w:hAnsi="Times New Roman"/>
          <w:sz w:val="18"/>
          <w:szCs w:val="18"/>
          <w:b w:val="1"/>
          <w:bCs w:val="1"/>
          <w:color w:val="auto"/>
        </w:rPr>
        <w:t>Rule 10b-5</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any other provision of the federal securities laws; (C) Counterparty is not “insolvent” (as such term is defined under Section 101(32) of the U.S. Bankruptcy Code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(D) Counterparty would be able to purchase a number of Shares equal to the greater of (x) the number of Settlement Shares designated in such Settlement Notice and</w:t>
      </w:r>
    </w:p>
    <w:p>
      <w:pPr>
        <w:spacing w:after="0" w:line="6" w:lineRule="exact"/>
        <w:rPr>
          <w:rFonts w:ascii="Times New Roman" w:cs="Times New Roman" w:eastAsia="Times New Roman" w:hAnsi="Times New Roman"/>
          <w:sz w:val="18"/>
          <w:szCs w:val="18"/>
          <w:color w:val="auto"/>
        </w:rPr>
      </w:pPr>
    </w:p>
    <w:p>
      <w:pPr>
        <w:jc w:val="both"/>
        <w:ind w:left="1240" w:hanging="8"/>
        <w:spacing w:after="0" w:line="250" w:lineRule="auto"/>
        <w:tabs>
          <w:tab w:leader="none" w:pos="15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with a value as of the date of such Settlement Notice equal to the product of (I) such number of Settlement Shares and (II) the applicable Relevant Forward Price for such Cash Settlement or Net Share Settlement in compliance with the laws of Counterparty’s jurisdiction of organization; (E) such election, and settlement in accordance therewith, does not and will not violate or conflict with any law or regulation applicable to Counterparty, or any order or judgment of any court or other agency of government applicable to it or any of its assets, and any governmental consents that are required to have been obtained by Counterparty with respect to such election or settlement have been obtained and are in full force and effect and all conditions of any such consents have been complied with; and (F) neither Counterparty nor any of its subsidiaries has applied, and shall not until after the first date on which no portion of the Transaction remains outstanding following any final exercise and settlement, cancellation or early termination of the Transaction, apply, for a loan, loan guarantee, direct loan (as that term is defined in the Coronavirus Aid, Relief and Economic Security Act (the “</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or other investment, or receive any financial assistance or relief under any program or facility (collectively “</w:t>
      </w:r>
      <w:r>
        <w:rPr>
          <w:rFonts w:ascii="Times New Roman" w:cs="Times New Roman" w:eastAsia="Times New Roman" w:hAnsi="Times New Roman"/>
          <w:sz w:val="18"/>
          <w:szCs w:val="18"/>
          <w:b w:val="1"/>
          <w:bCs w:val="1"/>
          <w:color w:val="auto"/>
        </w:rPr>
        <w:t>Financial Assistance</w:t>
      </w:r>
      <w:r>
        <w:rPr>
          <w:rFonts w:ascii="Times New Roman" w:cs="Times New Roman" w:eastAsia="Times New Roman" w:hAnsi="Times New Roman"/>
          <w:sz w:val="18"/>
          <w:szCs w:val="18"/>
          <w:color w:val="auto"/>
        </w:rPr>
        <w:t>”) that (I) is established under applicable law (whether in existence as of the Trade Date or subsequently enacted, adopted or amended), including without limitation the CARES Act and the Federal Reserve Act, as amended, and (II) (X) requires under applicable law (or any regulation, guidance, interpretation or other pronouncement of a governmental authority with jurisdiction for such program or facility) as a condition of such Financial Assistance, that Counterparty comply with any requirement not to, or otherwise agree, attest, certify or warrant that it has not, as of the date specified in such condition, repurchased, or will not repurchase, any equity security of Issuer, and that it has not, as of the date specified in the condition, made a capital distribution or will make a capital distribution, or</w:t>
      </w:r>
    </w:p>
    <w:p>
      <w:pPr>
        <w:spacing w:after="0" w:line="7" w:lineRule="exact"/>
        <w:rPr>
          <w:rFonts w:ascii="Times New Roman" w:cs="Times New Roman" w:eastAsia="Times New Roman" w:hAnsi="Times New Roman"/>
          <w:sz w:val="18"/>
          <w:szCs w:val="18"/>
          <w:color w:val="auto"/>
        </w:rPr>
      </w:pPr>
    </w:p>
    <w:p>
      <w:pPr>
        <w:jc w:val="both"/>
        <w:ind w:left="12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where the terms of the Transaction would cause Counterparty under any circumstances to fail to satisfy any condition for application for or receipt or retention of the Financial Assistance (collectively “</w:t>
      </w:r>
      <w:r>
        <w:rPr>
          <w:rFonts w:ascii="Times New Roman" w:cs="Times New Roman" w:eastAsia="Times New Roman" w:hAnsi="Times New Roman"/>
          <w:sz w:val="18"/>
          <w:szCs w:val="18"/>
          <w:b w:val="1"/>
          <w:bCs w:val="1"/>
          <w:color w:val="auto"/>
        </w:rPr>
        <w:t>Restricted Financial Assistance</w:t>
      </w:r>
      <w:r>
        <w:rPr>
          <w:rFonts w:ascii="Times New Roman" w:cs="Times New Roman" w:eastAsia="Times New Roman" w:hAnsi="Times New Roman"/>
          <w:sz w:val="18"/>
          <w:szCs w:val="18"/>
          <w:color w:val="auto"/>
        </w:rPr>
        <w:t>”), other than any such applications for Restricted Financial Assistance that were (or would be) made (x) determined based on the advice of outside counsel of national standing that the terms of the Transaction would not cause Counterparty to fail to satisfy any condition for application for or receipt or retention of such Financial Assistance based on the terms of the program or facility as of the date of such advice or (y) after delivery to Dealer evidence or other guidance from a governmental authority with jurisdiction for such program or facility that the Transaction is permitted under such program or facility (either by specific reference to the Transaction or by general reference to transactions with the attributes of the Transaction in all relevant respects)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0" w:name="page61"/>
    <w:bookmarkEnd w:id="60"/>
    <w:p>
      <w:pPr>
        <w:ind w:left="2360"/>
        <w:spacing w:after="0"/>
        <w:rPr>
          <w:sz w:val="20"/>
          <w:szCs w:val="20"/>
          <w:color w:val="auto"/>
        </w:rPr>
      </w:pPr>
      <w:r>
        <w:rPr>
          <w:rFonts w:ascii="Times New Roman" w:cs="Times New Roman" w:eastAsia="Times New Roman" w:hAnsi="Times New Roman"/>
          <w:sz w:val="18"/>
          <w:szCs w:val="18"/>
          <w:color w:val="auto"/>
        </w:rPr>
        <w:t>(iii) Notwithstanding any election to the contrary in any Settlement Notice, Physical Settlement shall be applicable for any</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color w:val="auto"/>
        </w:rPr>
        <w:t>Settlement of any Transaction: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93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 to all of the Settlement Shares designated in such Settlement Notice if, at any time from the date such Settlement</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Notice is received by Dealer until the related First Unwind Date, inclusive, (I) the trading price per Share on the</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Exchange (as determined by Dealer in a commercially reasonable manner) is below the Threshold Price or (II) Dealer</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determines, in its good faith and commercially reasonable judgment, that it would, after using commercially</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efforts, be unable to purchase a number of Shares in the market sufficient to unwind a commercially</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hedge position in respect of the portion of the Transaction represented by such Settlement Shares and</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satisfy its delivery obligation hereunder, if any, by the Maturity Date (x) in a manner that (A) would, if Dealer were</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Counterparty or an affiliated purchaser of Counterparty and taking into account any other Transactions hereunder</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with an overlapping Unwind Period, be in compliance with the safe harbor provided by Rule 10b-18(b) under the</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Exchange Act and (B) based on advice of counsel, would not raise material risks under applicable securities laws,</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than as a result of activities by Dealer unrelated to any Transaction, or (y) due to the lack of sufficient liquidity</w:t>
            </w:r>
          </w:p>
        </w:tc>
      </w:tr>
      <w:tr>
        <w:trPr>
          <w:trHeight w:val="234"/>
        </w:trPr>
        <w:tc>
          <w:tcPr>
            <w:tcW w:w="1860" w:type="dxa"/>
            <w:vAlign w:val="bottom"/>
          </w:tcPr>
          <w:p>
            <w:pPr>
              <w:spacing w:after="0"/>
              <w:rPr>
                <w:sz w:val="20"/>
                <w:szCs w:val="20"/>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in the Shares (each, a “Trading Condition”); or</w:t>
            </w:r>
          </w:p>
        </w:tc>
      </w:tr>
      <w:tr>
        <w:trPr>
          <w:trHeight w:val="414"/>
        </w:trPr>
        <w:tc>
          <w:tcPr>
            <w:tcW w:w="1860" w:type="dxa"/>
            <w:vAlign w:val="bottom"/>
          </w:tcPr>
          <w:p>
            <w:pPr>
              <w:spacing w:after="0"/>
              <w:rPr>
                <w:sz w:val="24"/>
                <w:szCs w:val="24"/>
                <w:color w:val="auto"/>
              </w:rPr>
            </w:pPr>
          </w:p>
        </w:tc>
        <w:tc>
          <w:tcPr>
            <w:tcW w:w="938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(B) to all or a portion of the Settlement Shares designated in such Settlement Notice if, on any day during the relevant</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Unwind Period, (I) the trading price per Share on the Exchange (as determined by Dealer in a commercially</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manner) is below the Threshold Price or (II) Dealer determines, in its good faith and commercially</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reasonable judgment or based on advice of counsel, as applicable, that a Trading Condition has occurred with respect</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 such Transaction, in which case the provisions set forth below in the fourth paragraph opposite “Early Valuation”</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shall apply as if such day were the Early Valuation Date for such Transaction and (x) for purposes of clause (i) of</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such paragraph, such day shall be the last Unwind Date of such Unwind Period and the “Unwound Shares” shall be</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calculated to, and including, such day and (y) for purposes of clause (ii) of such paragraph, the “Remaining Shares”</w:t>
            </w:r>
          </w:p>
        </w:tc>
      </w:tr>
      <w:tr>
        <w:trPr>
          <w:trHeight w:val="216"/>
        </w:trPr>
        <w:tc>
          <w:tcPr>
            <w:tcW w:w="1860" w:type="dxa"/>
            <w:vAlign w:val="bottom"/>
          </w:tcPr>
          <w:p>
            <w:pPr>
              <w:spacing w:after="0"/>
              <w:rPr>
                <w:sz w:val="18"/>
                <w:szCs w:val="18"/>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shall be equal to the number of Settlement Shares designated in such Settlement Notice minus the Unwound Shares</w:t>
            </w:r>
          </w:p>
        </w:tc>
      </w:tr>
      <w:tr>
        <w:trPr>
          <w:trHeight w:val="234"/>
        </w:trPr>
        <w:tc>
          <w:tcPr>
            <w:tcW w:w="1860" w:type="dxa"/>
            <w:vAlign w:val="bottom"/>
          </w:tcPr>
          <w:p>
            <w:pPr>
              <w:spacing w:after="0"/>
              <w:rPr>
                <w:sz w:val="20"/>
                <w:szCs w:val="20"/>
                <w:color w:val="auto"/>
              </w:rPr>
            </w:pPr>
          </w:p>
        </w:tc>
        <w:tc>
          <w:tcPr>
            <w:tcW w:w="93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determined in accordance with clause (x) of this sentence.</w:t>
            </w:r>
          </w:p>
        </w:tc>
      </w:tr>
      <w:tr>
        <w:trPr>
          <w:trHeight w:val="441"/>
        </w:trPr>
        <w:tc>
          <w:tcPr>
            <w:tcW w:w="1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Threshold Price:</w:t>
            </w:r>
          </w:p>
        </w:tc>
        <w:tc>
          <w:tcPr>
            <w:tcW w:w="9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 to be 50 % of the Initial</w:t>
            </w:r>
          </w:p>
        </w:tc>
      </w:tr>
      <w:tr>
        <w:trPr>
          <w:trHeight w:val="234"/>
        </w:trPr>
        <w:tc>
          <w:tcPr>
            <w:tcW w:w="1860" w:type="dxa"/>
            <w:vAlign w:val="bottom"/>
          </w:tcPr>
          <w:p>
            <w:pPr>
              <w:spacing w:after="0"/>
              <w:rPr>
                <w:sz w:val="20"/>
                <w:szCs w:val="20"/>
                <w:color w:val="auto"/>
              </w:rPr>
            </w:pPr>
          </w:p>
        </w:tc>
        <w:tc>
          <w:tcPr>
            <w:tcW w:w="93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Forward Price for such Transaction.</w:t>
            </w:r>
          </w:p>
        </w:tc>
      </w:tr>
      <w:tr>
        <w:trPr>
          <w:trHeight w:val="432"/>
        </w:trPr>
        <w:tc>
          <w:tcPr>
            <w:tcW w:w="186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Electing Party:</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Counterparty</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Method</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respect to any Settlement of any Transaction, the 2nd Scheduled Trading Day immediately preceding (x) the</w:t>
            </w: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Election Date:</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Valuation Date for such Transaction, in the case of Physical Settlement, or (y) the First Unwind Date for such Transaction,</w:t>
            </w:r>
          </w:p>
        </w:tc>
      </w:tr>
      <w:tr>
        <w:trPr>
          <w:trHeight w:val="234"/>
        </w:trPr>
        <w:tc>
          <w:tcPr>
            <w:tcW w:w="224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the case of Cash Settlement or Net Share Settlement.</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 Settlement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Physical Settlement</w:t>
            </w: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Method:</w:t>
            </w:r>
          </w:p>
        </w:tc>
        <w:tc>
          <w:tcPr>
            <w:tcW w:w="9000" w:type="dxa"/>
            <w:vAlign w:val="bottom"/>
          </w:tcPr>
          <w:p>
            <w:pPr>
              <w:spacing w:after="0"/>
              <w:rPr>
                <w:sz w:val="20"/>
                <w:szCs w:val="20"/>
                <w:color w:val="auto"/>
              </w:rPr>
            </w:pP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Physical Settlement: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Notwithstanding Section 9.2(a)(i) of the Equity Definitions, on the Settlement Date for any Physical Settlement of any</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Dealer shall pay to Counterparty an amount equal to the Forward Price for such Transaction on the relevant</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Date multiplied by the number of Settlement Shares for such Settlement, and Counterparty shall deliver to</w:t>
            </w:r>
          </w:p>
        </w:tc>
      </w:tr>
      <w:tr>
        <w:trPr>
          <w:trHeight w:val="234"/>
        </w:trPr>
        <w:tc>
          <w:tcPr>
            <w:tcW w:w="224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Dealer such Settlement Shares.</w:t>
            </w:r>
          </w:p>
        </w:tc>
      </w:tr>
      <w:tr>
        <w:trPr>
          <w:trHeight w:val="432"/>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Date:</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any Settlement of any Transaction to which Physical Settlement is applicable, the Valuation Date for such Settlement.</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Share Settlement: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On the Net Share Settlement Date for any Settlement of any Transaction to which Net Share Settlement is applicable, if the</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Net Share Settlement Amount for such Settlement is greater than zero, Counterparty shall deliver a number of Shares equal</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such Net Share Settlement Amount (rounded down to the nearest integer) to Dealer, and if such Net Share Settlement</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is less than zero, Dealer shall deliver a number of Shares equal to the absolute value of such Net Share Settlement</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(rounded down to the nearest integer) to Counterparty, in either case, in accordance with Section 9.4 of the Equity</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 with such Net Share Settlement Date deemed to be a “Settlement Date” for purposes of such Section 9.4, and,</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either case, plus cash in lieu of any fractional Shares included in such Net Share Settlement Amount but not delivered</w:t>
            </w:r>
          </w:p>
        </w:tc>
      </w:tr>
      <w:tr>
        <w:trPr>
          <w:trHeight w:val="234"/>
        </w:trPr>
        <w:tc>
          <w:tcPr>
            <w:tcW w:w="224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rounding required hereby, valued at the relevant Settlement Price.</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Share Settlement Date:</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For any Settlement of any Transaction to which Net Share Settlement is applicable, the date that follows the Valuation Date</w:t>
            </w:r>
          </w:p>
        </w:tc>
      </w:tr>
      <w:tr>
        <w:trPr>
          <w:trHeight w:val="234"/>
        </w:trPr>
        <w:tc>
          <w:tcPr>
            <w:tcW w:w="224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such Settlement by one Clearance System Business Day.</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Share Settlement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any Settlement of any Transaction to which Net Share Settlement is applicable, an amount equal to the Forward Cash</w:t>
            </w:r>
          </w:p>
        </w:tc>
      </w:tr>
      <w:tr>
        <w:trPr>
          <w:trHeight w:val="234"/>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Amount for such Settlement divided by the Settlement Price for such Settlement.</w:t>
            </w:r>
          </w:p>
        </w:tc>
      </w:tr>
      <w:tr>
        <w:trPr>
          <w:trHeight w:val="414"/>
        </w:trPr>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Forward Cash Settlement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Notwithstanding Section 8.5(c) of the Equity Definitions, the Forward Cash Settlement Amount for any Cash Settlement or</w:t>
            </w:r>
          </w:p>
        </w:tc>
      </w:tr>
      <w:tr>
        <w:trPr>
          <w:trHeight w:val="216"/>
        </w:trPr>
        <w:tc>
          <w:tcPr>
            <w:tcW w:w="2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Amount: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Share Settlement of any Transaction shall be equal to (i) the number of Settlement Shares for such Settlement</w:t>
            </w:r>
          </w:p>
        </w:tc>
      </w:tr>
      <w:tr>
        <w:trPr>
          <w:trHeight w:val="216"/>
        </w:trPr>
        <w:tc>
          <w:tcPr>
            <w:tcW w:w="224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multiplied by (ii) an amount equal to (A) the Settlement Price for such Settlement minus (B) the Relevant Forward Price</w:t>
            </w:r>
          </w:p>
        </w:tc>
      </w:tr>
      <w:tr>
        <w:trPr>
          <w:trHeight w:val="234"/>
        </w:trPr>
        <w:tc>
          <w:tcPr>
            <w:tcW w:w="224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such Settlement.</w:t>
            </w:r>
          </w:p>
        </w:tc>
      </w:tr>
      <w:tr>
        <w:trPr>
          <w:trHeight w:val="432"/>
        </w:trPr>
        <w:tc>
          <w:tcPr>
            <w:tcW w:w="224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Relevant Forward Price:</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Cash Settlement of any Transaction, subject to “Cash Settlement Valuation Disruption” above, the weighted</w:t>
            </w:r>
          </w:p>
        </w:tc>
      </w:tr>
      <w:tr>
        <w:trPr>
          <w:trHeight w:val="234"/>
        </w:trPr>
        <w:tc>
          <w:tcPr>
            <w:tcW w:w="21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of the Forward Prices for such Transaction on each Unwind Date relating to such Settlement.</w:t>
            </w:r>
          </w:p>
        </w:tc>
      </w:tr>
      <w:tr>
        <w:trPr>
          <w:trHeight w:val="414"/>
        </w:trPr>
        <w:tc>
          <w:tcPr>
            <w:tcW w:w="21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For any Net Share Settlement of any Transaction, the weighted average of the Forward Prices for such Transaction on each</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Unwind Date relating to such Settlement (weighted based on the number of Shares purchased by Dealer or its agent or</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 on each such Unwind Date in connection with unwinding its commercially reasonable hedge position in</w:t>
            </w:r>
          </w:p>
        </w:tc>
      </w:tr>
      <w:tr>
        <w:trPr>
          <w:trHeight w:val="234"/>
        </w:trPr>
        <w:tc>
          <w:tcPr>
            <w:tcW w:w="21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such Settlement, as determined by the Calculation Agent).</w:t>
            </w:r>
          </w:p>
        </w:tc>
      </w:tr>
      <w:tr>
        <w:trPr>
          <w:trHeight w:val="41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Settlement Payment</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Settlement of any Transaction to which Cash Settlement is applicable, the date that follows the Valuation Date for</w:t>
            </w:r>
          </w:p>
        </w:tc>
      </w:tr>
      <w:tr>
        <w:trPr>
          <w:trHeight w:val="234"/>
        </w:trPr>
        <w:tc>
          <w:tcPr>
            <w:tcW w:w="2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Date:</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such Settlement by one Clearance System Business Day.</w:t>
            </w:r>
          </w:p>
        </w:tc>
      </w:tr>
      <w:tr>
        <w:trPr>
          <w:trHeight w:val="41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Price:</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Cash Settlement of any Transaction, subject to “Cash Settlement Valuation Disruption” above, the weighted</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of the 10b-18 VWAP on each Unwind Date relating to such Settlement, plus a commercially reasonable amount</w:t>
            </w:r>
          </w:p>
        </w:tc>
      </w:tr>
      <w:tr>
        <w:trPr>
          <w:trHeight w:val="234"/>
        </w:trPr>
        <w:tc>
          <w:tcPr>
            <w:tcW w:w="21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determined by the Calculation Agent that in no event will exceed USD 0.05.</w:t>
            </w:r>
          </w:p>
        </w:tc>
      </w:tr>
      <w:tr>
        <w:trPr>
          <w:trHeight w:val="414"/>
        </w:trPr>
        <w:tc>
          <w:tcPr>
            <w:tcW w:w="21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Net Share Settlement of any Transaction, the weighted average price of the purchases of Shares made by Dealer</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its agent or affiliate) during the Unwind Period for such Settlement in connection with unwinding its commercially</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reasonable hedge position relating to such Settlement (weighted based on the number of Shares purchased by Dealer or its</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agent or affiliate on each Unwind Date in connection with unwinding its commercially reasonable hedge position in</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such Settlement, as determined by the Calculation Agent), plus a commercially reasonable amount</w:t>
            </w:r>
          </w:p>
        </w:tc>
      </w:tr>
      <w:tr>
        <w:trPr>
          <w:trHeight w:val="234"/>
        </w:trPr>
        <w:tc>
          <w:tcPr>
            <w:tcW w:w="21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determined by the Calculation Agent that in no event will exceed USD 0.03.</w:t>
            </w:r>
          </w:p>
        </w:tc>
      </w:tr>
      <w:tr>
        <w:trPr>
          <w:trHeight w:val="414"/>
        </w:trPr>
        <w:tc>
          <w:tcPr>
            <w:tcW w:w="2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10b-18 VWAP:</w:t>
            </w: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any Exchange Business Day, as determined by the Calculation Agent based on the 10b-18 Volume Weighted Average</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Price per Share as reported in the composite transactions for United States exchanges and quotation systems for the regular</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trading session (including any extensions thereof) of the Exchange on such Exchange Business Day (without regard to pre-</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 or after hours trading outside of such regular trading session for such Exchange Business Day), as published by</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Bloomberg at 4:15 p.m. New York time (or 15 minutes following the end of any extension of the regular trading session)</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 such Exchange Business Day, on Bloomberg page “CTO &lt;Equity&gt; AQR SEC” (or any successor thereto), or if such</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price is not so reported on such Exchange Business Day for any reason or is, in the Calculation Agent’s reasonable</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determination, erroneous, such 10b-18 VWAP shall be as reasonably determined by the Calculation Agent. For purposes of</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calculating the 10b-18 VWAP for such Exchange Business Day, the Calculation Agent will include only those trades that</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are reported during the period of time during which Counterparty could purchase its own shares under Rule 10b-18(b)</w:t>
            </w:r>
          </w:p>
        </w:tc>
      </w:tr>
      <w:tr>
        <w:trPr>
          <w:trHeight w:val="216"/>
        </w:trPr>
        <w:tc>
          <w:tcPr>
            <w:tcW w:w="21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 and are effected pursuant to the conditions of Rule 10b-18(b)(3), each under the Exchange Act (such trades, “Rule 10b-</w:t>
            </w:r>
          </w:p>
        </w:tc>
      </w:tr>
      <w:tr>
        <w:trPr>
          <w:trHeight w:val="234"/>
        </w:trPr>
        <w:tc>
          <w:tcPr>
            <w:tcW w:w="21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18 eligible transactions”).</w:t>
            </w:r>
          </w:p>
        </w:tc>
      </w:tr>
      <w:tr>
        <w:trPr>
          <w:trHeight w:val="432"/>
        </w:trPr>
        <w:tc>
          <w:tcPr>
            <w:tcW w:w="218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Unwind Activities:</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times and prices at which Dealer (or its agent or affiliate) purchases any Shares during any Unwind Period in</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with unwinding its commercially reasonable hedge position in respect of each Transaction shall be determined</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Dealer in a commercially reasonable manner. Without limiting the generality of the foregoing, in the event that Dealer</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concludes, in its reasonable discretion based on advice of counsel, that it is appropriate with respect to any legal, regulatory</w:t>
            </w:r>
          </w:p>
        </w:tc>
      </w:tr>
      <w:tr>
        <w:trPr>
          <w:trHeight w:val="212"/>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 self-regulatory requirements or related policies and procedures (whether or not such requirements, policies or</w:t>
            </w:r>
          </w:p>
        </w:tc>
      </w:tr>
      <w:tr>
        <w:trPr>
          <w:trHeight w:val="220"/>
        </w:trPr>
        <w:tc>
          <w:tcPr>
            <w:tcW w:w="1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procedures are imposed by law or have been voluntarily adopted by Dealer) (a “</w:t>
            </w:r>
            <w:r>
              <w:rPr>
                <w:rFonts w:ascii="Times New Roman" w:cs="Times New Roman" w:eastAsia="Times New Roman" w:hAnsi="Times New Roman"/>
                <w:sz w:val="18"/>
                <w:szCs w:val="18"/>
                <w:b w:val="1"/>
                <w:bCs w:val="1"/>
                <w:color w:val="auto"/>
              </w:rPr>
              <w:t>Regulatory Disruption</w:t>
            </w:r>
            <w:r>
              <w:rPr>
                <w:rFonts w:ascii="Times New Roman" w:cs="Times New Roman" w:eastAsia="Times New Roman" w:hAnsi="Times New Roman"/>
                <w:sz w:val="18"/>
                <w:szCs w:val="18"/>
                <w:color w:val="auto"/>
              </w:rPr>
              <w:t>”), for it to refrain</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from purchasing Shares in connection with unwinding its commercially reasonable hedge position in respect of such</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on any Scheduled Trading Day that would have been an Unwind Date but for the occurrence of a Regulatory</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Disruption, Dealer may (but shall not be required to) notify Counterparty in writing that a Regulatory Disruption has</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occurred on such Scheduled Trading Day with respect to such Transaction, in which case Dealer shall, to the extent</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practicable in its good faith discretion, specify the nature of such Regulatory Disruption.  In such an instance, the</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Disruption shall be deemed to be a Market Disruption Event and, for the avoidance of doubt, such Scheduled</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Day shall be a Disrupted Day in full. Dealer may exercise its right in respect of any Regulatory Disruption only in</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 faith in relation to events or circumstances that are not the result of actions of it or any of its Affiliates that are taken</w:t>
            </w:r>
          </w:p>
        </w:tc>
      </w:tr>
      <w:tr>
        <w:trPr>
          <w:trHeight w:val="234"/>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the intent to avoid its obligations under the Transactions.</w:t>
            </w:r>
          </w:p>
        </w:tc>
      </w:tr>
      <w:tr>
        <w:trPr>
          <w:trHeight w:val="41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Relevant Settlement Date:</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any Settlement of any Transaction, the Settlement Date, Cash Settlement Payment Date or Net Share Settlement Date</w:t>
            </w:r>
          </w:p>
        </w:tc>
      </w:tr>
      <w:tr>
        <w:trPr>
          <w:trHeight w:val="234"/>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such Settlement, as the case may be.</w:t>
            </w:r>
          </w:p>
        </w:tc>
      </w:tr>
      <w:tr>
        <w:trPr>
          <w:trHeight w:val="41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Applicable</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the extent Dealer is obligated to deliver Shares under any Transaction, the provisions of Sections 9.2 (last sentence</w:t>
            </w:r>
          </w:p>
        </w:tc>
      </w:tr>
      <w:tr>
        <w:trPr>
          <w:trHeight w:val="216"/>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Provisions:</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only), 9.8, 9.9, 9.10, 9.11 and 9.12 of the Equity Definitions will be applicable as if “Physical Settlement” applied to such</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provided that the Representation and Agreement contained in Section 9.11 of the Equity Definitions shall be</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modified by excluding any representations therein relating to restrictions, obligations, limitations or requirements under</w:t>
            </w:r>
          </w:p>
        </w:tc>
      </w:tr>
      <w:tr>
        <w:trPr>
          <w:trHeight w:val="234"/>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applicable securities laws that exist as a result of the fact that Counterparty is the issuer of the Shares.</w:t>
            </w:r>
          </w:p>
        </w:tc>
      </w:tr>
      <w:tr>
        <w:trPr>
          <w:trHeight w:val="392"/>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Share Adjustments:</w:t>
            </w:r>
          </w:p>
        </w:tc>
        <w:tc>
          <w:tcPr>
            <w:tcW w:w="660" w:type="dxa"/>
            <w:vAlign w:val="bottom"/>
          </w:tcPr>
          <w:p>
            <w:pPr>
              <w:spacing w:after="0"/>
              <w:rPr>
                <w:sz w:val="24"/>
                <w:szCs w:val="24"/>
                <w:color w:val="auto"/>
              </w:rPr>
            </w:pPr>
          </w:p>
        </w:tc>
        <w:tc>
          <w:tcPr>
            <w:tcW w:w="9040" w:type="dxa"/>
            <w:vAlign w:val="bottom"/>
          </w:tcPr>
          <w:p>
            <w:pPr>
              <w:spacing w:after="0"/>
              <w:rPr>
                <w:sz w:val="24"/>
                <w:szCs w:val="24"/>
                <w:color w:val="auto"/>
              </w:rPr>
            </w:pPr>
          </w:p>
        </w:tc>
      </w:tr>
      <w:tr>
        <w:trPr>
          <w:trHeight w:val="434"/>
        </w:trPr>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Potential Adjustment</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Extraordinary Dividend shall not constitute a Potential Adjustment Event.  For the avoidance of doubt, a cash</w:t>
            </w:r>
          </w:p>
        </w:tc>
      </w:tr>
      <w:tr>
        <w:trPr>
          <w:trHeight w:val="216"/>
        </w:trPr>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Events:</w:t>
            </w: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 on the Shares that differs from expected dividends as of the first Trading Day of the Forward Hedge Selling</w:t>
            </w:r>
          </w:p>
        </w:tc>
      </w:tr>
      <w:tr>
        <w:trPr>
          <w:trHeight w:val="216"/>
        </w:trPr>
        <w:tc>
          <w:tcPr>
            <w:tcW w:w="1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Period for such Transaction shall not be a Potential Adjustment Event under Section 11.2(e)(vii) of the Equity Definitions</w:t>
            </w:r>
          </w:p>
        </w:tc>
      </w:tr>
      <w:tr>
        <w:trPr>
          <w:trHeight w:val="234"/>
        </w:trPr>
        <w:tc>
          <w:tcPr>
            <w:tcW w:w="1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respect to such Transaction.</w:t>
            </w:r>
          </w:p>
        </w:tc>
      </w:tr>
      <w:tr>
        <w:trPr>
          <w:trHeight w:val="432"/>
        </w:trPr>
        <w:tc>
          <w:tcPr>
            <w:tcW w:w="1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Extraordinary Dividend:</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any Transaction, any dividend or distribution on the Shares with an ex-dividend date occurring on any day following</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first Trading Day of the Forward Hedge Selling Period for such Transaction (other than (i) any dividend or distribution</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of the type described in Section 11.2(e)(i) or Section 11.2(e)(ii)(A) of the Equity Definitions or (ii) a regular, quarterly cash</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 an amount equal to or less than the Regular Dividend Amount for such calendar quarter for such Transaction</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that has an ex-dividend date no earlier than the Forward Price Reduction Date occurring in the relevant month for such</w:t>
            </w:r>
          </w:p>
        </w:tc>
      </w:tr>
      <w:tr>
        <w:trPr>
          <w:trHeight w:val="234"/>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w:t>
            </w:r>
          </w:p>
        </w:tc>
      </w:tr>
      <w:tr>
        <w:trPr>
          <w:trHeight w:val="414"/>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Regular Dividend Amount: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each Transaction and for each calendar quarter from and including the calendar quarter in which the first Trading Day</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the Forward Hedge Selling Period for such Transaction occurs to and including the calendar quarter in which the</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Maturity Date occurs, the amount set forth under the heading “Regular Dividend Amounts” in the Accepted Placement</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for such Transaction and for such calendar quarter (or, if no such amount is specified, zero), as specified in</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Schedule I to the Supplemental Confirmation for such Transaction.  For the avoidance of doubt, Counterparty may not</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specify a Regular Dividend Amount in an Accepted Placement Notice for a particular calendar quarter that exceeds the</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Forward Price Reduction Amount for the Forward Price Reduction Date that occurs in such calendar quarter (or, if none,</w:t>
            </w:r>
          </w:p>
        </w:tc>
      </w:tr>
      <w:tr>
        <w:trPr>
          <w:trHeight w:val="234"/>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that exceeds zero).</w:t>
            </w:r>
          </w:p>
        </w:tc>
      </w:tr>
      <w:tr>
        <w:trPr>
          <w:trHeight w:val="432"/>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Method of Adjustment:</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 Agent Adjustment</w:t>
            </w:r>
          </w:p>
        </w:tc>
      </w:tr>
      <w:tr>
        <w:trPr>
          <w:trHeight w:val="392"/>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Extraordinary Events:</w:t>
            </w:r>
          </w:p>
        </w:tc>
        <w:tc>
          <w:tcPr>
            <w:tcW w:w="480" w:type="dxa"/>
            <w:vAlign w:val="bottom"/>
          </w:tcPr>
          <w:p>
            <w:pPr>
              <w:spacing w:after="0"/>
              <w:rPr>
                <w:sz w:val="24"/>
                <w:szCs w:val="24"/>
                <w:color w:val="auto"/>
              </w:rPr>
            </w:pPr>
          </w:p>
        </w:tc>
        <w:tc>
          <w:tcPr>
            <w:tcW w:w="9000" w:type="dxa"/>
            <w:vAlign w:val="bottom"/>
          </w:tcPr>
          <w:p>
            <w:pPr>
              <w:spacing w:after="0"/>
              <w:rPr>
                <w:sz w:val="24"/>
                <w:szCs w:val="24"/>
                <w:color w:val="auto"/>
              </w:rPr>
            </w:pPr>
          </w:p>
        </w:tc>
      </w:tr>
      <w:tr>
        <w:trPr>
          <w:trHeight w:val="434"/>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Extraordinary Events:</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consequences that would otherwise apply under Article 12 of the Equity Definitions (as modified herein) to any</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 Extraordinary Event (excluding any Failure to Deliver, Increased Cost of Hedging, Increased Cost of Stock</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Borrow, Loss of Stock Borrow or any Extraordinary Event that also constitutes a Bankruptcy Termination Event, but</w:t>
            </w:r>
          </w:p>
        </w:tc>
      </w:tr>
      <w:tr>
        <w:trPr>
          <w:trHeight w:val="234"/>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for the avoidance of doubt, any other applicable Additional Disruption Event) shall not apply.</w:t>
            </w:r>
          </w:p>
        </w:tc>
      </w:tr>
      <w:tr>
        <w:trPr>
          <w:trHeight w:val="414"/>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Tender Offer:</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Applicable; provided that Section 12.1(d) of the Equity Definitions shall be amended by replacing the reference therein to</w:t>
            </w:r>
          </w:p>
        </w:tc>
      </w:tr>
      <w:tr>
        <w:trPr>
          <w:trHeight w:val="234"/>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 with a reference to “20%.”</w:t>
            </w:r>
          </w:p>
        </w:tc>
      </w:tr>
      <w:tr>
        <w:trPr>
          <w:trHeight w:val="414"/>
        </w:trPr>
        <w:tc>
          <w:tcPr>
            <w:tcW w:w="2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Delisting:</w:t>
            </w: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 addition to the provisions of Section 12.6(a)(iii) of the Equity Definitions, it shall also constitute a Delisting if the</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is located in the United States and the Shares are not immediately re-listed, re-traded or re-quoted on any of the</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New York Stock Exchange, the NASDAQ Global Select Market or the NASDAQ Global Market (or their respective</w:t>
            </w:r>
          </w:p>
        </w:tc>
      </w:tr>
      <w:tr>
        <w:trPr>
          <w:trHeight w:val="216"/>
        </w:trPr>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successors); if the Shares are immediately re-listed, re- traded or re-quoted on any such exchange or quotation system, such</w:t>
            </w:r>
          </w:p>
        </w:tc>
      </w:tr>
      <w:tr>
        <w:trPr>
          <w:trHeight w:val="234"/>
        </w:trPr>
        <w:tc>
          <w:tcPr>
            <w:tcW w:w="1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or quotation system shall be deemed to be the Exchange.</w:t>
            </w:r>
          </w:p>
        </w:tc>
      </w:tr>
      <w:tr>
        <w:trPr>
          <w:trHeight w:val="432"/>
        </w:trPr>
        <w:tc>
          <w:tcPr>
            <w:tcW w:w="1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Additional Disruption Events:</w:t>
            </w:r>
          </w:p>
        </w:tc>
        <w:tc>
          <w:tcPr>
            <w:tcW w:w="8900" w:type="dxa"/>
            <w:vAlign w:val="bottom"/>
          </w:tcPr>
          <w:p>
            <w:pPr>
              <w:spacing w:after="0"/>
              <w:rPr>
                <w:sz w:val="17"/>
                <w:szCs w:val="17"/>
                <w:color w:val="auto"/>
              </w:rPr>
            </w:pPr>
          </w:p>
        </w:tc>
      </w:tr>
      <w:tr>
        <w:trPr>
          <w:trHeight w:val="434"/>
        </w:trPr>
        <w:tc>
          <w:tcPr>
            <w:tcW w:w="23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Law:</w:t>
            </w:r>
          </w:p>
        </w:tc>
        <w:tc>
          <w:tcPr>
            <w:tcW w:w="20" w:type="dxa"/>
            <w:vAlign w:val="bottom"/>
          </w:tcPr>
          <w:p>
            <w:pPr>
              <w:spacing w:after="0"/>
              <w:rPr>
                <w:sz w:val="24"/>
                <w:szCs w:val="24"/>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 provided that (A) any determination as to whether (i) the adoption of or any change in any applicable law or</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regulation (including, without limitation, any tax law) or (ii) the promulgation of or any change in or announcement or</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statement of the formal or informal interpretation by any court, tribunal or regulatory authority with competent jurisdiction</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any applicable law or regulation (including any action taken by a taxing authority), in each case, constitutes a “Change</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Law” shall be made without regard to Section 739 of the Dodd-Frank Wall Street Reform and Consumer Protection Act</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of 2010 or any similar legal certainty provision in any legislation enacted, or rule or regulation promulgated, on or after the</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Trade Date, (B) Section 12.9(a)(ii) of the Equity Definitions is hereby amended (i) by adding the words “(including, for the</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avoidance of doubt and without limitation, adoption or promulgation of new regulations authorized or mandated by</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statute)” after the word “regulation” in the second line thereof and (ii) by replacing the words “the interpretation”</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words “or announcement or statement of any formal or informal interpretation” in the third line thereof and</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 the words “, unless the illegality is due to an act or omission of the party seeking to elect termination of the Transaction</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the intent to avoid its obligations under the terms of the Transaction” are added immediately following the word</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in the fifth line thereof; and provided further that Section 12.9(a)(ii) of the Equity Definitions is hereby</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amended by adding the phrase “and/or Hedge Position” after the word “Shares” in clause (X) thereof and (iii) by</w:t>
            </w:r>
          </w:p>
        </w:tc>
      </w:tr>
      <w:tr>
        <w:trPr>
          <w:trHeight w:val="216"/>
        </w:trPr>
        <w:tc>
          <w:tcPr>
            <w:tcW w:w="2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immediately following the word “Transaction” in clause (X) thereof, adding the phrase “in the manner contemplated by the</w:t>
            </w:r>
          </w:p>
        </w:tc>
      </w:tr>
      <w:tr>
        <w:trPr>
          <w:trHeight w:val="234"/>
        </w:trPr>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Hedging Party on the Trade Date.”</w:t>
            </w:r>
          </w:p>
        </w:tc>
      </w:tr>
      <w:tr>
        <w:trPr>
          <w:trHeight w:val="432"/>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Failure to Deliver:</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r>
      <w:tr>
        <w:trPr>
          <w:trHeight w:val="432"/>
        </w:trPr>
        <w:tc>
          <w:tcPr>
            <w:tcW w:w="2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Hedging Disruption:</w:t>
            </w:r>
          </w:p>
        </w:tc>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Applicable</w:t>
            </w:r>
          </w:p>
        </w:tc>
      </w:tr>
    </w:tbl>
    <w:p>
      <w:pPr>
        <w:spacing w:after="0" w:line="198" w:lineRule="exact"/>
        <w:rPr>
          <w:sz w:val="20"/>
          <w:szCs w:val="20"/>
          <w:color w:val="auto"/>
        </w:rPr>
      </w:pPr>
    </w:p>
    <w:p>
      <w:pPr>
        <w:ind w:left="180"/>
        <w:spacing w:after="0"/>
        <w:tabs>
          <w:tab w:leader="none" w:pos="2340" w:val="left"/>
        </w:tabs>
        <w:rPr>
          <w:sz w:val="20"/>
          <w:szCs w:val="20"/>
          <w:color w:val="auto"/>
        </w:rPr>
      </w:pPr>
      <w:r>
        <w:rPr>
          <w:rFonts w:ascii="Times New Roman" w:cs="Times New Roman" w:eastAsia="Times New Roman" w:hAnsi="Times New Roman"/>
          <w:sz w:val="18"/>
          <w:szCs w:val="18"/>
          <w:color w:val="auto"/>
        </w:rPr>
        <w:t>Increased Cost of Hedging:</w:t>
        <w:tab/>
        <w:t>Applicable; provided that Section 12.9(b)(vi) of the Equity Definitions shall be amended by (i) adding “or” before clause</w:t>
      </w:r>
    </w:p>
    <w:p>
      <w:pPr>
        <w:spacing w:after="0" w:line="27" w:lineRule="exact"/>
        <w:rPr>
          <w:sz w:val="20"/>
          <w:szCs w:val="20"/>
          <w:color w:val="auto"/>
        </w:rPr>
      </w:pPr>
    </w:p>
    <w:p>
      <w:pPr>
        <w:ind w:left="2360" w:hanging="8"/>
        <w:spacing w:after="0" w:line="260" w:lineRule="auto"/>
        <w:tabs>
          <w:tab w:leader="none" w:pos="26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second sentence thereof, (ii) deleting clause (C) of the second sentence thereof and (iii) deleting the third and fourth sentences thereof.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 of Stock</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 provided that Section 12.9(b)(v) of the Equity Definitions shall be amended by (i) adding “or” before clause</w:t>
            </w:r>
          </w:p>
        </w:tc>
      </w:tr>
      <w:tr>
        <w:trPr>
          <w:trHeight w:val="216"/>
        </w:trPr>
        <w:tc>
          <w:tcPr>
            <w:tcW w:w="2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Borrow:</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 of the second sentence thereof, (ii) deleting clause (C) of the second sentence thereof and (iii) deleting the third, fourth</w:t>
            </w:r>
          </w:p>
        </w:tc>
      </w:tr>
      <w:tr>
        <w:trPr>
          <w:trHeight w:val="216"/>
        </w:trPr>
        <w:tc>
          <w:tcPr>
            <w:tcW w:w="212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fifth sentences thereof. For the avoidance of doubt, upon the announcement of any event that, if consummated, would</w:t>
            </w:r>
          </w:p>
        </w:tc>
      </w:tr>
      <w:tr>
        <w:trPr>
          <w:trHeight w:val="216"/>
        </w:trPr>
        <w:tc>
          <w:tcPr>
            <w:tcW w:w="212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result in a Merger Event or Tender Offer, the term “rate to borrow Shares” as used in Section 12.9(a)(viii) of the Equity</w:t>
            </w:r>
          </w:p>
        </w:tc>
      </w:tr>
      <w:tr>
        <w:trPr>
          <w:trHeight w:val="216"/>
        </w:trPr>
        <w:tc>
          <w:tcPr>
            <w:tcW w:w="212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 shall include any commercially reasonable cost borne or amount payable by the Hedging Party in respect of</w:t>
            </w:r>
          </w:p>
        </w:tc>
      </w:tr>
      <w:tr>
        <w:trPr>
          <w:trHeight w:val="216"/>
        </w:trPr>
        <w:tc>
          <w:tcPr>
            <w:tcW w:w="212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maintaining or reestablishing its hedge position with respect to the relevant Transaction, including, but not limited to, any</w:t>
            </w:r>
          </w:p>
        </w:tc>
      </w:tr>
      <w:tr>
        <w:trPr>
          <w:trHeight w:val="216"/>
        </w:trPr>
        <w:tc>
          <w:tcPr>
            <w:tcW w:w="212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assessment or other amount payable by the Hedging Party to a lender of Shares in respect of any merger or tender offer</w:t>
            </w:r>
          </w:p>
        </w:tc>
      </w:tr>
      <w:tr>
        <w:trPr>
          <w:trHeight w:val="234"/>
        </w:trPr>
        <w:tc>
          <w:tcPr>
            <w:tcW w:w="2120" w:type="dxa"/>
            <w:vAlign w:val="bottom"/>
          </w:tcPr>
          <w:p>
            <w:pPr>
              <w:spacing w:after="0"/>
              <w:rPr>
                <w:sz w:val="20"/>
                <w:szCs w:val="20"/>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premium, as applicable.</w:t>
            </w:r>
          </w:p>
        </w:tc>
      </w:tr>
      <w:tr>
        <w:trPr>
          <w:trHeight w:val="432"/>
        </w:trPr>
        <w:tc>
          <w:tcPr>
            <w:tcW w:w="212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8" w:right="3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Initial Stock Loan Rate:</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414"/>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of Stock Borrow:</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Applicable; provided that Section 12.9(b)(iv) of the Equity Definitions shall be amended by (i) deleting clause (A) of the</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 sentence thereof in its entirety and (ii) replacing the words “neither the Non-Hedging Party nor the Lending Party</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lends” with “the Lending Party does not lend” in the second sentence thereof. The Lending Party may not be the Issuer or</w:t>
            </w:r>
          </w:p>
        </w:tc>
      </w:tr>
      <w:tr>
        <w:trPr>
          <w:trHeight w:val="234"/>
        </w:trPr>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 affiliate of the Issuer.</w:t>
            </w:r>
          </w:p>
        </w:tc>
      </w:tr>
      <w:tr>
        <w:trPr>
          <w:trHeight w:val="414"/>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Maximum Stock Loan</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each Transaction, as specified in the Supplemental Confirmation for such Transaction.</w:t>
            </w:r>
          </w:p>
        </w:tc>
      </w:tr>
      <w:tr>
        <w:trPr>
          <w:trHeight w:val="234"/>
        </w:trPr>
        <w:tc>
          <w:tcPr>
            <w:tcW w:w="21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Rate:</w:t>
            </w:r>
          </w:p>
        </w:tc>
        <w:tc>
          <w:tcPr>
            <w:tcW w:w="9120" w:type="dxa"/>
            <w:vAlign w:val="bottom"/>
          </w:tcPr>
          <w:p>
            <w:pPr>
              <w:spacing w:after="0"/>
              <w:rPr>
                <w:sz w:val="20"/>
                <w:szCs w:val="20"/>
                <w:color w:val="auto"/>
              </w:rPr>
            </w:pPr>
          </w:p>
        </w:tc>
      </w:tr>
      <w:tr>
        <w:trPr>
          <w:trHeight w:val="432"/>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Hedging Party:</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all applicable Additional Disruption Events, Dealer.</w:t>
            </w:r>
          </w:p>
        </w:tc>
      </w:tr>
      <w:tr>
        <w:trPr>
          <w:trHeight w:val="432"/>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Determining Party:</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 all applicable Extraordinary Events, Dealer.</w:t>
            </w:r>
          </w:p>
        </w:tc>
      </w:tr>
      <w:tr>
        <w:trPr>
          <w:trHeight w:val="391"/>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Early Valuation:</w:t>
            </w:r>
          </w:p>
        </w:tc>
        <w:tc>
          <w:tcPr>
            <w:tcW w:w="9120" w:type="dxa"/>
            <w:vAlign w:val="bottom"/>
          </w:tcPr>
          <w:p>
            <w:pPr>
              <w:spacing w:after="0"/>
              <w:rPr>
                <w:sz w:val="24"/>
                <w:szCs w:val="24"/>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434"/>
        </w:trPr>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Early Valuation:</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For any Transaction, notwithstanding anything to the contrary herein, in the Agreement, in any Supplemental Confirmation</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 in the Equity Definitions, at any time (x) following the occurrence of (1) a Hedging Event with respect to such</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(2) the declaration by Issuer of an Extraordinary Dividend, or (3) an ISDA Event with respect to such</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or (y) if an Excess Section 13 Ownership Position, an Excess NYSE Ownership Position or an Excess</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Ownership Position exists, Dealer (or, in the case of such an ISDA Event that is an Event of Default or</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Termination Event, the party entitled to designate an Early Termination Date in respect of such event pursuant to Section 6</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Agreement) shall have the right to designate any Scheduled Trading Day to be the “Early Valuation Date” for such</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in which case the provisions set forth in this “Early Valuation” section shall apply to such Transaction, which</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 shall be, other than in the case of an Event of Default under Section 5(a)(vii) of the Agreement with respect to which</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Dealer is the sole Defaulting Party, in lieu of those specified in Section 6 of the Agreement. For the avoidance of doubt,</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any amount calculated pursuant to this “Early Valuation” section as a result of an Extraordinary Dividend shall not be</w:t>
            </w:r>
          </w:p>
        </w:tc>
      </w:tr>
      <w:tr>
        <w:trPr>
          <w:trHeight w:val="234"/>
        </w:trPr>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by the value associated with such Extraordinary Dividend.</w:t>
            </w:r>
          </w:p>
        </w:tc>
      </w:tr>
      <w:tr>
        <w:trPr>
          <w:trHeight w:val="414"/>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Dealer represents and warrants to and agrees with Counterparty that (i) based upon advice of counsel, Dealer (A) does not</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know of the existence on the first Trading Day of the relevant Forward Hedge Selling Period of an Excess Section 13</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Position, an Excess NYSE Ownership Position or an Excess Regulatory Ownership Position and (B) based on</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reasonable internal inquiry in the ordinary course of Dealer’s business does not know on the first Trading Day of the</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relevant Forward Hedge Selling Period of any event or circumstance that will cause the occurrence of an Excess</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13 Ownership Position, an Excess NYSE Ownership Position or an Excess Regulatory Ownership Position on any</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day during the term of such Transaction; and (ii) Dealer will not knowingly cause the occurrence of an Excess Section 13</w:t>
            </w:r>
          </w:p>
        </w:tc>
      </w:tr>
      <w:tr>
        <w:trPr>
          <w:trHeight w:val="216"/>
        </w:trPr>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Position, an Excess NYSE Ownership Position or an Excess Regulatory Ownership Position on any day during</w:t>
            </w:r>
          </w:p>
        </w:tc>
      </w:tr>
      <w:tr>
        <w:trPr>
          <w:trHeight w:val="234"/>
        </w:trPr>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term of any Transaction for the purpose, in whole or in part, of causing the occurrence of an Early Valuation Date.</w:t>
            </w:r>
          </w:p>
        </w:tc>
      </w:tr>
      <w:tr>
        <w:trPr>
          <w:trHeight w:val="432"/>
        </w:trPr>
        <w:tc>
          <w:tcPr>
            <w:tcW w:w="1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7" w:name="page68"/>
    <w:bookmarkEnd w:id="67"/>
    <w:p>
      <w:pPr>
        <w:jc w:val="both"/>
        <w:ind w:left="1240"/>
        <w:spacing w:after="0" w:line="253" w:lineRule="auto"/>
        <w:rPr>
          <w:sz w:val="20"/>
          <w:szCs w:val="20"/>
          <w:color w:val="auto"/>
        </w:rPr>
      </w:pPr>
      <w:r>
        <w:rPr>
          <w:rFonts w:ascii="Times New Roman" w:cs="Times New Roman" w:eastAsia="Times New Roman" w:hAnsi="Times New Roman"/>
          <w:sz w:val="18"/>
          <w:szCs w:val="18"/>
          <w:color w:val="auto"/>
        </w:rPr>
        <w:t>If an Early Valuation Date for a Transaction occurs on a date that is not during an Unwind Period for such Transaction, then such Early Valuation Date shall be a Valuation Date for a Physical Settlement of such Transaction, and the number of Settlement Shares for such Settlement shall be the Number of Shares on such Early Valuation Date; provided that Dealer may in its sole discretion permit Counterparty to elect Cash Settlement or Net Share Settlement in respect of such Transaction. Notwithstanding anything to the contrary in this Master Confirmation, any Supplemental Confirmation, the Agreement or the Equity Definitions, if Dealer designates an Early Valuation Date with respect to a Transaction</w:t>
      </w:r>
    </w:p>
    <w:p>
      <w:pPr>
        <w:spacing w:after="0" w:line="5" w:lineRule="exact"/>
        <w:rPr>
          <w:sz w:val="20"/>
          <w:szCs w:val="20"/>
          <w:color w:val="auto"/>
        </w:rPr>
      </w:pPr>
    </w:p>
    <w:p>
      <w:pPr>
        <w:jc w:val="both"/>
        <w:ind w:left="1240" w:hanging="8"/>
        <w:spacing w:after="0" w:line="251" w:lineRule="auto"/>
        <w:tabs>
          <w:tab w:leader="none" w:pos="15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an ISDA Event and such Early Valuation Date is to occur before the date that is one Clearance System Business Day after the last day of the Forward Hedge Selling Period for such Transaction or (2) prior to the Counterparty’s execution of the Supplemental Confirmation relating to such Transaction, then, for purposes of such Early Valuation Date, (i) a Supplemental Confirmation relating to such Transaction reasonably completed by Dealer shall, notwithstanding the provisions under Section 3 below, be deemed to be effective; and (ii) in the case of (1), the Forward Price shall be deemed to be the Initial Forward Price (calculated assuming that the last Trading Day of such Forward Hedge Selling Period were the day immediately following the date Dealer so notifies Counterparty of such designation of an Early Valuation Date for purposes of such Early Valuation Date).</w:t>
      </w:r>
    </w:p>
    <w:p>
      <w:pPr>
        <w:spacing w:after="0" w:line="194"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18"/>
          <w:szCs w:val="18"/>
          <w:color w:val="auto"/>
        </w:rPr>
        <w:t>If an Early Valuation Date for a Transaction occurs during an Unwind Period for such Transaction, then (i) (A) the last Unwind Date of such Unwind Period shall be deemed to be such Early Valuation Date, (B) a Settlement shall occur in respect of such Unwind Period, and the Settlement Method elected by Counterparty in respect of such Settlement shall apply, and (C) the number of Settlement Shares for such Settlement shall be the number of Unwound Shares for such Unwind Period on such Early Valuation Date, and (ii) (A) such Early Valuation Date shall be a Valuation Date for an additional Physical Settlement of such Transaction (provided that Dealer may in its sole discretion elect that the Settlement Method elected by Counterparty for the Settlement described in clause (i) of this sentence shall apply) and (B) the number of Settlement Shares for such additional Settlement shall be the number of Remaining Shares on such Early Valuation Date.</w:t>
      </w:r>
    </w:p>
    <w:p>
      <w:pPr>
        <w:spacing w:after="0" w:line="188" w:lineRule="exact"/>
        <w:rPr>
          <w:sz w:val="20"/>
          <w:szCs w:val="20"/>
          <w:color w:val="auto"/>
        </w:rPr>
      </w:pPr>
    </w:p>
    <w:p>
      <w:pPr>
        <w:jc w:val="both"/>
        <w:ind w:left="12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case of a Nationalization or Merger Event, if at the time of the related Relevant Settlement Date the Shares have changed into cash or any other property or the right to receive cash or any other property, the Calculation Agent shall adjust the nature of the Shares as it determines appropriate to account for such change such that the nature of the Shares is consistent with what shareholders receive in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ISDA Event:</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 Any Event of Default or Termination Event, other than an Event of Default or Termination Event that also constitutes a</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Bankruptcy Termination Event, that gives rise to the right of either party to designate an Early Termination Date pursuant</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 Section 6 of the Agreement or (ii) the announcement of any event or transaction on or after the first Trading Day of the</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Forward Hedge Selling Period for such Transaction that, if consummated, would result in a Merger Event, Tender Offer,</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Nationalization, Insolvency, Delisting or Change in Law, in each case, as determined by the Calculation Agent; provided</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that, in the case of a Merger Event, only an announcement of such event or transaction by Counterparty will constitute an</w:t>
            </w:r>
          </w:p>
        </w:tc>
      </w:tr>
      <w:tr>
        <w:trPr>
          <w:trHeight w:val="234"/>
        </w:trPr>
        <w:tc>
          <w:tcPr>
            <w:tcW w:w="2080" w:type="dxa"/>
            <w:vAlign w:val="bottom"/>
          </w:tcPr>
          <w:p>
            <w:pPr>
              <w:spacing w:after="0"/>
              <w:rPr>
                <w:sz w:val="20"/>
                <w:szCs w:val="20"/>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ISDA Event.</w:t>
            </w:r>
          </w:p>
        </w:tc>
      </w:tr>
      <w:tr>
        <w:trPr>
          <w:trHeight w:val="41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 to Merger</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Section 12.1(b) of the Equity Definitions is hereby amended by deleting the remainder of such Section beginning with the</w:t>
            </w:r>
          </w:p>
        </w:tc>
      </w:tr>
      <w:tr>
        <w:trPr>
          <w:trHeight w:val="234"/>
        </w:trPr>
        <w:tc>
          <w:tcPr>
            <w:tcW w:w="2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Event:</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words “in each case if the Merger Date is on or before” in the fourth to last line thereof.</w:t>
            </w:r>
          </w:p>
        </w:tc>
      </w:tr>
      <w:tr>
        <w:trPr>
          <w:trHeight w:val="414"/>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Hedging Event:</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respect of any Transaction, the occurrence or existence of any of the following events on or following the first Trading</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Day of the Forward Hedge Selling Period: (i) (x) a Loss of Stock Borrow in connection with which Counterparty does not</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 the Hedging Party to a satisfactory Lending Party that lends Shares in the amount of the Hedging Shares within the</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required time period as provided in Section 12.9(b) (iv) of the Equity Definitions or (y) a Hedging Disruption, (ii) (A) an</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Increased Cost of Stock Borrow or (B) an Increased Cost of Hedging in connection with which, in the case of sub-clause</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or (B), Counterparty does not elect, and so notify the Hedging Party of its election, in each case, within the required</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time period to either amend such Transaction pursuant to Section 12.9(b)(v)(A) or Section 12.9(b)(vi) (A) of the Equity</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Definitions, as applicable, or pay an amount determined by the Calculation Agent that corresponds to the relevant Price</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 pursuant to Section 12.9(b)(v)(B) or Section 12.9(b)(vi)(B) of the Equity Definitions, as applicable, or (iii) a</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 Disruption Event during an Unwind Period for such Transaction and the continuance of such Market Disruption</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Event for at least eight Scheduled Trading Days. In respect of any Transaction, if a Hedging Event occurs or exists with</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 to such Transaction on or after the first Trading Day of the Forward Hedge Selling Period (as each such term is</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in the Equity Distribution Agreement) for such Transaction and prior to the Trade Date for such Transaction, the</w:t>
            </w:r>
          </w:p>
        </w:tc>
      </w:tr>
      <w:tr>
        <w:trPr>
          <w:trHeight w:val="216"/>
        </w:trPr>
        <w:tc>
          <w:tcPr>
            <w:tcW w:w="208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Calculation Agent may reduce the Initial Forward Price to account for such Hedging Event and any costs or expenses</w:t>
            </w:r>
          </w:p>
        </w:tc>
      </w:tr>
      <w:tr>
        <w:trPr>
          <w:trHeight w:val="234"/>
        </w:trPr>
        <w:tc>
          <w:tcPr>
            <w:tcW w:w="2080" w:type="dxa"/>
            <w:vAlign w:val="bottom"/>
          </w:tcPr>
          <w:p>
            <w:pPr>
              <w:spacing w:after="0"/>
              <w:rPr>
                <w:sz w:val="20"/>
                <w:szCs w:val="20"/>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reasonably incurred by Dealer as a result of such Hedging Event.</w:t>
            </w:r>
          </w:p>
        </w:tc>
      </w:tr>
      <w:tr>
        <w:trPr>
          <w:trHeight w:val="432"/>
        </w:trPr>
        <w:tc>
          <w:tcPr>
            <w:tcW w:w="20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Remaining Shares:</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Transaction, on any day, the Number of Shares for such Transaction as of such day (or, if such day occurs during</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 Unwind Period for such Transaction, the Number of Shares for such Transaction as of such day minus the Unwound</w:t>
            </w:r>
          </w:p>
        </w:tc>
      </w:tr>
      <w:tr>
        <w:trPr>
          <w:trHeight w:val="234"/>
        </w:trPr>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for such Transaction for such Unwind Period on such day).</w:t>
            </w:r>
          </w:p>
        </w:tc>
      </w:tr>
      <w:tr>
        <w:trPr>
          <w:trHeight w:val="41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Unwound Shares:</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 any Transaction, for any Unwind Period in respect of such Transaction on any day, the aggregate number of Shares</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with respect to which Dealer has unwound its commercially reasonable hedge position in respect of such Transaction in</w:t>
            </w:r>
          </w:p>
        </w:tc>
      </w:tr>
      <w:tr>
        <w:trPr>
          <w:trHeight w:val="234"/>
        </w:trPr>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connection with the related Settlement as of such day.</w:t>
            </w:r>
          </w:p>
        </w:tc>
      </w:tr>
      <w:tr>
        <w:trPr>
          <w:trHeight w:val="391"/>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Acknowledgements:</w:t>
            </w:r>
          </w:p>
        </w:tc>
        <w:tc>
          <w:tcPr>
            <w:tcW w:w="52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453"/>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Non-Reliance:</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41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Agreements and</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Acknowledgements</w:t>
            </w:r>
          </w:p>
        </w:tc>
        <w:tc>
          <w:tcPr>
            <w:tcW w:w="9160" w:type="dxa"/>
            <w:vAlign w:val="bottom"/>
          </w:tcPr>
          <w:p>
            <w:pPr>
              <w:spacing w:after="0"/>
              <w:rPr>
                <w:sz w:val="18"/>
                <w:szCs w:val="18"/>
                <w:color w:val="auto"/>
              </w:rPr>
            </w:pPr>
          </w:p>
        </w:tc>
      </w:tr>
      <w:tr>
        <w:trPr>
          <w:trHeight w:val="216"/>
        </w:trPr>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Regarding Hedging</w:t>
            </w:r>
          </w:p>
        </w:tc>
        <w:tc>
          <w:tcPr>
            <w:tcW w:w="9160" w:type="dxa"/>
            <w:vAlign w:val="bottom"/>
          </w:tcPr>
          <w:p>
            <w:pPr>
              <w:spacing w:after="0"/>
              <w:rPr>
                <w:sz w:val="18"/>
                <w:szCs w:val="18"/>
                <w:color w:val="auto"/>
              </w:rPr>
            </w:pPr>
          </w:p>
        </w:tc>
      </w:tr>
      <w:tr>
        <w:trPr>
          <w:trHeight w:val="234"/>
        </w:trPr>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9160" w:type="dxa"/>
            <w:vAlign w:val="bottom"/>
          </w:tcPr>
          <w:p>
            <w:pPr>
              <w:spacing w:after="0"/>
              <w:rPr>
                <w:sz w:val="20"/>
                <w:szCs w:val="20"/>
                <w:color w:val="auto"/>
              </w:rPr>
            </w:pPr>
          </w:p>
        </w:tc>
      </w:tr>
      <w:tr>
        <w:trPr>
          <w:trHeight w:val="41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Acknowledgements:</w:t>
            </w:r>
          </w:p>
        </w:tc>
        <w:tc>
          <w:tcPr>
            <w:tcW w:w="9160" w:type="dxa"/>
            <w:vAlign w:val="bottom"/>
          </w:tcPr>
          <w:p>
            <w:pPr>
              <w:spacing w:after="0"/>
              <w:rPr>
                <w:sz w:val="20"/>
                <w:szCs w:val="20"/>
                <w:color w:val="auto"/>
              </w:rPr>
            </w:pPr>
          </w:p>
        </w:tc>
      </w:tr>
      <w:tr>
        <w:trPr>
          <w:trHeight w:val="414"/>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Transfer:</w:t>
            </w: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Notwithstanding anything to the contrary in the Agreement, Dealer may assign, transfer and set over all rights, title and</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powers, privileges and remedies of Dealer under any Transaction to (A) an affiliate of Dealer wholly owned by,</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wholly owning, or under 100% common control with, Dealer, whose obligations hereunder are fully and unconditionally</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guaranteed by [Dealer] [Dealer’s Ultimate Parent Company], or (B) an affiliate of Dealer, directly or indirectly wholly</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owned by, directly or indirectly wholly owning, or under 100% direct or indirect common control with, Dealer, with a</w:t>
            </w:r>
          </w:p>
        </w:tc>
      </w:tr>
      <w:tr>
        <w:trPr>
          <w:trHeight w:val="214"/>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issuer rating equal to or better than the credit rating of Dealer at the time of transfer without the consent of</w:t>
            </w:r>
          </w:p>
        </w:tc>
      </w:tr>
      <w:tr>
        <w:trPr>
          <w:trHeight w:val="218"/>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xml:space="preserve">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at the time of such assignment or transfer, Counterparty would not, as a result of such</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assignment or transfer, reasonably be expected (A) to be required to pay (including a payment in kind) to such transferee or</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assignee an amount in respect of an Indemnifiable Tax greater than the amount Counterparty would have been required to</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 to Dealer in the absence of such assignment or transfer or (B) to receive a payment (including a payment in kind) from</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such transferee or assignee an amount less than the amount Counterparty would have been entitled to receive in the</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absence of such assignment or transfer, (ii) Dealer shall have caused the assignee or transferee to make such Payee Tax</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Representations (as set forth in Part 2(b) of the Agreement) and to provide such tax documentation as may be reasonably</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requested by Counterparty to permit Counterparty to determine that the transfer complies with the requirements of clause</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 in this paragraph, (iii) any assignee or transferee would be eligible to provide a U.S. Internal Revenue Service Form W-</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9 or W-8ECI with respect to any payments or deliveries under the Agreement, and (iv) such assignment or transfer would</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 at the time, as a result of such transfer or assignment, reasonably be expected to require Counterparty to take any</w:t>
            </w: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action or incur any additional obligation, cost or expense to ensure the continued fulfillment of Counterparty’s</w:t>
            </w:r>
          </w:p>
        </w:tc>
      </w:tr>
      <w:tr>
        <w:trPr>
          <w:trHeight w:val="234"/>
        </w:trPr>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representations, warranties and covenants set forth herein, in each case as to such assignee or transferee.</w:t>
            </w:r>
          </w:p>
        </w:tc>
      </w:tr>
      <w:tr>
        <w:trPr>
          <w:trHeight w:val="432"/>
        </w:trPr>
        <w:tc>
          <w:tcPr>
            <w:tcW w:w="1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70" w:name="page71"/>
    <w:bookmarkEnd w:id="70"/>
    <w:p>
      <w:pPr>
        <w:ind w:left="180"/>
        <w:spacing w:after="0"/>
        <w:tabs>
          <w:tab w:leader="none" w:pos="2340" w:val="left"/>
        </w:tabs>
        <w:rPr>
          <w:sz w:val="20"/>
          <w:szCs w:val="20"/>
          <w:color w:val="auto"/>
        </w:rPr>
      </w:pPr>
      <w:r>
        <w:rPr>
          <w:rFonts w:ascii="Times New Roman" w:cs="Times New Roman" w:eastAsia="Times New Roman" w:hAnsi="Times New Roman"/>
          <w:sz w:val="18"/>
          <w:szCs w:val="18"/>
          <w:color w:val="auto"/>
        </w:rPr>
        <w:t>Calculation Agent:</w:t>
      </w:r>
      <w:r>
        <w:rPr>
          <w:sz w:val="20"/>
          <w:szCs w:val="20"/>
          <w:color w:val="auto"/>
        </w:rPr>
        <w:tab/>
      </w:r>
      <w:r>
        <w:rPr>
          <w:rFonts w:ascii="Times New Roman" w:cs="Times New Roman" w:eastAsia="Times New Roman" w:hAnsi="Times New Roman"/>
          <w:sz w:val="18"/>
          <w:szCs w:val="18"/>
          <w:color w:val="auto"/>
        </w:rPr>
        <w:t>Dealer; provided that, following the occurrence and during the continuation of an Event of Default pursuant to Section 5(a)</w:t>
      </w:r>
    </w:p>
    <w:p>
      <w:pPr>
        <w:spacing w:after="0" w:line="27" w:lineRule="exact"/>
        <w:rPr>
          <w:sz w:val="20"/>
          <w:szCs w:val="20"/>
          <w:color w:val="auto"/>
        </w:rPr>
      </w:pPr>
    </w:p>
    <w:p>
      <w:pPr>
        <w:jc w:val="both"/>
        <w:ind w:left="2360" w:hanging="8"/>
        <w:spacing w:after="0" w:line="251" w:lineRule="auto"/>
        <w:tabs>
          <w:tab w:leader="none" w:pos="27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Agreement with respect to which Dealer is the sole Defaulting Party, Counterparty shall have the right to select a leading dealer in the market for U.S. corporate equity derivatives reasonably acceptable to Dealer to replace Dealer as Calculation Agent, and the parties shall work in good faith to execute any appropriate documentation required by such replacement Calculation Agent. Following any determination or calculation by the Calculation Agent hereunder, upon a written request by Counterparty, the Calculation Agent will, within a commercially reasonable period of time following such request, provide to Counterparty by e-mail to the e-mail address provided by Counterparty in such written request a report (in a commonly used file format for the storage and manipulation of financial data) displaying in reasonable detail the basis for such determination or calculation, as the case may be; provided that Dealer shall not be required to disclose any proprietary or confidential models of Dealer or any information that is proprietary or subject to contractual, legal or regulatory obligations to not disclose such information.</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Counterparty</w:t>
            </w: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To be provided by Counterparty.</w:t>
            </w:r>
          </w:p>
        </w:tc>
      </w:tr>
      <w:tr>
        <w:trPr>
          <w:trHeight w:val="216"/>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Payment/Delivery</w:t>
            </w: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Instructions:</w:t>
            </w: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4"/>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Dealer Payment/Delivery</w:t>
            </w: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 be provided by Dealer.</w:t>
            </w:r>
          </w:p>
        </w:tc>
      </w:tr>
      <w:tr>
        <w:trPr>
          <w:trHeight w:val="234"/>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Instructions:</w:t>
            </w: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4"/>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Counterparty’s Contact</w:t>
            </w: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To be provided by Counterparty.</w:t>
            </w:r>
          </w:p>
        </w:tc>
      </w:tr>
      <w:tr>
        <w:trPr>
          <w:trHeight w:val="216"/>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Details for Purpose of</w:t>
            </w: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Giving Notice:</w:t>
            </w: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4"/>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Dealer’s Contact Details</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for Purpose of Giving</w:t>
            </w:r>
          </w:p>
        </w:tc>
        <w:tc>
          <w:tcPr>
            <w:tcW w:w="6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2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Notice:</w:t>
            </w:r>
          </w:p>
        </w:tc>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2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20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7"/>
              </w:rPr>
              <w:t>3.            Effectiveness.</w:t>
            </w: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each Supplemental Confirmation and the related Transaction on the Effective Date for such Supplemental Confirmation shall be subject to the satisfaction (or waiver by Dealer) of the following conditions:</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representations and warranties of Counterparty contained in the Equity Distribution Agreement, and any certificate delivered pursuant thereto by Counterparty shall be true and correct on such Effective Date as if made as of such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ind w:firstLine="1296"/>
        <w:spacing w:after="0" w:line="282" w:lineRule="auto"/>
        <w:rPr>
          <w:sz w:val="20"/>
          <w:szCs w:val="20"/>
          <w:color w:val="auto"/>
        </w:rPr>
      </w:pPr>
      <w:r>
        <w:rPr>
          <w:rFonts w:ascii="Times New Roman" w:cs="Times New Roman" w:eastAsia="Times New Roman" w:hAnsi="Times New Roman"/>
          <w:sz w:val="18"/>
          <w:szCs w:val="18"/>
          <w:color w:val="auto"/>
        </w:rPr>
        <w:t>(b)            Counterparty shall have performed all of the obligations required to be performed by it under the Equity Distribution Agreement on or prior to such Effective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all of the conditions set forth in Section 9 of the Equity Distribution Agreement shall have been satisfied;</w:t>
      </w:r>
    </w:p>
    <w:p>
      <w:pPr>
        <w:spacing w:after="0" w:line="221" w:lineRule="exact"/>
        <w:rPr>
          <w:sz w:val="20"/>
          <w:szCs w:val="20"/>
          <w:color w:val="auto"/>
        </w:rPr>
      </w:pPr>
    </w:p>
    <w:p>
      <w:pPr>
        <w:ind w:firstLine="1296"/>
        <w:spacing w:after="0" w:line="286" w:lineRule="auto"/>
        <w:rPr>
          <w:sz w:val="20"/>
          <w:szCs w:val="20"/>
          <w:color w:val="auto"/>
        </w:rPr>
      </w:pPr>
      <w:r>
        <w:rPr>
          <w:rFonts w:ascii="Times New Roman" w:cs="Times New Roman" w:eastAsia="Times New Roman" w:hAnsi="Times New Roman"/>
          <w:sz w:val="18"/>
          <w:szCs w:val="18"/>
          <w:color w:val="auto"/>
        </w:rPr>
        <w:t>(d)            the effective date of the Accepted Placement Notice (the “</w:t>
      </w:r>
      <w:r>
        <w:rPr>
          <w:rFonts w:ascii="Times New Roman" w:cs="Times New Roman" w:eastAsia="Times New Roman" w:hAnsi="Times New Roman"/>
          <w:sz w:val="18"/>
          <w:szCs w:val="18"/>
          <w:b w:val="1"/>
          <w:bCs w:val="1"/>
          <w:color w:val="auto"/>
        </w:rPr>
        <w:t>Placement Date</w:t>
      </w:r>
      <w:r>
        <w:rPr>
          <w:rFonts w:ascii="Times New Roman" w:cs="Times New Roman" w:eastAsia="Times New Roman" w:hAnsi="Times New Roman"/>
          <w:sz w:val="18"/>
          <w:szCs w:val="18"/>
          <w:color w:val="auto"/>
        </w:rPr>
        <w:t>”) shall have occurred as provided in the Equity Distribution Agreement;</w:t>
      </w:r>
    </w:p>
    <w:p>
      <w:pPr>
        <w:spacing w:after="0" w:line="15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            all of the representations and warranties of Counterparty hereunder and under the Agreement shall be true and correct on such Effective Date as if made as of such Effective Date;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(f)            Counterparty shall have performed all of the obligations required to be performed by it hereunder and under the Agreement on or prior to such Effective Date, including without limitation its obligations under Section 6 hereof; and</w:t>
      </w:r>
    </w:p>
    <w:p>
      <w:pPr>
        <w:spacing w:after="0" w:line="162"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(g)            Counterparty shall, if requested by Dealer prior to the commencement of the Forward Hedge Selling Period, have delivered to Dealer an opinion of Maryland counsel in form and substance reasonably satisfactory to Dealer, with respect to the matters set forth in Section 3(a)(i)—</w:t>
      </w:r>
    </w:p>
    <w:p>
      <w:pPr>
        <w:ind w:firstLine="8"/>
        <w:spacing w:after="0" w:line="260"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Agreement and that the maximum number of Shares initially issuable under such Transaction have been duly authorized and, upon issuance pursuant to the terms of such Transaction, will be validly issued, fully paid and nonassessable.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or any other provision of this Master Confirmation or any Supplemental Confirmation, if in respect of any Transaction</w:t>
      </w:r>
    </w:p>
    <w:p>
      <w:pPr>
        <w:spacing w:after="0" w:line="27" w:lineRule="exact"/>
        <w:rPr>
          <w:sz w:val="20"/>
          <w:szCs w:val="20"/>
          <w:color w:val="auto"/>
        </w:rPr>
      </w:pPr>
    </w:p>
    <w:p>
      <w:pPr>
        <w:jc w:val="both"/>
        <w:ind w:firstLine="8"/>
        <w:spacing w:after="0" w:line="251" w:lineRule="auto"/>
        <w:tabs>
          <w:tab w:leader="none" w:pos="2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9:00 a.m., New York City time, on any Settlement Date (as defined in the Equity Distribution Agreement), in connection with Dealer establishing Dealer’s commercially reasonable hedge position in respect of such Transaction Dealer, in Dealer’s sole judgment, Dealer is unable, after using commercially reasonable efforts, to borrow and deliver for sale the full number of Shares to be borrowed and sold pursuant to the Equity Distribution Agreement on such Settlement Date or (y) in Dealer’s sole judgment, Dealer would incur a stock loan cost of more than a rate equal to the Maximum Stock Loan Rate for such Transaction with respect to all or any portion of such full number of Shares, the effectiveness of the related Supplemental Confirmation and such Transaction shall be limited to the number of Shares Dealer is so able to borrow in connection with establishing its commercially reasonable hedge position of such Transaction at a cost of not more than a rate equal to the Maximum Stock Loan Rate for such Transaction, which, for the avoidance of doubt, may be zero.</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Additional Mutual Representations and Warranties.</w:t>
      </w:r>
      <w:r>
        <w:rPr>
          <w:rFonts w:ascii="Times New Roman" w:cs="Times New Roman" w:eastAsia="Times New Roman" w:hAnsi="Times New Roman"/>
          <w:sz w:val="18"/>
          <w:szCs w:val="18"/>
          <w:color w:val="auto"/>
        </w:rPr>
        <w:t xml:space="preserve"> In addition to the representations and warranties in the Agreement, each party represents and warrants to the other party that it is an “eligible contract participant,” as defined in the U.S. Commodity Exchange Act (as amended), and an “accredited investor” as defined in Section 2(a)(15)(ii)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is entering into each Transaction hereunder as principal and not for the benefit of any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Additional Representations and Warranties of Counterparty</w:t>
      </w:r>
      <w:r>
        <w:rPr>
          <w:rFonts w:ascii="Times New Roman" w:cs="Times New Roman" w:eastAsia="Times New Roman" w:hAnsi="Times New Roman"/>
          <w:sz w:val="18"/>
          <w:szCs w:val="18"/>
          <w:color w:val="auto"/>
        </w:rPr>
        <w:t>. The representations and warranties of Counterparty set forth in Section 5 of the Equity Distribution Agreement are true and correct as of the date hereof, each Placement Date, each Trade Date for any Transaction and each “Forward Hedge Settlement Date” (as defined in the Equity Distribution Agreement), and are hereby deemed to be repeated to Dealer as if set forth herein. In addition to the representations and warranties in Section 5 of the Equity Distribution Agreement, the Agreement and those contained elsewhere herein, Counterparty represents and warrants to Dealer, and agrees with Dealer, that: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without limiting the generality of Section 13.1 of the Equity Definitions, it acknowledges that Dealer is not making any representations or warranties with respect to the treatment of any Transaction, including without limitation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(or any successor issue statements) or under the Financial Accounting Standards Board’s Liabilities &amp; Equity Project;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Counterparty shall not take any action to reduce or decrease the number of authorized and unissued Shares below the sum of (i) the aggregate Number of Shares across all Transactions hereunder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total number of Shares issuable upon settlement (whether by net share settlement or otherwise) of any other transaction or agreement to which it is a party;</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Counterparty will not repurchase any Shares if, immediately following such repurchase, the aggregate Number of Shares across all Transactions hereunder would be equal to or greater than 4.5% of the number of then-outstanding Shares and it will notify Dealer promptly upon the announcement or consummation of any repurchase of Shares in an amount that, taken together with the amount of all repurchases since the date of the last such notice exceeds 0.5% of the number of then-outstanding Shares (or, in the case of the first such notice would result in the aggregate Number of Shares across all Transactions hereunder being equal to or greater than 3.5% of the number of then-outstanding Shares);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it is not entering into this Master Confirmation or any Supplemental Confirmation to create actual or apparent trading activity in the Shares (or any security convertible into or exchangeable for Shares), or to raise or depress or otherwise manipulate the price of the Shares (or any security convertible into or exchangeable for Shares) for the purpose of inducing the purchase or sale of the Shares (or any security convertible into or exchangeable for Shares) by others;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it is not aware of any material non-public information regarding itself or the Shares; it is entering into this Master Confirmation and each Supplemental Confirmation and will provide any Settlement Notice in good faith and not as part of a plan or scheme to evade compliance with Rule 10b-5 or any other provision of the federal securities laws; it has not entered into or altered any hedging transaction relating to the Shares corresponding to or offsetting any Transaction; and it has consulted with its own advisors as to the legal aspects of its adoption and implementation of this Master Confirmation and each Supplemental Confirmation under Rule 10b5-1 under the Exchange Act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(f)            as of the date hereof and the Trade Date for each Transaction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Counterparty makes no such representation or warranty regarding any such requirement that is applicable generally to the ownership of equity securities by Dealer;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as of the date hereof, the Trade Date for each Transaction and the date of any payment or delivery by Counterparty or Dealer under any Transaction, it is not and will not be “insolvent” (as such term is defined under Section 101(32) of the Bankruptcy Code), nor will Counterparty be rendered “insolvent” as a result of the transactions contemplated hereby and by each Supplemental Confirmation or its performance of the terms hereof or thereof;</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it is not as of the date hereof, and on the Trade Date for each Transaction and after giving effect to the transactions contemplated hereby and by each Supplemental Confirmation will not be, required to register as an “investment company” as such term is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as of the date hereof and the Trade Date for each Transaction, it: (i) is an “institutional account” as defined in FINRA Rule 4512(c); and (ii) is capable of evaluating investment strategies involving a security or securities, and will exercise independent judgment in evaluating any recommendations of Dealer or its associated persons;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Counterparty is, and shall during the terms of the Transactions maintain its status as, a real estate investment trust under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(k)            IT UNDERSTANDS AS OF THE DATE HEREOF AND AS OF THE TRADE DATE FOR EACH TRANSACTION THAT EACH TRANSACTION IS SUBJECT TO COMPLEX RISKS WHICH MAY ARISE WITHOUT WARNING AND MAY AT TIMES BE VOLATILE AND THAT LOSSES MAY OCCUR QUICKLY AND IN UNANTICIPATED MAGNITUDE AND IS WILLING TO ACCEPT SUCH TERMS AND CONDITIONS AND ASSUME (FINANCIALLY AND OTHERWISE) SUCH RISKS.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Additional Covenants of Counterparty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Counterparty acknowledges and agrees that any Shares delivered by Counterparty to Dealer on any Settlement Date or Net Share Settlement Date for any Transaction will be (i) newly issued, (ii) approved for listing or quotation on the Exchange, subject to official notice of issuance, and (iii) pursuant to the terms of the Interpretive Letter (as defined below), may be used by Dealer (or an affiliate of Dealer) to securities lenders from whom Dealer (or an affiliate of Dealer) borrowed Shares in connection with hedging its exposure to such Transaction, will be freely saleable without further registration or other restrictions under the Securities Act in the hands of those securities lenders, irrespective of whether any such stock loan is effected by Dealer or an affiliate of Dealer. Accordingly, Counterparty agrees that any Shares so delivered will not bear a restrictive legend and will be deposited in, and the delivery thereof shall be effected through the facilities of, the Clearance System. In addition, Counterparty represents and agrees that any such Shares shall be, upon such delivery, duly and validly authorized, issued and outstanding, fully paid and nonassessable, free of any lien, charge, claim or other encumbrance and not subject to any preemptive or similar rights.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Counterparty agrees that Counterparty shall not enter into or alter any hedging transaction relating to the Shares corresponding to or offsetting any Transaction. Without limiting the generality of the provisions set forth opposite the caption “Unwind Activities” in Section 2 of this Master Confirmation, Counterparty acknowledges that it has no right to, and agrees that it will not seek to, control or influence Dealer’s decision to make any “purchases or sales” (within the meaning of Rule 10b5-1(c)(1) (i)(B)(3)) under or in connection with any Transaction, including, without limitation, Dealer’s decision to enter into any hedging transactions.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Counterparty acknowledges and agrees that any amendment, modification or waiver of this Master Confirmation or any Supplemental Confirmation must be effected in accordance with the requirements for the amendment or termination of a “plan” as defined in Rule 10b5-1(c). Without limiting the generality of the foregoing, any such amendment, modification or waiver shall be made in good faith and not as part of a plan or scheme to evade the compliance with federal securities laws including, without limitation, Rule 10b-5, and no such amendment, modification or waiver shall be made at any time at which Counterparty is aware of any material non-public information regarding Counterparty or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Counterparty shall promptly provide notice thereof to Dealer (i) upon the occurrence of any event that would constitute an Event of Default or a Termination Event in respect of which Counterparty is a Defaulting Party or an Affected Party, as the case may be, and (ii) upon announcement of any event that, if consummated, would constitute an Extraordinary Event, an Event of Default or Potential Adjustment Event.</w:t>
      </w:r>
    </w:p>
    <w:p>
      <w:pPr>
        <w:spacing w:after="0" w:line="17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(e)            Neither Counterparty nor any of its “affiliated purchasers” (as defined by Rule 10b-18 under the Exchange Act (“</w:t>
      </w:r>
      <w:r>
        <w:rPr>
          <w:rFonts w:ascii="Times New Roman" w:cs="Times New Roman" w:eastAsia="Times New Roman" w:hAnsi="Times New Roman"/>
          <w:sz w:val="18"/>
          <w:szCs w:val="18"/>
          <w:b w:val="1"/>
          <w:bCs w:val="1"/>
          <w:color w:val="auto"/>
        </w:rPr>
        <w:t>Rule 10b-18</w:t>
      </w:r>
      <w:r>
        <w:rPr>
          <w:rFonts w:ascii="Times New Roman" w:cs="Times New Roman" w:eastAsia="Times New Roman" w:hAnsi="Times New Roman"/>
          <w:sz w:val="18"/>
          <w:szCs w:val="18"/>
          <w:color w:val="auto"/>
        </w:rPr>
        <w:t>”)) shall take or refrain from taking any action (including, without limitation, any direct purchases by Counterparty or any of its affiliates) that would cause any purchases of Shares by Dealer or any of its affiliates in connection with any Cash Settlement or Net Share Settlement of any Transaction not to meet the requirements of the safe harbor provided by Rule 10b-18 as if such purchases were made by Counterparty. Without limiting the generality of the foregoing, during any Unwind Period for any Transaction, except with the prior written consent of Dealer, Counterparty will not, and will cause its affiliated purchasers (as defined in Rule 10b-18) not to, directly or indirectly (including, without limitation, by means of a derivative instrument) purchase, offer to purchase, place any bid or limit order that would effect a purchase of, or announce or commence any tender offer relating to, any Shares (or equivalent interest, including a unit of beneficial interest in a trust or limited partnership or a depository share) or any security convertible into or exchangeable for the Shares.</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Counterparty will not engage in any “distribution” (as such term is defined in Regulation M promulgated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in respect of Shares or any security with respect to which the Shares are a “reference security” (as such term is defined in Regulation M) that would cause a “restricted period” (as defined in Regulation M) to occur during any Unwind Period for any Transaction.</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(g)           Counterparty shall: (i) not, during any Unwind Period, make, and will use its commercially reasonable efforts to not permit to be made to the extent within its control, any public announcement (as defined in Rule 165(f) under the Securities Act) of any Merger Transaction unless such public announcement is made prior to the opening or after the close of the regular trading session on the Exchange; (ii) promptly (but in any event prior to the next opening of the regular trading session on the Exchange) notify Dealer following any such announcement that such announcement has been made;</w:t>
      </w:r>
    </w:p>
    <w:p>
      <w:pPr>
        <w:spacing w:after="0" w:line="3"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in any event prior to the next opening of the regular trading session on the Exchange) provide Dealer with written notice specifying</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Counterparty’s average daily Rule 10b-18 Purchases (as defined in Rule 10b-18) during the three full calendar months immediately preceding the announcement date for the Merger Transaction that were not effected through Dealer or its affiliates and (B) the number of Shares purchased pursuant to the proviso in Rule 10b-18(b)(4) under the Exchange Act for the three full calendar months preceding such announcement date. Such written notice shall be deemed to be a certification by Counterparty to Dealer that such information is true and correct. In addition, Counterparty shall promptly notify Dealer of the earlier to occur of the completion of such transaction and the completion of the vote by target shareholders. Counterparty acknowledges that any such notice may result in a Regulatory Disruption, a Trading Condition or, if such notice relates to an event that is also an ISDA Event, an Early Valuation, or may affect the length of any ongoing Unwind Period. Accordingly, Counterparty acknowledges that its delivery of such notice must comply with the standards set forth in Section 6(c) above. “</w:t>
      </w:r>
      <w:r>
        <w:rPr>
          <w:rFonts w:ascii="Times New Roman" w:cs="Times New Roman" w:eastAsia="Times New Roman" w:hAnsi="Times New Roman"/>
          <w:sz w:val="18"/>
          <w:szCs w:val="18"/>
          <w:b w:val="1"/>
          <w:bCs w:val="1"/>
          <w:color w:val="auto"/>
        </w:rPr>
        <w:t>Merger Transaction</w:t>
      </w:r>
      <w:r>
        <w:rPr>
          <w:rFonts w:ascii="Times New Roman" w:cs="Times New Roman" w:eastAsia="Times New Roman" w:hAnsi="Times New Roman"/>
          <w:sz w:val="18"/>
          <w:szCs w:val="18"/>
          <w:color w:val="auto"/>
        </w:rPr>
        <w:t>” means any merger, acquisition or similar transaction involving a recapitalization as contemplated by Rule 10b-18(a)(13)(iv) under the Exchange Act. For the avoidance of doubt, a Merger Transaction or the announcement thereof shall not give either party the right to designate an Early Valuation Date for any Transaction and/or to accelerate or preclude an election by Counterparty of Physical Settlement for any Settlement of any Transaction, unless such Merger Transaction or the announcement thereof is also an ISDA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1300"/>
        <w:spacing w:after="0"/>
        <w:rPr>
          <w:sz w:val="20"/>
          <w:szCs w:val="20"/>
          <w:color w:val="auto"/>
        </w:rPr>
      </w:pPr>
      <w:r>
        <w:rPr>
          <w:rFonts w:ascii="Times New Roman" w:cs="Times New Roman" w:eastAsia="Times New Roman" w:hAnsi="Times New Roman"/>
          <w:sz w:val="18"/>
          <w:szCs w:val="18"/>
          <w:color w:val="auto"/>
        </w:rPr>
        <w:t>(h)           Counterparty will promptly execute each properly completed Supplemental Confirmation delivered to Counterparty by Dealer.</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Counterparty represents to Dealer that Dealer, solely in its capacity as “Forward Purchaser” or “Forward Seller” (each as defined in the Equity Distribution Agreement) and solely with respect to its entering into and consummating the transactions contemplated by this Master Confirmation and the Equity Distribution Agreement (including any “Forward Contract” thereunder) either (x) will not collectively with the other Forward Purchasers or Forward Sellers under the Alternative Distribution Agreements (as defined in the Equity Distribution Agreement) be a “Person” (as defined in Counterparty’s Articles of Amendment and Restatement, as amended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by virtue of being a member of a “group” (as referenced in the definition of Person in the Charter) with such Forward Purchasers or Forward Sellers or both; or (y) may, to the extent necessary to consummate the transactions contemplated by this Master Confirmation and the Equity Distribution Agreement (including any “Forward Contract” thereunder), have “Beneficial Ownership” and “Constructive Ownership” of Shares in excess of the related “Ownership Limit” (each as defined in the Charter) by virtue of entering into transactions described in Article VII of the Charter.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Termination on Bankruptcy</w:t>
      </w:r>
      <w:r>
        <w:rPr>
          <w:rFonts w:ascii="Times New Roman" w:cs="Times New Roman" w:eastAsia="Times New Roman" w:hAnsi="Times New Roman"/>
          <w:sz w:val="18"/>
          <w:szCs w:val="18"/>
          <w:color w:val="auto"/>
        </w:rPr>
        <w:t>. The parties hereto agree that, notwithstanding anything to the contrary in the Agreement or the Equity Definitions, each Transaction constitutes a contract to issue a security of Counterparty as contemplated by Section 365(c)(2) of the Bankruptcy Code and that a Transaction and the obligations and rights of Counterparty and Dealer (except for any liability as a result of breach of any of the representations or warranties provided by Counterparty in Section 4 or Section 5 above) shall immediately terminate, without the necessity of any notice, payment (whether directly, by netting or otherwise) or other action by Counterparty or Dealer, if, on or prior to the final Settlement Date, Cash Settlement Payment Date or Net Share Settlement Date, as the case may be, for such Transaction an Insolvency Filing occurs or any other proceeding commences with respect to Counterparty under the Bankruptcy Code (a “</w:t>
      </w:r>
      <w:r>
        <w:rPr>
          <w:rFonts w:ascii="Times New Roman" w:cs="Times New Roman" w:eastAsia="Times New Roman" w:hAnsi="Times New Roman"/>
          <w:sz w:val="18"/>
          <w:szCs w:val="18"/>
          <w:b w:val="1"/>
          <w:bCs w:val="1"/>
          <w:color w:val="auto"/>
        </w:rPr>
        <w:t>Bankruptcy Termination Event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Additional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Dealer acknowledges and agrees that Counterparty’s obligations under the Transactions are not secured by any collateral and that neither this Master Confirmation nor any Supplemental Confirmation is intended to convey to Dealer rights with respect to the transactions contemplated hereby and by any Supplemental Confirmation that are senior to the claims of common stockholders in any U.S. bankruptcy proceedings of Counterparty;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limit or shall be deemed to limit Dealer’s right to pursue remedies in the event of a breach by Counterparty of its obligations and agreements with respect to this Master Confirmation, any Supplemental Confirmation or the Agreement;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nothing herein shall limit or shall be deemed to limit Dealer’s rights in respect of any transaction other than the Transactions.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parties hereto intend for:</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each Transaction to be a “securities contract” as defined in Section 741(7) of the Bankruptcy Code, and the parties hereto to be entitled to the protections afforded by, among other Sections, Sections 362(b)(6), 362(b)(27), 362(o), 546(e), 546(j), 555 and 561 of the Bankruptcy Code;</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the rights given to Dealer pursuant to “Early Valuation” in Section 2 above to constitute “contractual rights” to cause the liquidation of a “securities contract” and to set off mutual debts and claims in connection with a “securities contract,” as such terms are used in Sections 555 and 362(b)(6)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944"/>
        <w:spacing w:after="0" w:line="284" w:lineRule="auto"/>
        <w:rPr>
          <w:sz w:val="20"/>
          <w:szCs w:val="20"/>
          <w:color w:val="auto"/>
        </w:rPr>
      </w:pPr>
      <w:r>
        <w:rPr>
          <w:rFonts w:ascii="Times New Roman" w:cs="Times New Roman" w:eastAsia="Times New Roman" w:hAnsi="Times New Roman"/>
          <w:sz w:val="18"/>
          <w:szCs w:val="18"/>
          <w:color w:val="auto"/>
        </w:rPr>
        <w:t xml:space="preserve">(iii)           any cash, securities or other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as performance assurance, credit support or collateral with respect to the Transactions to constitute “margin payments” and “transfers” under a “securities contract” as defined in the Bankruptcy Code;</w:t>
      </w:r>
    </w:p>
    <w:p>
      <w:pPr>
        <w:spacing w:after="0" w:line="160"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all payments for, under or in connection with the Transactions, all payments for Shares and the transfer of Shares to constitute “settlement payments” and “transfers” under a “securities contract” as defined in the Bankruptcy Code; and</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(v)           any or all obligations that either party has with respect to this Master Confirmation, any Supplemental Confirmation or the Agreement to constitute property held by or due from such party to margin, guaranty or settle obligations of the other party with respect to the transactions under the Agreement (including the Transactions) or any other agreement between such parties.</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(d)            Notwithstanding any other provision of the Agreement, this Master Confirmation or any Supplemental Confirmation, in no event will Counterparty be required to deliver in the aggregate in respect of all Settlement Dates, Net Share Settlement Dates or other dates on which Shares are delivered in respect of any amount owed under any Transaction a number of Shares greater than 1.5 times the Number of Shares for such Transaction as of the Trade Date for such Transaction (the “</w:t>
      </w:r>
      <w:r>
        <w:rPr>
          <w:rFonts w:ascii="Times New Roman" w:cs="Times New Roman" w:eastAsia="Times New Roman" w:hAnsi="Times New Roman"/>
          <w:sz w:val="18"/>
          <w:szCs w:val="18"/>
          <w:b w:val="1"/>
          <w:bCs w:val="1"/>
          <w:color w:val="auto"/>
        </w:rPr>
        <w:t>Capped Number</w:t>
      </w:r>
      <w:r>
        <w:rPr>
          <w:rFonts w:ascii="Times New Roman" w:cs="Times New Roman" w:eastAsia="Times New Roman" w:hAnsi="Times New Roman"/>
          <w:sz w:val="18"/>
          <w:szCs w:val="18"/>
          <w:color w:val="auto"/>
        </w:rPr>
        <w:t>”). The Capped Number shall be subject to adjustment only on account of (x) Potential Adjustment Events of the type specified in (1) Sections 11.2(e)(i) through (vi) of the Equity Definitions or (2) Section 11.2(e)(vii) of the Equity Definitions so long as, in the case of this sub-clause (2), such event is within Issuer’s control and (y) Merger Events requiring corporate action of Issuer (or any surviving entity of the Issuer hereunder in connection with any such Merger Event). Counterparty represents and warrants to Dealer (which representation and warranty shall be deemed to be repeated for all Transactions on each day that any Transaction is outstanding) that the aggregate Capped Number across all Transactions hereunder is equal to or less than the number of authorized but unissued Shares that are not reserved for future issuance in connection with transactions in the Shares (other than the Transactions) on the date of the determination of such aggregated Capped Number. In the event Counterparty shall not have delivered the full number of Shares otherwise deliverable under any Transaction as a result of this Section 8(d) (the resulting deficit for such Transaction, the “</w:t>
      </w:r>
      <w:r>
        <w:rPr>
          <w:rFonts w:ascii="Times New Roman" w:cs="Times New Roman" w:eastAsia="Times New Roman" w:hAnsi="Times New Roman"/>
          <w:sz w:val="18"/>
          <w:szCs w:val="18"/>
          <w:b w:val="1"/>
          <w:bCs w:val="1"/>
          <w:color w:val="auto"/>
        </w:rPr>
        <w:t>Deficit Shares</w:t>
      </w:r>
      <w:r>
        <w:rPr>
          <w:rFonts w:ascii="Times New Roman" w:cs="Times New Roman" w:eastAsia="Times New Roman" w:hAnsi="Times New Roman"/>
          <w:sz w:val="18"/>
          <w:szCs w:val="18"/>
          <w:color w:val="auto"/>
        </w:rPr>
        <w:t>”), Counterparty shall be continually obligated to deliver Shares, from time to time until the full number of Deficit Shares have been delivered pursuant to this paragraph, on a pro rata basis across all Transactions hereunder, when, and to the extent that, (A) Shares are repurchased, acquired or otherwise received by Counterparty or any of its subsidiaries after the date hereof (whether or not in exchange for cash, fair value or any other consideration), (B) authorized and unissued Shares reserved for issuance in respect of other transactions prior to such date which prior to the relevant date become no longer so reserved or (C) Counterparty additionally authorizes any unissued Shares that are not reserved for transactions other than the Transactions (such events as set forth in clauses (A), (B) and (C) above, collectively, the “</w:t>
      </w:r>
      <w:r>
        <w:rPr>
          <w:rFonts w:ascii="Times New Roman" w:cs="Times New Roman" w:eastAsia="Times New Roman" w:hAnsi="Times New Roman"/>
          <w:sz w:val="18"/>
          <w:szCs w:val="18"/>
          <w:b w:val="1"/>
          <w:bCs w:val="1"/>
          <w:color w:val="auto"/>
        </w:rPr>
        <w:t>Share Issuance Events</w:t>
      </w:r>
      <w:r>
        <w:rPr>
          <w:rFonts w:ascii="Times New Roman" w:cs="Times New Roman" w:eastAsia="Times New Roman" w:hAnsi="Times New Roman"/>
          <w:sz w:val="18"/>
          <w:szCs w:val="18"/>
          <w:color w:val="auto"/>
        </w:rPr>
        <w:t>”). Counterparty shall promptly notify Dealer of the occurrence of any of the Share Issuance Events (including the number of Shares subject to clause (A), (B) or (C) and the corresponding number of Shares to be delivered for each Transaction) and, as promptly as reasonably practicable, deliver such Shares thereafter. Counterparty shall not, until Counterparty’s obligations under the Transactions have been satisfied in full, use any Shares that become available for potential delivery to Dealer as a result of any Share Issuance Event for the settlement or satisfaction of any transaction or obligation other than the Transactions or reserve any such Shares for future issuance for any purpose other than to satisfy Counterparty’s obligations to Dealer under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7" w:name="page78"/>
    <w:bookmarkEnd w:id="7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parties intend for this Master Confirmation and each Supplemental Confirmation to constitute a “Contract” as described in the letter dated October 6, 2003 submitted on behalf of Goldman, Sachs &amp; Co. to Paula Dubberly of the staff of the Securities and Exchange Commission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to which the Staff responded in an interpretive letter dated October 9, 2003 (the “</w:t>
      </w:r>
      <w:r>
        <w:rPr>
          <w:rFonts w:ascii="Times New Roman" w:cs="Times New Roman" w:eastAsia="Times New Roman" w:hAnsi="Times New Roman"/>
          <w:sz w:val="18"/>
          <w:szCs w:val="18"/>
          <w:b w:val="1"/>
          <w:bCs w:val="1"/>
          <w:color w:val="auto"/>
        </w:rPr>
        <w:t>Interpretive Letter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1296"/>
        <w:spacing w:after="0" w:line="261" w:lineRule="auto"/>
        <w:rPr>
          <w:sz w:val="20"/>
          <w:szCs w:val="20"/>
          <w:color w:val="auto"/>
        </w:rPr>
      </w:pPr>
      <w:r>
        <w:rPr>
          <w:rFonts w:ascii="Times New Roman" w:cs="Times New Roman" w:eastAsia="Times New Roman" w:hAnsi="Times New Roman"/>
          <w:sz w:val="18"/>
          <w:szCs w:val="18"/>
          <w:color w:val="auto"/>
        </w:rPr>
        <w:t>(f)            The parties intend for each Transaction (taking into account purchases of Shares in connection with any Cash Settlement or Net Share Settlement of any Transaction) to comply with the requirements of Rule 10b5-1(c)(1)(i)(A) under the Exchange Act and for this Master Confirmation and each Supplemental Confirmation to constitute a binding contract or instruction satisfying the requirements of 10b5-1(c) and to be interpreted to comply with the requirements of Rule 10b5-1(c).</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Counterparty acknowledges that: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during the term of the Transactions, Dealer and its affiliates may buy or sell Shares or other securities or buy or sell options or futures contracts or enter into swaps or other derivative securities in order to establish, adjust or unwind its hedge position with respect to the Transactions;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Dealer and its affiliates may also be active in the market for the Shares and derivatives linked to the Shares other than in connection with hedging activities in relation to the Transactions, including acting as agent or as principal and for its own account or on behalf of customers;</w:t>
      </w:r>
    </w:p>
    <w:p>
      <w:pPr>
        <w:spacing w:after="0" w:line="176"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Dealer shall make its own determination as to whether, when or in what manner any hedging or market activities in Counterparty’s securities shall be conducted and shall do so in a manner that it deems appropriate to hedge its price and market risk with respect to the Forward Price and the Settlement Price for each Transaction;</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any market activities of Dealer and its affiliates with respect to the Shares may affect the market price and volatility of the Shares, as well as the Forward Price and the Settlement Price for each Transaction, each in a manner that may be adverse to Counterparty;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each Transaction is a derivatives transaction; Dealer may purchase or sell shares for its own account at an average price that may be greater than, or less than, the price received by Counterparty under the terms of the relevant Transaction.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            Counterparty and Dealer agree and acknowledge that: (A) the Transactions contemplated by this Master Confirmation will be entered into in reliance on the fact that this Master Confirmation and each Supplemental Confirmation hereto form a single agreement between Counterparty and Dealer, and Dealer would not otherwise enter into such Transactions; (B) this Master Confirmation, together with each Supplemental Confirmation hereto, is a “qualified financial contract,” as such term is defined in Section 5-701(b)(2) of the General Obligations Law; (C) each Supplemental Confirmation hereto, regardless of whether transmitted electronically or otherwise, constitutes a “confirmation in writing sufficient to indicate that a contract has been made between the parties” hereto, as set forth in Section 5-701(b)(3)(b) of the General Obligations Law; and (D) this Master Confirmation and each Supplemental Confirmation hereto constitute a prior “written contract,” as set forth in Section 5-701(b)(1) (b) of the General Obligations Law, and each party hereto intends and agrees to be bound by this Master Confirmation and such Supplemental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Counterparty and Dealer agree that, upon the effectiveness of any Accepted Placement Notice relating to a Forward (as such term is defined in the Equity Distribution Agreement), in respect of the Transaction to which such Accepted Placement Notice relates, each of the representations, warranties, covenants, agreements and other provisions of this Master Confirmation and the Supplemental Confirmation for such Transaction (including, without limitation, Dealer’s right to designate an Early Valuation Date in respect of such Transaction pursuant to the provisions opposite the caption “Early Valuation” in Section 2 and the termination of such Transaction following a Bankruptcy Termination Event as described in Section 7) shall govern, and be applicable to, such Transaction as of the first Trading Day of the Forward Hedge Selling Period for such Transaction as if the Trade Date for such Transaction were such first Trading Day.</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Tax Matters.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For the purpose of Section 3(f) of the Agreement:</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            Dealer makes the following representations:</w:t>
      </w:r>
    </w:p>
    <w:p>
      <w:pPr>
        <w:spacing w:after="0" w:line="225" w:lineRule="exact"/>
        <w:rPr>
          <w:sz w:val="20"/>
          <w:szCs w:val="20"/>
          <w:color w:val="auto"/>
        </w:rPr>
      </w:pPr>
    </w:p>
    <w:p>
      <w:pPr>
        <w:jc w:val="both"/>
        <w:ind w:left="2600" w:right="20" w:firstLine="648"/>
        <w:spacing w:after="0" w:line="266" w:lineRule="auto"/>
        <w:rPr>
          <w:sz w:val="20"/>
          <w:szCs w:val="20"/>
          <w:color w:val="auto"/>
        </w:rPr>
      </w:pPr>
      <w:r>
        <w:rPr>
          <w:rFonts w:ascii="Times New Roman" w:cs="Times New Roman" w:eastAsia="Times New Roman" w:hAnsi="Times New Roman"/>
          <w:sz w:val="18"/>
          <w:szCs w:val="18"/>
          <w:color w:val="auto"/>
        </w:rPr>
        <w:t>(1)            [It is a “U.S. person” (as that term is used in section 1.1441-4(a)(3)(ii) of United States Treasury Regulations) for U.S. federal income tax purposes.] / [It is a “foreign person” (as that term is used in section 1.6041-4(a)(4) of the United States Treasury Regulations) for U.S. federal income tax purposes.]</w:t>
      </w:r>
    </w:p>
    <w:p>
      <w:pPr>
        <w:spacing w:after="0" w:line="176" w:lineRule="exact"/>
        <w:rPr>
          <w:sz w:val="20"/>
          <w:szCs w:val="20"/>
          <w:color w:val="auto"/>
        </w:rPr>
      </w:pPr>
    </w:p>
    <w:p>
      <w:pPr>
        <w:jc w:val="both"/>
        <w:ind w:left="2600" w:firstLine="648"/>
        <w:spacing w:after="0" w:line="272" w:lineRule="auto"/>
        <w:rPr>
          <w:sz w:val="20"/>
          <w:szCs w:val="20"/>
          <w:color w:val="auto"/>
        </w:rPr>
      </w:pPr>
      <w:r>
        <w:rPr>
          <w:rFonts w:ascii="Times New Roman" w:cs="Times New Roman" w:eastAsia="Times New Roman" w:hAnsi="Times New Roman"/>
          <w:sz w:val="17"/>
          <w:szCs w:val="17"/>
          <w:color w:val="auto"/>
        </w:rPr>
        <w:t>(2)            [It is a [national banking association] [limited liability company] organized and existing under the laws of the [United States of America] [State of Delaware, is treated as a disregarded entity of a New York corporation for United States federal income tax purposes] and is an exempt recipient under Treasury Regulation Section 1.6049-4(c)</w:t>
      </w:r>
    </w:p>
    <w:p>
      <w:pPr>
        <w:spacing w:after="0" w:line="2" w:lineRule="exact"/>
        <w:rPr>
          <w:sz w:val="20"/>
          <w:szCs w:val="20"/>
          <w:color w:val="auto"/>
        </w:rPr>
      </w:pPr>
    </w:p>
    <w:p>
      <w:pPr>
        <w:jc w:val="both"/>
        <w:ind w:left="2600"/>
        <w:spacing w:after="0" w:line="260" w:lineRule="auto"/>
        <w:rPr>
          <w:sz w:val="20"/>
          <w:szCs w:val="20"/>
          <w:color w:val="auto"/>
        </w:rPr>
      </w:pPr>
      <w:r>
        <w:rPr>
          <w:rFonts w:ascii="Times New Roman" w:cs="Times New Roman" w:eastAsia="Times New Roman" w:hAnsi="Times New Roman"/>
          <w:sz w:val="18"/>
          <w:szCs w:val="18"/>
          <w:color w:val="auto"/>
        </w:rPr>
        <w:t>(1)(ii).]] / [Each payment received or to be received by it in connection with this Confirmation is effectively connected with its conduct of a trade or business in the United States.]</w:t>
      </w:r>
    </w:p>
    <w:p>
      <w:pPr>
        <w:spacing w:after="0" w:line="18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            Counterparty makes the following representations:</w:t>
      </w:r>
    </w:p>
    <w:p>
      <w:pPr>
        <w:spacing w:after="0" w:line="225" w:lineRule="exact"/>
        <w:rPr>
          <w:sz w:val="20"/>
          <w:szCs w:val="20"/>
          <w:color w:val="auto"/>
        </w:rPr>
      </w:pPr>
    </w:p>
    <w:p>
      <w:pPr>
        <w:jc w:val="both"/>
        <w:ind w:left="2600" w:firstLine="648"/>
        <w:spacing w:after="0" w:line="282" w:lineRule="auto"/>
        <w:rPr>
          <w:sz w:val="20"/>
          <w:szCs w:val="20"/>
          <w:color w:val="auto"/>
        </w:rPr>
      </w:pPr>
      <w:r>
        <w:rPr>
          <w:rFonts w:ascii="Times New Roman" w:cs="Times New Roman" w:eastAsia="Times New Roman" w:hAnsi="Times New Roman"/>
          <w:sz w:val="18"/>
          <w:szCs w:val="18"/>
          <w:color w:val="auto"/>
        </w:rPr>
        <w:t>(1)            It is a “U.S. person” (as that term is used in section 1.1441-4(a)(3)(ii) of United States Treasury Regulations) for U.S. federal income tax purposes.</w:t>
      </w:r>
    </w:p>
    <w:p>
      <w:pPr>
        <w:spacing w:after="0" w:line="162" w:lineRule="exact"/>
        <w:rPr>
          <w:sz w:val="20"/>
          <w:szCs w:val="20"/>
          <w:color w:val="auto"/>
        </w:rPr>
      </w:pPr>
    </w:p>
    <w:p>
      <w:pPr>
        <w:jc w:val="both"/>
        <w:ind w:left="2600" w:firstLine="648"/>
        <w:spacing w:after="0" w:line="282" w:lineRule="auto"/>
        <w:rPr>
          <w:sz w:val="20"/>
          <w:szCs w:val="20"/>
          <w:color w:val="auto"/>
        </w:rPr>
      </w:pPr>
      <w:r>
        <w:rPr>
          <w:rFonts w:ascii="Times New Roman" w:cs="Times New Roman" w:eastAsia="Times New Roman" w:hAnsi="Times New Roman"/>
          <w:sz w:val="18"/>
          <w:szCs w:val="18"/>
          <w:color w:val="auto"/>
        </w:rPr>
        <w:t>(2)            It is a corporation for U.S. federal income tax purposes and is organized under the laws of the State of Maryland, and is an exempt recipient under Treasury Regulation Section 1.6049-4(c)(1)(ii)(J).</w:t>
      </w:r>
    </w:p>
    <w:p>
      <w:pPr>
        <w:spacing w:after="0" w:line="16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Withholding Tax imposed on payments to non-US counterparties under the United States Foreign Account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Compliance Act</w:t>
      </w:r>
      <w:r>
        <w:rPr>
          <w:rFonts w:ascii="Times New Roman" w:cs="Times New Roman" w:eastAsia="Times New Roman" w:hAnsi="Times New Roman"/>
          <w:sz w:val="18"/>
          <w:szCs w:val="18"/>
          <w:color w:val="auto"/>
        </w:rPr>
        <w:t>.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 w:cs="Times New Roman" w:eastAsia="Times New Roman" w:hAnsi="Times New Roman"/>
          <w:sz w:val="18"/>
          <w:szCs w:val="18"/>
          <w:b w:val="1"/>
          <w:bCs w:val="1"/>
          <w:color w:val="auto"/>
        </w:rPr>
        <w:t>FATCA Withholding Tax</w:t>
      </w:r>
      <w:r>
        <w:rPr>
          <w:rFonts w:ascii="Times New Roman" w:cs="Times New Roman" w:eastAsia="Times New Roman" w:hAnsi="Times New Roman"/>
          <w:sz w:val="18"/>
          <w:szCs w:val="18"/>
          <w:color w:val="auto"/>
        </w:rPr>
        <w:t>”). For the avoidance of doubt, a FATCA Withholding Tax is a Tax the deduction or withholding of which is required by applicable law for the purposes of Section 2(d)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871(m) Protocol</w:t>
      </w:r>
      <w:r>
        <w:rPr>
          <w:rFonts w:ascii="Times New Roman" w:cs="Times New Roman" w:eastAsia="Times New Roman" w:hAnsi="Times New Roman"/>
          <w:sz w:val="18"/>
          <w:szCs w:val="18"/>
          <w:color w:val="auto"/>
        </w:rPr>
        <w:t>. The parties agree that the definitions and provisions contained in the ISDA 2015 Section 871(m) Protocol, as published by ISDA and as may be amended, supplemented, replaced or superseded from time to time (the “</w:t>
      </w:r>
      <w:r>
        <w:rPr>
          <w:rFonts w:ascii="Times New Roman" w:cs="Times New Roman" w:eastAsia="Times New Roman" w:hAnsi="Times New Roman"/>
          <w:sz w:val="18"/>
          <w:szCs w:val="18"/>
          <w:b w:val="1"/>
          <w:bCs w:val="1"/>
          <w:color w:val="auto"/>
        </w:rPr>
        <w:t>871(m) Protocol</w:t>
      </w:r>
      <w:r>
        <w:rPr>
          <w:rFonts w:ascii="Times New Roman" w:cs="Times New Roman" w:eastAsia="Times New Roman" w:hAnsi="Times New Roman"/>
          <w:sz w:val="18"/>
          <w:szCs w:val="18"/>
          <w:color w:val="auto"/>
        </w:rPr>
        <w:t>”) shall apply to the Agreement as if the parties had adhered to the 871(m) Protocol as of the effective date of the Agreement.</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Tax documentation</w:t>
      </w:r>
      <w:r>
        <w:rPr>
          <w:rFonts w:ascii="Times New Roman" w:cs="Times New Roman" w:eastAsia="Times New Roman" w:hAnsi="Times New Roman"/>
          <w:sz w:val="18"/>
          <w:szCs w:val="18"/>
          <w:color w:val="auto"/>
        </w:rPr>
        <w:t>. [For the purposes of Sections 4(a)(i) and 4(a)(ii) of the Agreement, Counterparty shall provide to Dealer, and Dealer shall deliver to Counterparty, a valid and duly executed U.S. Internal Revenue Service Form W-9, or any successor thereto,] / [For the purposes of Sections 4(a)(i) and 4(a)(ii) of the Agreement, (A) Counterparty shall provide to Dealer a valid and duly executed U.S. Internal Revenue Service Form W-9, or any successor thereto and (B) Dealer shall provide to Counterparty an Internal Revenue Service Form W-8ECI “Certificate of Foreign Person’s Claim That Income Is Effectively Connected With the Conduct of a Trade or Business in the United States”,] (i) on or before the date of execution of this Confirmation; (ii) promptly upon reasonable demand by the other party; and (iii) promptly upon learning that any such tax form previously provided has become invalid, obsolete, or incorrect. Additionally, Counterparty or Dealer shall, promptly upon reasonable request by the other party, provide such other tax forms and documents reasonably requested by the other party.</w:t>
      </w:r>
    </w:p>
    <w:p>
      <w:pPr>
        <w:spacing w:after="0" w:line="19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Change of Account</w:t>
      </w:r>
      <w:r>
        <w:rPr>
          <w:rFonts w:ascii="Times New Roman" w:cs="Times New Roman" w:eastAsia="Times New Roman" w:hAnsi="Times New Roman"/>
          <w:sz w:val="18"/>
          <w:szCs w:val="18"/>
          <w:color w:val="auto"/>
        </w:rPr>
        <w:t>. Section 2(b) of the Agreement is hereby amended by the addition of the following after the word “delivery” in the first line thereof: “to another account in the same legal and tax jurisdiction.”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[Each of Dealer and Counterparty acknowledges to and agrees with the other party hereto and to and with the Agent that (i) the Agent is acting as agent for Dealer under the Transaction pursuant to instructions from such party, (ii) the Agent is not a principal or party to the Transaction, and may transfer its rights and obligations with respect to the Transactions, (iii) the Agent shall have no responsibility, obligation or liability, by way of issuance, guaranty, endorsement or otherwise in any manner with respect to the performance of either party under the Transaction (including arising from any failure by Dealer or Counterparty to pay or perform any obligation under the Transaction), (iv) Dealer and the Agent have not given, and Counterparty is not relying (for purposes of making any investment decision or otherwise) upon, any statements, opinions or representations (whether written or oral) of Dealer or the Agent, other than the representations expressly set forth in this Master Confirmation or the Agreement, and (v) each party agrees to proceed solely against the other party, and not the Agent, to collect or recover any money or securities owed to it in connection with the Transaction. Each party hereto acknowledges and agrees that the Agent is an intended third party beneficiary hereunder. Counterparty acknowledges that the Agent is an affiliate of Dealer. Dealer will be acting for its own account in respect of this Master Confirmation and the Transactions contemplated hereunder.] </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783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 w:lineRule="exact"/>
        <w:rPr>
          <w:sz w:val="20"/>
          <w:szCs w:val="20"/>
          <w:color w:val="auto"/>
        </w:rPr>
      </w:pPr>
    </w:p>
    <w:p>
      <w:pPr>
        <w:ind w:left="460" w:hanging="128"/>
        <w:spacing w:after="0"/>
        <w:tabs>
          <w:tab w:leader="none" w:pos="460" w:val="left"/>
        </w:tabs>
        <w:numPr>
          <w:ilvl w:val="0"/>
          <w:numId w:val="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i w:val="1"/>
          <w:iCs w:val="1"/>
          <w:color w:val="auto"/>
        </w:rPr>
        <w:t>NTD</w:t>
      </w:r>
      <w:r>
        <w:rPr>
          <w:rFonts w:ascii="Times New Roman" w:cs="Times New Roman" w:eastAsia="Times New Roman" w:hAnsi="Times New Roman"/>
          <w:sz w:val="18"/>
          <w:szCs w:val="18"/>
          <w:color w:val="auto"/>
        </w:rPr>
        <w:t>: add for dealers with affiliated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Indemnification</w:t>
      </w:r>
      <w:r>
        <w:rPr>
          <w:rFonts w:ascii="Times New Roman" w:cs="Times New Roman" w:eastAsia="Times New Roman" w:hAnsi="Times New Roman"/>
          <w:sz w:val="18"/>
          <w:szCs w:val="18"/>
          <w:color w:val="auto"/>
        </w:rPr>
        <w:t>. Counterparty agrees to indemnify and hold harmless Dealer, its affiliates and its assignees and their respective directors, officers, employees, agents and controlling persons (Dealer and each such person being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and against any and all losses (excluding, for the avoidance of doubt, financial losses resulting from the economic terms of the Transactions), claims, damages and liabilities (or actions in respect thereof), joint or several, incurred by or asserted against such Indemnified Party arising out of, in connection with, or relating to any breach of any covenant or representation made by Counterparty in this Master Confirmation, any Supplemental Confirmation or the Agreement. Counterparty will not be liable under the foregoing indemnification provision to the extent that any loss, claim, damage, liability or expense is found in a nonappealable judgment by a court of competent jurisdiction to have resulted from Dealer’s breach of any covenant or representation made by Dealer in this Master Confirmation, any Supplemental Confirmation or the Agreement or any willful misconduct, gross negligence or bad faith of any Indemnified Party.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in connection with the investigation of, preparation for or defense or settlement of any pending or threatened claim covered by this Section 9 or any action, suit or proceeding arising therefrom, whether or not such Indemnified Party is a party thereto and whether or not such claim, action, suit or proceeding is initiated or brought by or on behalf of Counterparty. Counterparty also agrees that no Indemnified Party shall have any liability to Counterparty, or any person asserting claims on behalf of or in right of Counterparty in connection with or as a result of any matter referred to in this Master Confirmation and any Supplemental Confirmation except to the extent that any losses, claims, damages, liabilities or expenses incurred by Counterparty result from the Dealer’s breach of any covenant or representation made by the Dealer in this Master Confirmation, any Supplemental Confirmation or the Agreement or any willful misconduct, gross negligence or bad faith of any Indemnified Party. The provisions of this Section 9 shall survive the completion of the Transactions contemplated by this Master Confirmation and any Supplemental Confirmation and any assignment and/or delegation of the Transactions made pursuant to the Agreement, this Master Confirmation or any Supplemental Confirmation shall inure to the benefit of any permitted assignee of Dealer. For the avoidance of doubt, any payments due as a result of this provision may not be used to set off any obligation of Dealer upon settlement of the Transactions.</w:t>
      </w:r>
    </w:p>
    <w:p>
      <w:pPr>
        <w:spacing w:after="0" w:line="20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Beneficial Ownership</w:t>
      </w:r>
      <w:r>
        <w:rPr>
          <w:rFonts w:ascii="Times New Roman" w:cs="Times New Roman" w:eastAsia="Times New Roman" w:hAnsi="Times New Roman"/>
          <w:sz w:val="18"/>
          <w:szCs w:val="18"/>
          <w:color w:val="auto"/>
        </w:rPr>
        <w:t>. Notwithstanding anything to the contrary in the Agreement, this Master Confirmation or any Supplemental Confirmation, in no event shall Dealer be entitled to receive, or be deemed to receive, or, with respect to clause (y) below, have the “right to acquire” (within the meaning of NYSE Rule 312.04(g)), Shares to the extent that, upon such receipt of such Shares, (i) the “beneficial ownership” (within the meaning of Section 13 of the Exchange Act and the rules promulgated thereunder) of Shares by Dealer, any of its affiliates’ business units subject to aggregation with Dealer for purposes of the “beneficial ownership” test under Section 13 of the Exchange Act and all persons who may form a “group” (within the meaning of Rule 13d-5(b)(1) under the Exchange Act) with Dealer with respect to “beneficial ownership” of any Shares (collectively,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would be equal to or greater than the lesser of (x) 4.5% of the outstanding Shares (such condition, an “</w:t>
      </w:r>
      <w:r>
        <w:rPr>
          <w:rFonts w:ascii="Times New Roman" w:cs="Times New Roman" w:eastAsia="Times New Roman" w:hAnsi="Times New Roman"/>
          <w:sz w:val="18"/>
          <w:szCs w:val="18"/>
          <w:b w:val="1"/>
          <w:bCs w:val="1"/>
          <w:color w:val="auto"/>
        </w:rPr>
        <w:t>Excess Section 13 Ownership Position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(y) 4.9% of the outstanding Shares as of the Trade Date for any Transaction, which shall be notified by Counterparty to Dealer on or promptly following the Trade Date and set forth in the Supplemental Confirmation (such number of Shares, the “</w:t>
      </w:r>
      <w:r>
        <w:rPr>
          <w:rFonts w:ascii="Times New Roman" w:cs="Times New Roman" w:eastAsia="Times New Roman" w:hAnsi="Times New Roman"/>
          <w:sz w:val="18"/>
          <w:szCs w:val="18"/>
          <w:b w:val="1"/>
          <w:bCs w:val="1"/>
          <w:color w:val="auto"/>
        </w:rPr>
        <w:t>Threshold Number of Shares</w:t>
      </w:r>
      <w:r>
        <w:rPr>
          <w:rFonts w:ascii="Times New Roman" w:cs="Times New Roman" w:eastAsia="Times New Roman" w:hAnsi="Times New Roman"/>
          <w:sz w:val="18"/>
          <w:szCs w:val="18"/>
          <w:color w:val="auto"/>
        </w:rPr>
        <w:t>” and such condition, the “</w:t>
      </w:r>
      <w:r>
        <w:rPr>
          <w:rFonts w:ascii="Times New Roman" w:cs="Times New Roman" w:eastAsia="Times New Roman" w:hAnsi="Times New Roman"/>
          <w:sz w:val="18"/>
          <w:szCs w:val="18"/>
          <w:b w:val="1"/>
          <w:bCs w:val="1"/>
          <w:color w:val="auto"/>
        </w:rPr>
        <w:t>Excess NYSE Ownership Position</w:t>
      </w:r>
      <w:r>
        <w:rPr>
          <w:rFonts w:ascii="Times New Roman" w:cs="Times New Roman" w:eastAsia="Times New Roman" w:hAnsi="Times New Roman"/>
          <w:sz w:val="18"/>
          <w:szCs w:val="18"/>
          <w:color w:val="auto"/>
        </w:rPr>
        <w:t>”) or (ii) Dealer, Dealer Group or any person whose ownership position would be aggregated with that of Dealer or Dealer Group (Dealer, Dealer Group or any such person, a “</w:t>
      </w:r>
      <w:r>
        <w:rPr>
          <w:rFonts w:ascii="Times New Roman" w:cs="Times New Roman" w:eastAsia="Times New Roman" w:hAnsi="Times New Roman"/>
          <w:sz w:val="18"/>
          <w:szCs w:val="18"/>
          <w:b w:val="1"/>
          <w:bCs w:val="1"/>
          <w:color w:val="auto"/>
        </w:rPr>
        <w:t>Dealer Person</w:t>
      </w:r>
      <w:r>
        <w:rPr>
          <w:rFonts w:ascii="Times New Roman" w:cs="Times New Roman" w:eastAsia="Times New Roman" w:hAnsi="Times New Roman"/>
          <w:sz w:val="18"/>
          <w:szCs w:val="18"/>
          <w:color w:val="auto"/>
        </w:rPr>
        <w:t>”) under Sections 3-601 through 3-603 of the Maryland Code (Corporations and Associations) or any state or federal bank holding company or banking laws, or any federal, state or local laws, regulations or regulatory orders applicable to ownership of Shares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xml:space="preserve">”), would own, beneficially own, constructively own, control, hold the power to vote or otherwise meet a relevant definition of ownership in excess of a number of Shares equal to (x) the lesser of (A) the maximum number of Shares that would be permitted under Applicable Laws and (B) the number of Shares that would give rise to reporting or registration obligations or other requirements (including obtaining prior approval by a state or federal regulator) of a Dealer Person under Applicable Laws and with respect to which such requirements have not been met or the relevant approval has not been received or that would give rise to any consequences under the constitutive documents of Counterparty (including, without limitation, Article VII of the Charter and any contract or agreement to which Counterparty is a party), in each case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1% of the number of Shares outstanding on the date of determination (such condition described in clause (ii), an “</w:t>
      </w:r>
      <w:r>
        <w:rPr>
          <w:rFonts w:ascii="Times New Roman" w:cs="Times New Roman" w:eastAsia="Times New Roman" w:hAnsi="Times New Roman"/>
          <w:sz w:val="18"/>
          <w:szCs w:val="18"/>
          <w:b w:val="1"/>
          <w:bCs w:val="1"/>
          <w:color w:val="auto"/>
        </w:rPr>
        <w:t>Excess Regulatory Ownership Position</w:t>
      </w:r>
      <w:r>
        <w:rPr>
          <w:rFonts w:ascii="Times New Roman" w:cs="Times New Roman" w:eastAsia="Times New Roman" w:hAnsi="Times New Roman"/>
          <w:sz w:val="18"/>
          <w:szCs w:val="18"/>
          <w:color w:val="auto"/>
        </w:rPr>
        <w:t>”). If any delivery owed to Dealer under any Transaction is not made, in whole or in part, as a result of this provision, (i) Counterparty’s obligation to make such delivery shall not be extinguished and Counterparty shall make such delivery as promptly as practicable after, but in no event later than one Exchange Business Day after, Dealer gives notice to Counterparty that such delivery would not result in (x) Dealer Group directly or indirectly so beneficially owning in excess of the lesser of (A) 4.5% of the outstanding Shares and (B) the Threshold Number of Shares or (y) the occurrence of an Excess Regulatory Ownership Position and (ii) if such delivery relates to a Physical Settlement of any Transaction, notwithstanding anything to the contrary herein, Dealer shall not be obligated to satisfy the portion of its payment obligation with respect to such Transaction corresponding to any Shares required to be so delivered until the date Counterparty makes such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Non-Confidentiality</w:t>
      </w:r>
      <w:r>
        <w:rPr>
          <w:rFonts w:ascii="Times New Roman" w:cs="Times New Roman" w:eastAsia="Times New Roman" w:hAnsi="Times New Roman"/>
          <w:sz w:val="18"/>
          <w:szCs w:val="18"/>
          <w:color w:val="auto"/>
        </w:rPr>
        <w:t xml:space="preserve">. The parties hereby agree that (i) effective from the date of commencement of discussions concerning the Transactions, Counterparty and each of its employees, representatives, or other agents may disclose to any and all persons, without limitation of any kind, the tax treatment and tax structure of the Transactions and all materials of any kind, including opinions or other tax analyses, provided by Dealer and its affiliates to Counterparty relating to such tax treatment and tax structure;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does not constitute an authorization to disclose the identity of Dealer or its affiliates, agents or advisers, or, except to the extent relating to such tax structure or tax treatment, any specific pricing terms or commercial or financial information, and (ii) Dealer does not assert any claim of proprietary ownership in respect of any description contained herein or therein relating to the use of any entities, plans or arrangements to give rise to a particular United States federal income tax treatment for Counterparty.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Restricted Shares</w:t>
      </w:r>
      <w:r>
        <w:rPr>
          <w:rFonts w:ascii="Times New Roman" w:cs="Times New Roman" w:eastAsia="Times New Roman" w:hAnsi="Times New Roman"/>
          <w:sz w:val="18"/>
          <w:szCs w:val="18"/>
          <w:color w:val="auto"/>
        </w:rPr>
        <w:t>. If Counterparty is unable to comply with the covenant of Counterparty contained in Section 6 above or Dealer otherwise determines in its reasonable opinion that any Shares to be delivered to Dealer by Counterparty under any Transaction may not be freely returned by Dealer to securities lenders as described in the covenant of Counterparty contained in Section 6 above or otherwise constitute “restricted securities” as defined in Rule 144 under the Securities Act, then delivery of any such Settlement Shares (the “</w:t>
      </w:r>
      <w:r>
        <w:rPr>
          <w:rFonts w:ascii="Times New Roman" w:cs="Times New Roman" w:eastAsia="Times New Roman" w:hAnsi="Times New Roman"/>
          <w:sz w:val="18"/>
          <w:szCs w:val="18"/>
          <w:b w:val="1"/>
          <w:bCs w:val="1"/>
          <w:color w:val="auto"/>
        </w:rPr>
        <w:t>Unregistered Settlement Shares</w:t>
      </w:r>
      <w:r>
        <w:rPr>
          <w:rFonts w:ascii="Times New Roman" w:cs="Times New Roman" w:eastAsia="Times New Roman" w:hAnsi="Times New Roman"/>
          <w:sz w:val="18"/>
          <w:szCs w:val="18"/>
          <w:color w:val="auto"/>
        </w:rPr>
        <w:t>”) shall be effected pursuant to Annex A hereto, unless waived by Dealer.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Use of Shares</w:t>
      </w:r>
      <w:r>
        <w:rPr>
          <w:rFonts w:ascii="Times New Roman" w:cs="Times New Roman" w:eastAsia="Times New Roman" w:hAnsi="Times New Roman"/>
          <w:sz w:val="18"/>
          <w:szCs w:val="18"/>
          <w:color w:val="auto"/>
        </w:rPr>
        <w:t>. Dealer acknowledges and agrees that, except in the case of a Private Placement Settlement, Dealer shall use any Shares delivered by Counterparty to Dealer on any Settlement Date to return to securities lenders to close out borrowings created by Dealer or an affiliate of Dealer in connection with Dealer’s (or such affiliate’s) hedging activities related to exposure under the Transactions or otherwise in compliance with applicable law.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Rule 10b-18</w:t>
      </w:r>
      <w:r>
        <w:rPr>
          <w:rFonts w:ascii="Times New Roman" w:cs="Times New Roman" w:eastAsia="Times New Roman" w:hAnsi="Times New Roman"/>
          <w:sz w:val="18"/>
          <w:szCs w:val="18"/>
          <w:color w:val="auto"/>
        </w:rPr>
        <w:t>. In connection with bids and purchases of Shares in connection with any Net Share Settlement or Cash Settlement of any Transaction, Dealer shall use commercially reasonable efforts to conduct its activities, or cause its affiliates to conduct their activities, in a manner consistent with the requirements of the safe harbor provided by Rule 10b-18 under the Exchange Act, as if such provisions were applicable to such purchases and taking into account any applicable Securities and Exchange Commission no-action letters as appropriate, and subject to any delays between the execution and reporting of a trade of the Shares on the Exchange and other circumstances beyond Dealer’s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Notwithstanding anything to the contrary in the Agreement, the Agreement, this Master Confirmation, any Supplemental Confirmation and all matters arising in connection with the Agreement this Master Confirmation and any Supplemental Confirmation shall be governed by, and construed and enforced in accordance with, the laws of the State of New York (without reference to its choice of laws doctrine other than Title 14 of Article 5 of the New York General Obligations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Set-Off</w:t>
      </w:r>
      <w:r>
        <w:rPr>
          <w:rFonts w:ascii="Times New Roman" w:cs="Times New Roman" w:eastAsia="Times New Roman" w:hAnsi="Times New Roman"/>
          <w:sz w:val="18"/>
          <w:szCs w:val="18"/>
          <w:color w:val="auto"/>
        </w:rPr>
        <w:t>. Each party waives any and all rights it may have to set-off delivery or payment obligations it owes to the other party under any Transaction against any delivery or payment obligations owed to it by the other party, whether arising under the Agreement, under any other agreement between parties hereto, by operation of law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Staggered Settlement</w:t>
      </w:r>
      <w:r>
        <w:rPr>
          <w:rFonts w:ascii="Times New Roman" w:cs="Times New Roman" w:eastAsia="Times New Roman" w:hAnsi="Times New Roman"/>
          <w:sz w:val="18"/>
          <w:szCs w:val="18"/>
          <w:color w:val="auto"/>
        </w:rPr>
        <w:t>. Notwithstanding anything to the contrary herein, Dealer may, by prior notice to Counterparty, satisfy its obligation to deliver any Shares or other securities on any date due (an “</w:t>
      </w:r>
      <w:r>
        <w:rPr>
          <w:rFonts w:ascii="Times New Roman" w:cs="Times New Roman" w:eastAsia="Times New Roman" w:hAnsi="Times New Roman"/>
          <w:sz w:val="18"/>
          <w:szCs w:val="18"/>
          <w:b w:val="1"/>
          <w:bCs w:val="1"/>
          <w:color w:val="auto"/>
        </w:rPr>
        <w:t>Original Delivery Date</w:t>
      </w:r>
      <w:r>
        <w:rPr>
          <w:rFonts w:ascii="Times New Roman" w:cs="Times New Roman" w:eastAsia="Times New Roman" w:hAnsi="Times New Roman"/>
          <w:sz w:val="18"/>
          <w:szCs w:val="18"/>
          <w:color w:val="auto"/>
        </w:rPr>
        <w:t>”) by making separate deliveries of Shares or such securities, as the case may be, at more than one time on or prior to such Original Delivery Date, so long as the aggregate number of Shares and other securities so delivered on or prior to such Original Delivery Date is equal to the number required to be delivered on such Original Delivery Date.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Waiver of Trial by Jury</w:t>
      </w:r>
      <w:r>
        <w:rPr>
          <w:rFonts w:ascii="Times New Roman" w:cs="Times New Roman" w:eastAsia="Times New Roman" w:hAnsi="Times New Roman"/>
          <w:sz w:val="18"/>
          <w:szCs w:val="18"/>
          <w:color w:val="auto"/>
        </w:rPr>
        <w:t>. EACH OF COUNTERPARTY AND DEALER HEREBY IRREVOCABLY WAIVES (ON ITS OWN BEHALF AND, TO THE EXTENT PERMITTED BY APPLICABLE LAW, ON BEHALF OF ITS STOCKHOLDERS) ALL RIGHT TO TRIAL BY JURY IN ANY ACTION, PROCEEDING OR COUNTERCLAIM (WHETHER BASED ON CONTRACT, TORT OR OTHERWISE) ARISING OUT OF OR RELATING TO THE TRANSACTION OR THE ACTIONS OF DEALER OR ITS AFFILIATES IN THE NEGOTIATION, PERFORMANCE OR ENFORCEMENT HEREOF.</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Jurisdiction</w:t>
      </w:r>
      <w:r>
        <w:rPr>
          <w:rFonts w:ascii="Times New Roman" w:cs="Times New Roman" w:eastAsia="Times New Roman" w:hAnsi="Times New Roman"/>
          <w:sz w:val="18"/>
          <w:szCs w:val="18"/>
          <w:color w:val="auto"/>
        </w:rPr>
        <w:t>.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 NOTHING IN THIS PROVISION SHALL PROHIBIT A PARTY FROM BRINGING AN ACTION TO ENFORCE A MONEY JUDGMENT IN ANY OTHER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Master Confirmation and any Supplemental Confirmation may be executed in any number of counterparts, all of which shall constitute one and the same instrument, and any party hereto may execute this Master Confirmation and any Supplemental Confirmation by signing and delivering one or more counterparts.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Delivery of Cash</w:t>
      </w:r>
      <w:r>
        <w:rPr>
          <w:rFonts w:ascii="Times New Roman" w:cs="Times New Roman" w:eastAsia="Times New Roman" w:hAnsi="Times New Roman"/>
          <w:sz w:val="18"/>
          <w:szCs w:val="18"/>
          <w:color w:val="auto"/>
        </w:rPr>
        <w:t xml:space="preserve">. For the avoidance of doubt, nothing in this Master Confirmation or any Supplemental Confirmation shall be interpreted as requiring Counterparty to deliver cash in respect of the settlement of the Transactions, except in circumstances where the required cash settlement thereof is permitted for classification of the contract as equity by ASC 815-40, </w:t>
      </w:r>
      <w:r>
        <w:rPr>
          <w:rFonts w:ascii="Times New Roman" w:cs="Times New Roman" w:eastAsia="Times New Roman" w:hAnsi="Times New Roman"/>
          <w:sz w:val="18"/>
          <w:szCs w:val="18"/>
          <w:i w:val="1"/>
          <w:iCs w:val="1"/>
          <w:color w:val="auto"/>
        </w:rPr>
        <w:t>Derivatives and Hedging — Contracts in Entity’s Own Equity</w:t>
      </w:r>
      <w:r>
        <w:rPr>
          <w:rFonts w:ascii="Times New Roman" w:cs="Times New Roman" w:eastAsia="Times New Roman" w:hAnsi="Times New Roman"/>
          <w:sz w:val="18"/>
          <w:szCs w:val="18"/>
          <w:color w:val="auto"/>
        </w:rPr>
        <w:t>, as in effect on the Trade Date (including, for the avoidance of doubt, where Counterparty elects Cash Settlement). For the avoidance of doubt, the preceding sentence shall not be construed as limiting Section 9 hereunder or any damages that may be payable by Counterparty as a result of a breach of this Master Confirmation or any Supplemental Confirmation.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For the avoidance of doubt, whenever the Calculation Agent, the Hedging Party or the Determining Party is called upon to make an adjustment pursuant to the terms of this Master Confirmation, any Supplemental Confirmation or the Equity Definitions to take into account the effect of an event, the Calculation Agent, the Hedging Party or the Determining Party, as applicable, shall make such adjustment by reference to the effect of such event on the Hedging Party, assuming that the Hedging Party maintains a commercially reasonable hedge position at the time of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Other Forward and Similar Dealer Transactions</w:t>
      </w:r>
      <w:r>
        <w:rPr>
          <w:rFonts w:ascii="Times New Roman" w:cs="Times New Roman" w:eastAsia="Times New Roman" w:hAnsi="Times New Roman"/>
          <w:sz w:val="18"/>
          <w:szCs w:val="18"/>
          <w:color w:val="auto"/>
        </w:rPr>
        <w:t>. Counterparty agrees that (x) it shall not cause to occur, or permit to exist, any Forward Hedge Selling Period at any time there is (1) a “Forward Hedge Selling Period” (or equivalent term) relating to any other issuer forward sale or similar transaction (including, without limitation, any “Transaction” under (as and defined under) any substantially identical master forward confirmation) with any financial institution other than Dealer (an “</w:t>
      </w:r>
      <w:r>
        <w:rPr>
          <w:rFonts w:ascii="Times New Roman" w:cs="Times New Roman" w:eastAsia="Times New Roman" w:hAnsi="Times New Roman"/>
          <w:sz w:val="18"/>
          <w:szCs w:val="18"/>
          <w:b w:val="1"/>
          <w:bCs w:val="1"/>
          <w:color w:val="auto"/>
        </w:rPr>
        <w:t>Other Forward Transaction</w:t>
      </w:r>
      <w:r>
        <w:rPr>
          <w:rFonts w:ascii="Times New Roman" w:cs="Times New Roman" w:eastAsia="Times New Roman" w:hAnsi="Times New Roman"/>
          <w:sz w:val="18"/>
          <w:szCs w:val="18"/>
          <w:color w:val="auto"/>
        </w:rPr>
        <w:t>”), (2) any “Unwind Period” (or equivalent term) hereunder under any Other Forward Transaction or under any other issuer forward sale or similar transaction with Dealer (a “</w:t>
      </w:r>
      <w:r>
        <w:rPr>
          <w:rFonts w:ascii="Times New Roman" w:cs="Times New Roman" w:eastAsia="Times New Roman" w:hAnsi="Times New Roman"/>
          <w:sz w:val="18"/>
          <w:szCs w:val="18"/>
          <w:b w:val="1"/>
          <w:bCs w:val="1"/>
          <w:color w:val="auto"/>
        </w:rPr>
        <w:t>Similar Dealer Transaction</w:t>
      </w:r>
      <w:r>
        <w:rPr>
          <w:rFonts w:ascii="Times New Roman" w:cs="Times New Roman" w:eastAsia="Times New Roman" w:hAnsi="Times New Roman"/>
          <w:sz w:val="18"/>
          <w:szCs w:val="18"/>
          <w:color w:val="auto"/>
        </w:rPr>
        <w:t>”) or (3) any other period in which Counterparty directly or indirectly issues and sells Shares pursuant to an underwriting agreement (or similar agreement including, without limitation, any equity distribution agreement) (such period, a “</w:t>
      </w:r>
      <w:r>
        <w:rPr>
          <w:rFonts w:ascii="Times New Roman" w:cs="Times New Roman" w:eastAsia="Times New Roman" w:hAnsi="Times New Roman"/>
          <w:sz w:val="18"/>
          <w:szCs w:val="18"/>
          <w:b w:val="1"/>
          <w:bCs w:val="1"/>
          <w:color w:val="auto"/>
        </w:rPr>
        <w:t>Selling Period</w:t>
      </w:r>
      <w:r>
        <w:rPr>
          <w:rFonts w:ascii="Times New Roman" w:cs="Times New Roman" w:eastAsia="Times New Roman" w:hAnsi="Times New Roman"/>
          <w:sz w:val="18"/>
          <w:szCs w:val="18"/>
          <w:color w:val="auto"/>
        </w:rPr>
        <w:t>”) that Counterparty enters into with any financial institution other than Dealer, and</w:t>
      </w:r>
    </w:p>
    <w:p>
      <w:pPr>
        <w:spacing w:after="0" w:line="3" w:lineRule="exact"/>
        <w:rPr>
          <w:sz w:val="20"/>
          <w:szCs w:val="20"/>
          <w:color w:val="auto"/>
        </w:rPr>
      </w:pPr>
    </w:p>
    <w:p>
      <w:pPr>
        <w:jc w:val="both"/>
        <w:ind w:firstLine="8"/>
        <w:spacing w:after="0" w:line="255" w:lineRule="auto"/>
        <w:tabs>
          <w:tab w:leader="none" w:pos="27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shall not cause to occur, or permit to exist, an Unwind Period at any time there is an “Unwind Period” (or equivalent term) under any Other Forward Transaction or any Similar Dealer Transaction, a “Forward Hedge Selling Period” (or equivalent term) relating to any Transaction, any Other Forward Transaction or any Similar Dealer Transaction, or any Selling Period.</w:t>
      </w:r>
    </w:p>
    <w:p>
      <w:pPr>
        <w:spacing w:after="0" w:line="18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24.          </w:t>
      </w:r>
      <w:r>
        <w:rPr>
          <w:rFonts w:ascii="Times New Roman" w:cs="Times New Roman" w:eastAsia="Times New Roman" w:hAnsi="Times New Roman"/>
          <w:sz w:val="17"/>
          <w:szCs w:val="17"/>
          <w:u w:val="single" w:color="auto"/>
          <w:color w:val="auto"/>
        </w:rPr>
        <w:t>  Designation by Dealer</w:t>
      </w:r>
      <w:r>
        <w:rPr>
          <w:rFonts w:ascii="Times New Roman" w:cs="Times New Roman" w:eastAsia="Times New Roman" w:hAnsi="Times New Roman"/>
          <w:sz w:val="17"/>
          <w:szCs w:val="17"/>
          <w:color w:val="auto"/>
        </w:rPr>
        <w:t>. Notwithstanding any other provision of this Master Confirmation or any Supplemental Confirmation to the contrary requiring or allowing Dealer to purchase, sell, receive or deliver any Shares or other securities to or from Counterparty, Dealer may designate any of its affiliates to purchase, sell, receive or deliver such Shares or other securities and otherwise to perform Dealer’s obligations in respect of any Transaction and any such designee may assume such obligations. Dealer shall be discharged of its obligations to Counterparty only to the extent of any such performance.</w:t>
      </w:r>
    </w:p>
    <w:p>
      <w:pPr>
        <w:spacing w:after="0" w:line="16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Counterparty hereby agrees (a) to check this Master Confirmation carefully and promptly upon receipt so that errors or discrepancies can be promptly identified and rectified and (b) to confirm that the foregoing (in the exact form provided by Dealer) correctly sets forth the terms of the agreement between Dealer and Counterparty hereunder, by manually signing this Master Confirmation or this page hereof as evidence of agreement to such terms and providing the other information requested herein and promptly returning an executed copy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45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[DEALER]</w:t>
      </w:r>
    </w:p>
    <w:p>
      <w:pPr>
        <w:spacing w:after="0" w:line="2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Forward Sale Confirmation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85" w:name="page86"/>
    <w:bookmarkEnd w:id="85"/>
    <w:p>
      <w:pPr>
        <w:ind w:left="4520"/>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79"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Forward Sale Confirmation</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PRIVATE PLACEMENT PROCEDURES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Counterparty delivers Unregistered Settlement Shares pursuant to Section 12 above (a “</w:t>
      </w:r>
      <w:r>
        <w:rPr>
          <w:rFonts w:ascii="Times New Roman" w:cs="Times New Roman" w:eastAsia="Times New Roman" w:hAnsi="Times New Roman"/>
          <w:sz w:val="18"/>
          <w:szCs w:val="18"/>
          <w:b w:val="1"/>
          <w:bCs w:val="1"/>
          <w:color w:val="auto"/>
        </w:rPr>
        <w:t>Private Placement Settlement</w:t>
      </w:r>
      <w:r>
        <w:rPr>
          <w:rFonts w:ascii="Times New Roman" w:cs="Times New Roman" w:eastAsia="Times New Roman" w:hAnsi="Times New Roman"/>
          <w:sz w:val="18"/>
          <w:szCs w:val="18"/>
          <w:color w:val="auto"/>
        </w:rPr>
        <w:t>”), then: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all Unregistered Settlement Shares shall be delivered to Dealer (or any affiliate of Dealer designated by Dealer) pursuant to the exemption from the registration requirements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by Section 4(a)(2) thereof;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as of or prior to the date of delivery, Dealer and any potential purchaser of any such shares from Dealer (or any affiliate of Dealer designated by Dealer) identified by Dealer shall be afforded a commercially reasonable opportunity to conduct a due diligence investigation with respect to Counterparty customary in scope for private placements of equity securities of similar size (including, without limitation, the right to have made available to them for inspection all financial and other records, pertinent corporate documents and other information reasonably requested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receiving or being granted access to any such information, Dealer, such affiliate of Dealer or such potential purchaser, as the case may be, may be required by Counterparty to enter into a customary nondisclosure agreement with Counterparty in respect of any such due diligence investigation;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as of the date of delivery, Counterparty shall enter into an agreement (a “</w:t>
      </w:r>
      <w:r>
        <w:rPr>
          <w:rFonts w:ascii="Times New Roman" w:cs="Times New Roman" w:eastAsia="Times New Roman" w:hAnsi="Times New Roman"/>
          <w:sz w:val="18"/>
          <w:szCs w:val="18"/>
          <w:b w:val="1"/>
          <w:bCs w:val="1"/>
          <w:color w:val="auto"/>
        </w:rPr>
        <w:t>Private Placement Agreement</w:t>
      </w:r>
      <w:r>
        <w:rPr>
          <w:rFonts w:ascii="Times New Roman" w:cs="Times New Roman" w:eastAsia="Times New Roman" w:hAnsi="Times New Roman"/>
          <w:sz w:val="18"/>
          <w:szCs w:val="18"/>
          <w:color w:val="auto"/>
        </w:rPr>
        <w:t>”) with Dealer (or any affiliate of Dealer designated by Dealer) in connection with the private placement of such shares by Counterparty to Dealer (or any such affiliate) and the private resale of such shares by Dealer (or any such affiliate), substantially similar to private placement purchase agreements customary for private placements of equity securities of similar size, in form and substance commercially reasonably satisfactory to Dealer, which Private Placement Agreement shall include, without limitation, provisions substantially similar to those contained in such private placement purchase agreements relating, without limitation, to the indemnification of, and contribution in connection with the liability of, Dealer and its affiliates and obligations to use best efforts to obtain customary opinions, accountants’ comfort letters and lawyers’ negative assurance letters, and shall provide for the payment by Counterparty of all commercially reasonable fees and expenses in connection with such resale, including all commercially reasonable fees and expenses of counsel for Dealer, and shall contain representations, warranties, covenants and agreements of Counterparty reasonably necessary or advisable to establish and maintain the availability of an exemption from the registration requirements of the Securities Act for such resales;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in connection with the private placement of such shares by Counterparty to Dealer (or any such affiliate) and the private resale of such shares by Dealer (or any such affiliate), Counterparty shall, if so requested by Dealer, prepare, in cooperation with Dealer, a private placement memorandum in form and substance reasonably satisfactory to Dealer.</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case of a Private Placement Settlement, Dealer shall, in its good faith discretion, adjust the amount of Unregistered Settlement Shares to be delivered to Dealer hereunder in a commercially reasonable manner to reflect the fact that such Unregistered Settlement Shares may not be freely returned to securities lenders by Dealer and may only be saleable by Dealer at a discount to reflect the lack of liquidity in Unregistered Settlement Shares.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Counterparty delivers any Unregistered Settlement Shares in respect of a Transaction, Counterparty agrees that (i) such Shares may be transferred by and among Dealer and its affiliates and (ii) after the applicable “holding period” within the meaning of Rule 144(d) under the Securities Act has elapsed after the applicable Settlement Date, Counterparty shall promptly remove, or cause the transfer agent for the Shares to remove, any legends referring to any transfer restrictions from such Shares upon delivery by Dealer (or such affiliate of Dealer) to Counterparty or such transfer agent of any seller’s and broker’s representation letters customarily delivered by Dealer or its affiliates in connection with resales of restricted securities pursuant to Rule 144 under the Securities Act, each without any further requirement for the delivery of any certificate, consent, agreement, opinion of counsel, notice or any other document, any transfer tax stamps or payment of any other amount or any other action by Dealer (or such affiliate of Dealer).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CONFIRMATION</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color w:val="auto"/>
        </w:rPr>
        <w:t>CTO Realty Growth, Inc.</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From:</w:t>
      </w:r>
      <w:r>
        <w:rPr>
          <w:sz w:val="20"/>
          <w:szCs w:val="20"/>
          <w:color w:val="auto"/>
        </w:rPr>
        <w:tab/>
      </w:r>
      <w:r>
        <w:rPr>
          <w:rFonts w:ascii="Times New Roman" w:cs="Times New Roman" w:eastAsia="Times New Roman" w:hAnsi="Times New Roman"/>
          <w:sz w:val="18"/>
          <w:szCs w:val="18"/>
          <w:color w:val="auto"/>
        </w:rPr>
        <w:t>[DEALER]</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color w:val="auto"/>
        </w:rPr>
        <w:t>Issuer Share Forward Sale Transaction</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          ], 20[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Supplemental Confirmation is to confirm the terms and conditions of the Transaction entered into between [DEALER] (“</w:t>
      </w:r>
      <w:r>
        <w:rPr>
          <w:rFonts w:ascii="Times New Roman" w:cs="Times New Roman" w:eastAsia="Times New Roman" w:hAnsi="Times New Roman"/>
          <w:sz w:val="18"/>
          <w:szCs w:val="18"/>
          <w:b w:val="1"/>
          <w:bCs w:val="1"/>
          <w:color w:val="auto"/>
        </w:rPr>
        <w:t>Dealer</w:t>
      </w:r>
      <w:r>
        <w:rPr>
          <w:rFonts w:ascii="Times New Roman" w:cs="Times New Roman" w:eastAsia="Times New Roman" w:hAnsi="Times New Roman"/>
          <w:sz w:val="18"/>
          <w:szCs w:val="18"/>
          <w:color w:val="auto"/>
        </w:rPr>
        <w:t>”) and CTO Realty Growth, Inc. (“</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 (together, the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on the Trade Date specified below. This Supplemental Confirmation is a binding contract between Dealer and Counterparty as of the relevant Trade Date for the Transaction referenced below.</w:t>
      </w:r>
    </w:p>
    <w:p>
      <w:pPr>
        <w:spacing w:after="0" w:line="13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            This Supplemental Confirmation supplements, forms part of, and is subject to the Master Confirmation dated as of October [ ], 2026 (the “</w:t>
      </w:r>
      <w:r>
        <w:rPr>
          <w:rFonts w:ascii="Times New Roman" w:cs="Times New Roman" w:eastAsia="Times New Roman" w:hAnsi="Times New Roman"/>
          <w:sz w:val="18"/>
          <w:szCs w:val="18"/>
          <w:b w:val="1"/>
          <w:bCs w:val="1"/>
          <w:color w:val="auto"/>
        </w:rPr>
        <w:t>Master Confirmation</w:t>
      </w:r>
      <w:r>
        <w:rPr>
          <w:rFonts w:ascii="Times New Roman" w:cs="Times New Roman" w:eastAsia="Times New Roman" w:hAnsi="Times New Roman"/>
          <w:sz w:val="18"/>
          <w:szCs w:val="18"/>
          <w:color w:val="auto"/>
        </w:rPr>
        <w:t>”) between the Contracting Parties, as amended and supplemented from time to time. All provisions contained in the Master Confirmation govern this Supplemental Confirmation except as expressly modified below.</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The terms of the Transaction to which this Supplemental Confirmation relates are as follows: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Forward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Volume-Weighted Hedge Price: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Price: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Stock Loan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Stock Loan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Number of Shares: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basis points per annum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basis points per annum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ectPr>
          <w:pgSz w:w="11900" w:h="16838" w:orient="portrait"/>
          <w:cols w:equalWidth="0" w:num="2">
            <w:col w:w="3440" w:space="720"/>
            <w:col w:w="7080"/>
          </w:cols>
          <w:pgMar w:left="320" w:top="900" w:right="339" w:bottom="1440" w:gutter="0" w:footer="0" w:header="0"/>
          <w:type w:val="continuous"/>
        </w:sectPr>
      </w:pPr>
    </w:p>
    <w:p>
      <w:pPr>
        <w:spacing w:after="0" w:line="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Counterparty hereby agrees (a) to check this Supplemental Confirmation carefully and promptly upon receipt so that errors or discrepancies can be promptly identified and rectified and (b) to confirm that the foregoing (in the exact form provided by Dealer) correctly sets forth the terms of the agreement between Dealer and Counterparty hereunder, by manually signing this Supplemental Confirmation or this page hereof as evidence of agreement to such terms and providing the other information requested herein and promptly returning an executed copy to us.</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[DEALER]</w:t>
      </w: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980" w:type="dxa"/>
            <w:vAlign w:val="bottom"/>
            <w:gridSpan w:val="2"/>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r>
      <w:tr>
        <w:trPr>
          <w:trHeight w:val="432"/>
        </w:trPr>
        <w:tc>
          <w:tcPr>
            <w:tcW w:w="3080" w:type="dxa"/>
            <w:vAlign w:val="bottom"/>
          </w:tcPr>
          <w:p>
            <w:pPr>
              <w:spacing w:after="0"/>
              <w:rPr>
                <w:sz w:val="24"/>
                <w:szCs w:val="24"/>
                <w:color w:val="auto"/>
              </w:rPr>
            </w:pPr>
          </w:p>
        </w:tc>
        <w:tc>
          <w:tcPr>
            <w:tcW w:w="61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FORWARD PRICE REDUCTION AMOUNTS</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Forward Price Reduction Date:</w:t>
            </w:r>
          </w:p>
        </w:tc>
        <w:tc>
          <w:tcPr>
            <w:tcW w:w="61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Forward Price Reduction Amount:</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20[    ]</w:t>
            </w:r>
          </w:p>
        </w:tc>
        <w:tc>
          <w:tcPr>
            <w:tcW w:w="61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USD</w:t>
            </w:r>
          </w:p>
        </w:tc>
        <w:tc>
          <w:tcPr>
            <w:tcW w:w="172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 20[    ]</w:t>
            </w:r>
          </w:p>
        </w:tc>
        <w:tc>
          <w:tcPr>
            <w:tcW w:w="61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USD</w:t>
            </w:r>
          </w:p>
        </w:tc>
        <w:tc>
          <w:tcPr>
            <w:tcW w:w="17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 20[    ]</w:t>
            </w:r>
          </w:p>
        </w:tc>
        <w:tc>
          <w:tcPr>
            <w:tcW w:w="61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USD</w:t>
            </w:r>
          </w:p>
        </w:tc>
        <w:tc>
          <w:tcPr>
            <w:tcW w:w="1720" w:type="dxa"/>
            <w:vAlign w:val="bottom"/>
            <w:shd w:val="clear" w:color="auto" w:fill="CCEEFF"/>
          </w:tcPr>
          <w:p>
            <w:pPr>
              <w:jc w:val="center"/>
              <w:ind w:left="14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        ], 20[    ]</w:t>
            </w:r>
          </w:p>
        </w:tc>
        <w:tc>
          <w:tcPr>
            <w:tcW w:w="61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USD</w:t>
            </w:r>
          </w:p>
        </w:tc>
        <w:tc>
          <w:tcPr>
            <w:tcW w:w="172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-696595</wp:posOffset>
            </wp:positionV>
            <wp:extent cx="7132320" cy="685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2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REGULAR DIVIDEND AMOUNTS</w:t>
            </w:r>
          </w:p>
        </w:tc>
      </w:tr>
      <w:tr>
        <w:trPr>
          <w:trHeight w:val="41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any calendar month ending on or prior to [  ]:</w:t>
            </w: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USD[</w:t>
            </w:r>
          </w:p>
        </w:tc>
        <w:tc>
          <w:tcPr>
            <w:tcW w:w="526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 any calendar month ending after [  ]:</w:t>
            </w:r>
          </w:p>
        </w:tc>
        <w:tc>
          <w:tcPr>
            <w:tcW w:w="20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USD[</w:t>
            </w:r>
          </w:p>
        </w:tc>
        <w:tc>
          <w:tcPr>
            <w:tcW w:w="5260" w:type="dxa"/>
            <w:vAlign w:val="bottom"/>
          </w:tcPr>
          <w:p>
            <w:pPr>
              <w:jc w:val="right"/>
              <w:ind w:right="5030"/>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39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A-4</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Maryland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$250,000,000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NO. [1]/[2] TO THE EQUITY DISTRIBUTION AGREEMENT</w:t>
      </w:r>
    </w:p>
    <w:p>
      <w:pPr>
        <w:spacing w:after="0" w:line="22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28, 2026</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Seller and Manager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Forward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Reference is made to the Equity Distribution Agreement, dated [November 12, 2024, as amended on April 29, 2026]/[April 29,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CTO Realty Growth, Inc.,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[FORWARD PURCHASER] (in its capacity as forward purchaser under any Forward Contract, the “</w:t>
      </w:r>
      <w:r>
        <w:rPr>
          <w:rFonts w:ascii="Times New Roman" w:cs="Times New Roman" w:eastAsia="Times New Roman" w:hAnsi="Times New Roman"/>
          <w:sz w:val="18"/>
          <w:szCs w:val="18"/>
          <w:u w:val="single" w:color="auto"/>
          <w:color w:val="auto"/>
        </w:rPr>
        <w:t>Forward Purchaser</w:t>
      </w:r>
      <w:r>
        <w:rPr>
          <w:rFonts w:ascii="Times New Roman" w:cs="Times New Roman" w:eastAsia="Times New Roman" w:hAnsi="Times New Roman"/>
          <w:sz w:val="18"/>
          <w:szCs w:val="18"/>
          <w:color w:val="auto"/>
        </w:rPr>
        <w:t>”) and [FORWARD SELLER] (in its capacity as agent for the Company and/or principal in connection with the offering and sale of any Issuance Securities pursuant to the Agreement, the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in its capacity as agent for the Forward Purchaser in connection with the offering and sale of any Forward Hedge Securities pursuant to the Agreement, the “</w:t>
      </w:r>
      <w:r>
        <w:rPr>
          <w:rFonts w:ascii="Times New Roman" w:cs="Times New Roman" w:eastAsia="Times New Roman" w:hAnsi="Times New Roman"/>
          <w:sz w:val="18"/>
          <w:szCs w:val="18"/>
          <w:u w:val="single" w:color="auto"/>
          <w:color w:val="auto"/>
        </w:rPr>
        <w:t>Forward Seller</w:t>
      </w:r>
      <w:r>
        <w:rPr>
          <w:rFonts w:ascii="Times New Roman" w:cs="Times New Roman" w:eastAsia="Times New Roman" w:hAnsi="Times New Roman"/>
          <w:sz w:val="18"/>
          <w:szCs w:val="18"/>
          <w:color w:val="auto"/>
        </w:rPr>
        <w:t>” and, together with the Company and the Forward Purchaser,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but not defined herein shall have the meaning assigned to them in the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entry into a new Equity Distribution Agreement, dated the date hereof, by and among the Company, BofA Securities, Inc., as manager and forward seller and Bank of America, N.A., as forward purchaser, the Parties desire to amend the Agreement through this Amendment No. [1]/[2] to the Equity Distribution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modify the definition of certain defined terms set forth in the Agreement and used herein and to make certain other changes to the Agreement with effect on and after the date hereof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The Parties agree, from and after the Effective Date, that:</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The last paragraph of Section 1 of the Agreement is hereby deleted in its entirety and replaced with the following:</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separate equity distribution agreements(collectively, as each may be amended from time to time, the “</w:t>
      </w:r>
      <w:r>
        <w:rPr>
          <w:rFonts w:ascii="Times New Roman" w:cs="Times New Roman" w:eastAsia="Times New Roman" w:hAnsi="Times New Roman"/>
          <w:sz w:val="18"/>
          <w:szCs w:val="18"/>
          <w:u w:val="single" w:color="auto"/>
          <w:color w:val="auto"/>
        </w:rPr>
        <w:t>Alternative Distribution Agreements</w:t>
      </w:r>
      <w:r>
        <w:rPr>
          <w:rFonts w:ascii="Times New Roman" w:cs="Times New Roman" w:eastAsia="Times New Roman" w:hAnsi="Times New Roman"/>
          <w:sz w:val="18"/>
          <w:szCs w:val="18"/>
          <w:color w:val="auto"/>
        </w:rPr>
        <w:t>”), (i) dated as of November 12, 2024, as amended on April 29, 2026 and October 28, 2026, with each of A.G.P./Alliance Global Partners, B. Riley Securities, Inc., Robert W. Baird &amp; Co., Incorporated, BofA Securities, Inc., Jefferies LLC, JonesTrading Institutional Services LLC, KeyBanc Capital Markets Inc., Lucid Capital Markets, LLC, Raymond James &amp; Associates, Inc., Regions Securities LLC, Truist Securities, Inc. and Wells Fargo Securities, LLC (and, as applicable, their respective affiliates); (ii) dated as of April 29, 2026, as amended on October 28, 2026, with each of Cantor Fitzgerald &amp; Co. and Huntington Securities, Inc. (and, as applicable, their respective affiliates) and (iii) dated as of October 28, 2026, with BofA Securities, Inc. (and its affiliate, Bank of America, N.A.) (each, in its capacity as agent and/or principal, forward seller and forward purchaser thereunder, an “</w:t>
      </w:r>
      <w:r>
        <w:rPr>
          <w:rFonts w:ascii="Times New Roman" w:cs="Times New Roman" w:eastAsia="Times New Roman" w:hAnsi="Times New Roman"/>
          <w:sz w:val="18"/>
          <w:szCs w:val="18"/>
          <w:u w:val="single" w:color="auto"/>
          <w:color w:val="auto"/>
        </w:rPr>
        <w:t>Alternative Manager</w:t>
      </w:r>
      <w:r>
        <w:rPr>
          <w:rFonts w:ascii="Times New Roman" w:cs="Times New Roman" w:eastAsia="Times New Roman" w:hAnsi="Times New Roman"/>
          <w:sz w:val="18"/>
          <w:szCs w:val="18"/>
          <w:color w:val="auto"/>
        </w:rPr>
        <w:t>”), for the issuance (in the case of the Issuance Securities) or borrowing (in the case of the Forward Hedge Securities) and sale from time to time through the applicable Alternative Managers on the terms set forth in the applicable Alternative Distribution Agreements. The aggregate offering price of the Securities that may be sold pursuant to this Agreement and the Alternative Distribution Agreements shall not exceed the Maximum Amount.”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783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6"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Remove the agent signing applicable EDA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color w:val="auto"/>
        </w:rPr>
        <w:t>b. Section 6(e) of the Agreement is hereby amended by replacing the words “second (2nd)” with “first (1st)”.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ANY CLAIM, CONTROVERSY OR DISPUTE ARISING UNDER OR RELATED TO THIS AMENDMENT SHALL BE GOVERNED BY AND CONSTRUED IN ACCORDANCE WITH THE LAWS OF THE STATE OF NEW YORK WITHOUT REGARD TO ITS CHOICE OF LAW PROVISIONS. SPECIFIED TIMES OF DAY REFER TO NEW YORK CITY TIME.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to be an original, but all such counterparts shall together constitute one and the same agreement. Counterparts may be delivered via electronic mail (including any electronic signature covered by the U.S. federal ESIGN Act of 2000, Uniform Electronic Transactions Act, the New York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Agreement Remains in Effect</w:t>
      </w:r>
      <w:r>
        <w:rPr>
          <w:rFonts w:ascii="Times New Roman" w:cs="Times New Roman" w:eastAsia="Times New Roman" w:hAnsi="Times New Roman"/>
          <w:sz w:val="18"/>
          <w:szCs w:val="18"/>
          <w:color w:val="auto"/>
        </w:rPr>
        <w:t>. Except as provided in this Amendment, all provisions, terms and conditions of the Agreement shall remain in full force and effect. As amended hereby, the Agreement is ratified and confirmed in all respects.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the Company a counterpart hereof, whereupon this instrument, along with all counterparts, will become a binding agreement among the Manager, the Forward Seller, the Forward Purchaser and the Company in accordance with its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CTO REALTY GROWTH,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Philip R. Mays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Chief Financial Officer and Treasurer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Amendment No. 2 to the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7"/>
          <w:szCs w:val="17"/>
          <w:color w:val="auto"/>
        </w:rPr>
        <w:t>The foregoing Amendment No. 2 to the Agreement is hereby confirmed and accepted as of the date first written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MANAGER</w:t>
            </w:r>
          </w:p>
        </w:tc>
        <w:tc>
          <w:tcPr>
            <w:tcW w:w="4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FORWARD SELLER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2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r>
              <w:rPr>
                <w:rFonts w:ascii="Arial" w:cs="Arial" w:eastAsia="Arial" w:hAnsi="Arial"/>
                <w:sz w:val="18"/>
                <w:szCs w:val="18"/>
                <w:b w:val="1"/>
                <w:bCs w:val="1"/>
                <w:color w:val="auto"/>
                <w:highlight w:val="black"/>
              </w:rPr>
              <w:t>·</w:t>
            </w:r>
            <w:r>
              <w:rPr>
                <w:rFonts w:ascii="Times New Roman" w:cs="Times New Roman" w:eastAsia="Times New Roman" w:hAnsi="Times New Roman"/>
                <w:sz w:val="18"/>
                <w:szCs w:val="18"/>
                <w:b w:val="1"/>
                <w:bCs w:val="1"/>
                <w:color w:val="auto"/>
              </w:rPr>
              <w:t> ], AS FORWARD PURCHASER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19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Amendment No. 2 to the Equity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decimal"/>
      <w:start w:val="104"/>
    </w:lvl>
  </w:abstractNum>
  <w:abstractNum w:abstractNumId="2">
    <w:nsid w:val="6B68079A"/>
    <w:multiLevelType w:val="hybridMultilevel"/>
    <w:lvl w:ilvl="0">
      <w:lvlJc w:val="left"/>
      <w:lvlText w:val="1"/>
      <w:numFmt w:val="bullet"/>
      <w:start w:val="1"/>
    </w:lvl>
  </w:abstractNum>
  <w:abstractNum w:abstractNumId="3">
    <w:nsid w:val="4E6AFB66"/>
    <w:multiLevelType w:val="hybridMultilevel"/>
    <w:lvl w:ilvl="0">
      <w:lvlJc w:val="left"/>
      <w:lvlText w:val="(%1)"/>
      <w:numFmt w:val="upperLetter"/>
      <w:start w:val="2"/>
    </w:lvl>
  </w:abstractNum>
  <w:abstractNum w:abstractNumId="4">
    <w:nsid w:val="25E45D32"/>
    <w:multiLevelType w:val="hybridMultilevel"/>
    <w:lvl w:ilvl="0">
      <w:lvlJc w:val="left"/>
      <w:lvlText w:val="(%1)"/>
      <w:numFmt w:val="lowerLetter"/>
      <w:start w:val="23"/>
    </w:lvl>
  </w:abstractNum>
  <w:abstractNum w:abstractNumId="5">
    <w:nsid w:val="519B500D"/>
    <w:multiLevelType w:val="hybridMultilevel"/>
    <w:lvl w:ilvl="0">
      <w:lvlJc w:val="left"/>
      <w:lvlText w:val="(%1)"/>
      <w:numFmt w:val="lowerRoman"/>
      <w:start w:val="2"/>
    </w:lvl>
  </w:abstractNum>
  <w:abstractNum w:abstractNumId="6">
    <w:nsid w:val="431BD7B7"/>
    <w:multiLevelType w:val="hybridMultilevel"/>
    <w:lvl w:ilvl="0">
      <w:lvlJc w:val="left"/>
      <w:lvlText w:val="(%1)"/>
      <w:numFmt w:val="upperLetter"/>
      <w:start w:val="2"/>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1)"/>
      <w:numFmt w:val="lowerRoman"/>
      <w:start w:val="3"/>
    </w:lvl>
  </w:abstractNum>
  <w:abstractNum w:abstractNumId="9">
    <w:nsid w:val="257130A3"/>
    <w:multiLevelType w:val="hybridMultilevel"/>
    <w:lvl w:ilvl="0">
      <w:lvlJc w:val="left"/>
      <w:lvlText w:val="(%1)"/>
      <w:numFmt w:val="lowerRoman"/>
      <w:start w:val="2"/>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lowerRoman"/>
      <w:start w:val="1"/>
    </w:lvl>
  </w:abstractNum>
  <w:abstractNum w:abstractNumId="12">
    <w:nsid w:val="628C895D"/>
    <w:multiLevelType w:val="hybridMultilevel"/>
    <w:lvl w:ilvl="0">
      <w:lvlJc w:val="left"/>
      <w:lvlText w:val="(%1)"/>
      <w:numFmt w:val="lowerRoman"/>
      <w:start w:val="3"/>
    </w:lvl>
  </w:abstractNum>
  <w:abstractNum w:abstractNumId="13">
    <w:nsid w:val="333AB105"/>
    <w:multiLevelType w:val="hybridMultilevel"/>
    <w:lvl w:ilvl="0">
      <w:lvlJc w:val="left"/>
      <w:lvlText w:val="%1."/>
      <w:numFmt w:val="decimal"/>
      <w:start w:val="1"/>
    </w:lvl>
    <w:lvl w:ilvl="1">
      <w:lvlJc w:val="left"/>
      <w:lvlText w:val="%2."/>
      <w:numFmt w:val="decimal"/>
      <w:start w:val="3"/>
    </w:lvl>
  </w:abstractNum>
  <w:abstractNum w:abstractNumId="14">
    <w:nsid w:val="721DA317"/>
    <w:multiLevelType w:val="hybridMultilevel"/>
    <w:lvl w:ilvl="0">
      <w:lvlJc w:val="left"/>
      <w:lvlText w:val="(%1)"/>
      <w:numFmt w:val="lowerRoman"/>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1"/>
      <w:numFmt w:val="decimal"/>
      <w:start w:val="10"/>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1)"/>
      <w:numFmt w:val="lowerLetter"/>
      <w:start w:val="35"/>
    </w:lvl>
  </w:abstractNum>
  <w:abstractNum w:abstractNumId="19">
    <w:nsid w:val="8EDBDAB"/>
    <w:multiLevelType w:val="hybridMultilevel"/>
    <w:lvl w:ilvl="0">
      <w:lvlJc w:val="left"/>
      <w:lvlText w:val="(%1)"/>
      <w:numFmt w:val="lowerLetter"/>
      <w:start w:val="25"/>
    </w:lvl>
  </w:abstractNum>
  <w:abstractNum w:abstractNumId="20">
    <w:nsid w:val="79838CB2"/>
    <w:multiLevelType w:val="hybridMultilevel"/>
    <w:lvl w:ilvl="0">
      <w:lvlJc w:val="left"/>
      <w:lvlText w:val="(%1)"/>
      <w:numFmt w:val="upperLetter"/>
      <w:start w:val="2"/>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lowerRoman"/>
      <w:start w:val="7"/>
    </w:lvl>
  </w:abstractNum>
  <w:abstractNum w:abstractNumId="23">
    <w:nsid w:val="189A769B"/>
    <w:multiLevelType w:val="hybridMultilevel"/>
    <w:lvl w:ilvl="0">
      <w:lvlJc w:val="left"/>
      <w:lvlText w:val="(%1)"/>
      <w:numFmt w:val="lowerRoman"/>
      <w:start w:val="4"/>
    </w:lvl>
  </w:abstractNum>
  <w:abstractNum w:abstractNumId="24">
    <w:nsid w:val="54E49EB4"/>
    <w:multiLevelType w:val="hybridMultilevel"/>
    <w:lvl w:ilvl="0">
      <w:lvlJc w:val="left"/>
      <w:lvlText w:val="(%1)"/>
      <w:numFmt w:val="lowerRoman"/>
      <w:start w:val="10"/>
    </w:lvl>
  </w:abstractNum>
  <w:abstractNum w:abstractNumId="25">
    <w:nsid w:val="71F32454"/>
    <w:multiLevelType w:val="hybridMultilevel"/>
    <w:lvl w:ilvl="0">
      <w:lvlJc w:val="left"/>
      <w:lvlText w:val="(%1)"/>
      <w:numFmt w:val="lowerRoman"/>
      <w:start w:val="3"/>
    </w:lvl>
  </w:abstractNum>
  <w:abstractNum w:abstractNumId="26">
    <w:nsid w:val="2CA88611"/>
    <w:multiLevelType w:val="hybridMultilevel"/>
    <w:lvl w:ilvl="0">
      <w:lvlJc w:val="left"/>
      <w:lvlText w:val="2"/>
      <w:numFmt w:val="bullet"/>
      <w:start w:val="1"/>
    </w:lvl>
  </w:abstractNum>
  <w:abstractNum w:abstractNumId="27">
    <w:nsid w:val="836C40E"/>
    <w:multiLevelType w:val="hybridMultilevel"/>
    <w:lvl w:ilvl="0">
      <w:lvlJc w:val="left"/>
      <w:lvlText w:val="(%1)"/>
      <w:numFmt w:val="lowerLetter"/>
      <w:start w:val="25"/>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2026-10-28T15:30:06Z</dcterms:created>
  <dcterms:modified xsi:type="dcterms:W3CDTF">2026-10-28T15:30:06Z</dcterms:modified>
</cp:coreProperties>
</file>