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cto-20230331x10q.htm"/>
        <w:bookmarkStart w:id="1" w:name="kscto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spacing w:before="0" w:after="0"/>
        <w:ind w:left="0" w:right="0" w:hanging="0"/>
        <w:jc w:val="center"/>
        <w:rPr>
          <w:bdr w:val="single" w:sz="24" w:space="1" w:color="000000"/>
        </w:rPr>
      </w:pPr>
      <w:r>
        <w:rPr>
          <w:bdr w:val="single" w:sz="24" w:space="1" w:color="000000"/>
        </w:rPr>
        <w:t>​</w:t>
      </w:r>
    </w:p>
    <w:p>
      <w:pPr>
        <w:pStyle w:val="TextBody"/>
        <w:spacing w:lineRule="auto" w:line="283" w:before="0" w:after="0"/>
        <w:ind w:left="0" w:right="0" w:firstLine="90"/>
        <w:jc w:val="center"/>
        <w:rPr>
          <w:rFonts w:ascii="Times New Roman;Times;serif" w:hAnsi="Times New Roman;Times;serif"/>
          <w:b/>
          <w:sz w:val="32"/>
        </w:rPr>
      </w:pPr>
      <w:bookmarkStart w:id="2" w:name="_ce7c34bc_162e_43f6_a49d_cb066294990b"/>
      <w:bookmarkEnd w:id="2"/>
      <w:r>
        <w:rPr>
          <w:rFonts w:ascii="Times New Roman;Times;serif" w:hAnsi="Times New Roman;Times;serif"/>
          <w:b/>
          <w:sz w:val="32"/>
        </w:rPr>
        <w:t>UNITED STATES</w:t>
      </w:r>
    </w:p>
    <w:p>
      <w:pPr>
        <w:pStyle w:val="TextBody"/>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lineRule="auto" w:line="283"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lineRule="auto" w:line="283" w:before="0" w:after="0"/>
              <w:rPr/>
            </w:pPr>
            <w:r>
              <w:rPr/>
              <w:t>☒</w:t>
            </w:r>
          </w:p>
        </w:tc>
        <w:tc>
          <w:tcPr>
            <w:tcW w:w="9874" w:type="dxa"/>
            <w:tcBorders/>
            <w:shd w:fill="auto" w:val="clear"/>
            <w:vAlign w:val="center"/>
          </w:tcPr>
          <w:p>
            <w:pPr>
              <w:pStyle w:val="TableContents"/>
              <w:spacing w:lineRule="auto" w:line="283" w:before="0" w:after="0"/>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spacing w:lineRule="auto" w:line="283" w:before="0" w:after="0"/>
        <w:ind w:left="0" w:right="0" w:hanging="0"/>
        <w:rPr>
          <w:rFonts w:ascii="Times New Roman;Times;serif" w:hAnsi="Times New Roman;Times;serif"/>
          <w:b/>
          <w:sz w:val="18"/>
        </w:rPr>
      </w:pPr>
      <w:r>
        <w:rPr>
          <w:rFonts w:ascii="Times New Roman;Times;serif" w:hAnsi="Times New Roman;Times;serif"/>
          <w:b/>
          <w:sz w:val="18"/>
        </w:rPr>
        <w:t>OR</w:t>
      </w:r>
    </w:p>
    <w:p>
      <w:pPr>
        <w:pStyle w:val="TextBody"/>
        <w:spacing w:lineRule="auto" w:line="283"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lineRule="auto" w:line="283" w:before="0" w:after="0"/>
              <w:rPr/>
            </w:pPr>
            <w:r>
              <w:rPr/>
              <w:t>☐</w:t>
            </w:r>
          </w:p>
        </w:tc>
        <w:tc>
          <w:tcPr>
            <w:tcW w:w="9874" w:type="dxa"/>
            <w:tcBorders/>
            <w:shd w:fill="auto" w:val="clear"/>
            <w:vAlign w:val="center"/>
          </w:tcPr>
          <w:p>
            <w:pPr>
              <w:pStyle w:val="TableContents"/>
              <w:spacing w:lineRule="auto" w:line="283" w:before="0" w:after="0"/>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rFonts w:ascii="Times New Roman;Times;serif" w:hAnsi="Times New Roman;Times;serif"/>
          <w:b/>
          <w:sz w:val="44"/>
        </w:rPr>
      </w:pPr>
      <w:r>
        <w:rPr>
          <w:rFonts w:ascii="Times New Roman;Times;serif" w:hAnsi="Times New Roman;Times;serif"/>
          <w:b/>
          <w:sz w:val="44"/>
        </w:rPr>
        <w:t>CTO REALTY GROWTH, INC.</w:t>
      </w:r>
    </w:p>
    <w:p>
      <w:pPr>
        <w:pStyle w:val="TextBody"/>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spacing w:lineRule="auto" w:line="283" w:before="0" w:after="0"/>
        <w:ind w:left="0" w:right="0" w:hanging="0"/>
        <w:jc w:val="center"/>
        <w:rPr/>
      </w:pPr>
      <w:r>
        <w:rPr/>
        <w:t>​</w:t>
      </w:r>
    </w:p>
    <w:p>
      <w:pPr>
        <w:pStyle w:val="TextBody"/>
        <w:spacing w:lineRule="auto" w:line="283" w:before="0" w:after="0"/>
        <w:ind w:left="0" w:right="0" w:hanging="0"/>
        <w:jc w:val="center"/>
        <w:rPr/>
      </w:pPr>
      <w:r>
        <w:rPr/>
        <w:t>​</w:t>
      </w:r>
    </w:p>
    <w:p>
      <w:pPr>
        <w:pStyle w:val="Normal"/>
        <w:spacing w:before="0" w:after="0"/>
        <w:rPr>
          <w:sz w:val="4"/>
          <w:szCs w:val="4"/>
        </w:rPr>
      </w:pPr>
      <w:r>
        <w:rPr>
          <w:sz w:val="4"/>
          <w:szCs w:val="4"/>
        </w:rPr>
      </w:r>
      <w:bookmarkStart w:id="3" w:name="Tc_-FSmW6O8HkqePw-1RuhtmQ_7_2"/>
      <w:bookmarkStart w:id="4" w:name="Tc_qOMs-Yla20OQLTBWC0x2ZA_7_0"/>
      <w:bookmarkStart w:id="5" w:name="Tc_HOO68uWwFEyMYL6mkA6GfA_6_0"/>
      <w:bookmarkStart w:id="6" w:name="Tc_9lzdC_zf5UuZrHS-CU0mOw_5_0"/>
      <w:bookmarkStart w:id="7" w:name="Tc_HQbqT35vvUKXiksW4hqcXg_3_2"/>
      <w:bookmarkStart w:id="8" w:name="Tc_ZHDJZCI1lkaJeNnpi7Pq0w_3_0"/>
      <w:bookmarkStart w:id="9" w:name="Tc_4HFEhnewtkiKLYe1Vjh6tQ_2_2"/>
      <w:bookmarkStart w:id="10" w:name="Tc_fU8RNYk7qUKLEfflM84hjQ_2_0"/>
      <w:bookmarkStart w:id="11" w:name="_e7f04234_4853_40af_8d15_bacdf7a29870"/>
      <w:bookmarkStart w:id="12" w:name="Tc_-FSmW6O8HkqePw-1RuhtmQ_7_2"/>
      <w:bookmarkStart w:id="13" w:name="Tc_qOMs-Yla20OQLTBWC0x2ZA_7_0"/>
      <w:bookmarkStart w:id="14" w:name="Tc_HOO68uWwFEyMYL6mkA6GfA_6_0"/>
      <w:bookmarkStart w:id="15" w:name="Tc_9lzdC_zf5UuZrHS-CU0mOw_5_0"/>
      <w:bookmarkStart w:id="16" w:name="Tc_HQbqT35vvUKXiksW4hqcXg_3_2"/>
      <w:bookmarkStart w:id="17" w:name="Tc_ZHDJZCI1lkaJeNnpi7Pq0w_3_0"/>
      <w:bookmarkStart w:id="18" w:name="Tc_4HFEhnewtkiKLYe1Vjh6tQ_2_2"/>
      <w:bookmarkStart w:id="19" w:name="Tc_fU8RNYk7qUKLEfflM84hjQ_2_0"/>
      <w:bookmarkStart w:id="20" w:name="_e7f04234_4853_40af_8d15_bacdf7a29870"/>
      <w:bookmarkEnd w:id="12"/>
      <w:bookmarkEnd w:id="13"/>
      <w:bookmarkEnd w:id="14"/>
      <w:bookmarkEnd w:id="15"/>
      <w:bookmarkEnd w:id="16"/>
      <w:bookmarkEnd w:id="17"/>
      <w:bookmarkEnd w:id="18"/>
      <w:bookmarkEnd w:id="19"/>
      <w:bookmarkEnd w:id="20"/>
    </w:p>
    <w:tbl>
      <w:tblPr>
        <w:tblW w:w="4963" w:type="dxa"/>
        <w:jc w:val="left"/>
        <w:tblInd w:w="0" w:type="dxa"/>
        <w:tblCellMar>
          <w:top w:w="0" w:type="dxa"/>
          <w:left w:w="0" w:type="dxa"/>
          <w:bottom w:w="0" w:type="dxa"/>
          <w:right w:w="0" w:type="dxa"/>
        </w:tblCellMar>
      </w:tblPr>
      <w:tblGrid>
        <w:gridCol w:w="3076"/>
        <w:gridCol w:w="326"/>
        <w:gridCol w:w="1561"/>
      </w:tblGrid>
      <w:tr>
        <w:trPr/>
        <w:tc>
          <w:tcPr>
            <w:tcW w:w="3076" w:type="dxa"/>
            <w:tcBorders/>
            <w:shd w:fill="auto" w:val="clear"/>
            <w:vAlign w:val="center"/>
          </w:tcPr>
          <w:p>
            <w:pPr>
              <w:pStyle w:val="TableContents"/>
              <w:spacing w:lineRule="auto" w:line="283" w:before="0" w:after="0"/>
              <w:ind w:left="0" w:right="0" w:hanging="0"/>
              <w:rPr/>
            </w:pPr>
            <w:r>
              <w:rPr/>
              <w:t>​</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rPr/>
            </w:pPr>
            <w:r>
              <w:rPr/>
              <w:t>​</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shd w:fill="auto" w:val="clear"/>
            <w:vAlign w:val="center"/>
          </w:tcPr>
          <w:p>
            <w:pPr>
              <w:pStyle w:val="TableContents"/>
              <w:spacing w:lineRule="auto" w:line="283" w:before="0" w:after="0"/>
              <w:ind w:left="0" w:right="0" w:hanging="0"/>
              <w:rPr/>
            </w:pPr>
            <w:r>
              <w:rPr/>
              <w:t>    </w:t>
            </w:r>
          </w:p>
        </w:tc>
        <w:tc>
          <w:tcPr>
            <w:tcW w:w="156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59-0483700</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shd w:fill="auto" w:val="clear"/>
            <w:vAlign w:val="center"/>
          </w:tcPr>
          <w:p>
            <w:pPr>
              <w:pStyle w:val="TableContents"/>
              <w:spacing w:lineRule="auto" w:line="283" w:before="0" w:after="0"/>
              <w:ind w:left="0" w:right="0" w:hanging="0"/>
              <w:jc w:val="center"/>
              <w:rPr/>
            </w:pPr>
            <w:r>
              <w:rPr/>
              <w:t>​</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pPr>
            <w:r>
              <w:rPr/>
              <w:t>​</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8"/>
              </w:rPr>
              <w:t>369 N. New York Avenue,</w:t>
            </w:r>
            <w:r>
              <w:rPr>
                <w:rFonts w:ascii="Times New Roman;Times;serif" w:hAnsi="Times New Roman;Times;serif"/>
                <w:sz w:val="20"/>
              </w:rPr>
              <w:t xml:space="preserve"> </w:t>
            </w:r>
            <w:r>
              <w:rPr>
                <w:rFonts w:ascii="Times New Roman;Times;serif" w:hAnsi="Times New Roman;Times;serif"/>
                <w:b/>
                <w:sz w:val="18"/>
              </w:rPr>
              <w:t>Suite 201</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pPr>
            <w:r>
              <w:rPr/>
              <w:t>​</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shd w:fill="auto" w:val="clear"/>
            <w:vAlign w:val="center"/>
          </w:tcPr>
          <w:p>
            <w:pPr>
              <w:pStyle w:val="TableContents"/>
              <w:spacing w:lineRule="auto" w:line="283" w:before="0" w:after="0"/>
              <w:ind w:left="0" w:right="0" w:hanging="0"/>
              <w:rPr/>
            </w:pPr>
            <w:r>
              <w:rPr/>
              <w:t>​</w:t>
            </w:r>
          </w:p>
        </w:tc>
        <w:tc>
          <w:tcPr>
            <w:tcW w:w="156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spacing w:lineRule="auto" w:line="283" w:before="0" w:after="0"/>
        <w:ind w:left="0" w:right="0" w:hanging="0"/>
        <w:rPr/>
      </w:pPr>
      <w:r>
        <w:rPr/>
        <w:t>​</w:t>
      </w:r>
    </w:p>
    <w:p>
      <w:pPr>
        <w:pStyle w:val="TextBody"/>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spacing w:lineRule="auto" w:line="283" w:before="0" w:after="0"/>
        <w:ind w:left="0" w:right="0" w:hanging="0"/>
        <w:jc w:val="center"/>
        <w:rPr/>
      </w:pPr>
      <w:r>
        <w:rPr/>
        <w:t>​</w:t>
      </w:r>
    </w:p>
    <w:tbl>
      <w:tblPr>
        <w:tblW w:w="6451" w:type="dxa"/>
        <w:jc w:val="left"/>
        <w:tblInd w:w="0" w:type="dxa"/>
        <w:tblCellMar>
          <w:top w:w="0" w:type="dxa"/>
          <w:left w:w="0" w:type="dxa"/>
          <w:bottom w:w="0" w:type="dxa"/>
          <w:right w:w="0" w:type="dxa"/>
        </w:tblCellMar>
      </w:tblPr>
      <w:tblGrid>
        <w:gridCol w:w="6451"/>
      </w:tblGrid>
      <w:tr>
        <w:trPr/>
        <w:tc>
          <w:tcPr>
            <w:tcW w:w="6451" w:type="dxa"/>
            <w:tcBorders/>
            <w:shd w:fill="auto" w:val="clear"/>
            <w:vAlign w:val="center"/>
          </w:tcPr>
          <w:p>
            <w:pPr>
              <w:pStyle w:val="TableContents"/>
              <w:spacing w:before="0" w:after="0"/>
              <w:ind w:left="0" w:right="0" w:hanging="0"/>
              <w:rPr/>
            </w:pPr>
            <w:r>
              <w:rPr/>
              <w:t>​</w:t>
            </w:r>
          </w:p>
        </w:tc>
      </w:tr>
      <w:tr>
        <w:trPr/>
        <w:tc>
          <w:tcPr>
            <w:tcW w:w="645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451"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tc>
      </w:tr>
    </w:tbl>
    <w:p>
      <w:pPr>
        <w:pStyle w:val="TextBody"/>
        <w:spacing w:lineRule="auto" w:line="283" w:before="0" w:after="0"/>
        <w:ind w:left="0" w:right="0" w:hanging="0"/>
        <w:jc w:val="center"/>
        <w:rPr/>
      </w:pPr>
      <w:r>
        <w:rPr/>
        <w:t>​</w:t>
      </w:r>
    </w:p>
    <w:p>
      <w:pPr>
        <w:pStyle w:val="TextBody"/>
        <w:spacing w:lineRule="auto" w:line="283" w:before="0" w:after="240"/>
        <w:ind w:left="0" w:right="0" w:hanging="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spacing w:before="0" w:after="0"/>
        <w:rPr>
          <w:sz w:val="4"/>
          <w:szCs w:val="4"/>
        </w:rPr>
      </w:pPr>
      <w:r>
        <w:rPr>
          <w:sz w:val="4"/>
          <w:szCs w:val="4"/>
        </w:rPr>
      </w:r>
      <w:bookmarkStart w:id="21" w:name="Tc_WEj_yPYQ5kezVm_aUNRehg_1_4"/>
      <w:bookmarkStart w:id="22" w:name="Tc_ZHdMbhh9wkKYxeWW70If7Q_1_2"/>
      <w:bookmarkStart w:id="23" w:name="Tc_zMcI4-ZWtEG4vJr8Ongviw_1_0"/>
      <w:bookmarkStart w:id="24" w:name="_9ee89ae9_cb0e_4a1f_81e2_41375375d8db"/>
      <w:bookmarkStart w:id="25" w:name="Tc_WEj_yPYQ5kezVm_aUNRehg_1_4"/>
      <w:bookmarkStart w:id="26" w:name="Tc_ZHdMbhh9wkKYxeWW70If7Q_1_2"/>
      <w:bookmarkStart w:id="27" w:name="Tc_zMcI4-ZWtEG4vJr8Ongviw_1_0"/>
      <w:bookmarkStart w:id="28" w:name="_9ee89ae9_cb0e_4a1f_81e2_41375375d8db"/>
      <w:bookmarkEnd w:id="25"/>
      <w:bookmarkEnd w:id="26"/>
      <w:bookmarkEnd w:id="27"/>
      <w:bookmarkEnd w:id="28"/>
    </w:p>
    <w:tbl>
      <w:tblPr>
        <w:tblW w:w="8860" w:type="dxa"/>
        <w:jc w:val="left"/>
        <w:tblInd w:w="0" w:type="dxa"/>
        <w:tblCellMar>
          <w:top w:w="0" w:type="dxa"/>
          <w:left w:w="0" w:type="dxa"/>
          <w:bottom w:w="0" w:type="dxa"/>
          <w:right w:w="0" w:type="dxa"/>
        </w:tblCellMar>
      </w:tblPr>
      <w:tblGrid>
        <w:gridCol w:w="3226"/>
        <w:gridCol w:w="326"/>
        <w:gridCol w:w="1441"/>
        <w:gridCol w:w="326"/>
        <w:gridCol w:w="3541"/>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4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541" w:type="dxa"/>
            <w:tcBorders/>
            <w:shd w:fill="auto" w:val="clear"/>
            <w:vAlign w:val="center"/>
          </w:tcPr>
          <w:p>
            <w:pPr>
              <w:pStyle w:val="TableContents"/>
              <w:spacing w:before="0" w:after="283"/>
              <w:ind w:left="0" w:right="0" w:hanging="0"/>
              <w:rPr>
                <w:sz w:val="4"/>
                <w:szCs w:val="4"/>
              </w:rPr>
            </w:pPr>
            <w:r>
              <w:rPr>
                <w:sz w:val="4"/>
                <w:szCs w:val="4"/>
              </w:rPr>
            </w:r>
          </w:p>
        </w:tc>
      </w:tr>
      <w:tr>
        <w:trPr/>
        <w:tc>
          <w:tcPr>
            <w:tcW w:w="3226" w:type="dxa"/>
            <w:tcBorders>
              <w:bottom w:val="single" w:sz="2" w:space="0" w:color="000000"/>
            </w:tcBorders>
            <w:shd w:fill="auto" w:val="clear"/>
            <w:tcMar>
              <w:bottom w:w="28" w:type="dxa"/>
            </w:tcMar>
            <w:vAlign w:val="center"/>
          </w:tcPr>
          <w:p>
            <w:pPr>
              <w:pStyle w:val="TableContents"/>
              <w:pBdr/>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vAlign w:val="center"/>
          </w:tcPr>
          <w:p>
            <w:pPr>
              <w:pStyle w:val="TableContents"/>
              <w:spacing w:lineRule="auto" w:line="283" w:before="0" w:after="0"/>
              <w:ind w:left="0" w:right="0" w:hanging="0"/>
              <w:jc w:val="center"/>
              <w:rPr/>
            </w:pPr>
            <w:r>
              <w:rPr/>
              <w:t>    </w:t>
            </w:r>
          </w:p>
        </w:tc>
        <w:tc>
          <w:tcPr>
            <w:tcW w:w="1441" w:type="dxa"/>
            <w:tcBorders>
              <w:bottom w:val="single" w:sz="2" w:space="0" w:color="000000"/>
            </w:tcBorders>
            <w:shd w:fill="auto" w:val="clear"/>
            <w:tcMar>
              <w:bottom w:w="28" w:type="dxa"/>
            </w:tcM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shd w:fill="auto" w:val="clear"/>
            <w:tcMar>
              <w:bottom w:w="28" w:type="dxa"/>
            </w:tcMar>
            <w:vAlign w:val="center"/>
          </w:tcPr>
          <w:p>
            <w:pPr>
              <w:pStyle w:val="TableContents"/>
              <w:spacing w:lineRule="auto" w:line="283" w:before="0" w:after="0"/>
              <w:ind w:left="0" w:right="0" w:hanging="0"/>
              <w:jc w:val="center"/>
              <w:rPr/>
            </w:pPr>
            <w:r>
              <w:rPr/>
              <w:t>    </w:t>
            </w:r>
          </w:p>
        </w:tc>
        <w:tc>
          <w:tcPr>
            <w:tcW w:w="3541" w:type="dxa"/>
            <w:tcBorders>
              <w:bottom w:val="single" w:sz="2" w:space="0" w:color="000000"/>
            </w:tcBorders>
            <w:shd w:fill="auto" w:val="clear"/>
            <w:tcMar>
              <w:bottom w:w="28" w:type="dxa"/>
            </w:tcMar>
            <w:vAlign w:val="center"/>
          </w:tcPr>
          <w:p>
            <w:pPr>
              <w:pStyle w:val="TableContents"/>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26" w:type="dxa"/>
            <w:tcBorders>
              <w:top w:val="single" w:sz="2" w:space="0" w:color="000000"/>
            </w:tcBorders>
            <w:shd w:fill="auto" w:val="clear"/>
            <w:tcMar>
              <w:top w:w="28" w:type="dxa"/>
            </w:tcMar>
            <w:vAlign w:val="center"/>
          </w:tcPr>
          <w:p>
            <w:pPr>
              <w:pStyle w:val="TableContents"/>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shd w:fill="auto" w:val="clear"/>
            <w:vAlign w:val="center"/>
          </w:tcPr>
          <w:p>
            <w:pPr>
              <w:pStyle w:val="TableContents"/>
              <w:spacing w:lineRule="auto" w:line="283" w:before="0" w:after="0"/>
              <w:ind w:left="0" w:right="0" w:hanging="0"/>
              <w:rPr/>
            </w:pPr>
            <w:r>
              <w:rPr/>
              <w:t>​</w:t>
            </w:r>
          </w:p>
        </w:tc>
        <w:tc>
          <w:tcPr>
            <w:tcW w:w="1441" w:type="dxa"/>
            <w:tcBorders>
              <w:top w:val="single" w:sz="2" w:space="0" w:color="000000"/>
            </w:tcBorders>
            <w:shd w:fill="auto" w:val="clear"/>
            <w:tcMar>
              <w:top w:w="28" w:type="dxa"/>
            </w:tcMar>
            <w:vAlign w:val="center"/>
          </w:tcPr>
          <w:p>
            <w:pPr>
              <w:pStyle w:val="TableContents"/>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26" w:type="dxa"/>
            <w:tcBorders/>
            <w:shd w:fill="auto" w:val="clear"/>
            <w:vAlign w:val="center"/>
          </w:tcPr>
          <w:p>
            <w:pPr>
              <w:pStyle w:val="TableContents"/>
              <w:spacing w:lineRule="auto" w:line="283" w:before="0" w:after="0"/>
              <w:ind w:left="0" w:right="0" w:hanging="0"/>
              <w:rPr/>
            </w:pPr>
            <w:r>
              <w:rPr/>
              <w:t>​</w:t>
            </w:r>
          </w:p>
        </w:tc>
        <w:tc>
          <w:tcPr>
            <w:tcW w:w="3541" w:type="dxa"/>
            <w:tcBorders>
              <w:top w:val="single" w:sz="2" w:space="0" w:color="000000"/>
            </w:tcBorders>
            <w:shd w:fill="auto" w:val="clear"/>
            <w:tcMar>
              <w:top w:w="28" w:type="dxa"/>
            </w:tcMar>
            <w:vAlign w:val="center"/>
          </w:tcPr>
          <w:p>
            <w:pPr>
              <w:pStyle w:val="TableContents"/>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3226" w:type="dxa"/>
            <w:tcBorders/>
            <w:shd w:fill="auto" w:val="clear"/>
            <w:vAlign w:val="center"/>
          </w:tcPr>
          <w:p>
            <w:pPr>
              <w:pStyle w:val="TableContents"/>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6.375% Series A Cumulative Redeemable </w:t>
            </w:r>
          </w:p>
          <w:p>
            <w:pPr>
              <w:pStyle w:val="TableContents"/>
              <w:spacing w:lineRule="auto" w:line="283" w:before="0" w:after="0"/>
              <w:ind w:left="0" w:right="0" w:hanging="0"/>
              <w:jc w:val="center"/>
              <w:rPr>
                <w:rFonts w:ascii="Times New Roman;Times;serif" w:hAnsi="Times New Roman;Times;serif"/>
                <w:sz w:val="16"/>
              </w:rPr>
            </w:pPr>
            <w:r>
              <w:rPr>
                <w:rFonts w:ascii="Times New Roman;Times;serif" w:hAnsi="Times New Roman;Times;serif"/>
                <w:b/>
                <w:sz w:val="16"/>
              </w:rPr>
              <w:t>Preferred Stock, $0.01</w:t>
            </w:r>
            <w:r>
              <w:rPr>
                <w:rFonts w:ascii="Times New Roman;Times;serif" w:hAnsi="Times New Roman;Times;serif"/>
                <w:sz w:val="16"/>
              </w:rPr>
              <w:t xml:space="preserve"> </w:t>
            </w:r>
            <w:r>
              <w:rPr>
                <w:rFonts w:ascii="Times New Roman;Times;serif" w:hAnsi="Times New Roman;Times;serif"/>
                <w:b/>
                <w:sz w:val="16"/>
              </w:rPr>
              <w:t>par value per share</w:t>
            </w:r>
          </w:p>
        </w:tc>
        <w:tc>
          <w:tcPr>
            <w:tcW w:w="326" w:type="dxa"/>
            <w:tcBorders/>
            <w:shd w:fill="auto" w:val="clear"/>
            <w:vAlign w:val="center"/>
          </w:tcPr>
          <w:p>
            <w:pPr>
              <w:pStyle w:val="TableContents"/>
              <w:spacing w:lineRule="auto" w:line="283" w:before="0" w:after="0"/>
              <w:ind w:left="0" w:right="0" w:hanging="0"/>
              <w:rPr/>
            </w:pPr>
            <w:r>
              <w:rPr/>
              <w:t>​</w:t>
            </w:r>
          </w:p>
        </w:tc>
        <w:tc>
          <w:tcPr>
            <w:tcW w:w="1441" w:type="dxa"/>
            <w:tcBorders/>
            <w:shd w:fill="auto" w:val="clear"/>
            <w:vAlign w:val="center"/>
          </w:tcPr>
          <w:p>
            <w:pPr>
              <w:pStyle w:val="TableContents"/>
              <w:spacing w:lineRule="auto" w:line="283" w:before="0" w:after="0"/>
              <w:ind w:left="0" w:right="0" w:hanging="0"/>
              <w:jc w:val="center"/>
              <w:rPr/>
            </w:pPr>
            <w:r>
              <w:rPr/>
              <w:t>​</w:t>
            </w:r>
          </w:p>
          <w:p>
            <w:pPr>
              <w:pStyle w:val="TableContents"/>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 PrA</w:t>
            </w:r>
          </w:p>
        </w:tc>
        <w:tc>
          <w:tcPr>
            <w:tcW w:w="326" w:type="dxa"/>
            <w:tcBorders/>
            <w:shd w:fill="auto" w:val="clear"/>
            <w:vAlign w:val="center"/>
          </w:tcPr>
          <w:p>
            <w:pPr>
              <w:pStyle w:val="TableContents"/>
              <w:spacing w:lineRule="auto" w:line="283" w:before="0" w:after="0"/>
              <w:ind w:left="0" w:right="0" w:hanging="0"/>
              <w:rPr/>
            </w:pPr>
            <w:r>
              <w:rPr/>
              <w:t>​</w:t>
            </w:r>
          </w:p>
        </w:tc>
        <w:tc>
          <w:tcPr>
            <w:tcW w:w="3541" w:type="dxa"/>
            <w:tcBorders/>
            <w:shd w:fill="auto" w:val="clear"/>
            <w:vAlign w:val="center"/>
          </w:tcPr>
          <w:p>
            <w:pPr>
              <w:pStyle w:val="TableContents"/>
              <w:spacing w:lineRule="auto" w:line="283" w:before="0" w:after="0"/>
              <w:ind w:left="0" w:right="0" w:hanging="0"/>
              <w:jc w:val="center"/>
              <w:rPr/>
            </w:pPr>
            <w:r>
              <w:rPr/>
              <w:t>​</w:t>
            </w:r>
          </w:p>
          <w:p>
            <w:pPr>
              <w:pStyle w:val="TableContents"/>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spacing w:lineRule="auto" w:line="283" w:before="0" w:after="0"/>
        <w:ind w:left="0" w:right="0" w:firstLine="490"/>
        <w:rPr/>
      </w:pPr>
      <w:r>
        <w:rPr/>
        <w:t>​</w:t>
      </w:r>
    </w:p>
    <w:p>
      <w:pPr>
        <w:pStyle w:val="TextBody"/>
        <w:spacing w:lineRule="auto" w:line="283" w:before="0" w:after="0"/>
        <w:ind w:left="0" w:right="0" w:firstLine="49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lineRule="auto" w:line="283" w:before="0" w:after="0"/>
        <w:ind w:left="0" w:right="0" w:hanging="0"/>
        <w:rPr/>
      </w:pPr>
      <w:r>
        <w:rPr/>
        <w:t>​</w:t>
      </w:r>
    </w:p>
    <w:p>
      <w:pPr>
        <w:pStyle w:val="TextBody"/>
        <w:spacing w:lineRule="auto" w:line="283" w:before="0" w:after="0"/>
        <w:ind w:left="0" w:right="0" w:firstLine="49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lineRule="auto" w:line="283" w:before="0" w:after="0"/>
        <w:ind w:left="0" w:right="0" w:hanging="0"/>
        <w:rPr/>
      </w:pPr>
      <w:r>
        <w:rPr/>
        <w:t>​</w:t>
      </w:r>
    </w:p>
    <w:p>
      <w:pPr>
        <w:pStyle w:val="TextBody"/>
        <w:spacing w:lineRule="auto" w:line="283" w:before="0" w:after="0"/>
        <w:ind w:left="0" w:right="0" w:firstLine="49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3" w:before="0" w:after="0"/>
        <w:ind w:left="0" w:right="0" w:hanging="0"/>
        <w:rPr/>
      </w:pPr>
      <w:r>
        <w:rPr/>
        <w:t>​</w:t>
      </w:r>
    </w:p>
    <w:p>
      <w:pPr>
        <w:pStyle w:val="Normal"/>
        <w:spacing w:before="0" w:after="0"/>
        <w:rPr>
          <w:sz w:val="4"/>
          <w:szCs w:val="4"/>
        </w:rPr>
      </w:pPr>
      <w:r>
        <w:rPr>
          <w:sz w:val="4"/>
          <w:szCs w:val="4"/>
        </w:rPr>
      </w:r>
      <w:bookmarkStart w:id="29" w:name="Tc_J1tE6UigvkaB3DXMlqmggw_5_3"/>
      <w:bookmarkStart w:id="30" w:name="Tc_uEaBlf1pL0-v0w2N8ZaT4w_3_3"/>
      <w:bookmarkStart w:id="31" w:name="Tc_Ngkp6MDbCkCxrNyT_rCYQw_3_1"/>
      <w:bookmarkStart w:id="32" w:name="Tc_tcUu4RYXSUC4lk_6S50thw_3_0"/>
      <w:bookmarkStart w:id="33" w:name="Tc_v-O1dnmGo0mxLn2oW7WG3Q_1_4"/>
      <w:bookmarkStart w:id="34" w:name="Tc_D7Py2AxNs0eahMrffQJ72g_1_1"/>
      <w:bookmarkStart w:id="35" w:name="Tc_ExaI1VBqikO6m4lv4_kk7g_1_0"/>
      <w:bookmarkStart w:id="36" w:name="_438bff81_bee6_4cb5_8c90_bddb2def7978"/>
      <w:bookmarkStart w:id="37" w:name="Tc_J1tE6UigvkaB3DXMlqmggw_5_3"/>
      <w:bookmarkStart w:id="38" w:name="Tc_uEaBlf1pL0-v0w2N8ZaT4w_3_3"/>
      <w:bookmarkStart w:id="39" w:name="Tc_Ngkp6MDbCkCxrNyT_rCYQw_3_1"/>
      <w:bookmarkStart w:id="40" w:name="Tc_tcUu4RYXSUC4lk_6S50thw_3_0"/>
      <w:bookmarkStart w:id="41" w:name="Tc_v-O1dnmGo0mxLn2oW7WG3Q_1_4"/>
      <w:bookmarkStart w:id="42" w:name="Tc_D7Py2AxNs0eahMrffQJ72g_1_1"/>
      <w:bookmarkStart w:id="43" w:name="Tc_ExaI1VBqikO6m4lv4_kk7g_1_0"/>
      <w:bookmarkStart w:id="44" w:name="_438bff81_bee6_4cb5_8c90_bddb2def7978"/>
      <w:bookmarkEnd w:id="37"/>
      <w:bookmarkEnd w:id="38"/>
      <w:bookmarkEnd w:id="39"/>
      <w:bookmarkEnd w:id="40"/>
      <w:bookmarkEnd w:id="41"/>
      <w:bookmarkEnd w:id="42"/>
      <w:bookmarkEnd w:id="43"/>
      <w:bookmarkEnd w:id="44"/>
    </w:p>
    <w:tbl>
      <w:tblPr>
        <w:tblW w:w="4808" w:type="dxa"/>
        <w:jc w:val="left"/>
        <w:tblInd w:w="0" w:type="dxa"/>
        <w:tblCellMar>
          <w:top w:w="0" w:type="dxa"/>
          <w:left w:w="0" w:type="dxa"/>
          <w:bottom w:w="0" w:type="dxa"/>
          <w:right w:w="0" w:type="dxa"/>
        </w:tblCellMar>
      </w:tblPr>
      <w:tblGrid>
        <w:gridCol w:w="1771"/>
        <w:gridCol w:w="436"/>
        <w:gridCol w:w="109"/>
        <w:gridCol w:w="2131"/>
        <w:gridCol w:w="361"/>
      </w:tblGrid>
      <w:tr>
        <w:trPr/>
        <w:tc>
          <w:tcPr>
            <w:tcW w:w="1771" w:type="dxa"/>
            <w:tcBorders/>
            <w:shd w:fill="auto" w:val="clear"/>
            <w:vAlign w:val="center"/>
          </w:tcPr>
          <w:p>
            <w:pPr>
              <w:pStyle w:val="TableContents"/>
              <w:spacing w:lineRule="auto" w:line="283" w:before="0" w:after="0"/>
              <w:ind w:left="0" w:right="0" w:hanging="0"/>
              <w:rPr/>
            </w:pPr>
            <w:r>
              <w:rPr/>
              <w:t>​</w:t>
            </w:r>
          </w:p>
        </w:tc>
        <w:tc>
          <w:tcPr>
            <w:tcW w:w="436" w:type="dxa"/>
            <w:tcBorders/>
            <w:shd w:fill="auto" w:val="clear"/>
            <w:vAlign w:val="center"/>
          </w:tcPr>
          <w:p>
            <w:pPr>
              <w:pStyle w:val="TableContents"/>
              <w:spacing w:lineRule="auto" w:line="283" w:before="0" w:after="0"/>
              <w:ind w:left="0" w:right="0" w:hanging="0"/>
              <w:rPr/>
            </w:pPr>
            <w:r>
              <w:rPr/>
              <w:t>​</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pPr>
            <w:r>
              <w:rPr/>
              <w:t>​</w:t>
            </w:r>
          </w:p>
        </w:tc>
        <w:tc>
          <w:tcPr>
            <w:tcW w:w="361" w:type="dxa"/>
            <w:tcBorders/>
            <w:shd w:fill="auto" w:val="clear"/>
            <w:vAlign w:val="center"/>
          </w:tcPr>
          <w:p>
            <w:pPr>
              <w:pStyle w:val="TableContents"/>
              <w:spacing w:lineRule="auto" w:line="283" w:before="0" w:after="0"/>
              <w:ind w:left="0" w:right="0" w:hanging="0"/>
              <w:rPr/>
            </w:pPr>
            <w:r>
              <w:rPr/>
              <w:t>​</w:t>
            </w:r>
          </w:p>
        </w:tc>
      </w:tr>
      <w:tr>
        <w:trPr/>
        <w:tc>
          <w:tcPr>
            <w:tcW w:w="1771" w:type="dxa"/>
            <w:tcBorders/>
            <w:shd w:fill="auto" w:val="clear"/>
            <w:vAlign w:val="center"/>
          </w:tcPr>
          <w:p>
            <w:pPr>
              <w:pStyle w:val="TableContents"/>
              <w:spacing w:lineRule="auto" w:line="283" w:before="0" w:after="0"/>
              <w:ind w:left="0" w:right="0" w:hanging="0"/>
              <w:rPr>
                <w:rFonts w:ascii="Times New Roman;Times;serif" w:hAnsi="Times New Roman;Times;serif"/>
                <w:sz w:val="18"/>
              </w:rPr>
            </w:pPr>
            <w:r>
              <w:rPr>
                <w:rFonts w:ascii="Times New Roman;Times;serif" w:hAnsi="Times New Roman;Times;serif"/>
                <w:sz w:val="18"/>
              </w:rPr>
              <w:t>Large Accelerated Filer</w:t>
            </w:r>
          </w:p>
        </w:tc>
        <w:tc>
          <w:tcPr>
            <w:tcW w:w="436" w:type="dxa"/>
            <w:tcBorders/>
            <w:shd w:fill="auto" w:val="clear"/>
            <w:vAlign w:val="center"/>
          </w:tcPr>
          <w:p>
            <w:pPr>
              <w:pStyle w:val="TableContents"/>
              <w:spacing w:lineRule="auto" w:line="283" w:before="0" w:after="0"/>
              <w:ind w:left="0" w:right="0" w:hanging="0"/>
              <w:rPr/>
            </w:pPr>
            <w:r>
              <w:rPr/>
              <w:t>☐</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rFonts w:ascii="Times New Roman;Times;serif" w:hAnsi="Times New Roman;Times;serif"/>
                <w:sz w:val="18"/>
              </w:rPr>
            </w:pPr>
            <w:r>
              <w:rPr>
                <w:rFonts w:ascii="Times New Roman;Times;serif" w:hAnsi="Times New Roman;Times;serif"/>
                <w:sz w:val="18"/>
              </w:rPr>
              <w:t>Accelerated Filer</w:t>
            </w:r>
          </w:p>
        </w:tc>
        <w:tc>
          <w:tcPr>
            <w:tcW w:w="361" w:type="dxa"/>
            <w:tcBorders/>
            <w:shd w:fill="auto" w:val="clear"/>
            <w:vAlign w:val="center"/>
          </w:tcPr>
          <w:p>
            <w:pPr>
              <w:pStyle w:val="TableContents"/>
              <w:spacing w:lineRule="auto" w:line="283" w:before="0" w:after="0"/>
              <w:ind w:left="0" w:right="0" w:hanging="0"/>
              <w:rPr/>
            </w:pPr>
            <w:r>
              <w:rPr/>
              <w:t>☒</w:t>
            </w:r>
          </w:p>
        </w:tc>
      </w:tr>
      <w:tr>
        <w:trPr/>
        <w:tc>
          <w:tcPr>
            <w:tcW w:w="1771" w:type="dxa"/>
            <w:tcBorders/>
            <w:shd w:fill="auto" w:val="clear"/>
            <w:vAlign w:val="center"/>
          </w:tcPr>
          <w:p>
            <w:pPr>
              <w:pStyle w:val="TableContents"/>
              <w:spacing w:lineRule="auto" w:line="283" w:before="0" w:after="0"/>
              <w:ind w:left="0" w:right="0" w:hanging="0"/>
              <w:rPr/>
            </w:pPr>
            <w:r>
              <w:rPr/>
              <w:t>​</w:t>
            </w:r>
          </w:p>
        </w:tc>
        <w:tc>
          <w:tcPr>
            <w:tcW w:w="436" w:type="dxa"/>
            <w:tcBorders/>
            <w:shd w:fill="auto" w:val="clear"/>
            <w:vAlign w:val="center"/>
          </w:tcPr>
          <w:p>
            <w:pPr>
              <w:pStyle w:val="TableContents"/>
              <w:spacing w:lineRule="auto" w:line="283" w:before="0" w:after="0"/>
              <w:ind w:left="0" w:right="0" w:hanging="0"/>
              <w:rPr/>
            </w:pPr>
            <w:r>
              <w:rPr/>
              <w:t>​</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pPr>
            <w:r>
              <w:rPr/>
              <w:t>​</w:t>
            </w:r>
          </w:p>
        </w:tc>
        <w:tc>
          <w:tcPr>
            <w:tcW w:w="361" w:type="dxa"/>
            <w:tcBorders/>
            <w:shd w:fill="auto" w:val="clear"/>
            <w:vAlign w:val="center"/>
          </w:tcPr>
          <w:p>
            <w:pPr>
              <w:pStyle w:val="TableContents"/>
              <w:spacing w:lineRule="auto" w:line="283" w:before="0" w:after="0"/>
              <w:ind w:left="0" w:right="0" w:hanging="0"/>
              <w:rPr/>
            </w:pPr>
            <w:r>
              <w:rPr/>
              <w:t>​</w:t>
            </w:r>
          </w:p>
        </w:tc>
      </w:tr>
      <w:tr>
        <w:trPr/>
        <w:tc>
          <w:tcPr>
            <w:tcW w:w="1771" w:type="dxa"/>
            <w:tcBorders/>
            <w:shd w:fill="auto" w:val="clear"/>
            <w:vAlign w:val="center"/>
          </w:tcPr>
          <w:p>
            <w:pPr>
              <w:pStyle w:val="TableContents"/>
              <w:spacing w:lineRule="auto" w:line="283" w:before="0" w:after="0"/>
              <w:ind w:left="0" w:right="0" w:hanging="0"/>
              <w:rPr>
                <w:rFonts w:ascii="Times New Roman;Times;serif" w:hAnsi="Times New Roman;Times;serif"/>
                <w:sz w:val="18"/>
              </w:rPr>
            </w:pPr>
            <w:r>
              <w:rPr>
                <w:rFonts w:ascii="Times New Roman;Times;serif" w:hAnsi="Times New Roman;Times;serif"/>
                <w:sz w:val="18"/>
              </w:rPr>
              <w:t>Non-accelerated Filer</w:t>
            </w:r>
          </w:p>
        </w:tc>
        <w:tc>
          <w:tcPr>
            <w:tcW w:w="436" w:type="dxa"/>
            <w:tcBorders/>
            <w:shd w:fill="auto" w:val="clear"/>
            <w:vAlign w:val="center"/>
          </w:tcPr>
          <w:p>
            <w:pPr>
              <w:pStyle w:val="TableContents"/>
              <w:spacing w:lineRule="auto" w:line="283" w:before="0" w:after="0"/>
              <w:ind w:left="0" w:right="0" w:hanging="0"/>
              <w:rPr/>
            </w:pPr>
            <w:r>
              <w:rPr/>
              <w:t>☐  </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rFonts w:ascii="Times New Roman;Times;serif" w:hAnsi="Times New Roman;Times;serif"/>
                <w:sz w:val="18"/>
              </w:rPr>
            </w:pPr>
            <w:r>
              <w:rPr>
                <w:rFonts w:ascii="Times New Roman;Times;serif" w:hAnsi="Times New Roman;Times;serif"/>
                <w:sz w:val="18"/>
              </w:rPr>
              <w:t>Smaller Reporting Company</w:t>
            </w:r>
          </w:p>
        </w:tc>
        <w:tc>
          <w:tcPr>
            <w:tcW w:w="361" w:type="dxa"/>
            <w:tcBorders/>
            <w:shd w:fill="auto" w:val="clear"/>
            <w:vAlign w:val="center"/>
          </w:tcPr>
          <w:p>
            <w:pPr>
              <w:pStyle w:val="TableContents"/>
              <w:spacing w:lineRule="auto" w:line="283" w:before="0" w:after="0"/>
              <w:ind w:left="0" w:right="0" w:hanging="0"/>
              <w:rPr/>
            </w:pPr>
            <w:r>
              <w:rPr/>
              <w:t>☐</w:t>
            </w:r>
          </w:p>
        </w:tc>
      </w:tr>
      <w:tr>
        <w:trPr/>
        <w:tc>
          <w:tcPr>
            <w:tcW w:w="1771" w:type="dxa"/>
            <w:tcBorders/>
            <w:shd w:fill="auto" w:val="clear"/>
            <w:vAlign w:val="center"/>
          </w:tcPr>
          <w:p>
            <w:pPr>
              <w:pStyle w:val="TableContents"/>
              <w:spacing w:lineRule="auto" w:line="283" w:before="0" w:after="0"/>
              <w:ind w:left="0" w:right="0" w:hanging="0"/>
              <w:rPr/>
            </w:pPr>
            <w:r>
              <w:rPr/>
              <w:t>​</w:t>
            </w:r>
          </w:p>
        </w:tc>
        <w:tc>
          <w:tcPr>
            <w:tcW w:w="436" w:type="dxa"/>
            <w:tcBorders/>
            <w:shd w:fill="auto" w:val="clear"/>
            <w:vAlign w:val="center"/>
          </w:tcPr>
          <w:p>
            <w:pPr>
              <w:pStyle w:val="TableContents"/>
              <w:spacing w:lineRule="auto" w:line="283" w:before="0" w:after="0"/>
              <w:ind w:left="0" w:right="0" w:hanging="0"/>
              <w:rPr/>
            </w:pPr>
            <w:r>
              <w:rPr/>
              <w:t>​</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pPr>
            <w:r>
              <w:rPr/>
              <w:t>​</w:t>
            </w:r>
          </w:p>
        </w:tc>
        <w:tc>
          <w:tcPr>
            <w:tcW w:w="361" w:type="dxa"/>
            <w:tcBorders/>
            <w:shd w:fill="auto" w:val="clear"/>
            <w:vAlign w:val="center"/>
          </w:tcPr>
          <w:p>
            <w:pPr>
              <w:pStyle w:val="TableContents"/>
              <w:spacing w:lineRule="auto" w:line="283" w:before="0" w:after="0"/>
              <w:ind w:left="0" w:right="0" w:hanging="0"/>
              <w:rPr/>
            </w:pPr>
            <w:r>
              <w:rPr/>
              <w:t>​</w:t>
            </w:r>
          </w:p>
        </w:tc>
      </w:tr>
      <w:tr>
        <w:trPr/>
        <w:tc>
          <w:tcPr>
            <w:tcW w:w="1771" w:type="dxa"/>
            <w:tcBorders/>
            <w:shd w:fill="auto" w:val="clear"/>
            <w:vAlign w:val="center"/>
          </w:tcPr>
          <w:p>
            <w:pPr>
              <w:pStyle w:val="TableContents"/>
              <w:spacing w:lineRule="auto" w:line="283" w:before="0" w:after="0"/>
              <w:ind w:left="0" w:right="0" w:hanging="0"/>
              <w:rPr/>
            </w:pPr>
            <w:r>
              <w:rPr/>
              <w:t>​</w:t>
            </w:r>
          </w:p>
        </w:tc>
        <w:tc>
          <w:tcPr>
            <w:tcW w:w="436" w:type="dxa"/>
            <w:tcBorders/>
            <w:shd w:fill="auto" w:val="clear"/>
            <w:vAlign w:val="center"/>
          </w:tcPr>
          <w:p>
            <w:pPr>
              <w:pStyle w:val="TableContents"/>
              <w:spacing w:lineRule="auto" w:line="283" w:before="0" w:after="0"/>
              <w:ind w:left="0" w:right="0" w:hanging="0"/>
              <w:rPr/>
            </w:pPr>
            <w:r>
              <w:rPr/>
              <w:t>​</w:t>
            </w:r>
          </w:p>
        </w:tc>
        <w:tc>
          <w:tcPr>
            <w:tcW w:w="109" w:type="dxa"/>
            <w:tcBorders/>
            <w:shd w:fill="auto" w:val="clear"/>
            <w:vAlign w:val="center"/>
          </w:tcPr>
          <w:p>
            <w:pPr>
              <w:pStyle w:val="TableContents"/>
              <w:spacing w:lineRule="auto" w:line="283" w:before="0" w:after="0"/>
              <w:ind w:left="0" w:right="0" w:hanging="0"/>
              <w:rPr/>
            </w:pPr>
            <w:r>
              <w:rPr/>
              <w:t>​</w:t>
            </w:r>
          </w:p>
        </w:tc>
        <w:tc>
          <w:tcPr>
            <w:tcW w:w="2131" w:type="dxa"/>
            <w:tcBorders/>
            <w:shd w:fill="auto" w:val="clear"/>
            <w:vAlign w:val="center"/>
          </w:tcPr>
          <w:p>
            <w:pPr>
              <w:pStyle w:val="TableContents"/>
              <w:spacing w:lineRule="auto" w:line="283" w:before="0" w:after="0"/>
              <w:ind w:left="0" w:right="0" w:hanging="0"/>
              <w:rPr>
                <w:rFonts w:ascii="Times New Roman;Times;serif" w:hAnsi="Times New Roman;Times;serif"/>
                <w:sz w:val="18"/>
              </w:rPr>
            </w:pPr>
            <w:r>
              <w:rPr>
                <w:rFonts w:ascii="Times New Roman;Times;serif" w:hAnsi="Times New Roman;Times;serif"/>
                <w:sz w:val="18"/>
              </w:rPr>
              <w:t>Emerging Growth Company</w:t>
            </w:r>
          </w:p>
        </w:tc>
        <w:tc>
          <w:tcPr>
            <w:tcW w:w="361" w:type="dxa"/>
            <w:tcBorders/>
            <w:shd w:fill="auto" w:val="clear"/>
            <w:vAlign w:val="center"/>
          </w:tcPr>
          <w:p>
            <w:pPr>
              <w:pStyle w:val="TableContents"/>
              <w:spacing w:lineRule="auto" w:line="283" w:before="0" w:after="0"/>
              <w:ind w:left="0" w:right="0" w:hanging="0"/>
              <w:rPr/>
            </w:pPr>
            <w:r>
              <w:rPr/>
              <w:t>☐</w:t>
            </w:r>
          </w:p>
        </w:tc>
      </w:tr>
    </w:tbl>
    <w:p>
      <w:pPr>
        <w:pStyle w:val="TextBody"/>
        <w:spacing w:lineRule="auto" w:line="283" w:before="0" w:after="0"/>
        <w:ind w:left="0" w:right="0" w:hanging="0"/>
        <w:rPr/>
      </w:pPr>
      <w:r>
        <w:rPr/>
        <w:t>​</w:t>
      </w:r>
    </w:p>
    <w:p>
      <w:pPr>
        <w:pStyle w:val="TextBody"/>
        <w:spacing w:lineRule="auto" w:line="283" w:before="0" w:after="0"/>
        <w:ind w:left="0" w:right="0" w:firstLine="490"/>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3" w:before="0" w:after="0"/>
        <w:ind w:left="0" w:right="0" w:hanging="0"/>
        <w:jc w:val="both"/>
        <w:rPr/>
      </w:pPr>
      <w:r>
        <w:rPr/>
        <w:t>​</w:t>
      </w:r>
    </w:p>
    <w:p>
      <w:pPr>
        <w:pStyle w:val="TextBody"/>
        <w:spacing w:lineRule="auto" w:line="283" w:before="0" w:after="0"/>
        <w:ind w:left="0" w:right="0" w:firstLine="490"/>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lineRule="auto" w:line="283" w:before="0" w:after="0"/>
        <w:ind w:left="0" w:right="0" w:hanging="0"/>
        <w:rPr/>
      </w:pPr>
      <w:r>
        <w:rPr/>
        <w:t>​</w:t>
      </w:r>
    </w:p>
    <w:p>
      <w:pPr>
        <w:pStyle w:val="TextBody"/>
        <w:spacing w:lineRule="auto" w:line="283" w:before="0" w:after="0"/>
        <w:ind w:left="0" w:right="0" w:firstLine="490"/>
        <w:rPr>
          <w:rFonts w:ascii="Times New Roman;Times;serif" w:hAnsi="Times New Roman;Times;serif"/>
          <w:sz w:val="18"/>
        </w:rPr>
      </w:pPr>
      <w:r>
        <w:rPr>
          <w:rFonts w:ascii="Times New Roman;Times;serif" w:hAnsi="Times New Roman;Times;serif"/>
          <w:sz w:val="18"/>
        </w:rPr>
        <w:t>As of April 20, 2023, there were 22,701,429 shares of the registrant’s common stock, $0.01 par value per share, outstanding.</w:t>
      </w:r>
    </w:p>
    <w:p>
      <w:pPr>
        <w:pStyle w:val="TextBody"/>
        <w:spacing w:lineRule="auto" w:line="283" w:before="0" w:after="0"/>
        <w:ind w:left="0" w:right="0" w:hanging="0"/>
        <w:jc w:val="center"/>
        <w:rPr/>
      </w:pPr>
      <w:r>
        <w:rPr/>
        <w:t>​</w:t>
      </w:r>
    </w:p>
    <w:p>
      <w:pPr>
        <w:pStyle w:val="TextBody"/>
        <w:pBdr>
          <w:bottom w:val="single" w:sz="8" w:space="1" w:color="000000"/>
        </w:pBdr>
        <w:spacing w:before="0" w:after="0"/>
        <w:ind w:left="0" w:right="0" w:hanging="0"/>
        <w:jc w:val="center"/>
        <w:rPr>
          <w:bdr w:val="single" w:sz="24" w:space="1" w:color="000000"/>
        </w:rPr>
      </w:pPr>
      <w:r>
        <w:rPr>
          <w:bdr w:val="single" w:sz="24" w:space="1" w:color="000000"/>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45" w:name="Toc"/>
      <w:bookmarkStart w:id="46" w:name="_fe43d0e8_2a51_4fd4_bc13_4978a3c933a6"/>
      <w:bookmarkEnd w:id="45"/>
      <w:bookmarkEnd w:id="46"/>
      <w:r>
        <w:rPr>
          <w:rFonts w:ascii="Times New Roman;Times;serif" w:hAnsi="Times New Roman;Times;serif"/>
          <w:sz w:val="20"/>
        </w:rPr>
        <w:t>INDEX</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308"/>
        <w:gridCol w:w="326"/>
        <w:gridCol w:w="571"/>
      </w:tblGrid>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shd w:fill="auto" w:val="clear"/>
            <w:vAlign w:val="center"/>
          </w:tcPr>
          <w:p>
            <w:pPr>
              <w:pStyle w:val="TableContents"/>
              <w:spacing w:before="0" w:after="0"/>
              <w:ind w:left="0" w:right="0" w:hanging="0"/>
              <w:rPr/>
            </w:pPr>
            <w:hyperlink w:anchor="PARTIFINANCIALINFORMATION_609111">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1FINANCIALSTATEMENTS_334556">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CONSOLIDATEDBALANCESHEETS">
              <w:r>
                <w:rPr>
                  <w:rStyle w:val="InternetLink"/>
                  <w:rFonts w:ascii="Times New Roman;Times;serif" w:hAnsi="Times New Roman;Times;serif"/>
                  <w:b w:val="false"/>
                  <w:i w:val="false"/>
                  <w:caps w:val="false"/>
                  <w:smallCaps w:val="false"/>
                  <w:sz w:val="20"/>
                </w:rPr>
                <w:t>Consolidated Balance Sheets – March 31, 2023 (Unaudited) and December 31, 2022</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CONSOLIDATEDSTATEMENTSOFOPERATIONS_48896">
              <w:r>
                <w:rPr>
                  <w:rStyle w:val="InternetLink"/>
                  <w:rFonts w:ascii="Times New Roman;Times;serif" w:hAnsi="Times New Roman;Times;serif"/>
                  <w:b w:val="false"/>
                  <w:i w:val="false"/>
                  <w:caps w:val="false"/>
                  <w:smallCaps w:val="false"/>
                  <w:sz w:val="20"/>
                </w:rPr>
                <w:t>Consolidated Statements of Operations –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pBdr/>
              <w:spacing w:before="0" w:after="0"/>
              <w:ind w:left="0" w:right="0" w:hanging="0"/>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pBdr/>
              <w:spacing w:before="0" w:after="0"/>
              <w:ind w:left="0" w:right="0" w:hanging="0"/>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CONSOLIDATEDSTATEMENTSOFCASHFLOWS_277552">
              <w:r>
                <w:rPr>
                  <w:rStyle w:val="InternetLink"/>
                  <w:rFonts w:ascii="Times New Roman;Times;serif" w:hAnsi="Times New Roman;Times;serif"/>
                  <w:b w:val="false"/>
                  <w:i w:val="false"/>
                  <w:caps w:val="false"/>
                  <w:smallCaps w:val="false"/>
                  <w:sz w:val="20"/>
                </w:rPr>
                <w:t>Consolidated Statements of Cash Flows –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NOTE1DESCRIPTIONOFBUSINESSANDPRINCIPL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2MANAGEMENTSDISCUSSIONANDANALYSIS_90">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3QUANTITATIVEANDQUALITATIVE_87114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4CONTROLSANDPROCEDURES_992496">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PARTIIOTHERINFORMATION_47745">
              <w:r>
                <w:rPr>
                  <w:rStyle w:val="InternetLink"/>
                  <w:rFonts w:ascii="Times New Roman;Times;serif" w:hAnsi="Times New Roman;Times;serif"/>
                  <w:b w:val="false"/>
                  <w:i w:val="false"/>
                  <w:caps w:val="false"/>
                  <w:smallCaps w:val="false"/>
                  <w:sz w:val="20"/>
                </w:rPr>
                <w:t>PART II—OTHER INFORMATION</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1LEGALPROCEEDINGS_995157">
              <w:r>
                <w:rPr>
                  <w:rStyle w:val="InternetLink"/>
                  <w:rFonts w:ascii="Times New Roman;Times;serif" w:hAnsi="Times New Roman;Times;serif"/>
                  <w:b w:val="false"/>
                  <w:i w:val="false"/>
                  <w:caps w:val="false"/>
                  <w:smallCaps w:val="false"/>
                  <w:sz w:val="20"/>
                </w:rPr>
                <w:t>Item 1.      Legal Proceedings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1ARISKFACTORS_785246">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2UNREGISTEREDSALESOFEQUITY_22926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3DEFAULTSUPONSENIORSECURITIES_987801">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4MINESAFETYDISCLOSURES_773804">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5OTHERINFORMATION_783928">
              <w:r>
                <w:rPr>
                  <w:rStyle w:val="InternetLink"/>
                  <w:rFonts w:ascii="Times New Roman;Times;serif" w:hAnsi="Times New Roman;Times;serif"/>
                  <w:b w:val="false"/>
                  <w:i w:val="false"/>
                  <w:caps w:val="false"/>
                  <w:smallCaps w:val="false"/>
                  <w:sz w:val="20"/>
                </w:rPr>
                <w:t>Item 5.      Other Information</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ITEM6EXHIBITS_552522">
              <w:r>
                <w:rPr>
                  <w:rStyle w:val="InternetLink"/>
                  <w:rFonts w:ascii="Times New Roman;Times;serif" w:hAnsi="Times New Roman;Times;serif"/>
                  <w:b w:val="false"/>
                  <w:i w:val="false"/>
                  <w:caps w:val="false"/>
                  <w:smallCaps w:val="false"/>
                  <w:sz w:val="20"/>
                </w:rPr>
                <w:t>Item 6.      Exhibits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308" w:type="dxa"/>
            <w:tcBorders/>
            <w:shd w:fill="auto" w:val="clear"/>
            <w:vAlign w:val="center"/>
          </w:tcPr>
          <w:p>
            <w:pPr>
              <w:pStyle w:val="TableContents"/>
              <w:spacing w:before="0" w:after="0"/>
              <w:ind w:left="0" w:right="0" w:hanging="0"/>
              <w:rPr/>
            </w:pPr>
            <w:hyperlink w:anchor="Signatures_930257">
              <w:r>
                <w:rPr>
                  <w:rStyle w:val="InternetLink"/>
                  <w:rFonts w:ascii="Times New Roman;Times;serif" w:hAnsi="Times New Roman;Times;serif"/>
                  <w:b w:val="false"/>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7" w:name="PARTIFINANCIALINFORMATION_609111"/>
      <w:bookmarkStart w:id="48" w:name="_d91ba33d_d901_4aa4_93bd_b4d94c389f6a"/>
      <w:bookmarkEnd w:id="47"/>
      <w:bookmarkEnd w:id="48"/>
      <w:r>
        <w:rPr>
          <w:rFonts w:ascii="Times New Roman;Times;serif" w:hAnsi="Times New Roman;Times;serif"/>
          <w:b/>
          <w:sz w:val="20"/>
        </w:rPr>
        <w:t>PART I—FINANCIAL INFORMATION</w:t>
      </w:r>
    </w:p>
    <w:p>
      <w:pPr>
        <w:pStyle w:val="TextBody"/>
        <w:spacing w:before="0" w:after="0"/>
        <w:ind w:left="0" w:right="0" w:hanging="0"/>
        <w:jc w:val="center"/>
        <w:rPr>
          <w:rFonts w:ascii="Times New Roman;Times;serif" w:hAnsi="Times New Roman;Times;serif"/>
          <w:b/>
          <w:sz w:val="20"/>
        </w:rPr>
      </w:pPr>
      <w:bookmarkStart w:id="49" w:name="ITEM1FINANCIALSTATEMENTS_334556"/>
      <w:bookmarkEnd w:id="49"/>
      <w:r>
        <w:rPr>
          <w:rFonts w:ascii="Times New Roman;Times;serif" w:hAnsi="Times New Roman;Times;serif"/>
          <w:b/>
          <w:sz w:val="20"/>
        </w:rPr>
        <w:t>ITEM 1. FINANCIAL STATEMENTS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51" w:name="Tc_eP0tkLxcMUKWpg_0ihBE5Q_41_5"/>
      <w:bookmarkStart w:id="52" w:name="Tc_o8u3NjeV5UeLbrJ7G39mcQ_41_2"/>
      <w:bookmarkStart w:id="53" w:name="Tc_GPAzHHD9UUel622VGMPdsg_41_0"/>
      <w:bookmarkStart w:id="54" w:name="Tc_WY7Y1c-R4kieRv6I6ELvzg_40_0"/>
      <w:bookmarkStart w:id="55" w:name="Tc_UGaRIxHQd0aQnaeI2kaWyQ_39_0"/>
      <w:bookmarkStart w:id="56" w:name="Tc_z648X3QAwk-RdyAgmzzqPQ_38_0"/>
      <w:bookmarkStart w:id="57" w:name="Tc_QmmiPwiRrEmF-a4vYtVA6w_37_0"/>
      <w:bookmarkStart w:id="58" w:name="Tc_O-eERp9cB0mxsTUdXW5xqQ_36_0"/>
      <w:bookmarkStart w:id="59" w:name="Tc_ckk6bnoi30i8I_aenIbshQ_35_0"/>
      <w:bookmarkStart w:id="60" w:name="Tc_fPSvfXj1pkGThXg6gHfMDw_34_0"/>
      <w:bookmarkStart w:id="61" w:name="Tc_jwlM7rqcWUqQkjPMv-tR1g_33_0"/>
      <w:bookmarkStart w:id="62" w:name="Tc_soddKx5sAkCok0NJsCt8Sg_32_0"/>
      <w:bookmarkStart w:id="63" w:name="Tc_CfBnIMqLikCWf-eGJ3_VHA_31_0"/>
      <w:bookmarkStart w:id="64" w:name="Tc_u9wWWTlZBki37lL0Fp9sJw_30_0"/>
      <w:bookmarkStart w:id="65" w:name="Tc_30WFuSzC3EyN-eiI7yPGPQ_29_0"/>
      <w:bookmarkStart w:id="66" w:name="Tc_PRuHIM0jC0mxaawf0qiSSQ_28_0"/>
      <w:bookmarkStart w:id="67" w:name="Tc_-9MdC01XBE6PFFlldPNHCA_27_5"/>
      <w:bookmarkStart w:id="68" w:name="Tc_jfR4lhcMAkuhqTWoSTwNQg_27_2"/>
      <w:bookmarkStart w:id="69" w:name="Tc_wEPNMqRnuke4bsVi3O3HMg_27_0"/>
      <w:bookmarkStart w:id="70" w:name="Tc_X8nSSju990qKMAr3VR4Lyg_26_0"/>
      <w:bookmarkStart w:id="71" w:name="Tc_wMJcQ1RfL0O-kvb6SNdoGQ_25_0"/>
      <w:bookmarkStart w:id="72" w:name="Tc_CUb9I0JmyEe30bgX20M1Gg_24_5"/>
      <w:bookmarkStart w:id="73" w:name="Tc_cNkQzBnz6kK63iO0KajXKw_24_2"/>
      <w:bookmarkStart w:id="74" w:name="Tc_4ltG-pzk9UKtV53BB9KlSA_24_0"/>
      <w:bookmarkStart w:id="75" w:name="Tc_rYWBKLIOA0Oh3cAjUFUQoA_23_0"/>
      <w:bookmarkStart w:id="76" w:name="Tc_HJkJI6bsi0C9dreAFxRaWQ_22_0"/>
      <w:bookmarkStart w:id="77" w:name="Tc_fG1Wqe0EHUSGfbn_P_st9g_21_0"/>
      <w:bookmarkStart w:id="78" w:name="Tc_VdVsmOg7DkWY_2MXbWqcpg_20_0"/>
      <w:bookmarkStart w:id="79" w:name="Tc_dJmHaicY2EWGM3G18bqzng_19_0"/>
      <w:bookmarkStart w:id="80" w:name="Tc_k71NG9b_VEuPjfDCHMJy6g_18_0"/>
      <w:bookmarkStart w:id="81" w:name="Tc_L1W9HCVx1kCb-G-XKqd11w_17_3"/>
      <w:bookmarkStart w:id="82" w:name="Tc_ZDYPgn4fl0unix00H5iu9w_17_0"/>
      <w:bookmarkStart w:id="83" w:name="Tc_bgaj_lv0GUan5Km4lbTnhA_16_0"/>
      <w:bookmarkStart w:id="84" w:name="Tc_FpziKzhsKUyHxJfxhXcRpA_15_0"/>
      <w:bookmarkStart w:id="85" w:name="Tc_niddnwNq802yIPDJlGDACA_14_6"/>
      <w:bookmarkStart w:id="86" w:name="Tc_Bn4zrDOXmU-VU4_Mrjow3w_14_0"/>
      <w:bookmarkStart w:id="87" w:name="Tc_H7WjBF8BmU-kVwBKZIvtqQ_13_0"/>
      <w:bookmarkStart w:id="88" w:name="Tc_j8etSLBEnEKnN3NchLjzVw_12_0"/>
      <w:bookmarkStart w:id="89" w:name="Tc_t-2DXDvxi0OMnmNtIHnoiQ_11_0"/>
      <w:bookmarkStart w:id="90" w:name="Tc_VQ0TEojVzkaeQtcytWiSzA_10_0"/>
      <w:bookmarkStart w:id="91" w:name="Tc_5PozYPSh0kisudEUF5W4yw_9_0"/>
      <w:bookmarkStart w:id="92" w:name="Tc_ST3oUu4XTkmzkBjeGfMksg_8_0"/>
      <w:bookmarkStart w:id="93" w:name="Tc_kv67rtpH9k-XyLfVWRpUxA_7_0"/>
      <w:bookmarkStart w:id="94" w:name="Tc_52IvNUYmb0OvokZozCZGsg_6_0"/>
      <w:bookmarkStart w:id="95" w:name="Tc_NZQeGNdM60CMxC4I8Ej8lw_5_5"/>
      <w:bookmarkStart w:id="96" w:name="Tc_nidIKsbY2UCP7q3O0lfIpg_5_2"/>
      <w:bookmarkStart w:id="97" w:name="Tc_tJh4ytXyukq2yFKDqQI5HA_5_0"/>
      <w:bookmarkStart w:id="98" w:name="Tc_tVS25y5V-ki9muUgkmsOIA_4_0"/>
      <w:bookmarkStart w:id="99" w:name="Tc_04bgohZq7ESQogmKap5LsA_3_0"/>
      <w:bookmarkStart w:id="100" w:name="Tc_wA5kDY7dm0KECD0TY3SZpA_2_5"/>
      <w:bookmarkStart w:id="101" w:name="Tc_S6hqOo4-80210Ah7Avk_5w_2_2"/>
      <w:bookmarkStart w:id="102" w:name="Tc_I0kVsWsQpE-pBovkxnv44w_1_2"/>
      <w:bookmarkStart w:id="103" w:name="_072f47aa_2fec_4474_90c4_971cb29a3b3c"/>
      <w:bookmarkStart w:id="104" w:name="Tc_eP0tkLxcMUKWpg_0ihBE5Q_41_5"/>
      <w:bookmarkStart w:id="105" w:name="Tc_o8u3NjeV5UeLbrJ7G39mcQ_41_2"/>
      <w:bookmarkStart w:id="106" w:name="Tc_GPAzHHD9UUel622VGMPdsg_41_0"/>
      <w:bookmarkStart w:id="107" w:name="Tc_WY7Y1c-R4kieRv6I6ELvzg_40_0"/>
      <w:bookmarkStart w:id="108" w:name="Tc_UGaRIxHQd0aQnaeI2kaWyQ_39_0"/>
      <w:bookmarkStart w:id="109" w:name="Tc_z648X3QAwk-RdyAgmzzqPQ_38_0"/>
      <w:bookmarkStart w:id="110" w:name="Tc_QmmiPwiRrEmF-a4vYtVA6w_37_0"/>
      <w:bookmarkStart w:id="111" w:name="Tc_O-eERp9cB0mxsTUdXW5xqQ_36_0"/>
      <w:bookmarkStart w:id="112" w:name="Tc_ckk6bnoi30i8I_aenIbshQ_35_0"/>
      <w:bookmarkStart w:id="113" w:name="Tc_fPSvfXj1pkGThXg6gHfMDw_34_0"/>
      <w:bookmarkStart w:id="114" w:name="Tc_jwlM7rqcWUqQkjPMv-tR1g_33_0"/>
      <w:bookmarkStart w:id="115" w:name="Tc_soddKx5sAkCok0NJsCt8Sg_32_0"/>
      <w:bookmarkStart w:id="116" w:name="Tc_CfBnIMqLikCWf-eGJ3_VHA_31_0"/>
      <w:bookmarkStart w:id="117" w:name="Tc_u9wWWTlZBki37lL0Fp9sJw_30_0"/>
      <w:bookmarkStart w:id="118" w:name="Tc_30WFuSzC3EyN-eiI7yPGPQ_29_0"/>
      <w:bookmarkStart w:id="119" w:name="Tc_PRuHIM0jC0mxaawf0qiSSQ_28_0"/>
      <w:bookmarkStart w:id="120" w:name="Tc_-9MdC01XBE6PFFlldPNHCA_27_5"/>
      <w:bookmarkStart w:id="121" w:name="Tc_jfR4lhcMAkuhqTWoSTwNQg_27_2"/>
      <w:bookmarkStart w:id="122" w:name="Tc_wEPNMqRnuke4bsVi3O3HMg_27_0"/>
      <w:bookmarkStart w:id="123" w:name="Tc_X8nSSju990qKMAr3VR4Lyg_26_0"/>
      <w:bookmarkStart w:id="124" w:name="Tc_wMJcQ1RfL0O-kvb6SNdoGQ_25_0"/>
      <w:bookmarkStart w:id="125" w:name="Tc_CUb9I0JmyEe30bgX20M1Gg_24_5"/>
      <w:bookmarkStart w:id="126" w:name="Tc_cNkQzBnz6kK63iO0KajXKw_24_2"/>
      <w:bookmarkStart w:id="127" w:name="Tc_4ltG-pzk9UKtV53BB9KlSA_24_0"/>
      <w:bookmarkStart w:id="128" w:name="Tc_rYWBKLIOA0Oh3cAjUFUQoA_23_0"/>
      <w:bookmarkStart w:id="129" w:name="Tc_HJkJI6bsi0C9dreAFxRaWQ_22_0"/>
      <w:bookmarkStart w:id="130" w:name="Tc_fG1Wqe0EHUSGfbn_P_st9g_21_0"/>
      <w:bookmarkStart w:id="131" w:name="Tc_VdVsmOg7DkWY_2MXbWqcpg_20_0"/>
      <w:bookmarkStart w:id="132" w:name="Tc_dJmHaicY2EWGM3G18bqzng_19_0"/>
      <w:bookmarkStart w:id="133" w:name="Tc_k71NG9b_VEuPjfDCHMJy6g_18_0"/>
      <w:bookmarkStart w:id="134" w:name="Tc_L1W9HCVx1kCb-G-XKqd11w_17_3"/>
      <w:bookmarkStart w:id="135" w:name="Tc_ZDYPgn4fl0unix00H5iu9w_17_0"/>
      <w:bookmarkStart w:id="136" w:name="Tc_bgaj_lv0GUan5Km4lbTnhA_16_0"/>
      <w:bookmarkStart w:id="137" w:name="Tc_FpziKzhsKUyHxJfxhXcRpA_15_0"/>
      <w:bookmarkStart w:id="138" w:name="Tc_niddnwNq802yIPDJlGDACA_14_6"/>
      <w:bookmarkStart w:id="139" w:name="Tc_Bn4zrDOXmU-VU4_Mrjow3w_14_0"/>
      <w:bookmarkStart w:id="140" w:name="Tc_H7WjBF8BmU-kVwBKZIvtqQ_13_0"/>
      <w:bookmarkStart w:id="141" w:name="Tc_j8etSLBEnEKnN3NchLjzVw_12_0"/>
      <w:bookmarkStart w:id="142" w:name="Tc_t-2DXDvxi0OMnmNtIHnoiQ_11_0"/>
      <w:bookmarkStart w:id="143" w:name="Tc_VQ0TEojVzkaeQtcytWiSzA_10_0"/>
      <w:bookmarkStart w:id="144" w:name="Tc_5PozYPSh0kisudEUF5W4yw_9_0"/>
      <w:bookmarkStart w:id="145" w:name="Tc_ST3oUu4XTkmzkBjeGfMksg_8_0"/>
      <w:bookmarkStart w:id="146" w:name="Tc_kv67rtpH9k-XyLfVWRpUxA_7_0"/>
      <w:bookmarkStart w:id="147" w:name="Tc_52IvNUYmb0OvokZozCZGsg_6_0"/>
      <w:bookmarkStart w:id="148" w:name="Tc_NZQeGNdM60CMxC4I8Ej8lw_5_5"/>
      <w:bookmarkStart w:id="149" w:name="Tc_nidIKsbY2UCP7q3O0lfIpg_5_2"/>
      <w:bookmarkStart w:id="150" w:name="Tc_tJh4ytXyukq2yFKDqQI5HA_5_0"/>
      <w:bookmarkStart w:id="151" w:name="Tc_tVS25y5V-ki9muUgkmsOIA_4_0"/>
      <w:bookmarkStart w:id="152" w:name="Tc_04bgohZq7ESQogmKap5LsA_3_0"/>
      <w:bookmarkStart w:id="153" w:name="Tc_wA5kDY7dm0KECD0TY3SZpA_2_5"/>
      <w:bookmarkStart w:id="154" w:name="Tc_S6hqOo4-80210Ah7Avk_5w_2_2"/>
      <w:bookmarkStart w:id="155" w:name="Tc_I0kVsWsQpE-pBovkxnv44w_1_2"/>
      <w:bookmarkStart w:id="156" w:name="_072f47aa_2fec_4474_90c4_971cb29a3b3c"/>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W w:w="10205" w:type="dxa"/>
        <w:jc w:val="left"/>
        <w:tblInd w:w="0" w:type="dxa"/>
        <w:tblCellMar>
          <w:top w:w="0" w:type="dxa"/>
          <w:left w:w="0" w:type="dxa"/>
          <w:bottom w:w="0" w:type="dxa"/>
          <w:right w:w="0" w:type="dxa"/>
        </w:tblCellMar>
      </w:tblPr>
      <w:tblGrid>
        <w:gridCol w:w="7151"/>
        <w:gridCol w:w="326"/>
        <w:gridCol w:w="233"/>
        <w:gridCol w:w="863"/>
        <w:gridCol w:w="326"/>
        <w:gridCol w:w="251"/>
        <w:gridCol w:w="1055"/>
      </w:tblGrid>
      <w:tr>
        <w:trPr/>
        <w:tc>
          <w:tcPr>
            <w:tcW w:w="7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7955" cy="175260"/>
                      <wp:effectExtent l="0" t="0" r="0" b="0"/>
                      <wp:wrapNone/>
                      <wp:docPr id="2" name="Frame2"/>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48005" cy="175260"/>
                      <wp:effectExtent l="0" t="0" r="0" b="0"/>
                      <wp:wrapNone/>
                      <wp:docPr id="3" name="Frame3"/>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9385" cy="175260"/>
                      <wp:effectExtent l="0" t="0" r="0" b="0"/>
                      <wp:wrapNone/>
                      <wp:docPr id="5" name="Frame5"/>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925" cy="175260"/>
                      <wp:effectExtent l="0" t="0" r="0" b="0"/>
                      <wp:wrapNone/>
                      <wp:docPr id="6" name="Frame6"/>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1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br/>
              <w:t>March 31,</w:t>
              <w:br/>
              <w:t>2023</w:t>
            </w:r>
          </w:p>
        </w:tc>
        <w:tc>
          <w:tcPr>
            <w:tcW w:w="32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71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pPr>
            <w:r>
              <w:rPr/>
              <w:t>​</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at Cost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233,619</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233,930</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 and Improvements, at Cost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538,449</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530,029</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Furnishings and Equipment, at Cost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in Process, at Cost</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6,052</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 Estate, at Cost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777,446</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770,759</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(41,913)</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(36,038)</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Estate—Net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735,533</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734,721</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Land and Development Costs </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Lease Assets—Net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110,323</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115,984</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 Held for Sale—See Note 23</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 Alpine Income Property Trust, Inc.</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39,259</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42,041</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Mitigation Credits</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2,526</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Mitigation Credit Rights</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47,118</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Refundable Income Taxes</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Taxes—Net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2,503</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2,530</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Assets—See Note 11</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33,134</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34,453</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981,254</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986,545</w:t>
            </w:r>
          </w:p>
        </w:tc>
      </w:tr>
      <w:tr>
        <w:trPr/>
        <w:tc>
          <w:tcPr>
            <w:tcW w:w="71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pPr>
            <w:r>
              <w:rPr/>
              <w:t>​</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and Other Liabilities—See Note 17</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18,814</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18,028</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Revenue—See Note 18</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Lease Liabilities—Net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9,346</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465,130</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502,625</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481,775</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Contingencies—See Note 21</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pPr>
            <w:r>
              <w:rPr/>
              <w:t>​</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 100,000,000 shares authorized; $0.01 par value, 6.375% Series A Cumulative Redeemable Preferred Stock, $25.00 Per Share Liquidation Preference, 3,000,000 shares issued and outstanding at March 31, 2023 and December 31, 2022</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 500,000,000 shares authorized; $0.01 par value, 22,709,119 shares issued and outstanding at March 31, 2023 and 22,854,775 shares issued and outstanding at December 31, 2022</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167,436</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172,471</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300,066</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316,279</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10,870</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15,761</w:t>
            </w:r>
          </w:p>
        </w:tc>
      </w:tr>
      <w:tr>
        <w:trPr/>
        <w:tc>
          <w:tcPr>
            <w:tcW w:w="7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478,629</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504,770</w:t>
            </w:r>
          </w:p>
        </w:tc>
      </w:tr>
      <w:tr>
        <w:trPr/>
        <w:tc>
          <w:tcPr>
            <w:tcW w:w="7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981,254</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986,545</w:t>
            </w:r>
          </w:p>
        </w:tc>
      </w:tr>
    </w:tbl>
    <w:p>
      <w:pPr>
        <w:pStyle w:val="TextBody"/>
        <w:spacing w:before="120" w:after="0"/>
        <w:ind w:left="0" w:right="0" w:hanging="0"/>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157" w:name="_cd952e21_afb5_4b70_a0b4_fb07a2147ee7"/>
      <w:bookmarkEnd w:id="157"/>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bookmarkStart w:id="158" w:name="CONSOLIDATEDSTATEMENTSOFOPERATIONS_48896"/>
      <w:bookmarkEnd w:id="158"/>
      <w:r>
        <w:rPr>
          <w:rFonts w:ascii="Times New Roman;Times;serif" w:hAnsi="Times New Roman;Times;serif"/>
          <w:sz w:val="20"/>
        </w:rPr>
        <w:t>CONSOLIDATED STATEMENTS OF OPERATIONS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59" w:name="Tc_Otjff16LbUeaY50egTnQ1A_33_0"/>
      <w:bookmarkStart w:id="160" w:name="Tc_oQq_xFeLMk60S7woU68l2w_32_0"/>
      <w:bookmarkStart w:id="161" w:name="Tc_-sdebH2aPEuvJL4IlPgEEw_30_5"/>
      <w:bookmarkStart w:id="162" w:name="Tc_j_Jj4LChUUyeJOOZG_vMxA_30_2"/>
      <w:bookmarkStart w:id="163" w:name="Tc_MmrRmqItfUO_LfIirtUF3Q_30_0"/>
      <w:bookmarkStart w:id="164" w:name="Tc_sGN9NCd7GEuUcy2GfstUwA_29_0"/>
      <w:bookmarkStart w:id="165" w:name="Tc_kyF744ucd0-k8Q-fCIY2rw_27_5"/>
      <w:bookmarkStart w:id="166" w:name="Tc_q6dtGeHks0ylmZVrWowVYg_27_2"/>
      <w:bookmarkStart w:id="167" w:name="Tc_58MteqDHkEOQd0QBezk_cA_27_0"/>
      <w:bookmarkStart w:id="168" w:name="Tc_5qTjnTOWgkea9FKKiv4VOA_26_0"/>
      <w:bookmarkStart w:id="169" w:name="Tc_Pmkgz2b0YkGbrpiwtCMV0Q_25_0"/>
      <w:bookmarkStart w:id="170" w:name="Tc_lrt2PjooCUyfXKoe1bhT1Q_24_0"/>
      <w:bookmarkStart w:id="171" w:name="Tc_gjJEJdAuZECNZ9Jxoe41MA_23_0"/>
      <w:bookmarkStart w:id="172" w:name="Tc_J1Wg0awrUk2TcAk9nEnDbQ_22_0"/>
      <w:bookmarkStart w:id="173" w:name="Tc_G8SozSZUW0u6VC-PGe1vDA_21_0"/>
      <w:bookmarkStart w:id="174" w:name="Tc_bEDA4wU8XkqkyPZs8queuQ_20_0"/>
      <w:bookmarkStart w:id="175" w:name="Tc_3DOF-_rvW0iW8kySKSz22g_19_3"/>
      <w:bookmarkStart w:id="176" w:name="Tc_I6fTSQUimUeGvrgykLRjsA_19_0"/>
      <w:bookmarkStart w:id="177" w:name="Tc_XCFS-giwtEuQHlsowxXvXw_18_3"/>
      <w:bookmarkStart w:id="178" w:name="Tc_OjxHcv04Y0i3qpBhubCX7Q_18_0"/>
      <w:bookmarkStart w:id="179" w:name="Tc_Qf7ZheQPkEWuBfD_sK-7cw_17_0"/>
      <w:bookmarkStart w:id="180" w:name="Tc_Tk14epI9cEK8vPP3MLw_aA_16_0"/>
      <w:bookmarkStart w:id="181" w:name="Tc_Qx3CwuzwV0SAbq22t_x7ww_15_6"/>
      <w:bookmarkStart w:id="182" w:name="Tc_s1mLaaz-cEax8iIRw_m8GA_15_0"/>
      <w:bookmarkStart w:id="183" w:name="Tc_tXBVR7GU-UaZdpqyFamatQ_14_0"/>
      <w:bookmarkStart w:id="184" w:name="Tc_N5RlHewv80aiC_iIE8GNEw_13_0"/>
      <w:bookmarkStart w:id="185" w:name="Tc_bc0a53auS06JqLeb9VY1Zw_12_0"/>
      <w:bookmarkStart w:id="186" w:name="Tc_gLHUFNFG80W5smyt15sxNg_11_0"/>
      <w:bookmarkStart w:id="187" w:name="Tc_rjthbzAmIUiB-rk8nbgkkQ_10_0"/>
      <w:bookmarkStart w:id="188" w:name="Tc_Y142QdAZ0EigM6Uk8YsnRw_9_0"/>
      <w:bookmarkStart w:id="189" w:name="Tc_YczZqLuj40WUgpQBBhc-og_8_0"/>
      <w:bookmarkStart w:id="190" w:name="Tc_pPZNuGSzCEaNkMHcoNmeAA_7_0"/>
      <w:bookmarkStart w:id="191" w:name="Tc_wgY_fmWWF0y74xtkmt2EJw_6_0"/>
      <w:bookmarkStart w:id="192" w:name="Tc_fxktGs4sG0umgE82hhx7jg_5_5"/>
      <w:bookmarkStart w:id="193" w:name="Tc_2TqF9DCHpkCUMYiC6i6YKg_5_2"/>
      <w:bookmarkStart w:id="194" w:name="Tc_zWcVthC8WE-elKwVEQTNug_5_0"/>
      <w:bookmarkStart w:id="195" w:name="Tc_1PJAAzyKAke9C4UNirvMBA_4_0"/>
      <w:bookmarkStart w:id="196" w:name="Tc_NQdQzBMyFkagspbMD-4K7g_3_5"/>
      <w:bookmarkStart w:id="197" w:name="Tc_yuEMsfXtikaO-Z9QP3a0EQ_3_2"/>
      <w:bookmarkStart w:id="198" w:name="Tc_MFOwG0AbskWy3EHZl6YDLg_2_5"/>
      <w:bookmarkStart w:id="199" w:name="Tc_KnFbJSubaEql9Bbc-bKGAA_2_2"/>
      <w:bookmarkStart w:id="200" w:name="Tc_SUc7D8m7R0OC-mtN5HxZjg_1_2"/>
      <w:bookmarkStart w:id="201" w:name="_3de3f967_67b8_4f52_bf0c_e667a74c2220"/>
      <w:bookmarkStart w:id="202" w:name="_22e354c4_1dd5_4f56_9ed9_268b7bbea297"/>
      <w:bookmarkStart w:id="203" w:name="Tc_Otjff16LbUeaY50egTnQ1A_33_0"/>
      <w:bookmarkStart w:id="204" w:name="Tc_oQq_xFeLMk60S7woU68l2w_32_0"/>
      <w:bookmarkStart w:id="205" w:name="Tc_-sdebH2aPEuvJL4IlPgEEw_30_5"/>
      <w:bookmarkStart w:id="206" w:name="Tc_j_Jj4LChUUyeJOOZG_vMxA_30_2"/>
      <w:bookmarkStart w:id="207" w:name="Tc_MmrRmqItfUO_LfIirtUF3Q_30_0"/>
      <w:bookmarkStart w:id="208" w:name="Tc_sGN9NCd7GEuUcy2GfstUwA_29_0"/>
      <w:bookmarkStart w:id="209" w:name="Tc_kyF744ucd0-k8Q-fCIY2rw_27_5"/>
      <w:bookmarkStart w:id="210" w:name="Tc_q6dtGeHks0ylmZVrWowVYg_27_2"/>
      <w:bookmarkStart w:id="211" w:name="Tc_58MteqDHkEOQd0QBezk_cA_27_0"/>
      <w:bookmarkStart w:id="212" w:name="Tc_5qTjnTOWgkea9FKKiv4VOA_26_0"/>
      <w:bookmarkStart w:id="213" w:name="Tc_Pmkgz2b0YkGbrpiwtCMV0Q_25_0"/>
      <w:bookmarkStart w:id="214" w:name="Tc_lrt2PjooCUyfXKoe1bhT1Q_24_0"/>
      <w:bookmarkStart w:id="215" w:name="Tc_gjJEJdAuZECNZ9Jxoe41MA_23_0"/>
      <w:bookmarkStart w:id="216" w:name="Tc_J1Wg0awrUk2TcAk9nEnDbQ_22_0"/>
      <w:bookmarkStart w:id="217" w:name="Tc_G8SozSZUW0u6VC-PGe1vDA_21_0"/>
      <w:bookmarkStart w:id="218" w:name="Tc_bEDA4wU8XkqkyPZs8queuQ_20_0"/>
      <w:bookmarkStart w:id="219" w:name="Tc_3DOF-_rvW0iW8kySKSz22g_19_3"/>
      <w:bookmarkStart w:id="220" w:name="Tc_I6fTSQUimUeGvrgykLRjsA_19_0"/>
      <w:bookmarkStart w:id="221" w:name="Tc_XCFS-giwtEuQHlsowxXvXw_18_3"/>
      <w:bookmarkStart w:id="222" w:name="Tc_OjxHcv04Y0i3qpBhubCX7Q_18_0"/>
      <w:bookmarkStart w:id="223" w:name="Tc_Qf7ZheQPkEWuBfD_sK-7cw_17_0"/>
      <w:bookmarkStart w:id="224" w:name="Tc_Tk14epI9cEK8vPP3MLw_aA_16_0"/>
      <w:bookmarkStart w:id="225" w:name="Tc_Qx3CwuzwV0SAbq22t_x7ww_15_6"/>
      <w:bookmarkStart w:id="226" w:name="Tc_s1mLaaz-cEax8iIRw_m8GA_15_0"/>
      <w:bookmarkStart w:id="227" w:name="Tc_tXBVR7GU-UaZdpqyFamatQ_14_0"/>
      <w:bookmarkStart w:id="228" w:name="Tc_N5RlHewv80aiC_iIE8GNEw_13_0"/>
      <w:bookmarkStart w:id="229" w:name="Tc_bc0a53auS06JqLeb9VY1Zw_12_0"/>
      <w:bookmarkStart w:id="230" w:name="Tc_gLHUFNFG80W5smyt15sxNg_11_0"/>
      <w:bookmarkStart w:id="231" w:name="Tc_rjthbzAmIUiB-rk8nbgkkQ_10_0"/>
      <w:bookmarkStart w:id="232" w:name="Tc_Y142QdAZ0EigM6Uk8YsnRw_9_0"/>
      <w:bookmarkStart w:id="233" w:name="Tc_YczZqLuj40WUgpQBBhc-og_8_0"/>
      <w:bookmarkStart w:id="234" w:name="Tc_pPZNuGSzCEaNkMHcoNmeAA_7_0"/>
      <w:bookmarkStart w:id="235" w:name="Tc_wgY_fmWWF0y74xtkmt2EJw_6_0"/>
      <w:bookmarkStart w:id="236" w:name="Tc_fxktGs4sG0umgE82hhx7jg_5_5"/>
      <w:bookmarkStart w:id="237" w:name="Tc_2TqF9DCHpkCUMYiC6i6YKg_5_2"/>
      <w:bookmarkStart w:id="238" w:name="Tc_zWcVthC8WE-elKwVEQTNug_5_0"/>
      <w:bookmarkStart w:id="239" w:name="Tc_1PJAAzyKAke9C4UNirvMBA_4_0"/>
      <w:bookmarkStart w:id="240" w:name="Tc_NQdQzBMyFkagspbMD-4K7g_3_5"/>
      <w:bookmarkStart w:id="241" w:name="Tc_yuEMsfXtikaO-Z9QP3a0EQ_3_2"/>
      <w:bookmarkStart w:id="242" w:name="Tc_MFOwG0AbskWy3EHZl6YDLg_2_5"/>
      <w:bookmarkStart w:id="243" w:name="Tc_KnFbJSubaEql9Bbc-bKGAA_2_2"/>
      <w:bookmarkStart w:id="244" w:name="Tc_SUc7D8m7R0OC-mtN5HxZjg_1_2"/>
      <w:bookmarkStart w:id="245" w:name="_3de3f967_67b8_4f52_bf0c_e667a74c2220"/>
      <w:bookmarkStart w:id="246" w:name="_22e354c4_1dd5_4f56_9ed9_268b7bbea2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8727" w:type="dxa"/>
        <w:jc w:val="left"/>
        <w:tblInd w:w="0" w:type="dxa"/>
        <w:tblCellMar>
          <w:top w:w="0" w:type="dxa"/>
          <w:left w:w="0" w:type="dxa"/>
          <w:bottom w:w="0" w:type="dxa"/>
          <w:right w:w="0" w:type="dxa"/>
        </w:tblCellMar>
      </w:tblPr>
      <w:tblGrid>
        <w:gridCol w:w="5476"/>
        <w:gridCol w:w="326"/>
        <w:gridCol w:w="211"/>
        <w:gridCol w:w="1036"/>
        <w:gridCol w:w="326"/>
        <w:gridCol w:w="211"/>
        <w:gridCol w:w="1141"/>
      </w:tblGrid>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4535" cy="175260"/>
                      <wp:effectExtent l="0" t="0" r="0" b="0"/>
                      <wp:wrapNone/>
                      <wp:docPr id="12" name="Frame1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4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326" w:type="dxa"/>
            <w:tcBorders/>
            <w:shd w:fill="auto" w:val="clear"/>
            <w:vAlign w:val="center"/>
          </w:tcPr>
          <w:p>
            <w:pPr>
              <w:pStyle w:val="TableContents"/>
              <w:spacing w:before="0" w:after="0"/>
              <w:ind w:left="0" w:right="0" w:hanging="0"/>
              <w:jc w:val="center"/>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54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15,168</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17,210</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Cost of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(4,016)</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Direct Cost of Revenues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Impairment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(13,479)</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Disposition of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and Other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the Company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54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 Share Information—See Note 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Net Loss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Common Shares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17,726,677</w:t>
            </w:r>
          </w:p>
        </w:tc>
      </w:tr>
    </w:tbl>
    <w:p>
      <w:pPr>
        <w:pStyle w:val="TextBody"/>
        <w:spacing w:before="0" w:after="0"/>
        <w:ind w:left="0" w:right="0" w:hanging="0"/>
        <w:jc w:val="center"/>
        <w:rPr/>
      </w:pPr>
      <w:r>
        <w:rPr/>
        <w:t>​</w:t>
      </w:r>
    </w:p>
    <w:p>
      <w:pPr>
        <w:pStyle w:val="TextBody"/>
        <w:spacing w:before="40" w:after="0"/>
        <w:ind w:left="0" w:right="0" w:hanging="0"/>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247" w:name="_eb5c31a4_dd6d_41b1_8f08_057329b39dd5"/>
      <w:bookmarkEnd w:id="247"/>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bookmarkStart w:id="248" w:name="CONSOLIDATEDSTATEMENTSOFCOMPREHENSIVEINC"/>
      <w:bookmarkEnd w:id="248"/>
      <w:r>
        <w:rPr>
          <w:rFonts w:ascii="Times New Roman;Times;serif" w:hAnsi="Times New Roman;Times;serif"/>
          <w:sz w:val="20"/>
        </w:rPr>
        <w:t>CONSOLIDATED STATEMENTS OF COMPREHENSIVE INCOME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49" w:name="Tc_TQBhXjscs0afWhdCybd08w_7_5"/>
      <w:bookmarkStart w:id="250" w:name="Tc_ZZEAoD5K4UKVwxNGG5GCXg_7_2"/>
      <w:bookmarkStart w:id="251" w:name="Tc_Sl5oB7_5-USSWI_JkeuONA_7_0"/>
      <w:bookmarkStart w:id="252" w:name="Tc_2VB0vIcjBkKvdVhig2sVLw_6_0"/>
      <w:bookmarkStart w:id="253" w:name="Tc_fPzvMYd-s0m5X5O2TmAWww_5_0"/>
      <w:bookmarkStart w:id="254" w:name="Tc_E9KJ5BZ-ek6APM2s1pdObQ_4_0"/>
      <w:bookmarkStart w:id="255" w:name="Tc_8CgxPtcOvECJlu_iLMGPuQ_3_5"/>
      <w:bookmarkStart w:id="256" w:name="Tc_MqChrXJOfkChSDul6k52rg_3_2"/>
      <w:bookmarkStart w:id="257" w:name="Tc_9vEqPH9rbk6nQwInbB5VGw_3_0"/>
      <w:bookmarkStart w:id="258" w:name="Tc_MgFyd22EbkOSJcS5pLm1mA_2_5"/>
      <w:bookmarkStart w:id="259" w:name="Tc_wC-QBx1kx0qP4ByTST9okw_2_2"/>
      <w:bookmarkStart w:id="260" w:name="Tc_PLLD4Yiz_Uib3uKoVDGy2w_1_2"/>
      <w:bookmarkStart w:id="261" w:name="_fb6ee026_1109_451a_850f_0bed5a0105de"/>
      <w:bookmarkStart w:id="262" w:name="Tc_TQBhXjscs0afWhdCybd08w_7_5"/>
      <w:bookmarkStart w:id="263" w:name="Tc_ZZEAoD5K4UKVwxNGG5GCXg_7_2"/>
      <w:bookmarkStart w:id="264" w:name="Tc_Sl5oB7_5-USSWI_JkeuONA_7_0"/>
      <w:bookmarkStart w:id="265" w:name="Tc_2VB0vIcjBkKvdVhig2sVLw_6_0"/>
      <w:bookmarkStart w:id="266" w:name="Tc_fPzvMYd-s0m5X5O2TmAWww_5_0"/>
      <w:bookmarkStart w:id="267" w:name="Tc_E9KJ5BZ-ek6APM2s1pdObQ_4_0"/>
      <w:bookmarkStart w:id="268" w:name="Tc_8CgxPtcOvECJlu_iLMGPuQ_3_5"/>
      <w:bookmarkStart w:id="269" w:name="Tc_MqChrXJOfkChSDul6k52rg_3_2"/>
      <w:bookmarkStart w:id="270" w:name="Tc_9vEqPH9rbk6nQwInbB5VGw_3_0"/>
      <w:bookmarkStart w:id="271" w:name="Tc_MgFyd22EbkOSJcS5pLm1mA_2_5"/>
      <w:bookmarkStart w:id="272" w:name="Tc_wC-QBx1kx0qP4ByTST9okw_2_2"/>
      <w:bookmarkStart w:id="273" w:name="Tc_PLLD4Yiz_Uib3uKoVDGy2w_1_2"/>
      <w:bookmarkStart w:id="274" w:name="_fb6ee026_1109_451a_850f_0bed5a0105de"/>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7711" w:type="dxa"/>
        <w:jc w:val="left"/>
        <w:tblInd w:w="0" w:type="dxa"/>
        <w:tblCellMar>
          <w:top w:w="0" w:type="dxa"/>
          <w:left w:w="0" w:type="dxa"/>
          <w:bottom w:w="0" w:type="dxa"/>
          <w:right w:w="0" w:type="dxa"/>
        </w:tblCellMar>
      </w:tblPr>
      <w:tblGrid>
        <w:gridCol w:w="4351"/>
        <w:gridCol w:w="109"/>
        <w:gridCol w:w="301"/>
        <w:gridCol w:w="1139"/>
        <w:gridCol w:w="326"/>
        <w:gridCol w:w="347"/>
        <w:gridCol w:w="1138"/>
      </w:tblGrid>
      <w:tr>
        <w:trPr/>
        <w:tc>
          <w:tcPr>
            <w:tcW w:w="4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762885" cy="175260"/>
                      <wp:effectExtent l="0" t="0" r="0" b="0"/>
                      <wp:wrapNone/>
                      <wp:docPr id="13" name="Frame13"/>
                      <a:graphic xmlns:a="http://schemas.openxmlformats.org/drawingml/2006/main">
                        <a:graphicData uri="http://schemas.microsoft.com/office/word/2010/wordprocessingShape">
                          <wps:wsp>
                            <wps:cNvSpPr txBox="1"/>
                            <wps:spPr>
                              <a:xfrm>
                                <a:off x="0" y="0"/>
                                <a:ext cx="2762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91135" cy="175260"/>
                      <wp:effectExtent l="0" t="0" r="0" b="0"/>
                      <wp:wrapNone/>
                      <wp:docPr id="15" name="Frame15"/>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23265" cy="175260"/>
                      <wp:effectExtent l="0" t="0" r="0" b="0"/>
                      <wp:wrapNone/>
                      <wp:docPr id="16" name="Frame16"/>
                      <a:graphic xmlns:a="http://schemas.openxmlformats.org/drawingml/2006/main">
                        <a:graphicData uri="http://schemas.microsoft.com/office/word/2010/wordprocessingShape">
                          <wps:wsp>
                            <wps:cNvSpPr txBox="1"/>
                            <wps:spPr>
                              <a:xfrm>
                                <a:off x="0" y="0"/>
                                <a:ext cx="723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0345" cy="175260"/>
                      <wp:effectExtent l="0" t="0" r="0" b="0"/>
                      <wp:wrapNone/>
                      <wp:docPr id="18" name="Frame18"/>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2630" cy="175260"/>
                      <wp:effectExtent l="0" t="0" r="0" b="0"/>
                      <wp:wrapNone/>
                      <wp:docPr id="19" name="Frame19"/>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325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3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jc w:val="center"/>
              <w:rPr/>
            </w:pPr>
            <w:r>
              <w:rPr/>
              <w:t>    </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c>
          <w:tcPr>
            <w:tcW w:w="326" w:type="dxa"/>
            <w:tcBorders/>
            <w:shd w:fill="CCEEFF" w:val="clear"/>
            <w:vAlign w:val="center"/>
          </w:tcPr>
          <w:p>
            <w:pPr>
              <w:pStyle w:val="TableContents"/>
              <w:spacing w:before="0" w:after="0"/>
              <w:ind w:left="0" w:right="0" w:hanging="0"/>
              <w:rPr/>
            </w:pPr>
            <w:r>
              <w:rPr/>
              <w:t>​</w:t>
            </w:r>
          </w:p>
        </w:tc>
        <w:tc>
          <w:tcPr>
            <w:tcW w:w="347"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7"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jc w:val="right"/>
              <w:rPr/>
            </w:pPr>
            <w:r>
              <w:rPr/>
              <w:t>​</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c>
          <w:tcPr>
            <w:tcW w:w="326" w:type="dxa"/>
            <w:tcBorders/>
            <w:shd w:fill="CCEEFF" w:val="clear"/>
            <w:vAlign w:val="center"/>
          </w:tcPr>
          <w:p>
            <w:pPr>
              <w:pStyle w:val="TableContents"/>
              <w:spacing w:before="0" w:after="0"/>
              <w:ind w:left="0" w:right="0" w:hanging="0"/>
              <w:rPr/>
            </w:pPr>
            <w:r>
              <w:rPr/>
              <w:t>​</w:t>
            </w:r>
          </w:p>
        </w:tc>
        <w:tc>
          <w:tcPr>
            <w:tcW w:w="34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r>
      <w:tr>
        <w:trPr/>
        <w:tc>
          <w:tcPr>
            <w:tcW w:w="4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c>
          <w:tcPr>
            <w:tcW w:w="326" w:type="dxa"/>
            <w:tcBorders/>
            <w:shd w:fill="auto" w:val="clear"/>
            <w:vAlign w:val="center"/>
          </w:tcPr>
          <w:p>
            <w:pPr>
              <w:pStyle w:val="TableContents"/>
              <w:spacing w:before="0" w:after="0"/>
              <w:ind w:left="0" w:right="0" w:hanging="0"/>
              <w:rPr/>
            </w:pPr>
            <w:r>
              <w:rPr/>
              <w:t>​</w:t>
            </w:r>
          </w:p>
        </w:tc>
        <w:tc>
          <w:tcPr>
            <w:tcW w:w="34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8,012</w:t>
            </w:r>
          </w:p>
        </w:tc>
      </w:tr>
      <w:tr>
        <w:trPr/>
        <w:tc>
          <w:tcPr>
            <w:tcW w:w="4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(10,884)</w:t>
            </w:r>
          </w:p>
        </w:tc>
        <w:tc>
          <w:tcPr>
            <w:tcW w:w="326" w:type="dxa"/>
            <w:tcBorders/>
            <w:shd w:fill="CCEEFF" w:val="clear"/>
            <w:vAlign w:val="center"/>
          </w:tcPr>
          <w:p>
            <w:pPr>
              <w:pStyle w:val="TableContents"/>
              <w:spacing w:before="0" w:after="0"/>
              <w:ind w:left="0" w:right="0" w:hanging="0"/>
              <w:rPr/>
            </w:pPr>
            <w:r>
              <w:rPr/>
              <w:t>​</w:t>
            </w:r>
          </w:p>
        </w:tc>
        <w:tc>
          <w:tcPr>
            <w:tcW w:w="34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8,214</w:t>
            </w:r>
          </w:p>
        </w:tc>
      </w:tr>
    </w:tbl>
    <w:p>
      <w:pPr>
        <w:pStyle w:val="TextBody"/>
        <w:spacing w:before="0" w:after="0"/>
        <w:ind w:left="0" w:right="0" w:hanging="0"/>
        <w:jc w:val="center"/>
        <w:rPr/>
      </w:pPr>
      <w:r>
        <w:rPr/>
        <w:t>​</w:t>
      </w:r>
    </w:p>
    <w:p>
      <w:pPr>
        <w:pStyle w:val="TextBody"/>
        <w:spacing w:before="40" w:after="0"/>
        <w:ind w:left="0" w:right="0" w:hanging="0"/>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275" w:name="_9552cb72_89da_455d_83aa_9220acc949d0"/>
      <w:bookmarkEnd w:id="275"/>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bookmarkStart w:id="276" w:name="CONSOLIDATEDSTATEMENTSOFSHAREHOLDERSEQUI"/>
      <w:bookmarkEnd w:id="276"/>
      <w:r>
        <w:rPr>
          <w:rFonts w:ascii="Times New Roman;Times;serif" w:hAnsi="Times New Roman;Times;serif"/>
          <w:sz w:val="20"/>
        </w:rPr>
        <w:t>CONSOLIDATED STATEMENTS OF STOCKHOLDERS’ EQUITY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For the three months ended March 31, 2023:</w:t>
      </w:r>
    </w:p>
    <w:p>
      <w:pPr>
        <w:pStyle w:val="Normal"/>
        <w:spacing w:before="0" w:after="0"/>
        <w:rPr>
          <w:sz w:val="4"/>
          <w:szCs w:val="4"/>
        </w:rPr>
      </w:pPr>
      <w:r>
        <w:rPr>
          <w:sz w:val="4"/>
          <w:szCs w:val="4"/>
        </w:rPr>
      </w:r>
      <w:bookmarkStart w:id="277" w:name="Tc_rM-4uqFcIEuo_eur1S1ETQ_12_17"/>
      <w:bookmarkStart w:id="278" w:name="Tc_FlqnOA0Jn0CdRu2bKDd56A_12_14"/>
      <w:bookmarkStart w:id="279" w:name="Tc_m5IIP_w6okK5O03IYRWgzA_12_11"/>
      <w:bookmarkStart w:id="280" w:name="Tc_mnLfsrms80qUzgJBSjFVmA_12_8"/>
      <w:bookmarkStart w:id="281" w:name="Tc_sQd7Gl7otEqsFQA1qi_azQ_12_5"/>
      <w:bookmarkStart w:id="282" w:name="Tc_HU3HvjA6xUyFlBK56Jrl9A_12_2"/>
      <w:bookmarkStart w:id="283" w:name="Tc_FJXniyiUjU-3_APqtPYxTw_12_0"/>
      <w:bookmarkStart w:id="284" w:name="Tc_q79dAxwQK0-VU6bNr5eQNw_11_12"/>
      <w:bookmarkStart w:id="285" w:name="Tc_3MCWSf-VKEyTWh6nBvfGnQ_11_9"/>
      <w:bookmarkStart w:id="286" w:name="Tc_emWdVbseFEiNDc0bjIV5vQ_11_6"/>
      <w:bookmarkStart w:id="287" w:name="Tc_JZHJa-Q350a7k-W3Nd-h8A_11_3"/>
      <w:bookmarkStart w:id="288" w:name="Tc_-h9ua2rQk0aHvB7K4tCcKg_11_0"/>
      <w:bookmarkStart w:id="289" w:name="Tc_WTuZq-UAdUy8kWjqo2UE6Q_10_15"/>
      <w:bookmarkStart w:id="290" w:name="Tc_Bk7f8DwSSkO5yyfn2hbgTw_10_9"/>
      <w:bookmarkStart w:id="291" w:name="Tc_3d4k3Wz9UEqIyyZD0qoGcg_10_6"/>
      <w:bookmarkStart w:id="292" w:name="Tc_ctiUrZQj3kG3FSdRY-czzQ_10_3"/>
      <w:bookmarkStart w:id="293" w:name="Tc_fB-bwTK8IUSgKe9uT3CuEw_10_0"/>
      <w:bookmarkStart w:id="294" w:name="Tc_arXmzOgS5UGRmqAuAqPKAA_9_15"/>
      <w:bookmarkStart w:id="295" w:name="Tc_Ixv9NnVPF0iWPZ0rXXt1gQ_9_9"/>
      <w:bookmarkStart w:id="296" w:name="Tc_hA0YNoY_LUqFmApAccgoRg_9_6"/>
      <w:bookmarkStart w:id="297" w:name="Tc_ZtBvwHsg4kC1b8Yr1jYNlA_9_3"/>
      <w:bookmarkStart w:id="298" w:name="Tc_65I714dj3UykJWo1B9pdMg_9_0"/>
      <w:bookmarkStart w:id="299" w:name="Tc_k49xH08tPE6bHBdMOLclwQ_8_15"/>
      <w:bookmarkStart w:id="300" w:name="Tc_3umT04-23EiVx1VwlCnWGQ_8_12"/>
      <w:bookmarkStart w:id="301" w:name="Tc_N5CNYi4amUyydy7rryb_pQ_8_6"/>
      <w:bookmarkStart w:id="302" w:name="Tc_bmzK6jL6N0qbruIU8n6ong_8_3"/>
      <w:bookmarkStart w:id="303" w:name="Tc_nNXD2dMkh0CRtSWlzeMF_g_8_0"/>
      <w:bookmarkStart w:id="304" w:name="Tc_sVZwGUb7RUmqdfAFLa7Rtw_7_15"/>
      <w:bookmarkStart w:id="305" w:name="Tc_7A6O0ONvEkydCr9vQjEITw_7_12"/>
      <w:bookmarkStart w:id="306" w:name="Tc_k2V5XTb2cUe82TvQ413Txw_7_6"/>
      <w:bookmarkStart w:id="307" w:name="Tc_m47ek2CPZUKVHulKccEOcg_7_3"/>
      <w:bookmarkStart w:id="308" w:name="Tc_EIlQC6ZhvEOOTFEuhCsGQw_7_0"/>
      <w:bookmarkStart w:id="309" w:name="Tc_x5-4AjFuzE6M4T2LO1pllw_6_15"/>
      <w:bookmarkStart w:id="310" w:name="Tc_EIryAPQ_cE6sRWdb5jO_6A_6_12"/>
      <w:bookmarkStart w:id="311" w:name="Tc_qwYcl0lsv0OzYNkQhbHc6A_6_6"/>
      <w:bookmarkStart w:id="312" w:name="Tc_2eVfBRm_MkGzv9_Gx42oBg_6_3"/>
      <w:bookmarkStart w:id="313" w:name="Tc_0CeQKdzTG0qxEi6V_--_Qw_6_0"/>
      <w:bookmarkStart w:id="314" w:name="Tc_cXP23lAWB0OvW3SYGxKZ1Q_5_15"/>
      <w:bookmarkStart w:id="315" w:name="Tc_--g63MgohEmZ2YUw82BZqg_5_12"/>
      <w:bookmarkStart w:id="316" w:name="Tc_c9ctTBAO9UeS7DxfBru5Qw_5_3"/>
      <w:bookmarkStart w:id="317" w:name="Tc_9qmUwYEgik2M-DNK7r4eYw_5_0"/>
      <w:bookmarkStart w:id="318" w:name="Tc_huc_SLbi7EeB9f_1Ebs41g_4_15"/>
      <w:bookmarkStart w:id="319" w:name="Tc_kJM0jk_-qUOHTYlhb2Nthg_4_12"/>
      <w:bookmarkStart w:id="320" w:name="Tc__oyPgW9vTEu839bK0qpYTA_4_3"/>
      <w:bookmarkStart w:id="321" w:name="Tc_BTi4cJaS6k6t5vftRZWBNQ_4_0"/>
      <w:bookmarkStart w:id="322" w:name="Tc_XyWDvgmc8UuAI1LnM3f65A_3_15"/>
      <w:bookmarkStart w:id="323" w:name="Tc_zXhMq5jD-0a8TYROkXvGZg_3_9"/>
      <w:bookmarkStart w:id="324" w:name="Tc_avMl-umyLU6VX_YL6Wda3g_3_6"/>
      <w:bookmarkStart w:id="325" w:name="Tc_Zu6CcHiPUEyP_i7AwQh97A_3_3"/>
      <w:bookmarkStart w:id="326" w:name="Tc_uJvZnV28vEK6dPQM0fYtGA_3_0"/>
      <w:bookmarkStart w:id="327" w:name="Tc_wufMPK_SN0GqBpTo9IPcAQ_2_17"/>
      <w:bookmarkStart w:id="328" w:name="Tc_ZxyGRN3aJU-DjYJb84S8Sg_2_14"/>
      <w:bookmarkStart w:id="329" w:name="Tc_6xEGphEwYUG4fYagYCzBXQ_2_11"/>
      <w:bookmarkStart w:id="330" w:name="Tc_ZqLTlHT_SUCx-B2R5iDr_w_2_8"/>
      <w:bookmarkStart w:id="331" w:name="Tc_CiwcvukJykSsmOd_HxSw0w_2_5"/>
      <w:bookmarkStart w:id="332" w:name="Tc_5KFhNSGUM0-vInoFwxAilQ_2_2"/>
      <w:bookmarkStart w:id="333" w:name="Tc_31g4VdNby0ildAmAFHLiDQ_2_0"/>
      <w:bookmarkStart w:id="334" w:name="Tc_KN2hL_BYuEWT2UOSSK2iLw_1_17"/>
      <w:bookmarkStart w:id="335" w:name="Tc_zA3-ryU1ukiJws_TbTjt8A_1_14"/>
      <w:bookmarkStart w:id="336" w:name="Tc_DywKSGml6kyCTuaPfazbGg_1_11"/>
      <w:bookmarkStart w:id="337" w:name="Tc_IXije0QNAU68EcJ__gDt1Q_1_8"/>
      <w:bookmarkStart w:id="338" w:name="Tc_VmBmsvcj8UuXWS6EGxVpsg_1_5"/>
      <w:bookmarkStart w:id="339" w:name="Tc_4Xwuxbnh6kKNxnXPFd8Nwg_1_2"/>
      <w:bookmarkStart w:id="340" w:name="_0437583f_2c2e_4e59_96b6_5cc729cd6740"/>
      <w:bookmarkStart w:id="341" w:name="Tc_rM-4uqFcIEuo_eur1S1ETQ_12_17"/>
      <w:bookmarkStart w:id="342" w:name="Tc_FlqnOA0Jn0CdRu2bKDd56A_12_14"/>
      <w:bookmarkStart w:id="343" w:name="Tc_m5IIP_w6okK5O03IYRWgzA_12_11"/>
      <w:bookmarkStart w:id="344" w:name="Tc_mnLfsrms80qUzgJBSjFVmA_12_8"/>
      <w:bookmarkStart w:id="345" w:name="Tc_sQd7Gl7otEqsFQA1qi_azQ_12_5"/>
      <w:bookmarkStart w:id="346" w:name="Tc_HU3HvjA6xUyFlBK56Jrl9A_12_2"/>
      <w:bookmarkStart w:id="347" w:name="Tc_FJXniyiUjU-3_APqtPYxTw_12_0"/>
      <w:bookmarkStart w:id="348" w:name="Tc_q79dAxwQK0-VU6bNr5eQNw_11_12"/>
      <w:bookmarkStart w:id="349" w:name="Tc_3MCWSf-VKEyTWh6nBvfGnQ_11_9"/>
      <w:bookmarkStart w:id="350" w:name="Tc_emWdVbseFEiNDc0bjIV5vQ_11_6"/>
      <w:bookmarkStart w:id="351" w:name="Tc_JZHJa-Q350a7k-W3Nd-h8A_11_3"/>
      <w:bookmarkStart w:id="352" w:name="Tc_-h9ua2rQk0aHvB7K4tCcKg_11_0"/>
      <w:bookmarkStart w:id="353" w:name="Tc_WTuZq-UAdUy8kWjqo2UE6Q_10_15"/>
      <w:bookmarkStart w:id="354" w:name="Tc_Bk7f8DwSSkO5yyfn2hbgTw_10_9"/>
      <w:bookmarkStart w:id="355" w:name="Tc_3d4k3Wz9UEqIyyZD0qoGcg_10_6"/>
      <w:bookmarkStart w:id="356" w:name="Tc_ctiUrZQj3kG3FSdRY-czzQ_10_3"/>
      <w:bookmarkStart w:id="357" w:name="Tc_fB-bwTK8IUSgKe9uT3CuEw_10_0"/>
      <w:bookmarkStart w:id="358" w:name="Tc_arXmzOgS5UGRmqAuAqPKAA_9_15"/>
      <w:bookmarkStart w:id="359" w:name="Tc_Ixv9NnVPF0iWPZ0rXXt1gQ_9_9"/>
      <w:bookmarkStart w:id="360" w:name="Tc_hA0YNoY_LUqFmApAccgoRg_9_6"/>
      <w:bookmarkStart w:id="361" w:name="Tc_ZtBvwHsg4kC1b8Yr1jYNlA_9_3"/>
      <w:bookmarkStart w:id="362" w:name="Tc_65I714dj3UykJWo1B9pdMg_9_0"/>
      <w:bookmarkStart w:id="363" w:name="Tc_k49xH08tPE6bHBdMOLclwQ_8_15"/>
      <w:bookmarkStart w:id="364" w:name="Tc_3umT04-23EiVx1VwlCnWGQ_8_12"/>
      <w:bookmarkStart w:id="365" w:name="Tc_N5CNYi4amUyydy7rryb_pQ_8_6"/>
      <w:bookmarkStart w:id="366" w:name="Tc_bmzK6jL6N0qbruIU8n6ong_8_3"/>
      <w:bookmarkStart w:id="367" w:name="Tc_nNXD2dMkh0CRtSWlzeMF_g_8_0"/>
      <w:bookmarkStart w:id="368" w:name="Tc_sVZwGUb7RUmqdfAFLa7Rtw_7_15"/>
      <w:bookmarkStart w:id="369" w:name="Tc_7A6O0ONvEkydCr9vQjEITw_7_12"/>
      <w:bookmarkStart w:id="370" w:name="Tc_k2V5XTb2cUe82TvQ413Txw_7_6"/>
      <w:bookmarkStart w:id="371" w:name="Tc_m47ek2CPZUKVHulKccEOcg_7_3"/>
      <w:bookmarkStart w:id="372" w:name="Tc_EIlQC6ZhvEOOTFEuhCsGQw_7_0"/>
      <w:bookmarkStart w:id="373" w:name="Tc_x5-4AjFuzE6M4T2LO1pllw_6_15"/>
      <w:bookmarkStart w:id="374" w:name="Tc_EIryAPQ_cE6sRWdb5jO_6A_6_12"/>
      <w:bookmarkStart w:id="375" w:name="Tc_qwYcl0lsv0OzYNkQhbHc6A_6_6"/>
      <w:bookmarkStart w:id="376" w:name="Tc_2eVfBRm_MkGzv9_Gx42oBg_6_3"/>
      <w:bookmarkStart w:id="377" w:name="Tc_0CeQKdzTG0qxEi6V_--_Qw_6_0"/>
      <w:bookmarkStart w:id="378" w:name="Tc_cXP23lAWB0OvW3SYGxKZ1Q_5_15"/>
      <w:bookmarkStart w:id="379" w:name="Tc_--g63MgohEmZ2YUw82BZqg_5_12"/>
      <w:bookmarkStart w:id="380" w:name="Tc_c9ctTBAO9UeS7DxfBru5Qw_5_3"/>
      <w:bookmarkStart w:id="381" w:name="Tc_9qmUwYEgik2M-DNK7r4eYw_5_0"/>
      <w:bookmarkStart w:id="382" w:name="Tc_huc_SLbi7EeB9f_1Ebs41g_4_15"/>
      <w:bookmarkStart w:id="383" w:name="Tc_kJM0jk_-qUOHTYlhb2Nthg_4_12"/>
      <w:bookmarkStart w:id="384" w:name="Tc__oyPgW9vTEu839bK0qpYTA_4_3"/>
      <w:bookmarkStart w:id="385" w:name="Tc_BTi4cJaS6k6t5vftRZWBNQ_4_0"/>
      <w:bookmarkStart w:id="386" w:name="Tc_XyWDvgmc8UuAI1LnM3f65A_3_15"/>
      <w:bookmarkStart w:id="387" w:name="Tc_zXhMq5jD-0a8TYROkXvGZg_3_9"/>
      <w:bookmarkStart w:id="388" w:name="Tc_avMl-umyLU6VX_YL6Wda3g_3_6"/>
      <w:bookmarkStart w:id="389" w:name="Tc_Zu6CcHiPUEyP_i7AwQh97A_3_3"/>
      <w:bookmarkStart w:id="390" w:name="Tc_uJvZnV28vEK6dPQM0fYtGA_3_0"/>
      <w:bookmarkStart w:id="391" w:name="Tc_wufMPK_SN0GqBpTo9IPcAQ_2_17"/>
      <w:bookmarkStart w:id="392" w:name="Tc_ZxyGRN3aJU-DjYJb84S8Sg_2_14"/>
      <w:bookmarkStart w:id="393" w:name="Tc_6xEGphEwYUG4fYagYCzBXQ_2_11"/>
      <w:bookmarkStart w:id="394" w:name="Tc_ZqLTlHT_SUCx-B2R5iDr_w_2_8"/>
      <w:bookmarkStart w:id="395" w:name="Tc_CiwcvukJykSsmOd_HxSw0w_2_5"/>
      <w:bookmarkStart w:id="396" w:name="Tc_5KFhNSGUM0-vInoFwxAilQ_2_2"/>
      <w:bookmarkStart w:id="397" w:name="Tc_31g4VdNby0ildAmAFHLiDQ_2_0"/>
      <w:bookmarkStart w:id="398" w:name="Tc_KN2hL_BYuEWT2UOSSK2iLw_1_17"/>
      <w:bookmarkStart w:id="399" w:name="Tc_zA3-ryU1ukiJws_TbTjt8A_1_14"/>
      <w:bookmarkStart w:id="400" w:name="Tc_DywKSGml6kyCTuaPfazbGg_1_11"/>
      <w:bookmarkStart w:id="401" w:name="Tc_IXije0QNAU68EcJ__gDt1Q_1_8"/>
      <w:bookmarkStart w:id="402" w:name="Tc_VmBmsvcj8UuXWS6EGxVpsg_1_5"/>
      <w:bookmarkStart w:id="403" w:name="Tc_4Xwuxbnh6kKNxnXPFd8Nwg_1_2"/>
      <w:bookmarkStart w:id="404" w:name="_0437583f_2c2e_4e59_96b6_5cc729cd67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tbl>
      <w:tblPr>
        <w:tblW w:w="10205" w:type="dxa"/>
        <w:jc w:val="left"/>
        <w:tblInd w:w="0" w:type="dxa"/>
        <w:tblCellMar>
          <w:top w:w="0" w:type="dxa"/>
          <w:left w:w="0" w:type="dxa"/>
          <w:bottom w:w="0" w:type="dxa"/>
          <w:right w:w="0" w:type="dxa"/>
        </w:tblCellMar>
      </w:tblPr>
      <w:tblGrid>
        <w:gridCol w:w="2105"/>
        <w:gridCol w:w="109"/>
        <w:gridCol w:w="342"/>
        <w:gridCol w:w="606"/>
        <w:gridCol w:w="109"/>
        <w:gridCol w:w="309"/>
        <w:gridCol w:w="595"/>
        <w:gridCol w:w="109"/>
        <w:gridCol w:w="277"/>
        <w:gridCol w:w="978"/>
        <w:gridCol w:w="109"/>
        <w:gridCol w:w="233"/>
        <w:gridCol w:w="823"/>
        <w:gridCol w:w="109"/>
        <w:gridCol w:w="489"/>
        <w:gridCol w:w="1501"/>
        <w:gridCol w:w="109"/>
        <w:gridCol w:w="257"/>
        <w:gridCol w:w="1036"/>
      </w:tblGrid>
      <w:tr>
        <w:trPr/>
        <w:tc>
          <w:tcPr>
            <w:tcW w:w="21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6675" cy="175260"/>
                      <wp:effectExtent l="0" t="0" r="0" b="0"/>
                      <wp:wrapNone/>
                      <wp:docPr id="20" name="Frame20"/>
                      <a:graphic xmlns:a="http://schemas.openxmlformats.org/drawingml/2006/main">
                        <a:graphicData uri="http://schemas.microsoft.com/office/word/2010/wordprocessingShape">
                          <wps:wsp>
                            <wps:cNvSpPr txBox="1"/>
                            <wps:spPr>
                              <a:xfrm>
                                <a:off x="0" y="0"/>
                                <a:ext cx="1336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7170" cy="175260"/>
                      <wp:effectExtent l="0" t="0" r="0" b="0"/>
                      <wp:wrapNone/>
                      <wp:docPr id="22" name="Frame22"/>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4810" cy="175260"/>
                      <wp:effectExtent l="0" t="0" r="0" b="0"/>
                      <wp:wrapNone/>
                      <wp:docPr id="23" name="Frame23"/>
                      <a:graphic xmlns:a="http://schemas.openxmlformats.org/drawingml/2006/main">
                        <a:graphicData uri="http://schemas.microsoft.com/office/word/2010/wordprocessingShape">
                          <wps:wsp>
                            <wps:cNvSpPr txBox="1"/>
                            <wps:spPr>
                              <a:xfrm>
                                <a:off x="0" y="0"/>
                                <a:ext cx="384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6215" cy="175260"/>
                      <wp:effectExtent l="0" t="0" r="0" b="0"/>
                      <wp:wrapNone/>
                      <wp:docPr id="25" name="Frame25"/>
                      <a:graphic xmlns:a="http://schemas.openxmlformats.org/drawingml/2006/main">
                        <a:graphicData uri="http://schemas.microsoft.com/office/word/2010/wordprocessingShape">
                          <wps:wsp>
                            <wps:cNvSpPr txBox="1"/>
                            <wps:spPr>
                              <a:xfrm>
                                <a:off x="0" y="0"/>
                                <a:ext cx="196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7825" cy="175260"/>
                      <wp:effectExtent l="0" t="0" r="0" b="0"/>
                      <wp:wrapNone/>
                      <wp:docPr id="26" name="Frame26"/>
                      <a:graphic xmlns:a="http://schemas.openxmlformats.org/drawingml/2006/main">
                        <a:graphicData uri="http://schemas.microsoft.com/office/word/2010/wordprocessingShape">
                          <wps:wsp>
                            <wps:cNvSpPr txBox="1"/>
                            <wps:spPr>
                              <a:xfrm>
                                <a:off x="0" y="0"/>
                                <a:ext cx="377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5895" cy="175260"/>
                      <wp:effectExtent l="0" t="0" r="0" b="0"/>
                      <wp:wrapNone/>
                      <wp:docPr id="28" name="Frame28"/>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21030" cy="175260"/>
                      <wp:effectExtent l="0" t="0" r="0" b="0"/>
                      <wp:wrapNone/>
                      <wp:docPr id="29" name="Frame29"/>
                      <a:graphic xmlns:a="http://schemas.openxmlformats.org/drawingml/2006/main">
                        <a:graphicData uri="http://schemas.microsoft.com/office/word/2010/wordprocessingShape">
                          <wps:wsp>
                            <wps:cNvSpPr txBox="1"/>
                            <wps:spPr>
                              <a:xfrm>
                                <a:off x="0" y="0"/>
                                <a:ext cx="621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7955" cy="175260"/>
                      <wp:effectExtent l="0" t="0" r="0" b="0"/>
                      <wp:wrapNone/>
                      <wp:docPr id="31" name="Frame31"/>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2605" cy="175260"/>
                      <wp:effectExtent l="0" t="0" r="0" b="0"/>
                      <wp:wrapNone/>
                      <wp:docPr id="32" name="Frame32"/>
                      <a:graphic xmlns:a="http://schemas.openxmlformats.org/drawingml/2006/main">
                        <a:graphicData uri="http://schemas.microsoft.com/office/word/2010/wordprocessingShape">
                          <wps:wsp>
                            <wps:cNvSpPr txBox="1"/>
                            <wps:spPr>
                              <a:xfrm>
                                <a:off x="0" y="0"/>
                                <a:ext cx="522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10515" cy="175260"/>
                      <wp:effectExtent l="0" t="0" r="0" b="0"/>
                      <wp:wrapNone/>
                      <wp:docPr id="34" name="Frame34"/>
                      <a:graphic xmlns:a="http://schemas.openxmlformats.org/drawingml/2006/main">
                        <a:graphicData uri="http://schemas.microsoft.com/office/word/2010/wordprocessingShape">
                          <wps:wsp>
                            <wps:cNvSpPr txBox="1"/>
                            <wps:spPr>
                              <a:xfrm>
                                <a:off x="0" y="0"/>
                                <a:ext cx="310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53135" cy="175260"/>
                      <wp:effectExtent l="0" t="0" r="0" b="0"/>
                      <wp:wrapNone/>
                      <wp:docPr id="35" name="Frame35"/>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3195" cy="175260"/>
                      <wp:effectExtent l="0" t="0" r="0" b="0"/>
                      <wp:wrapNone/>
                      <wp:docPr id="37" name="Frame37"/>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7860" cy="175260"/>
                      <wp:effectExtent l="0" t="0" r="0" b="0"/>
                      <wp:wrapNone/>
                      <wp:docPr id="38" name="Frame3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0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shd w:fill="auto" w:val="clear"/>
            <w:vAlign w:val="center"/>
          </w:tcPr>
          <w:p>
            <w:pPr>
              <w:pStyle w:val="TableContents"/>
              <w:spacing w:before="0" w:after="0"/>
              <w:ind w:left="0" w:right="0" w:hanging="0"/>
              <w:rPr/>
            </w:pPr>
            <w:r>
              <w:rPr/>
              <w:t>​</w:t>
            </w:r>
          </w:p>
        </w:tc>
        <w:tc>
          <w:tcPr>
            <w:tcW w:w="9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shd w:fill="auto" w:val="clear"/>
            <w:vAlign w:val="center"/>
          </w:tcPr>
          <w:p>
            <w:pPr>
              <w:pStyle w:val="TableContents"/>
              <w:spacing w:before="0" w:after="0"/>
              <w:ind w:left="0" w:right="0" w:hanging="0"/>
              <w:jc w:val="center"/>
              <w:rPr/>
            </w:pPr>
            <w:r>
              <w:rPr/>
              <w:t>​</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shd w:fill="auto" w:val="clear"/>
            <w:vAlign w:val="center"/>
          </w:tcPr>
          <w:p>
            <w:pPr>
              <w:pStyle w:val="TableContents"/>
              <w:spacing w:before="0" w:after="0"/>
              <w:ind w:left="0" w:right="0" w:hanging="0"/>
              <w:jc w:val="center"/>
              <w:rPr/>
            </w:pPr>
            <w:r>
              <w:rPr/>
              <w:t>​</w:t>
            </w:r>
          </w:p>
        </w:tc>
        <w:tc>
          <w:tcPr>
            <w:tcW w:w="10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shd w:fill="auto" w:val="clear"/>
            <w:vAlign w:val="center"/>
          </w:tcPr>
          <w:p>
            <w:pPr>
              <w:pStyle w:val="TableContents"/>
              <w:spacing w:before="0" w:after="0"/>
              <w:ind w:left="0" w:right="0" w:hanging="0"/>
              <w:jc w:val="center"/>
              <w:rPr/>
            </w:pPr>
            <w:r>
              <w:rPr/>
              <w:t>​</w:t>
            </w:r>
          </w:p>
        </w:tc>
        <w:tc>
          <w:tcPr>
            <w:tcW w:w="19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shd w:fill="auto" w:val="clear"/>
            <w:vAlign w:val="center"/>
          </w:tcPr>
          <w:p>
            <w:pPr>
              <w:pStyle w:val="TableContents"/>
              <w:spacing w:before="0" w:after="0"/>
              <w:ind w:left="0" w:right="0" w:hanging="0"/>
              <w:jc w:val="center"/>
              <w:rPr/>
            </w:pPr>
            <w:r>
              <w:rPr/>
              <w:t>​</w:t>
            </w:r>
          </w:p>
        </w:tc>
        <w:tc>
          <w:tcPr>
            <w:tcW w:w="12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January 1, 2023</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172,471</w:t>
            </w:r>
          </w:p>
        </w:tc>
        <w:tc>
          <w:tcPr>
            <w:tcW w:w="109"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316,279</w:t>
            </w:r>
          </w:p>
        </w:tc>
        <w:tc>
          <w:tcPr>
            <w:tcW w:w="109"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15,761</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504,770</w:t>
            </w:r>
          </w:p>
        </w:tc>
      </w:tr>
      <w:tr>
        <w:trPr/>
        <w:tc>
          <w:tcPr>
            <w:tcW w:w="21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6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c>
          <w:tcPr>
            <w:tcW w:w="109"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6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(5,006)</w:t>
            </w:r>
          </w:p>
        </w:tc>
        <w:tc>
          <w:tcPr>
            <w:tcW w:w="109"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(5,009)</w:t>
            </w:r>
          </w:p>
        </w:tc>
      </w:tr>
      <w:tr>
        <w:trPr/>
        <w:tc>
          <w:tcPr>
            <w:tcW w:w="21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6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(1,029)</w:t>
            </w:r>
          </w:p>
        </w:tc>
        <w:tc>
          <w:tcPr>
            <w:tcW w:w="109"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 and Stock Issuance to Directors</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6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109"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21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6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109"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6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c>
          <w:tcPr>
            <w:tcW w:w="109"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21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6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109"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6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(9,025)</w:t>
            </w:r>
          </w:p>
        </w:tc>
        <w:tc>
          <w:tcPr>
            <w:tcW w:w="109" w:type="dxa"/>
            <w:tcBorders/>
            <w:shd w:fill="CCEEFF" w:val="clear"/>
            <w:vAlign w:val="center"/>
          </w:tcPr>
          <w:p>
            <w:pPr>
              <w:pStyle w:val="TableContents"/>
              <w:spacing w:before="0" w:after="0"/>
              <w:ind w:left="0" w:right="0" w:hanging="0"/>
              <w:rPr/>
            </w:pPr>
            <w:r>
              <w:rPr/>
              <w:t>​</w:t>
            </w:r>
          </w:p>
        </w:tc>
        <w:tc>
          <w:tcPr>
            <w:tcW w:w="48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(9,025)</w:t>
            </w:r>
          </w:p>
        </w:tc>
      </w:tr>
      <w:tr>
        <w:trPr/>
        <w:tc>
          <w:tcPr>
            <w:tcW w:w="21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shd w:fill="auto" w:val="clear"/>
            <w:vAlign w:val="center"/>
          </w:tcPr>
          <w:p>
            <w:pPr>
              <w:pStyle w:val="TableContents"/>
              <w:spacing w:before="0" w:after="0"/>
              <w:ind w:left="0" w:right="0" w:hanging="0"/>
              <w:rPr/>
            </w:pPr>
            <w:r>
              <w:rPr/>
              <w:t>​</w:t>
            </w:r>
          </w:p>
        </w:tc>
        <w:tc>
          <w:tcPr>
            <w:tcW w:w="3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7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(4,891)</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(4,891)</w:t>
            </w:r>
          </w:p>
        </w:tc>
      </w:tr>
      <w:tr>
        <w:trPr/>
        <w:tc>
          <w:tcPr>
            <w:tcW w:w="21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March 31, 2023</w:t>
            </w:r>
          </w:p>
        </w:tc>
        <w:tc>
          <w:tcPr>
            <w:tcW w:w="109" w:type="dxa"/>
            <w:tcBorders/>
            <w:shd w:fill="CCEEFF" w:val="clear"/>
            <w:vAlign w:val="center"/>
          </w:tcPr>
          <w:p>
            <w:pPr>
              <w:pStyle w:val="TableContents"/>
              <w:spacing w:before="0" w:after="0"/>
              <w:ind w:left="0" w:right="0" w:hanging="0"/>
              <w:rPr/>
            </w:pPr>
            <w:r>
              <w:rPr/>
              <w:t>​</w:t>
            </w:r>
          </w:p>
        </w:tc>
        <w:tc>
          <w:tcPr>
            <w:tcW w:w="3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spacing w:before="0" w:after="0"/>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109"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7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167,436</w:t>
            </w:r>
          </w:p>
        </w:tc>
        <w:tc>
          <w:tcPr>
            <w:tcW w:w="109"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300,066</w:t>
            </w:r>
          </w:p>
        </w:tc>
        <w:tc>
          <w:tcPr>
            <w:tcW w:w="109" w:type="dxa"/>
            <w:tcBorders/>
            <w:shd w:fill="CCEEFF" w:val="clear"/>
            <w:vAlign w:val="center"/>
          </w:tcPr>
          <w:p>
            <w:pPr>
              <w:pStyle w:val="TableContents"/>
              <w:spacing w:before="0" w:after="0"/>
              <w:ind w:left="0" w:right="0" w:hanging="0"/>
              <w:rPr/>
            </w:pPr>
            <w:r>
              <w:rPr/>
              <w:t>​</w:t>
            </w:r>
          </w:p>
        </w:tc>
        <w:tc>
          <w:tcPr>
            <w:tcW w:w="48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5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10,870</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48" w:hanging="0"/>
              <w:jc w:val="right"/>
              <w:rPr>
                <w:rFonts w:ascii="Times New Roman;Times;serif" w:hAnsi="Times New Roman;Times;serif"/>
                <w:sz w:val="16"/>
              </w:rPr>
            </w:pPr>
            <w:r>
              <w:rPr>
                <w:rFonts w:ascii="Times New Roman;Times;serif" w:hAnsi="Times New Roman;Times;serif"/>
                <w:sz w:val="16"/>
              </w:rPr>
              <w:t>478,629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For the three months ended March 31, 2022:</w:t>
      </w:r>
    </w:p>
    <w:p>
      <w:pPr>
        <w:pStyle w:val="Normal"/>
        <w:spacing w:before="0" w:after="0"/>
        <w:rPr>
          <w:sz w:val="4"/>
          <w:szCs w:val="4"/>
        </w:rPr>
      </w:pPr>
      <w:r>
        <w:rPr>
          <w:sz w:val="4"/>
          <w:szCs w:val="4"/>
        </w:rPr>
      </w:r>
      <w:bookmarkStart w:id="405" w:name="Tc_XdxDkUuag0eIadwWYHhLRQ_12_17"/>
      <w:bookmarkStart w:id="406" w:name="Tc_9rWunQUZIU-PBVESeOfiBg_12_14"/>
      <w:bookmarkStart w:id="407" w:name="Tc_J7xkA-pfQkKwt-UN4pYT4g_12_11"/>
      <w:bookmarkStart w:id="408" w:name="Tc_BMdPA_-sw0aHnkG6SOMwuA_12_8"/>
      <w:bookmarkStart w:id="409" w:name="Tc_-7qYFMs3D0GQAf-YvO9dRw_12_5"/>
      <w:bookmarkStart w:id="410" w:name="Tc_Z61fmYi7aUeZ2LWI_ddl_Q_12_2"/>
      <w:bookmarkStart w:id="411" w:name="Tc_I26LhTPZy0S9fOWA3OF08Q_12_0"/>
      <w:bookmarkStart w:id="412" w:name="Tc_RdnABHBy70GCGjMSy8GszQ_11_12"/>
      <w:bookmarkStart w:id="413" w:name="Tc_iKIteYmq_kq7D14_fRwyzA_11_9"/>
      <w:bookmarkStart w:id="414" w:name="Tc_2Ent-ysIDUCXe9Vu2Y6GXQ_11_6"/>
      <w:bookmarkStart w:id="415" w:name="Tc__GpjQYhQVkiRASVt67EifQ_11_3"/>
      <w:bookmarkStart w:id="416" w:name="Tc_PZvVeOUpmkasTxS-4u2JEg_11_0"/>
      <w:bookmarkStart w:id="417" w:name="Tc_0riRwRyH40qtGpA_QIaBvw_10_15"/>
      <w:bookmarkStart w:id="418" w:name="Tc_EZDlm-daAkarIAtm6Cwqmg_10_9"/>
      <w:bookmarkStart w:id="419" w:name="Tc_HVLTuSkFnk-xezDwDlxksA_10_6"/>
      <w:bookmarkStart w:id="420" w:name="Tc_l7c912f71UKPcnym6lJTPQ_10_3"/>
      <w:bookmarkStart w:id="421" w:name="Tc_IbcWx7B5zUOXyS1XXfXGkQ_10_0"/>
      <w:bookmarkStart w:id="422" w:name="Tc_QgmsnTpSQk6R0sw_JPC1zg_9_15"/>
      <w:bookmarkStart w:id="423" w:name="Tc_4L76u_G-jUG2hxrzigXKWQ_9_9"/>
      <w:bookmarkStart w:id="424" w:name="Tc_eSrV7tzzhkS5A2kEZcqgLQ_9_6"/>
      <w:bookmarkStart w:id="425" w:name="Tc_AdrSA6r3qk6U2L9YJy-AWg_9_3"/>
      <w:bookmarkStart w:id="426" w:name="Tc_vqHXcWYsO0CHN_Q_VO34HQ_9_0"/>
      <w:bookmarkStart w:id="427" w:name="Tc_lS_eLy9w4Eu3AvPTr-BS9g_8_15"/>
      <w:bookmarkStart w:id="428" w:name="Tc_ntZIQnYbSU2-4hiayR_1PA_8_12"/>
      <w:bookmarkStart w:id="429" w:name="Tc_t2LYVyqQOkSH7jEAIe-org_8_6"/>
      <w:bookmarkStart w:id="430" w:name="Tc_KQJNE2qLuE6gYbX6uBs7Ew_8_3"/>
      <w:bookmarkStart w:id="431" w:name="Tc_Lu5G1AWWkE2_FNCOXx8xaw_8_0"/>
      <w:bookmarkStart w:id="432" w:name="Tc_uw0KuVjo3EiYFdiNPYZzZA_7_15"/>
      <w:bookmarkStart w:id="433" w:name="Tc_46CkOPd6oUGNaKNzls1RLA_7_12"/>
      <w:bookmarkStart w:id="434" w:name="Tc_P2kR30cu90OCMzkwTzMHkg_7_6"/>
      <w:bookmarkStart w:id="435" w:name="Tc_2LZTwjxKUEut5loZBUT6tA_7_3"/>
      <w:bookmarkStart w:id="436" w:name="Tc_taqdxopoCkSOfvJWE-I-hg_7_0"/>
      <w:bookmarkStart w:id="437" w:name="Tc_qp45xzuGx02PLYd6ki4CWQ_6_15"/>
      <w:bookmarkStart w:id="438" w:name="Tc_dckHHVzoOUen9f8ciMjzzQ_6_12"/>
      <w:bookmarkStart w:id="439" w:name="Tc_UKKoOQjP5Uu8m1_th7QMWw_6_6"/>
      <w:bookmarkStart w:id="440" w:name="Tc_B6IyGeNLfEaDi9sqVYHzFw_6_3"/>
      <w:bookmarkStart w:id="441" w:name="Tc_1ubQ6ARirkOhEwUg4rstnw_6_0"/>
      <w:bookmarkStart w:id="442" w:name="Tc_cfnu55mAaEKvApBziF3WRg_5_15"/>
      <w:bookmarkStart w:id="443" w:name="Tc_BosTUQN0Tkyjn9k2ozO0xQ_5_12"/>
      <w:bookmarkStart w:id="444" w:name="Tc_XmNcKh52dEywQTRWGoAa1A_5_6"/>
      <w:bookmarkStart w:id="445" w:name="Tc_BoFwYRGOy02VSGdMNE7X5g_5_3"/>
      <w:bookmarkStart w:id="446" w:name="Tc_MOu38xzcckWjkJOBeD4rvA_5_0"/>
      <w:bookmarkStart w:id="447" w:name="Tc_AksWW69hpUi1cNmKltOzkg_4_15"/>
      <w:bookmarkStart w:id="448" w:name="Tc_3mgwPy-LO0iMcB4HkfFsOw_4_6"/>
      <w:bookmarkStart w:id="449" w:name="Tc_Yb1g__tUZkqonpaTt8hkZA_4_3"/>
      <w:bookmarkStart w:id="450" w:name="Tc_-wHe4g6C20aNtGDP7PEPuw_4_0"/>
      <w:bookmarkStart w:id="451" w:name="Tc_9KE-aKU4dUOXfyBCfuQOSA_3_15"/>
      <w:bookmarkStart w:id="452" w:name="Tc_BcsDLBO6zUWZYcYOHoKe4A_3_9"/>
      <w:bookmarkStart w:id="453" w:name="Tc_V9OaA9DLsE-nDzJM0HTgxA_3_6"/>
      <w:bookmarkStart w:id="454" w:name="Tc_Fhl5mOBVWE-zxm9MsSiUdQ_3_3"/>
      <w:bookmarkStart w:id="455" w:name="Tc_BnQ8IvqYYUCqHBZrZy80mA_3_0"/>
      <w:bookmarkStart w:id="456" w:name="Tc_jBHE_wXspk2Diij_WKk8vQ_2_17"/>
      <w:bookmarkStart w:id="457" w:name="Tc_qOBnM4PWakKSgZMAnmKJrw_2_14"/>
      <w:bookmarkStart w:id="458" w:name="Tc_HThjpjRxK0yj8VwswTceMQ_2_11"/>
      <w:bookmarkStart w:id="459" w:name="Tc_OlcjOXY0f0utcdA1nDQGeQ_2_8"/>
      <w:bookmarkStart w:id="460" w:name="Tc_TNNSvWVBB0aQZvHfp6tvCg_2_5"/>
      <w:bookmarkStart w:id="461" w:name="Tc_xC7Ta2KWFESoeZX3ZKJw0A_2_2"/>
      <w:bookmarkStart w:id="462" w:name="Tc_Iz0Kf6I5JEqUxHRmEEOZ0w_2_0"/>
      <w:bookmarkStart w:id="463" w:name="Tc_070h45pv-0CIdAdyuLoQpw_1_17"/>
      <w:bookmarkStart w:id="464" w:name="Tc_gwmh_AcdiEiPEWrDKtHb_A_1_14"/>
      <w:bookmarkStart w:id="465" w:name="Tc_H5JmgzzfxUqTroaRCn_uBw_1_11"/>
      <w:bookmarkStart w:id="466" w:name="Tc_Vm0RzEWKkEq5ePX7cSaEFQ_1_8"/>
      <w:bookmarkStart w:id="467" w:name="Tc_PAKKXr6f7kukvYpTqu6I4g_1_5"/>
      <w:bookmarkStart w:id="468" w:name="Tc_wXna_7WoqE2VC9Dg5E-v2Q_1_2"/>
      <w:bookmarkStart w:id="469" w:name="_5549a9b2_8f93_4f29_855e_f90d2a76c351"/>
      <w:bookmarkStart w:id="470" w:name="Tc_XdxDkUuag0eIadwWYHhLRQ_12_17"/>
      <w:bookmarkStart w:id="471" w:name="Tc_9rWunQUZIU-PBVESeOfiBg_12_14"/>
      <w:bookmarkStart w:id="472" w:name="Tc_J7xkA-pfQkKwt-UN4pYT4g_12_11"/>
      <w:bookmarkStart w:id="473" w:name="Tc_BMdPA_-sw0aHnkG6SOMwuA_12_8"/>
      <w:bookmarkStart w:id="474" w:name="Tc_-7qYFMs3D0GQAf-YvO9dRw_12_5"/>
      <w:bookmarkStart w:id="475" w:name="Tc_Z61fmYi7aUeZ2LWI_ddl_Q_12_2"/>
      <w:bookmarkStart w:id="476" w:name="Tc_I26LhTPZy0S9fOWA3OF08Q_12_0"/>
      <w:bookmarkStart w:id="477" w:name="Tc_RdnABHBy70GCGjMSy8GszQ_11_12"/>
      <w:bookmarkStart w:id="478" w:name="Tc_iKIteYmq_kq7D14_fRwyzA_11_9"/>
      <w:bookmarkStart w:id="479" w:name="Tc_2Ent-ysIDUCXe9Vu2Y6GXQ_11_6"/>
      <w:bookmarkStart w:id="480" w:name="Tc__GpjQYhQVkiRASVt67EifQ_11_3"/>
      <w:bookmarkStart w:id="481" w:name="Tc_PZvVeOUpmkasTxS-4u2JEg_11_0"/>
      <w:bookmarkStart w:id="482" w:name="Tc_0riRwRyH40qtGpA_QIaBvw_10_15"/>
      <w:bookmarkStart w:id="483" w:name="Tc_EZDlm-daAkarIAtm6Cwqmg_10_9"/>
      <w:bookmarkStart w:id="484" w:name="Tc_HVLTuSkFnk-xezDwDlxksA_10_6"/>
      <w:bookmarkStart w:id="485" w:name="Tc_l7c912f71UKPcnym6lJTPQ_10_3"/>
      <w:bookmarkStart w:id="486" w:name="Tc_IbcWx7B5zUOXyS1XXfXGkQ_10_0"/>
      <w:bookmarkStart w:id="487" w:name="Tc_QgmsnTpSQk6R0sw_JPC1zg_9_15"/>
      <w:bookmarkStart w:id="488" w:name="Tc_4L76u_G-jUG2hxrzigXKWQ_9_9"/>
      <w:bookmarkStart w:id="489" w:name="Tc_eSrV7tzzhkS5A2kEZcqgLQ_9_6"/>
      <w:bookmarkStart w:id="490" w:name="Tc_AdrSA6r3qk6U2L9YJy-AWg_9_3"/>
      <w:bookmarkStart w:id="491" w:name="Tc_vqHXcWYsO0CHN_Q_VO34HQ_9_0"/>
      <w:bookmarkStart w:id="492" w:name="Tc_lS_eLy9w4Eu3AvPTr-BS9g_8_15"/>
      <w:bookmarkStart w:id="493" w:name="Tc_ntZIQnYbSU2-4hiayR_1PA_8_12"/>
      <w:bookmarkStart w:id="494" w:name="Tc_t2LYVyqQOkSH7jEAIe-org_8_6"/>
      <w:bookmarkStart w:id="495" w:name="Tc_KQJNE2qLuE6gYbX6uBs7Ew_8_3"/>
      <w:bookmarkStart w:id="496" w:name="Tc_Lu5G1AWWkE2_FNCOXx8xaw_8_0"/>
      <w:bookmarkStart w:id="497" w:name="Tc_uw0KuVjo3EiYFdiNPYZzZA_7_15"/>
      <w:bookmarkStart w:id="498" w:name="Tc_46CkOPd6oUGNaKNzls1RLA_7_12"/>
      <w:bookmarkStart w:id="499" w:name="Tc_P2kR30cu90OCMzkwTzMHkg_7_6"/>
      <w:bookmarkStart w:id="500" w:name="Tc_2LZTwjxKUEut5loZBUT6tA_7_3"/>
      <w:bookmarkStart w:id="501" w:name="Tc_taqdxopoCkSOfvJWE-I-hg_7_0"/>
      <w:bookmarkStart w:id="502" w:name="Tc_qp45xzuGx02PLYd6ki4CWQ_6_15"/>
      <w:bookmarkStart w:id="503" w:name="Tc_dckHHVzoOUen9f8ciMjzzQ_6_12"/>
      <w:bookmarkStart w:id="504" w:name="Tc_UKKoOQjP5Uu8m1_th7QMWw_6_6"/>
      <w:bookmarkStart w:id="505" w:name="Tc_B6IyGeNLfEaDi9sqVYHzFw_6_3"/>
      <w:bookmarkStart w:id="506" w:name="Tc_1ubQ6ARirkOhEwUg4rstnw_6_0"/>
      <w:bookmarkStart w:id="507" w:name="Tc_cfnu55mAaEKvApBziF3WRg_5_15"/>
      <w:bookmarkStart w:id="508" w:name="Tc_BosTUQN0Tkyjn9k2ozO0xQ_5_12"/>
      <w:bookmarkStart w:id="509" w:name="Tc_XmNcKh52dEywQTRWGoAa1A_5_6"/>
      <w:bookmarkStart w:id="510" w:name="Tc_BoFwYRGOy02VSGdMNE7X5g_5_3"/>
      <w:bookmarkStart w:id="511" w:name="Tc_MOu38xzcckWjkJOBeD4rvA_5_0"/>
      <w:bookmarkStart w:id="512" w:name="Tc_AksWW69hpUi1cNmKltOzkg_4_15"/>
      <w:bookmarkStart w:id="513" w:name="Tc_3mgwPy-LO0iMcB4HkfFsOw_4_6"/>
      <w:bookmarkStart w:id="514" w:name="Tc_Yb1g__tUZkqonpaTt8hkZA_4_3"/>
      <w:bookmarkStart w:id="515" w:name="Tc_-wHe4g6C20aNtGDP7PEPuw_4_0"/>
      <w:bookmarkStart w:id="516" w:name="Tc_9KE-aKU4dUOXfyBCfuQOSA_3_15"/>
      <w:bookmarkStart w:id="517" w:name="Tc_BcsDLBO6zUWZYcYOHoKe4A_3_9"/>
      <w:bookmarkStart w:id="518" w:name="Tc_V9OaA9DLsE-nDzJM0HTgxA_3_6"/>
      <w:bookmarkStart w:id="519" w:name="Tc_Fhl5mOBVWE-zxm9MsSiUdQ_3_3"/>
      <w:bookmarkStart w:id="520" w:name="Tc_BnQ8IvqYYUCqHBZrZy80mA_3_0"/>
      <w:bookmarkStart w:id="521" w:name="Tc_jBHE_wXspk2Diij_WKk8vQ_2_17"/>
      <w:bookmarkStart w:id="522" w:name="Tc_qOBnM4PWakKSgZMAnmKJrw_2_14"/>
      <w:bookmarkStart w:id="523" w:name="Tc_HThjpjRxK0yj8VwswTceMQ_2_11"/>
      <w:bookmarkStart w:id="524" w:name="Tc_OlcjOXY0f0utcdA1nDQGeQ_2_8"/>
      <w:bookmarkStart w:id="525" w:name="Tc_TNNSvWVBB0aQZvHfp6tvCg_2_5"/>
      <w:bookmarkStart w:id="526" w:name="Tc_xC7Ta2KWFESoeZX3ZKJw0A_2_2"/>
      <w:bookmarkStart w:id="527" w:name="Tc_Iz0Kf6I5JEqUxHRmEEOZ0w_2_0"/>
      <w:bookmarkStart w:id="528" w:name="Tc_070h45pv-0CIdAdyuLoQpw_1_17"/>
      <w:bookmarkStart w:id="529" w:name="Tc_gwmh_AcdiEiPEWrDKtHb_A_1_14"/>
      <w:bookmarkStart w:id="530" w:name="Tc_H5JmgzzfxUqTroaRCn_uBw_1_11"/>
      <w:bookmarkStart w:id="531" w:name="Tc_Vm0RzEWKkEq5ePX7cSaEFQ_1_8"/>
      <w:bookmarkStart w:id="532" w:name="Tc_PAKKXr6f7kukvYpTqu6I4g_1_5"/>
      <w:bookmarkStart w:id="533" w:name="Tc_wXna_7WoqE2VC9Dg5E-v2Q_1_2"/>
      <w:bookmarkStart w:id="534" w:name="_5549a9b2_8f93_4f29_855e_f90d2a76c351"/>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tbl>
      <w:tblPr>
        <w:tblW w:w="10205" w:type="dxa"/>
        <w:jc w:val="left"/>
        <w:tblInd w:w="0" w:type="dxa"/>
        <w:tblCellMar>
          <w:top w:w="0" w:type="dxa"/>
          <w:left w:w="0" w:type="dxa"/>
          <w:bottom w:w="0" w:type="dxa"/>
          <w:right w:w="0" w:type="dxa"/>
        </w:tblCellMar>
      </w:tblPr>
      <w:tblGrid>
        <w:gridCol w:w="2513"/>
        <w:gridCol w:w="109"/>
        <w:gridCol w:w="335"/>
        <w:gridCol w:w="592"/>
        <w:gridCol w:w="109"/>
        <w:gridCol w:w="319"/>
        <w:gridCol w:w="563"/>
        <w:gridCol w:w="109"/>
        <w:gridCol w:w="291"/>
        <w:gridCol w:w="895"/>
        <w:gridCol w:w="109"/>
        <w:gridCol w:w="227"/>
        <w:gridCol w:w="803"/>
        <w:gridCol w:w="109"/>
        <w:gridCol w:w="484"/>
        <w:gridCol w:w="1262"/>
        <w:gridCol w:w="109"/>
        <w:gridCol w:w="252"/>
        <w:gridCol w:w="1015"/>
      </w:tblGrid>
      <w:tr>
        <w:trPr/>
        <w:tc>
          <w:tcPr>
            <w:tcW w:w="25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95755" cy="175260"/>
                      <wp:effectExtent l="0" t="0" r="0" b="0"/>
                      <wp:wrapNone/>
                      <wp:docPr id="39" name="Frame39"/>
                      <a:graphic xmlns:a="http://schemas.openxmlformats.org/drawingml/2006/main">
                        <a:graphicData uri="http://schemas.microsoft.com/office/word/2010/wordprocessingShape">
                          <wps:wsp>
                            <wps:cNvSpPr txBox="1"/>
                            <wps:spPr>
                              <a:xfrm>
                                <a:off x="0" y="0"/>
                                <a:ext cx="1595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2725" cy="175260"/>
                      <wp:effectExtent l="0" t="0" r="0" b="0"/>
                      <wp:wrapNone/>
                      <wp:docPr id="41" name="Frame41"/>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75920" cy="175260"/>
                      <wp:effectExtent l="0" t="0" r="0" b="0"/>
                      <wp:wrapNone/>
                      <wp:docPr id="42" name="Frame42"/>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2565" cy="175260"/>
                      <wp:effectExtent l="0" t="0" r="0" b="0"/>
                      <wp:wrapNone/>
                      <wp:docPr id="44" name="Frame44"/>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57505" cy="175260"/>
                      <wp:effectExtent l="0" t="0" r="0" b="0"/>
                      <wp:wrapNone/>
                      <wp:docPr id="45" name="Frame45"/>
                      <a:graphic xmlns:a="http://schemas.openxmlformats.org/drawingml/2006/main">
                        <a:graphicData uri="http://schemas.microsoft.com/office/word/2010/wordprocessingShape">
                          <wps:wsp>
                            <wps:cNvSpPr txBox="1"/>
                            <wps:spPr>
                              <a:xfrm>
                                <a:off x="0" y="0"/>
                                <a:ext cx="357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4785" cy="175260"/>
                      <wp:effectExtent l="0" t="0" r="0" b="0"/>
                      <wp:wrapNone/>
                      <wp:docPr id="47" name="Frame47"/>
                      <a:graphic xmlns:a="http://schemas.openxmlformats.org/drawingml/2006/main">
                        <a:graphicData uri="http://schemas.microsoft.com/office/word/2010/wordprocessingShape">
                          <wps:wsp>
                            <wps:cNvSpPr txBox="1"/>
                            <wps:spPr>
                              <a:xfrm>
                                <a:off x="0" y="0"/>
                                <a:ext cx="184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68325" cy="175260"/>
                      <wp:effectExtent l="0" t="0" r="0" b="0"/>
                      <wp:wrapNone/>
                      <wp:docPr id="48" name="Frame48"/>
                      <a:graphic xmlns:a="http://schemas.openxmlformats.org/drawingml/2006/main">
                        <a:graphicData uri="http://schemas.microsoft.com/office/word/2010/wordprocessingShape">
                          <wps:wsp>
                            <wps:cNvSpPr txBox="1"/>
                            <wps:spPr>
                              <a:xfrm>
                                <a:off x="0" y="0"/>
                                <a:ext cx="568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4145" cy="175260"/>
                      <wp:effectExtent l="0" t="0" r="0" b="0"/>
                      <wp:wrapNone/>
                      <wp:docPr id="50" name="Frame50"/>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9905" cy="175260"/>
                      <wp:effectExtent l="0" t="0" r="0" b="0"/>
                      <wp:wrapNone/>
                      <wp:docPr id="51" name="Frame51"/>
                      <a:graphic xmlns:a="http://schemas.openxmlformats.org/drawingml/2006/main">
                        <a:graphicData uri="http://schemas.microsoft.com/office/word/2010/wordprocessingShape">
                          <wps:wsp>
                            <wps:cNvSpPr txBox="1"/>
                            <wps:spPr>
                              <a:xfrm>
                                <a:off x="0" y="0"/>
                                <a:ext cx="509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07340" cy="175260"/>
                      <wp:effectExtent l="0" t="0" r="0" b="0"/>
                      <wp:wrapNone/>
                      <wp:docPr id="53" name="Frame53"/>
                      <a:graphic xmlns:a="http://schemas.openxmlformats.org/drawingml/2006/main">
                        <a:graphicData uri="http://schemas.microsoft.com/office/word/2010/wordprocessingShape">
                          <wps:wsp>
                            <wps:cNvSpPr txBox="1"/>
                            <wps:spPr>
                              <a:xfrm>
                                <a:off x="0" y="0"/>
                                <a:ext cx="307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801370" cy="175260"/>
                      <wp:effectExtent l="0" t="0" r="0" b="0"/>
                      <wp:wrapNone/>
                      <wp:docPr id="54" name="Frame54"/>
                      <a:graphic xmlns:a="http://schemas.openxmlformats.org/drawingml/2006/main">
                        <a:graphicData uri="http://schemas.microsoft.com/office/word/2010/wordprocessingShape">
                          <wps:wsp>
                            <wps:cNvSpPr txBox="1"/>
                            <wps:spPr>
                              <a:xfrm>
                                <a:off x="0" y="0"/>
                                <a:ext cx="801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0020" cy="175260"/>
                      <wp:effectExtent l="0" t="0" r="0" b="0"/>
                      <wp:wrapNone/>
                      <wp:docPr id="56" name="Frame56"/>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4525" cy="175260"/>
                      <wp:effectExtent l="0" t="0" r="0" b="0"/>
                      <wp:wrapNone/>
                      <wp:docPr id="57" name="Frame57"/>
                      <a:graphic xmlns:a="http://schemas.openxmlformats.org/drawingml/2006/main">
                        <a:graphicData uri="http://schemas.microsoft.com/office/word/2010/wordprocessingShape">
                          <wps:wsp>
                            <wps:cNvSpPr txBox="1"/>
                            <wps:spPr>
                              <a:xfrm>
                                <a:off x="0" y="0"/>
                                <a:ext cx="644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1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shd w:fill="auto" w:val="clear"/>
            <w:vAlign w:val="center"/>
          </w:tcPr>
          <w:p>
            <w:pPr>
              <w:pStyle w:val="TableContents"/>
              <w:spacing w:before="0" w:after="0"/>
              <w:ind w:left="0" w:right="0" w:hanging="0"/>
              <w:rPr/>
            </w:pPr>
            <w:r>
              <w:rPr/>
              <w:t>​</w:t>
            </w:r>
          </w:p>
        </w:tc>
        <w:tc>
          <w:tcPr>
            <w:tcW w:w="8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shd w:fill="auto" w:val="clear"/>
            <w:vAlign w:val="center"/>
          </w:tcPr>
          <w:p>
            <w:pPr>
              <w:pStyle w:val="TableContents"/>
              <w:spacing w:before="0" w:after="0"/>
              <w:ind w:left="0" w:right="0" w:hanging="0"/>
              <w:jc w:val="center"/>
              <w:rPr/>
            </w:pPr>
            <w:r>
              <w:rPr/>
              <w:t>​</w:t>
            </w:r>
          </w:p>
        </w:tc>
        <w:tc>
          <w:tcPr>
            <w:tcW w:w="11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shd w:fill="auto" w:val="clear"/>
            <w:vAlign w:val="center"/>
          </w:tcPr>
          <w:p>
            <w:pPr>
              <w:pStyle w:val="TableContents"/>
              <w:spacing w:before="0" w:after="0"/>
              <w:ind w:left="0" w:right="0" w:hanging="0"/>
              <w:jc w:val="center"/>
              <w:rPr/>
            </w:pPr>
            <w:r>
              <w:rPr/>
              <w:t>​</w:t>
            </w:r>
          </w:p>
        </w:tc>
        <w:tc>
          <w:tcPr>
            <w:tcW w:w="10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shd w:fill="auto" w:val="clear"/>
            <w:vAlign w:val="center"/>
          </w:tcPr>
          <w:p>
            <w:pPr>
              <w:pStyle w:val="TableContents"/>
              <w:spacing w:before="0" w:after="0"/>
              <w:ind w:left="0" w:right="0" w:hanging="0"/>
              <w:jc w:val="center"/>
              <w:rPr/>
            </w:pPr>
            <w:r>
              <w:rPr/>
              <w:t>​</w:t>
            </w:r>
          </w:p>
        </w:tc>
        <w:tc>
          <w:tcPr>
            <w:tcW w:w="17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shd w:fill="auto" w:val="clear"/>
            <w:vAlign w:val="center"/>
          </w:tcPr>
          <w:p>
            <w:pPr>
              <w:pStyle w:val="TableContents"/>
              <w:spacing w:before="0" w:after="0"/>
              <w:ind w:left="0" w:right="0" w:hanging="0"/>
              <w:jc w:val="center"/>
              <w:rPr/>
            </w:pPr>
            <w:r>
              <w:rPr/>
              <w:t>​</w:t>
            </w:r>
          </w:p>
        </w:tc>
        <w:tc>
          <w:tcPr>
            <w:tcW w:w="12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January 1, 2022</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9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85,414</w:t>
            </w:r>
          </w:p>
        </w:tc>
        <w:tc>
          <w:tcPr>
            <w:tcW w:w="109"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343,459</w:t>
            </w:r>
          </w:p>
        </w:tc>
        <w:tc>
          <w:tcPr>
            <w:tcW w:w="109" w:type="dxa"/>
            <w:tcBorders/>
            <w:shd w:fill="CCEEFF" w:val="clear"/>
            <w:vAlign w:val="center"/>
          </w:tcPr>
          <w:p>
            <w:pPr>
              <w:pStyle w:val="TableContents"/>
              <w:spacing w:before="0" w:after="0"/>
              <w:ind w:left="0" w:right="0" w:hanging="0"/>
              <w:rPr/>
            </w:pPr>
            <w:r>
              <w:rPr/>
              <w:t>​</w:t>
            </w:r>
          </w:p>
        </w:tc>
        <w:tc>
          <w:tcPr>
            <w:tcW w:w="48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6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1,517</w:t>
            </w:r>
          </w:p>
        </w:tc>
        <w:tc>
          <w:tcPr>
            <w:tcW w:w="10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430,480</w:t>
            </w:r>
          </w:p>
        </w:tc>
      </w:tr>
      <w:tr>
        <w:trPr/>
        <w:tc>
          <w:tcPr>
            <w:tcW w:w="251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09" w:type="dxa"/>
            <w:tcBorders/>
            <w:shd w:fill="auto" w:val="clear"/>
            <w:vAlign w:val="center"/>
          </w:tcPr>
          <w:p>
            <w:pPr>
              <w:pStyle w:val="TableContents"/>
              <w:spacing w:before="0" w:after="0"/>
              <w:ind w:left="0" w:right="0" w:hanging="0"/>
              <w:rPr/>
            </w:pPr>
            <w:r>
              <w:rPr/>
              <w:t>​</w:t>
            </w:r>
          </w:p>
        </w:tc>
        <w:tc>
          <w:tcPr>
            <w:tcW w:w="484" w:type="dxa"/>
            <w:tcBorders/>
            <w:shd w:fill="auto" w:val="clear"/>
            <w:vAlign w:val="center"/>
          </w:tcPr>
          <w:p>
            <w:pPr>
              <w:pStyle w:val="TableContents"/>
              <w:spacing w:before="0" w:after="0"/>
              <w:ind w:left="0" w:right="0" w:hanging="0"/>
              <w:rPr/>
            </w:pPr>
            <w:r>
              <w:rPr/>
              <w:t>​</w:t>
            </w:r>
          </w:p>
        </w:tc>
        <w:tc>
          <w:tcPr>
            <w:tcW w:w="12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Adjustment to Equity Component of Convertible Debt Upon Adoption of ASU 2020-06</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(7,034)</w:t>
            </w:r>
          </w:p>
        </w:tc>
        <w:tc>
          <w:tcPr>
            <w:tcW w:w="109"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4,022</w:t>
            </w:r>
          </w:p>
        </w:tc>
        <w:tc>
          <w:tcPr>
            <w:tcW w:w="109" w:type="dxa"/>
            <w:tcBorders/>
            <w:shd w:fill="CCEEFF" w:val="clear"/>
            <w:vAlign w:val="center"/>
          </w:tcPr>
          <w:p>
            <w:pPr>
              <w:pStyle w:val="TableContents"/>
              <w:spacing w:before="0" w:after="0"/>
              <w:ind w:left="0" w:right="0" w:hanging="0"/>
              <w:rPr/>
            </w:pPr>
            <w:r>
              <w:rPr/>
              <w:t>​</w:t>
            </w:r>
          </w:p>
        </w:tc>
        <w:tc>
          <w:tcPr>
            <w:tcW w:w="484" w:type="dxa"/>
            <w:tcBorders/>
            <w:shd w:fill="CCEEFF" w:val="clear"/>
            <w:vAlign w:val="center"/>
          </w:tcPr>
          <w:p>
            <w:pPr>
              <w:pStyle w:val="TableContents"/>
              <w:spacing w:before="0" w:after="0"/>
              <w:ind w:left="0" w:right="0" w:hanging="0"/>
              <w:rPr/>
            </w:pPr>
            <w:r>
              <w:rPr/>
              <w:t>​</w:t>
            </w:r>
          </w:p>
        </w:tc>
        <w:tc>
          <w:tcPr>
            <w:tcW w:w="12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(3,012)</w:t>
            </w:r>
          </w:p>
        </w:tc>
      </w:tr>
      <w:tr>
        <w:trPr/>
        <w:tc>
          <w:tcPr>
            <w:tcW w:w="251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89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109"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4" w:type="dxa"/>
            <w:tcBorders/>
            <w:shd w:fill="auto" w:val="clear"/>
            <w:vAlign w:val="center"/>
          </w:tcPr>
          <w:p>
            <w:pPr>
              <w:pStyle w:val="TableContents"/>
              <w:spacing w:before="0" w:after="0"/>
              <w:ind w:left="0" w:right="0" w:hanging="0"/>
              <w:rPr/>
            </w:pPr>
            <w:r>
              <w:rPr/>
              <w:t>​</w:t>
            </w:r>
          </w:p>
        </w:tc>
        <w:tc>
          <w:tcPr>
            <w:tcW w:w="12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 and Stock Issuance to Directors</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109"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84" w:type="dxa"/>
            <w:tcBorders/>
            <w:shd w:fill="CCEEFF" w:val="clear"/>
            <w:vAlign w:val="center"/>
          </w:tcPr>
          <w:p>
            <w:pPr>
              <w:pStyle w:val="TableContents"/>
              <w:spacing w:before="0" w:after="0"/>
              <w:ind w:left="0" w:right="0" w:hanging="0"/>
              <w:rPr/>
            </w:pPr>
            <w:r>
              <w:rPr/>
              <w:t>​</w:t>
            </w:r>
          </w:p>
        </w:tc>
        <w:tc>
          <w:tcPr>
            <w:tcW w:w="12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r>
      <w:tr>
        <w:trPr/>
        <w:tc>
          <w:tcPr>
            <w:tcW w:w="251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89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2,789</w:t>
            </w:r>
          </w:p>
        </w:tc>
        <w:tc>
          <w:tcPr>
            <w:tcW w:w="109"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4" w:type="dxa"/>
            <w:tcBorders/>
            <w:shd w:fill="auto" w:val="clear"/>
            <w:vAlign w:val="center"/>
          </w:tcPr>
          <w:p>
            <w:pPr>
              <w:pStyle w:val="TableContents"/>
              <w:spacing w:before="0" w:after="0"/>
              <w:ind w:left="0" w:right="0" w:hanging="0"/>
              <w:rPr/>
            </w:pPr>
            <w:r>
              <w:rPr/>
              <w:t>​</w:t>
            </w:r>
          </w:p>
        </w:tc>
        <w:tc>
          <w:tcPr>
            <w:tcW w:w="12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2,789</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c>
          <w:tcPr>
            <w:tcW w:w="109"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84" w:type="dxa"/>
            <w:tcBorders/>
            <w:shd w:fill="CCEEFF" w:val="clear"/>
            <w:vAlign w:val="center"/>
          </w:tcPr>
          <w:p>
            <w:pPr>
              <w:pStyle w:val="TableContents"/>
              <w:spacing w:before="0" w:after="0"/>
              <w:ind w:left="0" w:right="0" w:hanging="0"/>
              <w:rPr/>
            </w:pPr>
            <w:r>
              <w:rPr/>
              <w:t>​</w:t>
            </w:r>
          </w:p>
        </w:tc>
        <w:tc>
          <w:tcPr>
            <w:tcW w:w="12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619</w:t>
            </w:r>
          </w:p>
        </w:tc>
      </w:tr>
      <w:tr>
        <w:trPr/>
        <w:tc>
          <w:tcPr>
            <w:tcW w:w="251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56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109" w:type="dxa"/>
            <w:tcBorders/>
            <w:shd w:fill="auto" w:val="clear"/>
            <w:vAlign w:val="center"/>
          </w:tcPr>
          <w:p>
            <w:pPr>
              <w:pStyle w:val="TableContents"/>
              <w:spacing w:before="0" w:after="0"/>
              <w:ind w:left="0" w:right="0" w:hanging="0"/>
              <w:rPr/>
            </w:pPr>
            <w:r>
              <w:rPr/>
              <w:t>​</w:t>
            </w:r>
          </w:p>
        </w:tc>
        <w:tc>
          <w:tcPr>
            <w:tcW w:w="484" w:type="dxa"/>
            <w:tcBorders/>
            <w:shd w:fill="auto" w:val="clear"/>
            <w:vAlign w:val="center"/>
          </w:tcPr>
          <w:p>
            <w:pPr>
              <w:pStyle w:val="TableContents"/>
              <w:spacing w:before="0" w:after="0"/>
              <w:ind w:left="0" w:right="0" w:hanging="0"/>
              <w:rPr/>
            </w:pPr>
            <w:r>
              <w:rPr/>
              <w:t>​</w:t>
            </w:r>
          </w:p>
        </w:tc>
        <w:tc>
          <w:tcPr>
            <w:tcW w:w="12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56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(6,660)</w:t>
            </w:r>
          </w:p>
        </w:tc>
        <w:tc>
          <w:tcPr>
            <w:tcW w:w="109" w:type="dxa"/>
            <w:tcBorders/>
            <w:shd w:fill="CCEEFF" w:val="clear"/>
            <w:vAlign w:val="center"/>
          </w:tcPr>
          <w:p>
            <w:pPr>
              <w:pStyle w:val="TableContents"/>
              <w:spacing w:before="0" w:after="0"/>
              <w:ind w:left="0" w:right="0" w:hanging="0"/>
              <w:rPr/>
            </w:pPr>
            <w:r>
              <w:rPr/>
              <w:t>​</w:t>
            </w:r>
          </w:p>
        </w:tc>
        <w:tc>
          <w:tcPr>
            <w:tcW w:w="484" w:type="dxa"/>
            <w:tcBorders/>
            <w:shd w:fill="CCEEFF" w:val="clear"/>
            <w:vAlign w:val="center"/>
          </w:tcPr>
          <w:p>
            <w:pPr>
              <w:pStyle w:val="TableContents"/>
              <w:spacing w:before="0" w:after="0"/>
              <w:ind w:left="0" w:right="0" w:hanging="0"/>
              <w:rPr/>
            </w:pPr>
            <w:r>
              <w:rPr/>
              <w:t>​</w:t>
            </w:r>
          </w:p>
        </w:tc>
        <w:tc>
          <w:tcPr>
            <w:tcW w:w="12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(6,660)</w:t>
            </w:r>
          </w:p>
        </w:tc>
      </w:tr>
      <w:tr>
        <w:trPr/>
        <w:tc>
          <w:tcPr>
            <w:tcW w:w="251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Comprehensive Income</w:t>
            </w:r>
          </w:p>
        </w:tc>
        <w:tc>
          <w:tcPr>
            <w:tcW w:w="109"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8,012</w:t>
            </w:r>
          </w:p>
        </w:tc>
        <w:tc>
          <w:tcPr>
            <w:tcW w:w="109" w:type="dxa"/>
            <w:tcBorders/>
            <w:shd w:fill="auto" w:val="clear"/>
            <w:vAlign w:val="center"/>
          </w:tcPr>
          <w:p>
            <w:pPr>
              <w:pStyle w:val="TableContents"/>
              <w:spacing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8,012</w:t>
            </w:r>
          </w:p>
        </w:tc>
      </w:tr>
      <w:tr>
        <w:trPr/>
        <w:tc>
          <w:tcPr>
            <w:tcW w:w="25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March 31, 2022</w:t>
            </w:r>
          </w:p>
        </w:tc>
        <w:tc>
          <w:tcPr>
            <w:tcW w:w="109" w:type="dxa"/>
            <w:tcBorders/>
            <w:shd w:fill="CCEEFF" w:val="clear"/>
            <w:vAlign w:val="center"/>
          </w:tcPr>
          <w:p>
            <w:pPr>
              <w:pStyle w:val="TableContents"/>
              <w:spacing w:before="0" w:after="0"/>
              <w:ind w:left="0" w:right="0" w:hanging="0"/>
              <w:rPr/>
            </w:pPr>
            <w:r>
              <w:rPr/>
              <w:t>​</w:t>
            </w:r>
          </w:p>
        </w:tc>
        <w:tc>
          <w:tcPr>
            <w:tcW w:w="3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spacing w:before="0" w:after="0"/>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shd w:fill="CCEEFF" w:val="clear"/>
            <w:vAlign w:val="center"/>
          </w:tcPr>
          <w:p>
            <w:pPr>
              <w:pStyle w:val="TableContents"/>
              <w:spacing w:before="0" w:after="0"/>
              <w:ind w:left="0" w:right="0" w:hanging="0"/>
              <w:rPr/>
            </w:pPr>
            <w:r>
              <w:rPr/>
              <w:t>​</w:t>
            </w:r>
          </w:p>
        </w:tc>
        <w:tc>
          <w:tcPr>
            <w:tcW w:w="29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81,092</w:t>
            </w:r>
          </w:p>
        </w:tc>
        <w:tc>
          <w:tcPr>
            <w:tcW w:w="109" w:type="dxa"/>
            <w:tcBorders/>
            <w:shd w:fill="CCEEFF" w:val="clear"/>
            <w:vAlign w:val="center"/>
          </w:tcPr>
          <w:p>
            <w:pPr>
              <w:pStyle w:val="TableContents"/>
              <w:spacing w:before="0" w:after="0"/>
              <w:ind w:left="0" w:right="0" w:hanging="0"/>
              <w:rPr/>
            </w:pPr>
            <w:r>
              <w:rPr/>
              <w:t>​</w:t>
            </w:r>
          </w:p>
        </w:tc>
        <w:tc>
          <w:tcPr>
            <w:tcW w:w="2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339,828</w:t>
            </w:r>
          </w:p>
        </w:tc>
        <w:tc>
          <w:tcPr>
            <w:tcW w:w="109" w:type="dxa"/>
            <w:tcBorders/>
            <w:shd w:fill="CCEEFF" w:val="clear"/>
            <w:vAlign w:val="center"/>
          </w:tcPr>
          <w:p>
            <w:pPr>
              <w:pStyle w:val="TableContents"/>
              <w:spacing w:before="0" w:after="0"/>
              <w:ind w:left="0" w:right="0" w:hanging="0"/>
              <w:rPr/>
            </w:pPr>
            <w:r>
              <w:rPr/>
              <w:t>​</w:t>
            </w:r>
          </w:p>
        </w:tc>
        <w:tc>
          <w:tcPr>
            <w:tcW w:w="48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9,529</w:t>
            </w:r>
          </w:p>
        </w:tc>
        <w:tc>
          <w:tcPr>
            <w:tcW w:w="109" w:type="dxa"/>
            <w:tcBorders/>
            <w:shd w:fill="CCEEFF" w:val="clear"/>
            <w:vAlign w:val="center"/>
          </w:tcPr>
          <w:p>
            <w:pPr>
              <w:pStyle w:val="TableContents"/>
              <w:spacing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15" w:type="dxa"/>
            <w:tcBorders>
              <w:bottom w:val="double" w:sz="6" w:space="0" w:color="000000"/>
            </w:tcBorders>
            <w:shd w:fill="CCEEFF" w:val="clear"/>
            <w:tcMar>
              <w:bottom w:w="28" w:type="dxa"/>
            </w:tcMar>
            <w:vAlign w:val="center"/>
          </w:tcPr>
          <w:p>
            <w:pPr>
              <w:pStyle w:val="TableContents"/>
              <w:spacing w:before="0" w:after="0"/>
              <w:ind w:left="0" w:right="48" w:hanging="0"/>
              <w:jc w:val="right"/>
              <w:rPr>
                <w:rFonts w:ascii="Times New Roman;Times;serif" w:hAnsi="Times New Roman;Times;serif"/>
                <w:sz w:val="16"/>
              </w:rPr>
            </w:pPr>
            <w:r>
              <w:rPr>
                <w:rFonts w:ascii="Times New Roman;Times;serif" w:hAnsi="Times New Roman;Times;serif"/>
                <w:sz w:val="16"/>
              </w:rPr>
              <w:t>430,539</w:t>
            </w:r>
          </w:p>
        </w:tc>
      </w:tr>
    </w:tbl>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bookmarkStart w:id="535" w:name="_ac6bfb3a_12e9_44f8_b540_48b293255a17"/>
      <w:bookmarkEnd w:id="535"/>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bookmarkStart w:id="536" w:name="CONSOLIDATEDSTATEMENTSOFCASHFLOWS_277552"/>
      <w:bookmarkEnd w:id="536"/>
      <w:r>
        <w:rPr>
          <w:rFonts w:ascii="Times New Roman;Times;serif" w:hAnsi="Times New Roman;Times;serif"/>
          <w:sz w:val="20"/>
        </w:rPr>
        <w:t>CONSOLIDATED STATEMENTS OF CASH FLOWS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spacing w:before="0" w:after="0"/>
        <w:ind w:left="0" w:right="0" w:hanging="0"/>
        <w:rPr/>
      </w:pPr>
      <w:r>
        <w:rPr/>
        <w:t>​</w:t>
      </w:r>
    </w:p>
    <w:p>
      <w:pPr>
        <w:pStyle w:val="Normal"/>
        <w:spacing w:before="0" w:after="0"/>
        <w:rPr>
          <w:sz w:val="4"/>
          <w:szCs w:val="4"/>
        </w:rPr>
      </w:pPr>
      <w:r>
        <w:rPr>
          <w:sz w:val="4"/>
          <w:szCs w:val="4"/>
        </w:rPr>
      </w:r>
      <w:bookmarkStart w:id="537" w:name="Tc_UBpXXmf-q0-SFu7NKUFAGA_53_5"/>
      <w:bookmarkStart w:id="538" w:name="Tc_C6omFJPMDEGj1mEMqQrrtg_53_2"/>
      <w:bookmarkStart w:id="539" w:name="Tc_dd-r5DpFbUm-S-U7l_UL8w_53_0"/>
      <w:bookmarkStart w:id="540" w:name="Tc_jgykCWcy0EetErgvgAcsDQ_52_0"/>
      <w:bookmarkStart w:id="541" w:name="Tc_LEcVuYwXx0a8Ib6XSDjMWw_51_5"/>
      <w:bookmarkStart w:id="542" w:name="Tc_4hh83eOYt0KeH-Q9aU67sg_51_2"/>
      <w:bookmarkStart w:id="543" w:name="Tc_EmipsvMDuU6ang6BSgJKlQ_51_0"/>
      <w:bookmarkStart w:id="544" w:name="Tc_F1mh1gXlBEaEimwe7qrbog_50_0"/>
      <w:bookmarkStart w:id="545" w:name="Tc_PlO7xhqcek-UcEjANUXFUg_48_5"/>
      <w:bookmarkStart w:id="546" w:name="Tc_0Io9zaK840SM8erju-Q5LA_48_2"/>
      <w:bookmarkStart w:id="547" w:name="Tc_CiKW7XhKPEKQlo645g1mLQ_48_0"/>
      <w:bookmarkStart w:id="548" w:name="Tc_dY9Lpq24IEacX1l8_G1PaA_47_0"/>
      <w:bookmarkStart w:id="549" w:name="Tc_hnkRKFHdXEWAxwxkIxzZ9g_46_0"/>
      <w:bookmarkStart w:id="550" w:name="Tc_EvSvPUSDhkqL2dK8t8gXdg_45_0"/>
      <w:bookmarkStart w:id="551" w:name="Tc_19SJfmeeSUOqcPXdv2D5OA_44_0"/>
      <w:bookmarkStart w:id="552" w:name="Tc_CnD65dwnGk2d-UEw1H1i8g_43_0"/>
      <w:bookmarkStart w:id="553" w:name="Tc_gffUUYvqM0WWqA1IOqPN7g_42_0"/>
      <w:bookmarkStart w:id="554" w:name="Tc_zIbj72Dg9k-Q7cgSL7624w_41_0"/>
      <w:bookmarkStart w:id="555" w:name="Tc_fc5xlIw2P0u1hBcwLicvFw_40_6"/>
      <w:bookmarkStart w:id="556" w:name="Tc_3HzaCMyuH0G1-eQSQ6fbEg_40_0"/>
      <w:bookmarkStart w:id="557" w:name="Tc_i0Yd3uCtek20C7WP7HSHbQ_39_0"/>
      <w:bookmarkStart w:id="558" w:name="Tc_DaNzjAn_ckOpFBZg4qSS4Q_38_0"/>
      <w:bookmarkStart w:id="559" w:name="Tc_4Fzsxn24mUKkEFa7UaQEVg_37_0"/>
      <w:bookmarkStart w:id="560" w:name="Tc_ft_KN4gvTEOBe32B7sLYIg_36_0"/>
      <w:bookmarkStart w:id="561" w:name="Tc_FBi3HE6Fyk2I39vN0BlXEA_35_0"/>
      <w:bookmarkStart w:id="562" w:name="Tc_PlkInWbz70KWz6MfCdjbIw_34_0"/>
      <w:bookmarkStart w:id="563" w:name="Tc_gi8jmnVF8EOBfj4gLcNovA_33_0"/>
      <w:bookmarkStart w:id="564" w:name="Tc_sNtZaVB8lU2sRm4NNU-1AA_32_0"/>
      <w:bookmarkStart w:id="565" w:name="Tc_rGt19MVrtUelmlzNinKmJA_31_3"/>
      <w:bookmarkStart w:id="566" w:name="Tc_-0nv7XtTpEO1RnRdN7iN7g_31_0"/>
      <w:bookmarkStart w:id="567" w:name="Tc_2bDUa4aHM0W1ibT0KNvqnA_30_6"/>
      <w:bookmarkStart w:id="568" w:name="Tc_72b-lJSt4EKTpBlG-KZodg_30_0"/>
      <w:bookmarkStart w:id="569" w:name="Tc_15n5n63m7UmQN7-9WAnoGA_29_0"/>
      <w:bookmarkStart w:id="570" w:name="Tc_P_9IymM0wk247rRX-8_yEg_28_0"/>
      <w:bookmarkStart w:id="571" w:name="Tc_NMXlsBf8Z0uEdEk3EFIhZA_27_0"/>
      <w:bookmarkStart w:id="572" w:name="Tc_KXhqNdfGy0uOq0djmLQTPg_26_0"/>
      <w:bookmarkStart w:id="573" w:name="Tc_52hOl02LZ0CSZs128m6H0g_25_0"/>
      <w:bookmarkStart w:id="574" w:name="Tc__gCXfiG_-EaL3w49GWXQpg_24_0"/>
      <w:bookmarkStart w:id="575" w:name="Tc_HI4dZU_pxEOweFL6lQHDEQ_23_0"/>
      <w:bookmarkStart w:id="576" w:name="Tc_FZqpC-7EmUy-zJjr6RuKuQ_22_0"/>
      <w:bookmarkStart w:id="577" w:name="Tc_0W4mAWGO5kqfsRn4KlU9SA_21_6"/>
      <w:bookmarkStart w:id="578" w:name="Tc_XRDy2TnpwkmZvG3EYBuNjw_21_0"/>
      <w:bookmarkStart w:id="579" w:name="Tc_icPp7oojU0mlco7QKdknIA_20_0"/>
      <w:bookmarkStart w:id="580" w:name="Tc_h9-2cVxuoEi0GZZiSIF0QQ_19_3"/>
      <w:bookmarkStart w:id="581" w:name="Tc_zF7GeyXKiUmtxgUIA3mkfw_19_0"/>
      <w:bookmarkStart w:id="582" w:name="Tc_AmXB6J0g-02xeRY8ODIrBw_18_0"/>
      <w:bookmarkStart w:id="583" w:name="Tc_nVMfjgDTKEa65ZX2Nwz3Xg_17_0"/>
      <w:bookmarkStart w:id="584" w:name="Tc_csHuL2CVW02bFuuPZBalzQ_16_0"/>
      <w:bookmarkStart w:id="585" w:name="Tc_w_S6AhwkSEu5oBqaens1zA_15_0"/>
      <w:bookmarkStart w:id="586" w:name="Tc_bD8Bg8JzbUGhdGPSQZxqKg_14_3"/>
      <w:bookmarkStart w:id="587" w:name="Tc_kRzSF7-wbkqmSKUeR9m0Ag_14_0"/>
      <w:bookmarkStart w:id="588" w:name="Tc_TO23vVMLUECCiBfXOOm8RQ_13_0"/>
      <w:bookmarkStart w:id="589" w:name="Tc_5KaJxGkcaEOMmHbXTABKVw_12_6"/>
      <w:bookmarkStart w:id="590" w:name="Tc_lbBibaoQI028O7cYs8ZCiQ_12_0"/>
      <w:bookmarkStart w:id="591" w:name="Tc_hEW8_RomY0Ws359DlSesyQ_11_3"/>
      <w:bookmarkStart w:id="592" w:name="Tc_FWpV1_S80Emo8NKhPBO8ng_11_0"/>
      <w:bookmarkStart w:id="593" w:name="Tc_oFMrER_uYEm_KbyX55vYbw_10_3"/>
      <w:bookmarkStart w:id="594" w:name="Tc_eqZHb2nwskyK-tiOWHhCAQ_10_0"/>
      <w:bookmarkStart w:id="595" w:name="Tc_agX3sLSx10mwphkXOrkD0A_9_0"/>
      <w:bookmarkStart w:id="596" w:name="Tc_RKp6HGWqTU2n7E0-2PeKqA_8_0"/>
      <w:bookmarkStart w:id="597" w:name="Tc_0OVE0amDTkGD65E_CGgsEQ_7_0"/>
      <w:bookmarkStart w:id="598" w:name="Tc_1QD94PHpZUuaT5atTGH-8Q_6_0"/>
      <w:bookmarkStart w:id="599" w:name="Tc_sHPMyuUc3E2XFXrh2iJRgw_5_0"/>
      <w:bookmarkStart w:id="600" w:name="Tc_sxm9yzxra0mtcEBDPecpwQ_4_5"/>
      <w:bookmarkStart w:id="601" w:name="Tc_ScikRflsDk23yl7hZ9c65w_4_2"/>
      <w:bookmarkStart w:id="602" w:name="Tc_RwxP_sBiekqVYNf9zdvMGQ_4_0"/>
      <w:bookmarkStart w:id="603" w:name="Tc_MT-RxakE6ESZhr--OdkQ8Q_3_0"/>
      <w:bookmarkStart w:id="604" w:name="Tc_m794hDia00-hrIH1Lb9XzQ_2_5"/>
      <w:bookmarkStart w:id="605" w:name="Tc_aisqF-MsP0K35siYm1iD5A_2_2"/>
      <w:bookmarkStart w:id="606" w:name="Tc_X38Zv1cKmEOIDBlGLb9Okg_1_2"/>
      <w:bookmarkStart w:id="607" w:name="_d58c3c4a_e792_4381_bb17_8d1295cb5c7e"/>
      <w:bookmarkStart w:id="608" w:name="Tc_UBpXXmf-q0-SFu7NKUFAGA_53_5"/>
      <w:bookmarkStart w:id="609" w:name="Tc_C6omFJPMDEGj1mEMqQrrtg_53_2"/>
      <w:bookmarkStart w:id="610" w:name="Tc_dd-r5DpFbUm-S-U7l_UL8w_53_0"/>
      <w:bookmarkStart w:id="611" w:name="Tc_jgykCWcy0EetErgvgAcsDQ_52_0"/>
      <w:bookmarkStart w:id="612" w:name="Tc_LEcVuYwXx0a8Ib6XSDjMWw_51_5"/>
      <w:bookmarkStart w:id="613" w:name="Tc_4hh83eOYt0KeH-Q9aU67sg_51_2"/>
      <w:bookmarkStart w:id="614" w:name="Tc_EmipsvMDuU6ang6BSgJKlQ_51_0"/>
      <w:bookmarkStart w:id="615" w:name="Tc_F1mh1gXlBEaEimwe7qrbog_50_0"/>
      <w:bookmarkStart w:id="616" w:name="Tc_PlO7xhqcek-UcEjANUXFUg_48_5"/>
      <w:bookmarkStart w:id="617" w:name="Tc_0Io9zaK840SM8erju-Q5LA_48_2"/>
      <w:bookmarkStart w:id="618" w:name="Tc_CiKW7XhKPEKQlo645g1mLQ_48_0"/>
      <w:bookmarkStart w:id="619" w:name="Tc_dY9Lpq24IEacX1l8_G1PaA_47_0"/>
      <w:bookmarkStart w:id="620" w:name="Tc_hnkRKFHdXEWAxwxkIxzZ9g_46_0"/>
      <w:bookmarkStart w:id="621" w:name="Tc_EvSvPUSDhkqL2dK8t8gXdg_45_0"/>
      <w:bookmarkStart w:id="622" w:name="Tc_19SJfmeeSUOqcPXdv2D5OA_44_0"/>
      <w:bookmarkStart w:id="623" w:name="Tc_CnD65dwnGk2d-UEw1H1i8g_43_0"/>
      <w:bookmarkStart w:id="624" w:name="Tc_gffUUYvqM0WWqA1IOqPN7g_42_0"/>
      <w:bookmarkStart w:id="625" w:name="Tc_zIbj72Dg9k-Q7cgSL7624w_41_0"/>
      <w:bookmarkStart w:id="626" w:name="Tc_fc5xlIw2P0u1hBcwLicvFw_40_6"/>
      <w:bookmarkStart w:id="627" w:name="Tc_3HzaCMyuH0G1-eQSQ6fbEg_40_0"/>
      <w:bookmarkStart w:id="628" w:name="Tc_i0Yd3uCtek20C7WP7HSHbQ_39_0"/>
      <w:bookmarkStart w:id="629" w:name="Tc_DaNzjAn_ckOpFBZg4qSS4Q_38_0"/>
      <w:bookmarkStart w:id="630" w:name="Tc_4Fzsxn24mUKkEFa7UaQEVg_37_0"/>
      <w:bookmarkStart w:id="631" w:name="Tc_ft_KN4gvTEOBe32B7sLYIg_36_0"/>
      <w:bookmarkStart w:id="632" w:name="Tc_FBi3HE6Fyk2I39vN0BlXEA_35_0"/>
      <w:bookmarkStart w:id="633" w:name="Tc_PlkInWbz70KWz6MfCdjbIw_34_0"/>
      <w:bookmarkStart w:id="634" w:name="Tc_gi8jmnVF8EOBfj4gLcNovA_33_0"/>
      <w:bookmarkStart w:id="635" w:name="Tc_sNtZaVB8lU2sRm4NNU-1AA_32_0"/>
      <w:bookmarkStart w:id="636" w:name="Tc_rGt19MVrtUelmlzNinKmJA_31_3"/>
      <w:bookmarkStart w:id="637" w:name="Tc_-0nv7XtTpEO1RnRdN7iN7g_31_0"/>
      <w:bookmarkStart w:id="638" w:name="Tc_2bDUa4aHM0W1ibT0KNvqnA_30_6"/>
      <w:bookmarkStart w:id="639" w:name="Tc_72b-lJSt4EKTpBlG-KZodg_30_0"/>
      <w:bookmarkStart w:id="640" w:name="Tc_15n5n63m7UmQN7-9WAnoGA_29_0"/>
      <w:bookmarkStart w:id="641" w:name="Tc_P_9IymM0wk247rRX-8_yEg_28_0"/>
      <w:bookmarkStart w:id="642" w:name="Tc_NMXlsBf8Z0uEdEk3EFIhZA_27_0"/>
      <w:bookmarkStart w:id="643" w:name="Tc_KXhqNdfGy0uOq0djmLQTPg_26_0"/>
      <w:bookmarkStart w:id="644" w:name="Tc_52hOl02LZ0CSZs128m6H0g_25_0"/>
      <w:bookmarkStart w:id="645" w:name="Tc__gCXfiG_-EaL3w49GWXQpg_24_0"/>
      <w:bookmarkStart w:id="646" w:name="Tc_HI4dZU_pxEOweFL6lQHDEQ_23_0"/>
      <w:bookmarkStart w:id="647" w:name="Tc_FZqpC-7EmUy-zJjr6RuKuQ_22_0"/>
      <w:bookmarkStart w:id="648" w:name="Tc_0W4mAWGO5kqfsRn4KlU9SA_21_6"/>
      <w:bookmarkStart w:id="649" w:name="Tc_XRDy2TnpwkmZvG3EYBuNjw_21_0"/>
      <w:bookmarkStart w:id="650" w:name="Tc_icPp7oojU0mlco7QKdknIA_20_0"/>
      <w:bookmarkStart w:id="651" w:name="Tc_h9-2cVxuoEi0GZZiSIF0QQ_19_3"/>
      <w:bookmarkStart w:id="652" w:name="Tc_zF7GeyXKiUmtxgUIA3mkfw_19_0"/>
      <w:bookmarkStart w:id="653" w:name="Tc_AmXB6J0g-02xeRY8ODIrBw_18_0"/>
      <w:bookmarkStart w:id="654" w:name="Tc_nVMfjgDTKEa65ZX2Nwz3Xg_17_0"/>
      <w:bookmarkStart w:id="655" w:name="Tc_csHuL2CVW02bFuuPZBalzQ_16_0"/>
      <w:bookmarkStart w:id="656" w:name="Tc_w_S6AhwkSEu5oBqaens1zA_15_0"/>
      <w:bookmarkStart w:id="657" w:name="Tc_bD8Bg8JzbUGhdGPSQZxqKg_14_3"/>
      <w:bookmarkStart w:id="658" w:name="Tc_kRzSF7-wbkqmSKUeR9m0Ag_14_0"/>
      <w:bookmarkStart w:id="659" w:name="Tc_TO23vVMLUECCiBfXOOm8RQ_13_0"/>
      <w:bookmarkStart w:id="660" w:name="Tc_5KaJxGkcaEOMmHbXTABKVw_12_6"/>
      <w:bookmarkStart w:id="661" w:name="Tc_lbBibaoQI028O7cYs8ZCiQ_12_0"/>
      <w:bookmarkStart w:id="662" w:name="Tc_hEW8_RomY0Ws359DlSesyQ_11_3"/>
      <w:bookmarkStart w:id="663" w:name="Tc_FWpV1_S80Emo8NKhPBO8ng_11_0"/>
      <w:bookmarkStart w:id="664" w:name="Tc_oFMrER_uYEm_KbyX55vYbw_10_3"/>
      <w:bookmarkStart w:id="665" w:name="Tc_eqZHb2nwskyK-tiOWHhCAQ_10_0"/>
      <w:bookmarkStart w:id="666" w:name="Tc_agX3sLSx10mwphkXOrkD0A_9_0"/>
      <w:bookmarkStart w:id="667" w:name="Tc_RKp6HGWqTU2n7E0-2PeKqA_8_0"/>
      <w:bookmarkStart w:id="668" w:name="Tc_0OVE0amDTkGD65E_CGgsEQ_7_0"/>
      <w:bookmarkStart w:id="669" w:name="Tc_1QD94PHpZUuaT5atTGH-8Q_6_0"/>
      <w:bookmarkStart w:id="670" w:name="Tc_sHPMyuUc3E2XFXrh2iJRgw_5_0"/>
      <w:bookmarkStart w:id="671" w:name="Tc_sxm9yzxra0mtcEBDPecpwQ_4_5"/>
      <w:bookmarkStart w:id="672" w:name="Tc_ScikRflsDk23yl7hZ9c65w_4_2"/>
      <w:bookmarkStart w:id="673" w:name="Tc_RwxP_sBiekqVYNf9zdvMGQ_4_0"/>
      <w:bookmarkStart w:id="674" w:name="Tc_MT-RxakE6ESZhr--OdkQ8Q_3_0"/>
      <w:bookmarkStart w:id="675" w:name="Tc_m794hDia00-hrIH1Lb9XzQ_2_5"/>
      <w:bookmarkStart w:id="676" w:name="Tc_aisqF-MsP0K35siYm1iD5A_2_2"/>
      <w:bookmarkStart w:id="677" w:name="Tc_X38Zv1cKmEOIDBlGLb9Okg_1_2"/>
      <w:bookmarkStart w:id="678" w:name="_d58c3c4a_e792_4381_bb17_8d1295cb5c7e"/>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tbl>
      <w:tblPr>
        <w:tblW w:w="10205" w:type="dxa"/>
        <w:jc w:val="left"/>
        <w:tblInd w:w="0" w:type="dxa"/>
        <w:tblCellMar>
          <w:top w:w="0" w:type="dxa"/>
          <w:left w:w="0" w:type="dxa"/>
          <w:bottom w:w="0" w:type="dxa"/>
          <w:right w:w="0" w:type="dxa"/>
        </w:tblCellMar>
      </w:tblPr>
      <w:tblGrid>
        <w:gridCol w:w="7523"/>
        <w:gridCol w:w="109"/>
        <w:gridCol w:w="259"/>
        <w:gridCol w:w="949"/>
        <w:gridCol w:w="109"/>
        <w:gridCol w:w="257"/>
        <w:gridCol w:w="999"/>
      </w:tblGrid>
      <w:tr>
        <w:trPr/>
        <w:tc>
          <w:tcPr>
            <w:tcW w:w="75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4465" cy="175260"/>
                      <wp:effectExtent l="0" t="0" r="0" b="0"/>
                      <wp:wrapNone/>
                      <wp:docPr id="59" name="Frame59"/>
                      <a:graphic xmlns:a="http://schemas.openxmlformats.org/drawingml/2006/main">
                        <a:graphicData uri="http://schemas.microsoft.com/office/word/2010/wordprocessingShape">
                          <wps:wsp>
                            <wps:cNvSpPr txBox="1"/>
                            <wps:spPr>
                              <a:xfrm>
                                <a:off x="0" y="0"/>
                                <a:ext cx="164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02615" cy="175260"/>
                      <wp:effectExtent l="0" t="0" r="0" b="0"/>
                      <wp:wrapNone/>
                      <wp:docPr id="60" name="Frame60"/>
                      <a:graphic xmlns:a="http://schemas.openxmlformats.org/drawingml/2006/main">
                        <a:graphicData uri="http://schemas.microsoft.com/office/word/2010/wordprocessingShape">
                          <wps:wsp>
                            <wps:cNvSpPr txBox="1"/>
                            <wps:spPr>
                              <a:xfrm>
                                <a:off x="0" y="0"/>
                                <a:ext cx="602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3195" cy="175260"/>
                      <wp:effectExtent l="0" t="0" r="0" b="0"/>
                      <wp:wrapNone/>
                      <wp:docPr id="62" name="Frame62"/>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34365" cy="175260"/>
                      <wp:effectExtent l="0" t="0" r="0" b="0"/>
                      <wp:wrapNone/>
                      <wp:docPr id="63" name="Frame63"/>
                      <a:graphic xmlns:a="http://schemas.openxmlformats.org/drawingml/2006/main">
                        <a:graphicData uri="http://schemas.microsoft.com/office/word/2010/wordprocessingShape">
                          <wps:wsp>
                            <wps:cNvSpPr txBox="1"/>
                            <wps:spPr>
                              <a:xfrm>
                                <a:off x="0" y="0"/>
                                <a:ext cx="634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7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5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shd w:fill="auto" w:val="clear"/>
            <w:vAlign w:val="center"/>
          </w:tcPr>
          <w:p>
            <w:pPr>
              <w:pStyle w:val="TableContents"/>
              <w:spacing w:before="0" w:after="0"/>
              <w:ind w:left="0" w:right="0" w:hanging="0"/>
              <w:rPr/>
            </w:pPr>
            <w:r>
              <w:rPr/>
              <w:t>​</w:t>
            </w:r>
          </w:p>
        </w:tc>
        <w:tc>
          <w:tcPr>
            <w:tcW w:w="12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202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10,316 </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6,369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Intangible Liabilities to Income Property Revenue</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679 </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481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241 </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165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 </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on Disposition of Real Estate and Intangible Lease Assets and Liabilities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on Disposition of Commercial Loans and Investments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(558)</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Investment Securities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4,918 </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2,457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1,072 </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906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Refundable Income Taxes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Land and Development Costs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(1,748)</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(Decrease) Increase in Liabilities: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226 </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876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(1,787)</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548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109" w:type="dxa"/>
            <w:tcBorders/>
            <w:shd w:fill="auto" w:val="clear"/>
            <w:vAlign w:val="center"/>
          </w:tcPr>
          <w:p>
            <w:pPr>
              <w:pStyle w:val="TableContents"/>
              <w:spacing w:before="0" w:after="0"/>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829 </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spacing w:before="0" w:after="0"/>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9,327 </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11,428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(7,798)</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(23,864)</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(16,061)</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Disposition of Property, Plant, and Equipment, Net, and Assets Held for Sale</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6,754</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17,182</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shd w:fill="CCEEFF" w:val="clear"/>
            <w:vAlign w:val="center"/>
          </w:tcPr>
          <w:p>
            <w:pPr>
              <w:pStyle w:val="TableContents"/>
              <w:spacing w:before="0" w:after="0"/>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(2,100)</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auto" w:val="clear"/>
            <w:vAlign w:val="center"/>
          </w:tcPr>
          <w:p>
            <w:pPr>
              <w:pStyle w:val="TableContents"/>
              <w:spacing w:before="0" w:after="0"/>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(25,559)</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39,000</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4,000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(19,600)</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Received (Paid for) Exercise of Stock Options and Common Stock Issuance</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Used to Purchase Common Stock</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(5,009)</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(Cash Paid for) Issuance of Common Stock, Net</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2,789</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shd w:fill="auto" w:val="clear"/>
            <w:vAlign w:val="center"/>
          </w:tcPr>
          <w:p>
            <w:pPr>
              <w:pStyle w:val="TableContents"/>
              <w:spacing w:before="0" w:after="0"/>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(8,658)</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(6,417)</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Financing Activities</w:t>
            </w:r>
          </w:p>
        </w:tc>
        <w:tc>
          <w:tcPr>
            <w:tcW w:w="109" w:type="dxa"/>
            <w:tcBorders/>
            <w:shd w:fill="CCEEFF" w:val="clear"/>
            <w:vAlign w:val="center"/>
          </w:tcPr>
          <w:p>
            <w:pPr>
              <w:pStyle w:val="TableContents"/>
              <w:spacing w:before="0" w:after="0"/>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3,650 </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(6,926)</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(12,582)</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4,486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shd w:fill="CCEEFF" w:val="clear"/>
            <w:vAlign w:val="center"/>
          </w:tcPr>
          <w:p>
            <w:pPr>
              <w:pStyle w:val="TableContents"/>
              <w:spacing w:before="0" w:after="0"/>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31,349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shd w:fill="auto" w:val="clear"/>
            <w:vAlign w:val="center"/>
          </w:tcPr>
          <w:p>
            <w:pPr>
              <w:pStyle w:val="TableContents"/>
              <w:spacing w:before="0" w:after="0"/>
              <w:ind w:left="0" w:right="0" w:hanging="0"/>
              <w:rPr/>
            </w:pPr>
            <w:r>
              <w:rPr/>
              <w:t>​</w:t>
            </w:r>
          </w:p>
        </w:tc>
        <w:tc>
          <w:tcPr>
            <w:tcW w:w="25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8,612 </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35,835 </w:t>
            </w:r>
          </w:p>
        </w:tc>
      </w:tr>
      <w:tr>
        <w:trPr/>
        <w:tc>
          <w:tcPr>
            <w:tcW w:w="75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pPr>
            <w:r>
              <w:rPr/>
              <w:t>​</w:t>
            </w:r>
          </w:p>
        </w:tc>
        <w:tc>
          <w:tcPr>
            <w:tcW w:w="94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99" w:type="dxa"/>
            <w:tcBorders/>
            <w:shd w:fill="CCEEFF" w:val="clear"/>
            <w:vAlign w:val="center"/>
          </w:tcPr>
          <w:p>
            <w:pPr>
              <w:pStyle w:val="TableContents"/>
              <w:spacing w:before="0" w:after="0"/>
              <w:ind w:left="0" w:right="0" w:hanging="0"/>
              <w:rPr/>
            </w:pPr>
            <w:r>
              <w:rPr/>
              <w:t>​</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4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99" w:type="dxa"/>
            <w:tcBorders/>
            <w:shd w:fill="auto" w:val="clear"/>
            <w:vAlign w:val="center"/>
          </w:tcPr>
          <w:p>
            <w:pPr>
              <w:pStyle w:val="TableContents"/>
              <w:spacing w:before="0" w:after="0"/>
              <w:ind w:left="0" w:right="0" w:hanging="0"/>
              <w:rPr/>
            </w:pPr>
            <w:r>
              <w:rPr/>
              <w:t>​</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7,023 </w:t>
            </w:r>
          </w:p>
        </w:tc>
        <w:tc>
          <w:tcPr>
            <w:tcW w:w="109"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9,450 </w:t>
            </w:r>
          </w:p>
        </w:tc>
      </w:tr>
      <w:tr>
        <w:trPr/>
        <w:tc>
          <w:tcPr>
            <w:tcW w:w="75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109" w:type="dxa"/>
            <w:tcBorders/>
            <w:shd w:fill="auto" w:val="clear"/>
            <w:vAlign w:val="center"/>
          </w:tcPr>
          <w:p>
            <w:pPr>
              <w:pStyle w:val="TableContents"/>
              <w:spacing w:before="0" w:after="0"/>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1,589 </w:t>
            </w:r>
          </w:p>
        </w:tc>
        <w:tc>
          <w:tcPr>
            <w:tcW w:w="109"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26,385 </w:t>
            </w:r>
          </w:p>
        </w:tc>
      </w:tr>
      <w:tr>
        <w:trPr/>
        <w:tc>
          <w:tcPr>
            <w:tcW w:w="75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shd w:fill="CCEEFF" w:val="clear"/>
            <w:vAlign w:val="center"/>
          </w:tcPr>
          <w:p>
            <w:pPr>
              <w:pStyle w:val="TableContents"/>
              <w:spacing w:before="0" w:after="0"/>
              <w:ind w:left="0" w:right="0" w:hanging="0"/>
              <w:rPr/>
            </w:pPr>
            <w:r>
              <w:rPr/>
              <w:t>​</w:t>
            </w:r>
          </w:p>
        </w:tc>
        <w:tc>
          <w:tcPr>
            <w:tcW w:w="25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8,612 </w:t>
            </w:r>
          </w:p>
        </w:tc>
        <w:tc>
          <w:tcPr>
            <w:tcW w:w="109"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shd w:fill="CCEEFF" w:val="clear"/>
            <w:tcMar>
              <w:bottom w:w="28" w:type="dxa"/>
            </w:tcMar>
            <w:vAlign w:val="center"/>
          </w:tcPr>
          <w:p>
            <w:pPr>
              <w:pStyle w:val="TableContents"/>
              <w:spacing w:before="0" w:after="0"/>
              <w:ind w:left="0" w:right="48" w:hanging="0"/>
              <w:jc w:val="right"/>
              <w:rPr>
                <w:rFonts w:ascii="Times New Roman;Times;serif" w:hAnsi="Times New Roman;Times;serif"/>
                <w:sz w:val="16"/>
              </w:rPr>
            </w:pPr>
            <w:r>
              <w:rPr>
                <w:rFonts w:ascii="Times New Roman;Times;serif" w:hAnsi="Times New Roman;Times;serif"/>
                <w:sz w:val="16"/>
              </w:rPr>
              <w:t xml:space="preserve">35,835 </w:t>
            </w:r>
          </w:p>
        </w:tc>
      </w:tr>
    </w:tbl>
    <w:p>
      <w:pPr>
        <w:pStyle w:val="TextBody"/>
        <w:spacing w:before="4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679" w:name="Tc_72n4RpmE1E-LbZPr7Mzpbg_11_5"/>
      <w:bookmarkStart w:id="680" w:name="Tc_6dNLF1fDqEe6RdIdlfy0og_11_3"/>
      <w:bookmarkStart w:id="681" w:name="Tc_RxvlOo-S_UiYV0MUbwkQfA_11_2"/>
      <w:bookmarkStart w:id="682" w:name="Tc_cBqi7a30Mk6d1xHwx_DUVQ_11_0"/>
      <w:bookmarkStart w:id="683" w:name="Tc_B-hkO8TxIk-z7YHtY4AY2g_10_5"/>
      <w:bookmarkStart w:id="684" w:name="Tc_TG5jqbcSbU6Nu2Xw832dnA_10_2"/>
      <w:bookmarkStart w:id="685" w:name="Tc_fgxHe1eOJ0mduyfabZckWA_10_0"/>
      <w:bookmarkStart w:id="686" w:name="Tc_4YDcDIDGv0aK15JTdVuOng_9_5"/>
      <w:bookmarkStart w:id="687" w:name="Tc_fLb6L3etrEO_XmRImjGPCQ_9_3"/>
      <w:bookmarkStart w:id="688" w:name="Tc_qIDhY83Pu0KrcoUztN1Exw_9_2"/>
      <w:bookmarkStart w:id="689" w:name="Tc_ljfjMcaNrkq2SNn1WeMPaA_9_0"/>
      <w:bookmarkStart w:id="690" w:name="Tc_viHKlGOgMkGXSydg5eLr5w_8_5"/>
      <w:bookmarkStart w:id="691" w:name="Tc_QETE22FvD0Wx-OIhgi3nrg_8_2"/>
      <w:bookmarkStart w:id="692" w:name="Tc_TqvHLNVbZE63-U9k1NH-fA_8_0"/>
      <w:bookmarkStart w:id="693" w:name="Tc_eoZELnPEUkaX1xnx74juJQ_7_0"/>
      <w:bookmarkStart w:id="694" w:name="Tc_3iBwLU2XGk-01uv7glHF9A_5_5"/>
      <w:bookmarkStart w:id="695" w:name="Tc_tL14guVxEUGl1MV6O-l1lg_5_2"/>
      <w:bookmarkStart w:id="696" w:name="Tc_ClOo68tfsk2kFolHFb3c-A_5_0"/>
      <w:bookmarkStart w:id="697" w:name="Tc_Xwy3BlHUWUyik17JSavzPw_4_6"/>
      <w:bookmarkStart w:id="698" w:name="Tc_GHcqdqXvq0CFt_D7ECauQw_4_5"/>
      <w:bookmarkStart w:id="699" w:name="Tc_DXeUL17dzk2J6vVv5Nb94w_4_3"/>
      <w:bookmarkStart w:id="700" w:name="Tc_i8d9V2_wHk-KXIP82tQJXg_4_2"/>
      <w:bookmarkStart w:id="701" w:name="Tc_EJhIf77FBEeZLGxqkzs5qQ_4_0"/>
      <w:bookmarkStart w:id="702" w:name="Tc_VOCQdM9oHE6t7Qr54l_iHA_3_0"/>
      <w:bookmarkStart w:id="703" w:name="Tc_6Q1bLDl0_Uu1PG5GK-tWBg_2_5"/>
      <w:bookmarkStart w:id="704" w:name="Tc_cmI9wP7crUCIIb3wKYOpYw_2_2"/>
      <w:bookmarkStart w:id="705" w:name="Tc_9gd-iZJXsU2jP8AF1Q-ozg_1_2"/>
      <w:bookmarkStart w:id="706" w:name="_ed239678_fcf7_49bd_b13d_315aa7dd1621"/>
      <w:bookmarkStart w:id="707" w:name="Tc_72n4RpmE1E-LbZPr7Mzpbg_11_5"/>
      <w:bookmarkStart w:id="708" w:name="Tc_6dNLF1fDqEe6RdIdlfy0og_11_3"/>
      <w:bookmarkStart w:id="709" w:name="Tc_RxvlOo-S_UiYV0MUbwkQfA_11_2"/>
      <w:bookmarkStart w:id="710" w:name="Tc_cBqi7a30Mk6d1xHwx_DUVQ_11_0"/>
      <w:bookmarkStart w:id="711" w:name="Tc_B-hkO8TxIk-z7YHtY4AY2g_10_5"/>
      <w:bookmarkStart w:id="712" w:name="Tc_TG5jqbcSbU6Nu2Xw832dnA_10_2"/>
      <w:bookmarkStart w:id="713" w:name="Tc_fgxHe1eOJ0mduyfabZckWA_10_0"/>
      <w:bookmarkStart w:id="714" w:name="Tc_4YDcDIDGv0aK15JTdVuOng_9_5"/>
      <w:bookmarkStart w:id="715" w:name="Tc_fLb6L3etrEO_XmRImjGPCQ_9_3"/>
      <w:bookmarkStart w:id="716" w:name="Tc_qIDhY83Pu0KrcoUztN1Exw_9_2"/>
      <w:bookmarkStart w:id="717" w:name="Tc_ljfjMcaNrkq2SNn1WeMPaA_9_0"/>
      <w:bookmarkStart w:id="718" w:name="Tc_viHKlGOgMkGXSydg5eLr5w_8_5"/>
      <w:bookmarkStart w:id="719" w:name="Tc_QETE22FvD0Wx-OIhgi3nrg_8_2"/>
      <w:bookmarkStart w:id="720" w:name="Tc_TqvHLNVbZE63-U9k1NH-fA_8_0"/>
      <w:bookmarkStart w:id="721" w:name="Tc_eoZELnPEUkaX1xnx74juJQ_7_0"/>
      <w:bookmarkStart w:id="722" w:name="Tc_3iBwLU2XGk-01uv7glHF9A_5_5"/>
      <w:bookmarkStart w:id="723" w:name="Tc_tL14guVxEUGl1MV6O-l1lg_5_2"/>
      <w:bookmarkStart w:id="724" w:name="Tc_ClOo68tfsk2kFolHFb3c-A_5_0"/>
      <w:bookmarkStart w:id="725" w:name="Tc_Xwy3BlHUWUyik17JSavzPw_4_6"/>
      <w:bookmarkStart w:id="726" w:name="Tc_GHcqdqXvq0CFt_D7ECauQw_4_5"/>
      <w:bookmarkStart w:id="727" w:name="Tc_DXeUL17dzk2J6vVv5Nb94w_4_3"/>
      <w:bookmarkStart w:id="728" w:name="Tc_i8d9V2_wHk-KXIP82tQJXg_4_2"/>
      <w:bookmarkStart w:id="729" w:name="Tc_EJhIf77FBEeZLGxqkzs5qQ_4_0"/>
      <w:bookmarkStart w:id="730" w:name="Tc_VOCQdM9oHE6t7Qr54l_iHA_3_0"/>
      <w:bookmarkStart w:id="731" w:name="Tc_6Q1bLDl0_Uu1PG5GK-tWBg_2_5"/>
      <w:bookmarkStart w:id="732" w:name="Tc_cmI9wP7crUCIIb3wKYOpYw_2_2"/>
      <w:bookmarkStart w:id="733" w:name="Tc_9gd-iZJXsU2jP8AF1Q-ozg_1_2"/>
      <w:bookmarkStart w:id="734" w:name="_ed239678_fcf7_49bd_b13d_315aa7dd1621"/>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tbl>
      <w:tblPr>
        <w:tblW w:w="9234" w:type="dxa"/>
        <w:jc w:val="left"/>
        <w:tblInd w:w="0" w:type="dxa"/>
        <w:tblCellMar>
          <w:top w:w="0" w:type="dxa"/>
          <w:left w:w="0" w:type="dxa"/>
          <w:bottom w:w="0" w:type="dxa"/>
          <w:right w:w="0" w:type="dxa"/>
        </w:tblCellMar>
      </w:tblPr>
      <w:tblGrid>
        <w:gridCol w:w="6391"/>
        <w:gridCol w:w="109"/>
        <w:gridCol w:w="329"/>
        <w:gridCol w:w="961"/>
        <w:gridCol w:w="109"/>
        <w:gridCol w:w="294"/>
        <w:gridCol w:w="1041"/>
      </w:tblGrid>
      <w:tr>
        <w:trPr/>
        <w:tc>
          <w:tcPr>
            <w:tcW w:w="6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058285" cy="175260"/>
                      <wp:effectExtent l="0" t="0" r="0" b="0"/>
                      <wp:wrapNone/>
                      <wp:docPr id="64" name="Frame64"/>
                      <a:graphic xmlns:a="http://schemas.openxmlformats.org/drawingml/2006/main">
                        <a:graphicData uri="http://schemas.microsoft.com/office/word/2010/wordprocessingShape">
                          <wps:wsp>
                            <wps:cNvSpPr txBox="1"/>
                            <wps:spPr>
                              <a:xfrm>
                                <a:off x="0" y="0"/>
                                <a:ext cx="405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8915" cy="175260"/>
                      <wp:effectExtent l="0" t="0" r="0" b="0"/>
                      <wp:wrapNone/>
                      <wp:docPr id="66" name="Frame66"/>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10235" cy="175260"/>
                      <wp:effectExtent l="0" t="0" r="0" b="0"/>
                      <wp:wrapNone/>
                      <wp:docPr id="67" name="Frame67"/>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6690" cy="175260"/>
                      <wp:effectExtent l="0" t="0" r="0" b="0"/>
                      <wp:wrapNone/>
                      <wp:docPr id="69" name="Frame69"/>
                      <a:graphic xmlns:a="http://schemas.openxmlformats.org/drawingml/2006/main">
                        <a:graphicData uri="http://schemas.microsoft.com/office/word/2010/wordprocessingShape">
                          <wps:wsp>
                            <wps:cNvSpPr txBox="1"/>
                            <wps:spPr>
                              <a:xfrm>
                                <a:off x="0" y="0"/>
                                <a:ext cx="186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1035" cy="175260"/>
                      <wp:effectExtent l="0" t="0" r="0" b="0"/>
                      <wp:wrapNone/>
                      <wp:docPr id="70" name="Frame70"/>
                      <a:graphic xmlns:a="http://schemas.openxmlformats.org/drawingml/2006/main">
                        <a:graphicData uri="http://schemas.microsoft.com/office/word/2010/wordprocessingShape">
                          <wps:wsp>
                            <wps:cNvSpPr txBox="1"/>
                            <wps:spPr>
                              <a:xfrm>
                                <a:off x="0" y="0"/>
                                <a:ext cx="66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7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63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2023</w:t>
            </w:r>
          </w:p>
        </w:tc>
        <w:tc>
          <w:tcPr>
            <w:tcW w:w="109" w:type="dxa"/>
            <w:tcBorders/>
            <w:shd w:fill="auto" w:val="clear"/>
            <w:vAlign w:val="center"/>
          </w:tcPr>
          <w:p>
            <w:pPr>
              <w:pStyle w:val="TableContents"/>
              <w:spacing w:before="0" w:after="0"/>
              <w:ind w:left="0" w:right="0" w:hanging="0"/>
              <w:rPr/>
            </w:pPr>
            <w:r>
              <w:rPr/>
              <w:t>​</w:t>
            </w:r>
          </w:p>
        </w:tc>
        <w:tc>
          <w:tcPr>
            <w:tcW w:w="13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2022</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Supplemental Disclosure of Cash Flow Information:</w:t>
            </w:r>
          </w:p>
        </w:tc>
        <w:tc>
          <w:tcPr>
            <w:tcW w:w="109"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Paid for Taxes, Net of Refunds Received</w:t>
            </w:r>
          </w:p>
        </w:tc>
        <w:tc>
          <w:tcPr>
            <w:tcW w:w="109"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auto" w:val="clear"/>
            <w:vAlign w:val="center"/>
          </w:tcPr>
          <w:p>
            <w:pPr>
              <w:pStyle w:val="TableContents"/>
              <w:spacing w:before="0" w:after="0"/>
              <w:ind w:left="0" w:right="0" w:hanging="0"/>
              <w:jc w:val="right"/>
              <w:rPr/>
            </w:pPr>
            <w:r>
              <w:rPr/>
              <w:t>—</w:t>
            </w:r>
          </w:p>
        </w:tc>
      </w:tr>
      <w:tr>
        <w:trPr/>
        <w:tc>
          <w:tcPr>
            <w:tcW w:w="6391"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 xml:space="preserve">Cash Paid for Interest </w:t>
            </w:r>
            <w:r>
              <w:rPr>
                <w:rFonts w:ascii="Times New Roman;Times;serif" w:hAnsi="Times New Roman;Times;serif"/>
                <w:sz w:val="14"/>
              </w:rPr>
              <w:t>(1)</w:t>
            </w:r>
          </w:p>
        </w:tc>
        <w:tc>
          <w:tcPr>
            <w:tcW w:w="109"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(4,268)</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(1,087)</w:t>
            </w:r>
          </w:p>
        </w:tc>
      </w:tr>
      <w:tr>
        <w:trPr/>
        <w:tc>
          <w:tcPr>
            <w:tcW w:w="63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Supplemental Disclosure of Non-Cash Investing and Financing Activities:</w:t>
            </w:r>
          </w:p>
        </w:tc>
        <w:tc>
          <w:tcPr>
            <w:tcW w:w="109"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Unrealized Gain (Loss) on Cash Flow Hedges</w:t>
            </w:r>
          </w:p>
        </w:tc>
        <w:tc>
          <w:tcPr>
            <w:tcW w:w="109"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(4,891)</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8,012</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Adjustment to Equity Component of Convertible Debt Upon Adoption of ASU 2020-06</w:t>
            </w:r>
          </w:p>
        </w:tc>
        <w:tc>
          <w:tcPr>
            <w:tcW w:w="109"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3,012</w:t>
            </w:r>
          </w:p>
        </w:tc>
      </w:tr>
      <w:tr>
        <w:trPr/>
        <w:tc>
          <w:tcPr>
            <w:tcW w:w="63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Dividends Declared and Unpaid</w:t>
            </w:r>
          </w:p>
        </w:tc>
        <w:tc>
          <w:tcPr>
            <w:tcW w:w="109"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367</w:t>
            </w:r>
          </w:p>
        </w:tc>
        <w:tc>
          <w:tcPr>
            <w:tcW w:w="109"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r>
      <w:tr>
        <w:trPr/>
        <w:tc>
          <w:tcPr>
            <w:tcW w:w="639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Assumption of Mortgage Note Payable</w:t>
            </w:r>
          </w:p>
        </w:tc>
        <w:tc>
          <w:tcPr>
            <w:tcW w:w="109"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41" w:type="dxa"/>
            <w:tcBorders/>
            <w:shd w:fill="CCEEFF" w:val="clear"/>
            <w:vAlign w:val="center"/>
          </w:tcPr>
          <w:p>
            <w:pPr>
              <w:pStyle w:val="TableContents"/>
              <w:spacing w:before="0" w:after="0"/>
              <w:ind w:left="0" w:right="48" w:hanging="0"/>
              <w:jc w:val="right"/>
              <w:rPr>
                <w:rFonts w:ascii="Times New Roman;Times;serif" w:hAnsi="Times New Roman;Times;serif"/>
                <w:sz w:val="18"/>
              </w:rPr>
            </w:pPr>
            <w:r>
              <w:rPr>
                <w:rFonts w:ascii="Times New Roman;Times;serif" w:hAnsi="Times New Roman;Times;serif"/>
                <w:sz w:val="18"/>
              </w:rPr>
              <w:t>17,800</w:t>
            </w:r>
          </w:p>
        </w:tc>
      </w:tr>
    </w:tbl>
    <w:tbl>
      <w:tblPr>
        <w:tblW w:w="10097" w:type="dxa"/>
        <w:jc w:val="left"/>
        <w:tblInd w:w="0" w:type="dxa"/>
        <w:tblCellMar>
          <w:top w:w="0" w:type="dxa"/>
          <w:left w:w="0" w:type="dxa"/>
          <w:bottom w:w="0" w:type="dxa"/>
          <w:right w:w="0" w:type="dxa"/>
        </w:tblCellMar>
      </w:tblPr>
      <w:tblGrid>
        <w:gridCol w:w="316"/>
        <w:gridCol w:w="9781"/>
      </w:tblGrid>
      <w:tr>
        <w:trPr/>
        <w:tc>
          <w:tcPr>
            <w:tcW w:w="316" w:type="dxa"/>
            <w:tcBorders/>
            <w:shd w:fill="auto" w:val="clear"/>
            <w:vAlign w:val="center"/>
          </w:tcPr>
          <w:p>
            <w:pPr>
              <w:pStyle w:val="TableContents"/>
              <w:spacing w:lineRule="auto" w:line="240" w:before="0" w:after="0"/>
              <w:jc w:val="both"/>
              <w:rPr>
                <w:rFonts w:ascii="Times New Roman;Times;serif" w:hAnsi="Times New Roman;Times;serif"/>
                <w:sz w:val="14"/>
              </w:rPr>
            </w:pPr>
            <w:r>
              <w:rPr>
                <w:rFonts w:ascii="Times New Roman;Times;serif" w:hAnsi="Times New Roman;Times;serif"/>
                <w:sz w:val="14"/>
              </w:rPr>
              <w:t xml:space="preserve">(1) </w:t>
            </w:r>
          </w:p>
        </w:tc>
        <w:tc>
          <w:tcPr>
            <w:tcW w:w="9781" w:type="dxa"/>
            <w:tcBorders/>
            <w:shd w:fill="auto" w:val="clear"/>
            <w:vAlign w:val="center"/>
          </w:tcPr>
          <w:p>
            <w:pPr>
              <w:pStyle w:val="TableContents"/>
              <w:spacing w:lineRule="auto" w:line="240" w:before="0" w:after="0"/>
              <w:jc w:val="both"/>
              <w:rPr>
                <w:rFonts w:ascii="Times New Roman;Times;serif" w:hAnsi="Times New Roman;Times;serif"/>
                <w:sz w:val="20"/>
              </w:rPr>
            </w:pP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the three months ended March 31, 2023, with no</w:t>
            </w:r>
            <w:r>
              <w:rPr>
                <w:rFonts w:ascii="Times New Roman;Times;serif" w:hAnsi="Times New Roman;Times;serif"/>
                <w:sz w:val="20"/>
              </w:rPr>
              <w:t xml:space="preserve"> </w:t>
            </w:r>
            <w:r>
              <w:rPr>
                <w:rFonts w:ascii="Times New Roman;Times;serif" w:hAnsi="Times New Roman;Times;serif"/>
                <w:sz w:val="14"/>
              </w:rPr>
              <w:t>interest capitalized during the three months ended March 31, 2022.</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735" w:name="_52807117_4819_4d27_9474_6d780e20d74f"/>
      <w:bookmarkEnd w:id="735"/>
      <w:r>
        <w:rPr>
          <w:rFonts w:ascii="Times New Roman;Times;serif" w:hAnsi="Times New Roman;Times;serif"/>
          <w:b/>
          <w:sz w:val="20"/>
        </w:rPr>
        <w:t>NOTES TO CONSOLIDATED FINANCIAL STATEMENTS (UNAUDITED)</w:t>
      </w:r>
    </w:p>
    <w:p>
      <w:pPr>
        <w:pStyle w:val="TextBody"/>
        <w:spacing w:before="0" w:after="0"/>
        <w:ind w:left="0" w:right="0" w:hanging="0"/>
        <w:jc w:val="both"/>
        <w:rPr>
          <w:rFonts w:ascii="Times New Roman;Times;serif" w:hAnsi="Times New Roman;Times;serif"/>
          <w:b/>
          <w:sz w:val="20"/>
        </w:rPr>
      </w:pPr>
      <w:bookmarkStart w:id="736" w:name="BUSINESS_DESCRIPTION"/>
      <w:bookmarkStart w:id="737" w:name="NOTE1DESCRIPTIONOFBUSINESSANDPRINCIPLES"/>
      <w:bookmarkEnd w:id="736"/>
      <w:bookmarkEnd w:id="737"/>
      <w:r>
        <w:rPr>
          <w:rFonts w:ascii="Times New Roman;Times;serif" w:hAnsi="Times New Roman;Times;serif"/>
          <w:b/>
          <w:sz w:val="20"/>
        </w:rPr>
        <w:t xml:space="preserve">NOTE 1. DESCRIPTION OF BUSINESS </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Business</w:t>
      </w:r>
    </w:p>
    <w:p>
      <w:pPr>
        <w:pStyle w:val="TextBody"/>
        <w:spacing w:before="0" w:after="0"/>
        <w:ind w:left="0" w:right="0" w:firstLine="36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We own and manage, sometimes utilizing third-party property management companies, 23 commercial real estate properties in 9 states in the United States. As of March 31, 2023, we owned 8 single-tenant and 15 multi-tenant income-producing properties comprising 3.7 million square feet of gross leasable space.</w:t>
      </w:r>
    </w:p>
    <w:p>
      <w:pPr>
        <w:pStyle w:val="TextBody"/>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In addition to our income property portfolio, as of March 31, 2023, our business included the following: </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fee-based management business that is engaged in managing Alpine Income Property Trust, Inc. (“PINE”), see Note 5, “Related Party Management Services Business”. </w:t>
            </w:r>
          </w:p>
        </w:tc>
      </w:tr>
    </w:tbl>
    <w:p>
      <w:pPr>
        <w:pStyle w:val="TextBody"/>
        <w:shd w:fill="FFFFFF" w:val="clear"/>
        <w:spacing w:before="180" w:after="0"/>
        <w:ind w:left="0" w:right="0" w:firstLine="490"/>
        <w:jc w:val="both"/>
        <w:rPr>
          <w:rFonts w:ascii="Times New Roman;Times;serif" w:hAnsi="Times New Roman;Times;serif"/>
          <w:sz w:val="20"/>
        </w:rPr>
      </w:pPr>
      <w:r>
        <w:rPr>
          <w:rFonts w:ascii="Times New Roman;Times;serif" w:hAnsi="Times New Roman;Times;serif"/>
          <w:sz w:val="20"/>
        </w:rPr>
        <w:t xml:space="preserve">Commercial Loans and Investments: </w:t>
      </w:r>
    </w:p>
    <w:p>
      <w:pPr>
        <w:pStyle w:val="TextBody"/>
        <w:spacing w:before="100" w:after="100"/>
        <w:ind w:left="0" w:right="0" w:firstLine="36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A portfolio of three commercial loan investments and one</w:t>
            </w:r>
            <w:r>
              <w:rPr>
                <w:caps w:val="false"/>
                <w:smallCaps w:val="false"/>
              </w:rPr>
              <w:t xml:space="preserve"> </w:t>
            </w:r>
            <w:r>
              <w:rPr>
                <w:rFonts w:ascii="Times New Roman;Times;serif" w:hAnsi="Times New Roman;Times;serif"/>
                <w:b w:val="false"/>
                <w:i w:val="false"/>
                <w:caps w:val="false"/>
                <w:smallCaps w:val="false"/>
                <w:sz w:val="20"/>
              </w:rPr>
              <w:t>preferred equity investment which is classified as a commercial loan investment.</w:t>
            </w:r>
          </w:p>
        </w:tc>
      </w:tr>
    </w:tbl>
    <w:p>
      <w:pPr>
        <w:pStyle w:val="TextBody"/>
        <w:shd w:fill="FFFFFF" w:val="clear"/>
        <w:spacing w:before="180" w:after="0"/>
        <w:ind w:left="0" w:right="0" w:firstLine="490"/>
        <w:jc w:val="both"/>
        <w:rPr>
          <w:rFonts w:ascii="Times New Roman;Times;serif" w:hAnsi="Times New Roman;Times;serif"/>
          <w:sz w:val="20"/>
        </w:rPr>
      </w:pPr>
      <w:r>
        <w:rPr>
          <w:rFonts w:ascii="Times New Roman;Times;serif" w:hAnsi="Times New Roman;Times;serif"/>
          <w:sz w:val="20"/>
        </w:rPr>
        <w:t xml:space="preserve">Real Estate Operations: </w:t>
      </w:r>
    </w:p>
    <w:p>
      <w:pPr>
        <w:pStyle w:val="TextBody"/>
        <w:spacing w:before="100" w:after="100"/>
        <w:ind w:left="0" w:right="0" w:firstLine="36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A portfolio of subsurface mineral interests associated with approximately 353,000</w:t>
            </w:r>
            <w:r>
              <w:rPr>
                <w:caps w:val="false"/>
                <w:smallCaps w:val="false"/>
              </w:rPr>
              <w:t xml:space="preserve"> </w:t>
            </w:r>
            <w:r>
              <w:rPr>
                <w:rFonts w:ascii="Times New Roman;Times;serif" w:hAnsi="Times New Roman;Times;serif"/>
                <w:b w:val="false"/>
                <w:i w:val="false"/>
                <w:caps w:val="false"/>
                <w:smallCaps w:val="false"/>
                <w:sz w:val="20"/>
              </w:rPr>
              <w:t>surface acres in 19</w:t>
            </w:r>
            <w:r>
              <w:rPr>
                <w:caps w:val="false"/>
                <w:smallCaps w:val="false"/>
              </w:rPr>
              <w:t xml:space="preserve"> </w:t>
            </w:r>
            <w:r>
              <w:rPr>
                <w:rFonts w:ascii="Times New Roman;Times;serif" w:hAnsi="Times New Roman;Times;serif"/>
                <w:b w:val="false"/>
                <w:i w:val="false"/>
                <w:caps w:val="false"/>
                <w:smallCaps w:val="false"/>
                <w:sz w:val="20"/>
              </w:rPr>
              <w:t>counties in the State of Florida (“Subsurface Interests”); and</w:t>
            </w:r>
          </w:p>
        </w:tc>
      </w:tr>
    </w:tbl>
    <w:p>
      <w:pPr>
        <w:pStyle w:val="TextBody"/>
        <w:spacing w:before="100" w:after="100"/>
        <w:ind w:left="850" w:right="0" w:hanging="0"/>
        <w:jc w:val="both"/>
        <w:rPr/>
      </w:pPr>
      <w:r>
        <w:rPr/>
        <w:t>​</w:t>
      </w:r>
    </w:p>
    <w:tbl>
      <w:tblPr>
        <w:tblW w:w="8406" w:type="dxa"/>
        <w:jc w:val="left"/>
        <w:tblInd w:w="0" w:type="dxa"/>
        <w:tblCellMar>
          <w:top w:w="28" w:type="dxa"/>
          <w:left w:w="28" w:type="dxa"/>
          <w:bottom w:w="28" w:type="dxa"/>
          <w:right w:w="28" w:type="dxa"/>
        </w:tblCellMar>
      </w:tblPr>
      <w:tblGrid>
        <w:gridCol w:w="124"/>
        <w:gridCol w:w="256"/>
        <w:gridCol w:w="8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inventory of mitigation credits produced by the Company’s formerly owned mitigation bank. </w:t>
            </w:r>
          </w:p>
        </w:tc>
      </w:tr>
    </w:tbl>
    <w:p>
      <w:pPr>
        <w:pStyle w:val="TextBody"/>
        <w:spacing w:before="0" w:after="0"/>
        <w:ind w:left="0" w:right="0" w:firstLine="49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March 31, 2023, the fair value of our investment totaled $39.3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Interim Financial Information</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2022,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 </w:t>
      </w:r>
    </w:p>
    <w:p>
      <w:pPr>
        <w:pStyle w:val="TextBody"/>
        <w:spacing w:before="100" w:after="100"/>
        <w:ind w:left="0" w:right="0" w:firstLine="49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results of operations for the three months ended March 31, 2023 are not necessarily indicative of results to be expected for the year ending December 31, 2023.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March 31, 2023, the Company has an equity investment in PINE.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March 31, 2023 and December 31, 2022 include certain amounts over the Federal Deposit Insurance Corporation limits.</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Restricted cash totaled $1.6 million at March 31, 2023, of which $0.2 million is being held in an escrow account to be reinvested through the like-kind exchange structure into other income properties, and $1.4 million is being held in three interest and/or real estate tax reserve accounts related to the Company’s commercial loans and investments. </w:t>
      </w:r>
    </w:p>
    <w:p>
      <w:pPr>
        <w:pStyle w:val="TextBody"/>
        <w:spacing w:before="100" w:after="10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 </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 </w:t>
      </w:r>
    </w:p>
    <w:p>
      <w:pPr>
        <w:pStyle w:val="TextBody"/>
        <w:shd w:fill="FFFFFF" w:val="clear"/>
        <w:spacing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pStyle w:val="TextBody"/>
        <w:spacing w:before="100" w:after="100"/>
        <w:ind w:left="0" w:right="0" w:firstLine="49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0"/>
        <w:ind w:left="0" w:right="0" w:hanging="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carrying amounts of the Company’s financial assets and liabilities including cash and cash equivalents, restricted cash, accounts receivable, accounts payable, and accrued and other liabilities at March 31, 2023 and December 31, 2022, approximate fair value because of the short maturity of these instruments. The carrying value of the Company’s Credit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Facility (hereinafter defined) as of March 31, 2023 and December 31, 2022,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March 31, 2023 and December 31, 2022 are measured at fair value based on current market rates for financial instruments with similar risks and maturities (see Note 8, “Fair Value of Financial Instruments”).</w:t>
      </w:r>
    </w:p>
    <w:p>
      <w:pPr>
        <w:pStyle w:val="TextBody"/>
        <w:spacing w:lineRule="auto" w:line="280"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Measurements </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spacing w:before="100" w:after="10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Mitigation Credits</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Mitigation credits are stated at historical cost. As these assets are sold, the related revenues and cost of sales are reported as revenues from, and direct costs of, real estate operations, respectively, in the consolidated statements of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Accounts receivable related to income properties, which are classified in other assets on the consolidated balance sheets, primarily consist of accrued tenant reimbursable expenses and other tenant receivables. Receivables related to income property tenants totaled $2.7 million and $2.2 million as of March 31, 2023 and December 31, 2022, respectively.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Accounts receivable related to real estate operations, which are classified in other assets on the consolidated balance sheets, totaled $0.8 million as of March 31, 2023 and December 31, 2022. The accounts receivable as of March 31, 2023 and December 31, 2022 are primarily related to the reimbursement of certain infrastructure costs completed by the Company in conjunction with two land sale transactions that closed during the fourth quarter of 2015 as more fully described in Note 11, “Other Assets.”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2023 and December 31, 2022, $0.2 million was due from the buyer of the golf operations for the rounds surcharge the Company paid to the City of Daytona Beach.</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collectability of the aforementioned receivables shall be considered and adjusted through an allowance for doubtful accounts which is included in income property revenue on the consolidated statements of operations. As of March 31, 2023 and December 31, 2022, the Company’s allowance for doubtful accounts totaled $2.2 million and $1.8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spacing w:before="0" w:after="0"/>
        <w:ind w:left="0" w:right="0" w:firstLine="490"/>
        <w:jc w:val="both"/>
        <w:rPr/>
      </w:pPr>
      <w:r>
        <w:rPr/>
        <w:t>​</w:t>
      </w:r>
    </w:p>
    <w:p>
      <w:pPr>
        <w:pStyle w:val="TextBody"/>
        <w:spacing w:before="0" w:after="0"/>
        <w:ind w:left="0" w:right="0" w:firstLine="360"/>
        <w:jc w:val="both"/>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38" w:name="Tc_TPPYe5hoI0OHQhZTku39Tg_9_2"/>
      <w:bookmarkStart w:id="739" w:name="Tc_F-5D7bn7f0qtKokI5SrdUA_9_0"/>
      <w:bookmarkStart w:id="740" w:name="Tc_I2l_1RxxmUOxmwzigX1uyg_8_0"/>
      <w:bookmarkStart w:id="741" w:name="Tc_l_KlF_ztqkWtR8r3SXeOEw_7_0"/>
      <w:bookmarkStart w:id="742" w:name="Tc_13Zt0yQUfE68oE849Ds-yg_6_0"/>
      <w:bookmarkStart w:id="743" w:name="Tc_7ls3G9LmmECWo4Z8D5WPlA_5_0"/>
      <w:bookmarkStart w:id="744" w:name="Tc_trNH2tD6x0u1I2IJRZgbAA_4_0"/>
      <w:bookmarkStart w:id="745" w:name="Tc_26SpVfP6skSn4HFwym6x2Q_3_0"/>
      <w:bookmarkStart w:id="746" w:name="Tc_9jT0ODQM7Umv86JYzxBmPw_2_2"/>
      <w:bookmarkStart w:id="747" w:name="Tc_0t2Ig18YW0qiyrQetVe7OA_2_0"/>
      <w:bookmarkStart w:id="748" w:name="Tc_yg4r91Ea3EW_HmjeRdw0Fw_1_2"/>
      <w:bookmarkStart w:id="749" w:name="Tc_0OuCEScS30CDpp4frm721Q_1_0"/>
      <w:bookmarkStart w:id="750" w:name="_31cabd46_aa94_4d1f_a5ed_1c6a34cea447"/>
      <w:bookmarkStart w:id="751" w:name="Tc_oq5C3-O4cE-X0W9H1mKBeA_6_4"/>
      <w:bookmarkStart w:id="752" w:name="Tc_zV8JEPVmrEa7Rp-b9UKZ2A_6_1"/>
      <w:bookmarkStart w:id="753" w:name="Tc_i5ZV61Oq40SG4JNNjzl1dQ_5_0"/>
      <w:bookmarkStart w:id="754" w:name="Tc_CUGo9YOOJECOgyxOmfdqsQ_4_4"/>
      <w:bookmarkStart w:id="755" w:name="Tc_vOKgXQmIWEulwKflN5Yrow_4_1"/>
      <w:bookmarkStart w:id="756" w:name="Tc_0ttGu6iU2UqoUINkM2Txhw_4_0"/>
      <w:bookmarkStart w:id="757" w:name="Tc_hQYuHPRf1EulIS20uxkfCA_3_0"/>
      <w:bookmarkStart w:id="758" w:name="Tc_tNW5qUXsPUOHQ2peH39FZg_2_4"/>
      <w:bookmarkStart w:id="759" w:name="Tc_SEjZJHNtbEO6-jTB_Zy-Ew_2_1"/>
      <w:bookmarkStart w:id="760" w:name="Tc_Pup9FT72-UmyALSiJR448w_1_1"/>
      <w:bookmarkStart w:id="761" w:name="_d4b52d5d_450c_4d7a_ae79_fcf1722e8daf"/>
      <w:bookmarkStart w:id="762" w:name="INC_PROP_ACQUIRED"/>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NOTE 3. INCOME PROPERTIES</w:t>
      </w:r>
    </w:p>
    <w:p>
      <w:pPr>
        <w:pStyle w:val="TextBody"/>
        <w:spacing w:before="0" w:after="0"/>
        <w:ind w:left="0" w:right="0" w:hanging="0"/>
        <w:rPr/>
      </w:pPr>
      <w:r>
        <w:rPr/>
        <w:t>​</w:t>
      </w:r>
    </w:p>
    <w:p>
      <w:pPr>
        <w:pStyle w:val="TextBody"/>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spacing w:before="0" w:after="0"/>
        <w:ind w:left="0" w:right="0" w:hanging="0"/>
        <w:jc w:val="both"/>
        <w:rPr/>
      </w:pPr>
      <w:r>
        <w:rPr/>
        <w:t>​</w:t>
      </w:r>
    </w:p>
    <w:tbl>
      <w:tblPr>
        <w:tblW w:w="5180" w:type="dxa"/>
        <w:jc w:val="left"/>
        <w:tblInd w:w="0" w:type="dxa"/>
        <w:tblCellMar>
          <w:top w:w="0" w:type="dxa"/>
          <w:left w:w="0" w:type="dxa"/>
          <w:bottom w:w="0" w:type="dxa"/>
          <w:right w:w="0" w:type="dxa"/>
        </w:tblCellMar>
      </w:tblPr>
      <w:tblGrid>
        <w:gridCol w:w="2146"/>
        <w:gridCol w:w="342"/>
        <w:gridCol w:w="1098"/>
        <w:gridCol w:w="109"/>
        <w:gridCol w:w="315"/>
        <w:gridCol w:w="1170"/>
      </w:tblGrid>
      <w:tr>
        <w:trPr/>
        <w:tc>
          <w:tcPr>
            <w:tcW w:w="214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rPr/>
            </w:pPr>
            <w:r>
              <w:rPr/>
              <w:t>​</w:t>
            </w:r>
          </w:p>
        </w:tc>
      </w:tr>
      <w:tr>
        <w:trPr/>
        <w:tc>
          <w:tcPr>
            <w:tcW w:w="2146" w:type="dxa"/>
            <w:tcBorders/>
            <w:shd w:fill="auto" w:val="clear"/>
            <w:vAlign w:val="center"/>
          </w:tcPr>
          <w:p>
            <w:pPr>
              <w:pStyle w:val="TableContents"/>
              <w:spacing w:before="0" w:after="0"/>
              <w:ind w:left="0" w:right="0" w:hanging="0"/>
              <w:rPr/>
            </w:pPr>
            <w:r>
              <w:rPr/>
              <w:t>​</w:t>
            </w:r>
          </w:p>
        </w:tc>
        <w:tc>
          <w:tcPr>
            <w:tcW w:w="30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146" w:type="dxa"/>
            <w:tcBorders/>
            <w:shd w:fill="auto" w:val="clear"/>
            <w:vAlign w:val="center"/>
          </w:tcPr>
          <w:p>
            <w:pPr>
              <w:pStyle w:val="TableContents"/>
              <w:spacing w:before="0" w:after="0"/>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Leasing Revenue</w:t>
            </w:r>
          </w:p>
        </w:tc>
        <w:tc>
          <w:tcPr>
            <w:tcW w:w="342"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pPr>
            <w:r>
              <w:rPr/>
              <w:t>​</w:t>
            </w:r>
          </w:p>
        </w:tc>
      </w:tr>
      <w:tr>
        <w:trPr/>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Payments</w:t>
            </w:r>
          </w:p>
        </w:tc>
        <w:tc>
          <w:tcPr>
            <w:tcW w:w="3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18,038</w:t>
            </w:r>
          </w:p>
        </w:tc>
        <w:tc>
          <w:tcPr>
            <w:tcW w:w="109"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12,285</w:t>
            </w:r>
          </w:p>
        </w:tc>
      </w:tr>
      <w:tr>
        <w:trPr/>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Payments</w:t>
            </w:r>
          </w:p>
        </w:tc>
        <w:tc>
          <w:tcPr>
            <w:tcW w:w="3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4,394</w:t>
            </w:r>
          </w:p>
        </w:tc>
        <w:tc>
          <w:tcPr>
            <w:tcW w:w="109" w:type="dxa"/>
            <w:tcBorders/>
            <w:shd w:fill="CCEEFF" w:val="clear"/>
            <w:vAlign w:val="center"/>
          </w:tcPr>
          <w:p>
            <w:pPr>
              <w:pStyle w:val="TableContents"/>
              <w:spacing w:before="0" w:after="0"/>
              <w:ind w:left="0" w:right="0" w:hanging="0"/>
              <w:rPr/>
            </w:pPr>
            <w:r>
              <w:rPr/>
              <w:t>​</w:t>
            </w:r>
          </w:p>
        </w:tc>
        <w:tc>
          <w:tcPr>
            <w:tcW w:w="3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r>
      <w:tr>
        <w:trPr/>
        <w:tc>
          <w:tcPr>
            <w:tcW w:w="214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3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c>
          <w:tcPr>
            <w:tcW w:w="109" w:type="dxa"/>
            <w:tcBorders/>
            <w:shd w:fill="auto" w:val="clear"/>
            <w:vAlign w:val="center"/>
          </w:tcPr>
          <w:p>
            <w:pPr>
              <w:pStyle w:val="TableContents"/>
              <w:spacing w:before="0" w:after="0"/>
              <w:ind w:left="0" w:right="0" w:hanging="0"/>
              <w:rPr/>
            </w:pPr>
            <w:r>
              <w:rPr/>
              <w:t>​</w:t>
            </w:r>
          </w:p>
        </w:tc>
        <w:tc>
          <w:tcPr>
            <w:tcW w:w="3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15,168</w:t>
            </w:r>
          </w:p>
        </w:tc>
      </w:tr>
    </w:tbl>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Minimum future base rental receipts under non-cancelable operating leases, excluding percentage rent and other lease payments that are not fixed and determinable, having remaining terms in excess of one year subsequent to March 31, 2023, are summarized as follows (in thousands):</w:t>
      </w:r>
    </w:p>
    <w:p>
      <w:pPr>
        <w:pStyle w:val="TextBody"/>
        <w:spacing w:before="0" w:after="0"/>
        <w:ind w:left="0" w:right="0" w:firstLine="360"/>
        <w:jc w:val="both"/>
        <w:rPr/>
      </w:pPr>
      <w:r>
        <w:rPr/>
        <w:t>​</w:t>
      </w:r>
    </w:p>
    <w:tbl>
      <w:tblPr>
        <w:tblW w:w="4316" w:type="dxa"/>
        <w:jc w:val="left"/>
        <w:tblInd w:w="0" w:type="dxa"/>
        <w:tblCellMar>
          <w:top w:w="0" w:type="dxa"/>
          <w:left w:w="0" w:type="dxa"/>
          <w:bottom w:w="0" w:type="dxa"/>
          <w:right w:w="0" w:type="dxa"/>
        </w:tblCellMar>
      </w:tblPr>
      <w:tblGrid>
        <w:gridCol w:w="2881"/>
        <w:gridCol w:w="326"/>
        <w:gridCol w:w="211"/>
        <w:gridCol w:w="898"/>
      </w:tblGrid>
      <w:tr>
        <w:trPr/>
        <w:tc>
          <w:tcPr>
            <w:tcW w:w="2881" w:type="dxa"/>
            <w:tcBorders/>
            <w:shd w:fill="auto" w:val="clear"/>
            <w:vAlign w:val="center"/>
          </w:tcPr>
          <w:p>
            <w:pPr>
              <w:pStyle w:val="TableContents"/>
              <w:spacing w:before="1" w:after="1"/>
              <w:ind w:left="0" w:right="0" w:hanging="0"/>
              <w:rPr/>
            </w:pPr>
            <w:r>
              <w:rPr/>
              <w:t>​</w:t>
            </w:r>
          </w:p>
        </w:tc>
        <w:tc>
          <w:tcPr>
            <w:tcW w:w="326" w:type="dxa"/>
            <w:tcBorders/>
            <w:shd w:fill="auto" w:val="clear"/>
            <w:vAlign w:val="center"/>
          </w:tcPr>
          <w:p>
            <w:pPr>
              <w:pStyle w:val="TableContents"/>
              <w:spacing w:before="1" w:after="1"/>
              <w:ind w:left="0" w:right="0" w:hanging="0"/>
              <w:rPr/>
            </w:pPr>
            <w:r>
              <w:rPr/>
              <w:t>​</w:t>
            </w:r>
          </w:p>
        </w:tc>
        <w:tc>
          <w:tcPr>
            <w:tcW w:w="211" w:type="dxa"/>
            <w:tcBorders/>
            <w:shd w:fill="auto" w:val="clear"/>
            <w:vAlign w:val="center"/>
          </w:tcPr>
          <w:p>
            <w:pPr>
              <w:pStyle w:val="TableContents"/>
              <w:spacing w:before="1" w:after="1"/>
              <w:ind w:left="0" w:right="0" w:hanging="0"/>
              <w:rPr/>
            </w:pPr>
            <w:r>
              <w:rPr/>
              <w:t>​</w: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70230" cy="175895"/>
                      <wp:effectExtent l="0" t="0" r="0" b="0"/>
                      <wp:wrapNone/>
                      <wp:docPr id="71" name="Frame71"/>
                      <a:graphic xmlns:a="http://schemas.openxmlformats.org/drawingml/2006/main">
                        <a:graphicData uri="http://schemas.microsoft.com/office/word/2010/wordprocessingShape">
                          <wps:wsp>
                            <wps:cNvSpPr txBox="1"/>
                            <wps:spPr>
                              <a:xfrm>
                                <a:off x="0" y="0"/>
                                <a:ext cx="57023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r>
      <w:tr>
        <w:trPr/>
        <w:tc>
          <w:tcPr>
            <w:tcW w:w="2881" w:type="dxa"/>
            <w:tcBorders>
              <w:bottom w:val="single" w:sz="2" w:space="0" w:color="000000"/>
            </w:tcBorders>
            <w:shd w:fill="auto" w:val="clear"/>
            <w:tcMar>
              <w:bottom w:w="28" w:type="dxa"/>
            </w:tcMar>
            <w:vAlign w:val="center"/>
          </w:tcPr>
          <w:p>
            <w:pPr>
              <w:pStyle w:val="TableContents"/>
              <w:spacing w:before="1" w:after="1"/>
              <w:ind w:left="0" w:right="0" w:hanging="0"/>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shd w:fill="auto" w:val="clear"/>
            <w:vAlign w:val="center"/>
          </w:tcPr>
          <w:p>
            <w:pPr>
              <w:pStyle w:val="TableContents"/>
              <w:spacing w:before="1"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spacing w:before="1" w:after="1"/>
              <w:ind w:left="0" w:right="0" w:hanging="0"/>
              <w:rPr/>
            </w:pPr>
            <w:r>
              <w:rPr/>
              <w:t>​</w:t>
            </w:r>
          </w:p>
        </w:tc>
        <w:tc>
          <w:tcPr>
            <w:tcW w:w="21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55,722</w:t>
            </w:r>
          </w:p>
        </w:tc>
      </w:tr>
      <w:tr>
        <w:trPr/>
        <w:tc>
          <w:tcPr>
            <w:tcW w:w="2881" w:type="dxa"/>
            <w:tcBorders/>
            <w:shd w:fill="auto"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1" w:after="1"/>
              <w:ind w:left="0" w:right="0" w:hanging="0"/>
              <w:rPr/>
            </w:pPr>
            <w:r>
              <w:rPr/>
              <w:t>​</w:t>
            </w:r>
          </w:p>
        </w:tc>
        <w:tc>
          <w:tcPr>
            <w:tcW w:w="211" w:type="dxa"/>
            <w:tcBorders/>
            <w:shd w:fill="auto" w:val="clear"/>
            <w:vAlign w:val="center"/>
          </w:tcPr>
          <w:p>
            <w:pPr>
              <w:pStyle w:val="TableContents"/>
              <w:spacing w:before="1" w:after="1"/>
              <w:ind w:left="0" w:right="0" w:hanging="0"/>
              <w:rPr/>
            </w:pPr>
            <w:r>
              <w:rPr/>
              <w:t>​</w:t>
            </w:r>
          </w:p>
        </w:tc>
        <w:tc>
          <w:tcPr>
            <w:tcW w:w="898" w:type="dxa"/>
            <w:tcBorders/>
            <w:shd w:fill="auto"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68,400</w:t>
            </w:r>
          </w:p>
        </w:tc>
      </w:tr>
      <w:tr>
        <w:trPr/>
        <w:tc>
          <w:tcPr>
            <w:tcW w:w="288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1" w:after="1"/>
              <w:ind w:left="0" w:right="0" w:hanging="0"/>
              <w:rPr/>
            </w:pPr>
            <w:r>
              <w:rPr/>
              <w:t>​</w:t>
            </w:r>
          </w:p>
        </w:tc>
        <w:tc>
          <w:tcPr>
            <w:tcW w:w="211" w:type="dxa"/>
            <w:tcBorders/>
            <w:shd w:fill="CCEEFF" w:val="clear"/>
            <w:vAlign w:val="center"/>
          </w:tcPr>
          <w:p>
            <w:pPr>
              <w:pStyle w:val="TableContents"/>
              <w:spacing w:before="1" w:after="1"/>
              <w:ind w:left="0" w:right="0" w:hanging="0"/>
              <w:rPr/>
            </w:pPr>
            <w:r>
              <w:rPr/>
              <w:t>​</w:t>
            </w:r>
          </w:p>
        </w:tc>
        <w:tc>
          <w:tcPr>
            <w:tcW w:w="898"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63,643</w:t>
            </w:r>
          </w:p>
        </w:tc>
      </w:tr>
      <w:tr>
        <w:trPr/>
        <w:tc>
          <w:tcPr>
            <w:tcW w:w="2881" w:type="dxa"/>
            <w:tcBorders/>
            <w:shd w:fill="auto"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1" w:after="1"/>
              <w:ind w:left="0" w:right="0" w:hanging="0"/>
              <w:rPr/>
            </w:pPr>
            <w:r>
              <w:rPr/>
              <w:t>​</w:t>
            </w:r>
          </w:p>
        </w:tc>
        <w:tc>
          <w:tcPr>
            <w:tcW w:w="211" w:type="dxa"/>
            <w:tcBorders/>
            <w:shd w:fill="auto" w:val="clear"/>
            <w:vAlign w:val="center"/>
          </w:tcPr>
          <w:p>
            <w:pPr>
              <w:pStyle w:val="TableContents"/>
              <w:spacing w:before="1" w:after="1"/>
              <w:ind w:left="0" w:right="0" w:hanging="0"/>
              <w:rPr/>
            </w:pPr>
            <w:r>
              <w:rPr/>
              <w:t>​</w:t>
            </w:r>
          </w:p>
        </w:tc>
        <w:tc>
          <w:tcPr>
            <w:tcW w:w="898" w:type="dxa"/>
            <w:tcBorders/>
            <w:shd w:fill="auto"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54,799</w:t>
            </w:r>
          </w:p>
        </w:tc>
      </w:tr>
      <w:tr>
        <w:trPr/>
        <w:tc>
          <w:tcPr>
            <w:tcW w:w="288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1" w:after="1"/>
              <w:ind w:left="0" w:right="0" w:hanging="0"/>
              <w:rPr/>
            </w:pPr>
            <w:r>
              <w:rPr/>
              <w:t>​</w:t>
            </w:r>
          </w:p>
        </w:tc>
        <w:tc>
          <w:tcPr>
            <w:tcW w:w="211" w:type="dxa"/>
            <w:tcBorders/>
            <w:shd w:fill="CCEEFF" w:val="clear"/>
            <w:vAlign w:val="center"/>
          </w:tcPr>
          <w:p>
            <w:pPr>
              <w:pStyle w:val="TableContents"/>
              <w:spacing w:before="1" w:after="1"/>
              <w:ind w:left="0" w:right="0" w:hanging="0"/>
              <w:rPr/>
            </w:pPr>
            <w:r>
              <w:rPr/>
              <w:t>​</w:t>
            </w:r>
          </w:p>
        </w:tc>
        <w:tc>
          <w:tcPr>
            <w:tcW w:w="898"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44,594</w:t>
            </w:r>
          </w:p>
        </w:tc>
      </w:tr>
      <w:tr>
        <w:trPr/>
        <w:tc>
          <w:tcPr>
            <w:tcW w:w="2881" w:type="dxa"/>
            <w:tcBorders/>
            <w:shd w:fill="auto"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auto" w:val="clear"/>
            <w:vAlign w:val="center"/>
          </w:tcPr>
          <w:p>
            <w:pPr>
              <w:pStyle w:val="TableContents"/>
              <w:spacing w:before="1" w:after="1"/>
              <w:ind w:left="0" w:right="0" w:hanging="0"/>
              <w:rPr/>
            </w:pPr>
            <w:r>
              <w:rPr/>
              <w:t>​</w:t>
            </w:r>
          </w:p>
        </w:tc>
        <w:tc>
          <w:tcPr>
            <w:tcW w:w="211" w:type="dxa"/>
            <w:tcBorders/>
            <w:shd w:fill="auto" w:val="clear"/>
            <w:vAlign w:val="center"/>
          </w:tcPr>
          <w:p>
            <w:pPr>
              <w:pStyle w:val="TableContents"/>
              <w:spacing w:before="1" w:after="1"/>
              <w:ind w:left="0" w:right="0" w:hanging="0"/>
              <w:rPr/>
            </w:pPr>
            <w:r>
              <w:rPr/>
              <w:t>​</w:t>
            </w:r>
          </w:p>
        </w:tc>
        <w:tc>
          <w:tcPr>
            <w:tcW w:w="898" w:type="dxa"/>
            <w:tcBorders/>
            <w:shd w:fill="auto"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33,921</w:t>
            </w:r>
          </w:p>
        </w:tc>
      </w:tr>
      <w:tr>
        <w:trPr/>
        <w:tc>
          <w:tcPr>
            <w:tcW w:w="288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2029 and Thereafter (Cumulative)</w:t>
            </w:r>
          </w:p>
        </w:tc>
        <w:tc>
          <w:tcPr>
            <w:tcW w:w="326" w:type="dxa"/>
            <w:tcBorders/>
            <w:shd w:fill="CCEEFF" w:val="clear"/>
            <w:vAlign w:val="center"/>
          </w:tcPr>
          <w:p>
            <w:pPr>
              <w:pStyle w:val="TableContents"/>
              <w:spacing w:before="1"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1" w:after="1"/>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86,475</w:t>
            </w:r>
          </w:p>
        </w:tc>
      </w:tr>
      <w:tr>
        <w:trPr/>
        <w:tc>
          <w:tcPr>
            <w:tcW w:w="2881" w:type="dxa"/>
            <w:tcBorders/>
            <w:shd w:fill="auto"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1"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1" w:after="1"/>
              <w:ind w:left="0" w:right="72" w:hanging="0"/>
              <w:jc w:val="right"/>
              <w:rPr>
                <w:rFonts w:ascii="Times New Roman;Times;serif" w:hAnsi="Times New Roman;Times;serif"/>
                <w:sz w:val="20"/>
              </w:rPr>
            </w:pPr>
            <w:r>
              <w:rPr>
                <w:rFonts w:ascii="Times New Roman;Times;serif" w:hAnsi="Times New Roman;Times;serif"/>
                <w:sz w:val="20"/>
              </w:rPr>
              <w:t>407,554</w:t>
            </w:r>
          </w:p>
        </w:tc>
      </w:tr>
    </w:tbl>
    <w:p>
      <w:pPr>
        <w:pStyle w:val="TextBody"/>
        <w:spacing w:before="100" w:after="100"/>
        <w:ind w:left="0" w:right="0" w:firstLine="49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2023 Acquisitions. </w:t>
      </w:r>
      <w:r>
        <w:rPr>
          <w:rFonts w:ascii="Times New Roman;Times;serif" w:hAnsi="Times New Roman;Times;serif"/>
          <w:sz w:val="20"/>
        </w:rPr>
        <w:t>On February 24, 2023, the Company acquired one 6,000 square foot property within the 28,100 square foot retail portion of Phase II of The Exchange at Gwinnett located in Buford, Georgia (the “Gwinnett Property”), for a purchase price of $3.3 million. The 6,000 square foot building is leased to one tenant with 9.8 years remaining on the lease at acquisition. The Company is under contract to acquire the remaining properties that make up the retail portion of Phase II of The Exchange at Gwinnett for a purchase price of $13.8 million. The Company previously purchased the Sprouts-anchored Phase I portion of The Exchange at Gwinnett in December 2021.</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2023 Dispositions.</w:t>
      </w:r>
      <w:r>
        <w:rPr>
          <w:rFonts w:ascii="Times New Roman;Times;serif" w:hAnsi="Times New Roman;Times;serif"/>
          <w:sz w:val="20"/>
        </w:rPr>
        <w:t xml:space="preserve"> There were no income property dispositions during the three months ended March 31, 2023. </w:t>
      </w:r>
    </w:p>
    <w:p>
      <w:pPr>
        <w:pStyle w:val="TextBody"/>
        <w:spacing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i/>
          <w:sz w:val="20"/>
        </w:rPr>
        <w:t>2022 Acquisitions.</w:t>
      </w:r>
      <w:r>
        <w:rPr>
          <w:rFonts w:ascii="Times New Roman;Times;serif" w:hAnsi="Times New Roman;Times;serif"/>
          <w:sz w:val="20"/>
        </w:rPr>
        <w:t xml:space="preserve"> During the three months ended March 31, 2022, the Company acquired Price Plaza Shopping Center, a multi-tenant income property located in Katy, Texas for a purchase price of $39.1 million, or a total acquisition cost of $39.2 million including capitalized acquisition costs. Price Plaza Shopping Center comprises 205,813 square feet, was 95% leased at acquisition, and had a weighted average remaining lease term of 5.7 years at acquisition. In connection with the acquisition of Price Plaza Shopping Center, the company assumed a $17.8 million fixed-rate mortgage note, as further discussed in Note 15, “Long-Term Debt.”</w:t>
      </w:r>
    </w:p>
    <w:p>
      <w:pPr>
        <w:pStyle w:val="TextBody"/>
        <w:shd w:fill="FFFFFF" w:val="clear"/>
        <w:spacing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Of the $39.2 million total acquisition cost, $15.6 million was allocated to land, $17.9 million was allocated to buildings and improvements, and $5.9 million was allocated to intangible assets pertaining to the in-place lease value, leasing costs, and above market lease value and $0.2 million was allocated to intangible liabilities for the below market lease value. The amortization period for the intangible assets and liabilities was 5.7 years at acquisition.</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2022 Dispositions.</w:t>
      </w:r>
      <w:r>
        <w:rPr>
          <w:rFonts w:ascii="Times New Roman;Times;serif" w:hAnsi="Times New Roman;Times;serif"/>
          <w:sz w:val="20"/>
        </w:rPr>
        <w:t xml:space="preserve"> During the three months ended March 31, 2022, the Company sold two income properties, including (i) Party City, a single-tenant income property located in Oceanside, New York for $6.9 million resulting in a $0.06 million loss and (ii) the Carpenter Hotel ground lease, a single-tenant income property located in Austin, Texas for $17.1 million resulting in a $0.2 million loss. The lease with Carpenter Hotel included two tenant repurchase options. Pursuant to FASB ASC Topic 842, Leases, the $16.25 million investment was recorded in the accompanying consolidated balance sheets as a commercial loan and investment prior to its disposition during the three months ended March 31, 2022. The sale of the properties reflect a total disposition volume of $24.0 million, resulting in aggregate losses of $0.2 million.</w:t>
      </w:r>
    </w:p>
    <w:p>
      <w:pPr>
        <w:pStyle w:val="TextBody"/>
        <w:pBdr/>
        <w:spacing w:before="0" w:after="0"/>
        <w:ind w:left="0" w:right="0" w:hanging="360"/>
        <w:jc w:val="both"/>
        <w:rPr/>
      </w:pPr>
      <w:r>
        <w:rPr/>
        <w:t>​</w:t>
      </w:r>
    </w:p>
    <w:p>
      <w:pPr>
        <w:pStyle w:val="TextBody"/>
        <w:pBdr/>
        <w:spacing w:before="0" w:after="0"/>
        <w:ind w:left="0" w:right="0" w:hanging="360"/>
        <w:jc w:val="both"/>
        <w:rPr/>
      </w:pPr>
      <w:r>
        <w:rPr/>
        <w:t>​</w:t>
      </w:r>
    </w:p>
    <w:p>
      <w:pPr>
        <w:pStyle w:val="TextBody"/>
        <w:pBdr/>
        <w:spacing w:before="0" w:after="0"/>
        <w:ind w:left="0" w:right="0" w:hanging="36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spacing w:before="0" w:after="0"/>
        <w:ind w:left="0" w:right="0" w:hanging="0"/>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 xml:space="preserve">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 </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On February 21, 2023, the borrower of the 4311 Maple Avenue mortgage note repaid the principal balance of $0.4 million, leaving no remaining balance outstanding as of March 31, 2023.</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March 31, 2023, the Company funded $1.2 million to the borrower under the construction loan originated in January 2022 and secured by the property and improvements to be constructed thereon for the second phase of The Exchange at Gwinnett project located in Buford, Georgia. As of March 31, 2023, the remaining commitment to the borrower is $4.3 million.</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i/>
          <w:sz w:val="20"/>
        </w:rPr>
        <w:t xml:space="preserve">Watters Creek Investment. </w:t>
      </w:r>
      <w:r>
        <w:rPr>
          <w:rFonts w:ascii="Times New Roman;Times;serif" w:hAnsi="Times New Roman;Times;serif"/>
          <w:sz w:val="20"/>
        </w:rPr>
        <w:t xml:space="preserve">On April 7, 2022, the Company entered into a preferred equity agreement to provide $30.0 million of funding towards the total investment in Watters Creek at Montgomery Farm, a grocery-anchored, mixed-use property located in Allen, Texas (the “Watters Creek Investment”). The Watters Creek Investment matures on April 6,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763" w:name="Tc_YGBjlshgSEagvS7nxHrLgg_6_5"/>
      <w:bookmarkStart w:id="764" w:name="Tc_gkge97Pn0EOezaXcZ8cOJA_6_2"/>
      <w:bookmarkStart w:id="765" w:name="Tc_7aBiNrxkKEadXYt3dbmaAw_6_0"/>
      <w:bookmarkStart w:id="766" w:name="Tc_h2o8bPOvlUm_PzF8qkPCcQ_5_0"/>
      <w:bookmarkStart w:id="767" w:name="Tc_IpCcWMrYkk2bEmexMCOu4A_4_0"/>
      <w:bookmarkStart w:id="768" w:name="Tc_OEHDbTRQVUGXHXV0Sx_gBg_3_5"/>
      <w:bookmarkStart w:id="769" w:name="Tc_yvqSquQHfEqBvGfvPOSPdQ_3_2"/>
      <w:bookmarkStart w:id="770" w:name="Tc_nzGCuC7fpUyRWuaJ1TLa_g_3_0"/>
      <w:bookmarkStart w:id="771" w:name="Tc_FHPTw3xuUEW0Qw7k79vbog_2_5"/>
      <w:bookmarkStart w:id="772" w:name="Tc_lT52Ix_ocECR7RyC8E5szg_2_2"/>
      <w:bookmarkStart w:id="773" w:name="Tc_SOp3DU-ON0W7XnMh-SBTeA_1_2"/>
      <w:bookmarkStart w:id="774" w:name="_0fccdaeb_0787_4b4a_9657_6e74fb017f2b"/>
      <w:bookmarkStart w:id="775" w:name="Tc_DR5IwG5Xz0m2sjYy6Y3uDg_6_12"/>
      <w:bookmarkStart w:id="776" w:name="Tc_IMcONOr58EiZUjAY7uIGNA_6_9"/>
      <w:bookmarkStart w:id="777" w:name="Tc_bEjbFfwFYE2uj1bBXvaPug_6_6"/>
      <w:bookmarkStart w:id="778" w:name="Tc_kuzBX4cJ30ymoOHgIltUPg_5_4"/>
      <w:bookmarkStart w:id="779" w:name="Tc_D1gAEjXaMk6dCwaGFjpOAg_5_2"/>
      <w:bookmarkStart w:id="780" w:name="Tc_O11dtYOQxUOS4DaRsDWD0A_5_0"/>
      <w:bookmarkStart w:id="781" w:name="Tc_SkOUSyk-8kKyvcXiCK-Yyw_4_4"/>
      <w:bookmarkStart w:id="782" w:name="Tc_Azh7pBSKrEmhvNobZ7IeiQ_4_2"/>
      <w:bookmarkStart w:id="783" w:name="Tc_L1_gb9hS_0eQkTu0f9ylSA_4_0"/>
      <w:bookmarkStart w:id="784" w:name="Tc_JExigWjGDUqLY3pn9KEuiQ_3_4"/>
      <w:bookmarkStart w:id="785" w:name="Tc_P7iGMJa3KEaOET0llAA-LA_3_2"/>
      <w:bookmarkStart w:id="786" w:name="Tc_IUlUtq60m0WAoHEbS_bj0w_3_0"/>
      <w:bookmarkStart w:id="787" w:name="Tc_U0Q42-JL5ESn1fsu_hYhJA_2_12"/>
      <w:bookmarkStart w:id="788" w:name="Tc_5RYl7ErbSU-PiYCN-dZhxQ_2_9"/>
      <w:bookmarkStart w:id="789" w:name="Tc_UNQGkIYcok-GhTef7OCs_g_2_6"/>
      <w:bookmarkStart w:id="790" w:name="Tc_2HtCdpBhd0CRh8I0KF7xfw_2_4"/>
      <w:bookmarkStart w:id="791" w:name="Tc_ViTBdpl2F0u1dm6Jc0k1BQ_2_2"/>
      <w:bookmarkStart w:id="792" w:name="Tc_w1bhG65G1EGJgQJyv9n9_g_2_0"/>
      <w:bookmarkStart w:id="793" w:name="Tc_m1A43GR4ykOVUh5aBF4Y0g_1_15"/>
      <w:bookmarkStart w:id="794" w:name="Tc_FqTN1ethr0C7ZhT1rXiYSA_1_12"/>
      <w:bookmarkStart w:id="795" w:name="Tc_x4_au5Vpj0GS3Xb1CzVRkQ_1_9"/>
      <w:bookmarkStart w:id="796" w:name="Tc_LSssjHabBUGqDys81ThjFw_1_6"/>
      <w:bookmarkStart w:id="797" w:name="Tc_qoFoCIdukEibOHDWsBtezQ_1_4"/>
      <w:bookmarkStart w:id="798" w:name="Tc_g8OLKfLyt0-Cdxxez74gng_1_2"/>
      <w:bookmarkStart w:id="799" w:name="Tc_kp-01xi7Lkyrn7ewQfaXFw_1_0"/>
      <w:bookmarkStart w:id="800" w:name="_f21b32f9_234a_4bc6_8610_dc76ae593e82"/>
      <w:bookmarkStart w:id="801" w:name="Tc_JFN9H-tBTESmddEjNHx74w_8_12"/>
      <w:bookmarkStart w:id="802" w:name="Tc_jL1BYq0-TUGvFFQQB9Y7MA_8_0"/>
      <w:bookmarkStart w:id="803" w:name="Tc_dWVOHCgCLE6WdthEaIBJYA_7_0"/>
      <w:bookmarkStart w:id="804" w:name="Tc_05bzlkeIskCfS1i3fUdiJw_6_12"/>
      <w:bookmarkStart w:id="805" w:name="Tc_mWc40NBSjkqq7_DBt2i0fQ_6_9"/>
      <w:bookmarkStart w:id="806" w:name="Tc_83QvEvfw_0epOMMaZNlSpA_6_6"/>
      <w:bookmarkStart w:id="807" w:name="Tc_VKKsdiyVO0un6ezA_2OuRA_5_4"/>
      <w:bookmarkStart w:id="808" w:name="Tc_SjeKi2-leEiIi-4h3E3VXg_5_2"/>
      <w:bookmarkStart w:id="809" w:name="Tc_WotenXFAp0iR2UMKd32JXA_5_0"/>
      <w:bookmarkStart w:id="810" w:name="Tc_fLDWyvu_XEKPk4CL_asgBw_4_4"/>
      <w:bookmarkStart w:id="811" w:name="Tc_jUhfAzCvIECE5nTk6E_3zw_4_2"/>
      <w:bookmarkStart w:id="812" w:name="Tc_vcjyk9vwc0yvbS5IPiDsGw_4_0"/>
      <w:bookmarkStart w:id="813" w:name="Tc_acvvvFJIoUu5lpOaf1GjCg_3_4"/>
      <w:bookmarkStart w:id="814" w:name="Tc_b-CqLXXYu0uKmdZ6fBQINQ_3_2"/>
      <w:bookmarkStart w:id="815" w:name="Tc_e0_3WU8JpkqNyyw6I8fyyA_3_0"/>
      <w:bookmarkStart w:id="816" w:name="Tc_eQsVJq0rN02ufI4bCybhMQ_2_12"/>
      <w:bookmarkStart w:id="817" w:name="Tc_6I_FK_St2Um7YVamilvsxQ_2_9"/>
      <w:bookmarkStart w:id="818" w:name="Tc_GzUZO27tmkygDB4md7y-6g_2_6"/>
      <w:bookmarkStart w:id="819" w:name="Tc_mRyFpn2nYEC8uuKdcAO9BA_2_4"/>
      <w:bookmarkStart w:id="820" w:name="Tc_Rd2Wlr2QXEyO_XwDp7Cdfw_2_2"/>
      <w:bookmarkStart w:id="821" w:name="Tc_nb2ZyLEB_EOQcjSULf1vRw_2_0"/>
      <w:bookmarkStart w:id="822" w:name="Tc_Ew-L1ChPKE6vAAIJbbgaIA_1_15"/>
      <w:bookmarkStart w:id="823" w:name="Tc_wv87kx8JoEemekpcTKlpKA_1_12"/>
      <w:bookmarkStart w:id="824" w:name="Tc_ba-QvzKzPU2oTwA0q18pKQ_1_9"/>
      <w:bookmarkStart w:id="825" w:name="Tc_PFtDSKBr10a1yerN2Kk-4w_1_6"/>
      <w:bookmarkStart w:id="826" w:name="Tc_pS4U3BMSzk6P33T7LzIvyQ_1_4"/>
      <w:bookmarkStart w:id="827" w:name="Tc_Cn7qnPEY3E-ZmToZTVCcWA_1_2"/>
      <w:bookmarkStart w:id="828" w:name="Tc_Szbes4QdHUyeBEErHVxShw_1_0"/>
      <w:bookmarkStart w:id="829" w:name="_f82df7f6_06ae_43af_86db_8c5eaa2a7d73"/>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sz w:val="20"/>
        </w:rPr>
        <w:t>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Times;serif" w:hAnsi="Times New Roman;Times;serif"/>
          <w:i/>
          <w:sz w:val="20"/>
        </w:rPr>
        <w:t>Consolidation</w:t>
      </w:r>
      <w:r>
        <w:rPr>
          <w:rFonts w:ascii="Times New Roman;Times;serif" w:hAnsi="Times New Roman;Times;serif"/>
          <w:sz w:val="20"/>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March 31, 2023 (in thousands): </w:t>
      </w:r>
    </w:p>
    <w:p>
      <w:pPr>
        <w:pStyle w:val="TextBody"/>
        <w:spacing w:before="0" w:after="0"/>
        <w:ind w:left="0" w:right="0" w:firstLine="490"/>
        <w:jc w:val="both"/>
        <w:rPr/>
      </w:pPr>
      <w:r>
        <w:rPr/>
        <w:t>​</w:t>
      </w:r>
    </w:p>
    <w:tbl>
      <w:tblPr>
        <w:tblW w:w="10205" w:type="dxa"/>
        <w:jc w:val="left"/>
        <w:tblInd w:w="0" w:type="dxa"/>
        <w:tblCellMar>
          <w:top w:w="0" w:type="dxa"/>
          <w:left w:w="0" w:type="dxa"/>
          <w:bottom w:w="0" w:type="dxa"/>
          <w:right w:w="0" w:type="dxa"/>
        </w:tblCellMar>
      </w:tblPr>
      <w:tblGrid>
        <w:gridCol w:w="2225"/>
        <w:gridCol w:w="326"/>
        <w:gridCol w:w="1099"/>
        <w:gridCol w:w="326"/>
        <w:gridCol w:w="898"/>
        <w:gridCol w:w="326"/>
        <w:gridCol w:w="274"/>
        <w:gridCol w:w="842"/>
        <w:gridCol w:w="326"/>
        <w:gridCol w:w="271"/>
        <w:gridCol w:w="834"/>
        <w:gridCol w:w="326"/>
        <w:gridCol w:w="233"/>
        <w:gridCol w:w="715"/>
        <w:gridCol w:w="326"/>
        <w:gridCol w:w="858"/>
      </w:tblGrid>
      <w:tr>
        <w:trPr/>
        <w:tc>
          <w:tcPr>
            <w:tcW w:w="2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12875" cy="175260"/>
                      <wp:effectExtent l="0" t="0" r="0" b="0"/>
                      <wp:wrapNone/>
                      <wp:docPr id="72" name="Frame72"/>
                      <a:graphic xmlns:a="http://schemas.openxmlformats.org/drawingml/2006/main">
                        <a:graphicData uri="http://schemas.microsoft.com/office/word/2010/wordprocessingShape">
                          <wps:wsp>
                            <wps:cNvSpPr txBox="1"/>
                            <wps:spPr>
                              <a:xfrm>
                                <a:off x="0" y="0"/>
                                <a:ext cx="141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7865" cy="175260"/>
                      <wp:effectExtent l="0" t="0" r="0" b="0"/>
                      <wp:wrapNone/>
                      <wp:docPr id="74" name="Frame74"/>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70230" cy="175260"/>
                      <wp:effectExtent l="0" t="0" r="0" b="0"/>
                      <wp:wrapNone/>
                      <wp:docPr id="76" name="Frame76"/>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3990" cy="175260"/>
                      <wp:effectExtent l="0" t="0" r="0" b="0"/>
                      <wp:wrapNone/>
                      <wp:docPr id="78" name="Frame78"/>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34670" cy="175260"/>
                      <wp:effectExtent l="0" t="0" r="0" b="0"/>
                      <wp:wrapNone/>
                      <wp:docPr id="79" name="Frame79"/>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2085" cy="175260"/>
                      <wp:effectExtent l="0" t="0" r="0" b="0"/>
                      <wp:wrapNone/>
                      <wp:docPr id="81" name="Frame81"/>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29590" cy="175260"/>
                      <wp:effectExtent l="0" t="0" r="0" b="0"/>
                      <wp:wrapNone/>
                      <wp:docPr id="82" name="Frame82"/>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7955" cy="175260"/>
                      <wp:effectExtent l="0" t="0" r="0" b="0"/>
                      <wp:wrapNone/>
                      <wp:docPr id="84" name="Frame84"/>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54025" cy="175260"/>
                      <wp:effectExtent l="0" t="0" r="0" b="0"/>
                      <wp:wrapNone/>
                      <wp:docPr id="85" name="Frame85"/>
                      <a:graphic xmlns:a="http://schemas.openxmlformats.org/drawingml/2006/main">
                        <a:graphicData uri="http://schemas.microsoft.com/office/word/2010/wordprocessingShape">
                          <wps:wsp>
                            <wps:cNvSpPr txBox="1"/>
                            <wps:spPr>
                              <a:xfrm>
                                <a:off x="0" y="0"/>
                                <a:ext cx="454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44830" cy="175260"/>
                      <wp:effectExtent l="0" t="0" r="0" b="0"/>
                      <wp:wrapNone/>
                      <wp:docPr id="87" name="Frame87"/>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2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Description</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shd w:fill="auto" w:val="cle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shd w:fill="auto" w:val="clear"/>
            <w:vAlign w:val="center"/>
          </w:tcPr>
          <w:p>
            <w:pPr>
              <w:pStyle w:val="TableContents"/>
              <w:spacing w:before="0" w:after="0"/>
              <w:ind w:left="0" w:right="0" w:hanging="0"/>
              <w:rPr/>
            </w:pPr>
            <w:r>
              <w:rPr/>
              <w:t>    </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shd w:fill="auto" w:val="clear"/>
            <w:vAlign w:val="center"/>
          </w:tcPr>
          <w:p>
            <w:pPr>
              <w:pStyle w:val="TableContents"/>
              <w:spacing w:before="0" w:after="0"/>
              <w:ind w:left="0" w:right="0" w:hanging="0"/>
              <w:rPr/>
            </w:pPr>
            <w:r>
              <w:rPr/>
              <w:t>    </w:t>
            </w:r>
          </w:p>
        </w:tc>
        <w:tc>
          <w:tcPr>
            <w:tcW w:w="9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shd w:fill="auto" w:val="clear"/>
            <w:vAlign w:val="center"/>
          </w:tcPr>
          <w:p>
            <w:pPr>
              <w:pStyle w:val="TableContents"/>
              <w:spacing w:before="0" w:after="0"/>
              <w:ind w:left="0" w:right="0" w:hanging="0"/>
              <w:rPr/>
            </w:pPr>
            <w:r>
              <w:rPr/>
              <w:t>    </w:t>
            </w:r>
          </w:p>
        </w:tc>
        <w:tc>
          <w:tcPr>
            <w:tcW w:w="85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25"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Construction Loan – The Exchange At Gwinnett – Buford, GA</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January 2022</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1,427</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1,391</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7.25%</w:t>
            </w:r>
          </w:p>
        </w:tc>
      </w:tr>
      <w:tr>
        <w:trPr/>
        <w:tc>
          <w:tcPr>
            <w:tcW w:w="2225"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715" w:type="dxa"/>
            <w:tcBorders/>
            <w:shd w:fill="auto"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29,899</w:t>
            </w:r>
          </w:p>
        </w:tc>
        <w:tc>
          <w:tcPr>
            <w:tcW w:w="326" w:type="dxa"/>
            <w:tcBorders/>
            <w:shd w:fill="auto" w:val="clear"/>
            <w:vAlign w:val="center"/>
          </w:tcPr>
          <w:p>
            <w:pPr>
              <w:pStyle w:val="TableContents"/>
              <w:spacing w:before="0" w:after="0"/>
              <w:ind w:left="0" w:right="0" w:hanging="0"/>
              <w:rPr/>
            </w:pPr>
            <w:r>
              <w:rPr/>
              <w:t>​</w:t>
            </w:r>
          </w:p>
        </w:tc>
        <w:tc>
          <w:tcPr>
            <w:tcW w:w="85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8.50%</w:t>
            </w:r>
          </w:p>
        </w:tc>
      </w:tr>
      <w:tr>
        <w:trPr/>
        <w:tc>
          <w:tcPr>
            <w:tcW w:w="2225" w:type="dxa"/>
            <w:tcBorders/>
            <w:shd w:fill="CCEEFF"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Improvement Loan – Ashford Lane – Atlanta, GA </w:t>
            </w:r>
            <w:r>
              <w:rPr>
                <w:rFonts w:ascii="Times New Roman;Times;serif" w:hAnsi="Times New Roman;Times;serif"/>
                <w:sz w:val="13"/>
              </w:rPr>
              <w:t>(1)</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May 2022</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Feb 2038</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1,453</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71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1,453</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0.00%</w:t>
            </w:r>
          </w:p>
        </w:tc>
      </w:tr>
      <w:tr>
        <w:trPr/>
        <w:tc>
          <w:tcPr>
            <w:tcW w:w="2225"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shd w:fill="auto" w:val="clear"/>
            <w:vAlign w:val="center"/>
          </w:tcPr>
          <w:p>
            <w:pPr>
              <w:pStyle w:val="TableContents"/>
              <w:spacing w:before="0" w:after="0"/>
              <w:ind w:left="0" w:right="0" w:hanging="0"/>
              <w:rPr/>
            </w:pPr>
            <w:r>
              <w:rPr/>
              <w:t>​</w:t>
            </w:r>
          </w:p>
        </w:tc>
        <w:tc>
          <w:tcPr>
            <w:tcW w:w="27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auto" w:val="cle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14,854</w:t>
            </w:r>
          </w:p>
        </w:tc>
        <w:tc>
          <w:tcPr>
            <w:tcW w:w="326" w:type="dxa"/>
            <w:tcBorders/>
            <w:shd w:fill="auto" w:val="clear"/>
            <w:vAlign w:val="center"/>
          </w:tcPr>
          <w:p>
            <w:pPr>
              <w:pStyle w:val="TableContents"/>
              <w:spacing w:before="0" w:after="0"/>
              <w:ind w:left="0" w:right="0" w:hanging="0"/>
              <w:rPr/>
            </w:pPr>
            <w:r>
              <w:rPr/>
              <w:t>​</w:t>
            </w:r>
          </w:p>
        </w:tc>
        <w:tc>
          <w:tcPr>
            <w:tcW w:w="85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2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7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55,200</w:t>
            </w:r>
          </w:p>
        </w:tc>
        <w:tc>
          <w:tcPr>
            <w:tcW w:w="326" w:type="dxa"/>
            <w:tcBorders/>
            <w:shd w:fill="CCEEFF" w:val="clear"/>
            <w:vAlign w:val="center"/>
          </w:tcPr>
          <w:p>
            <w:pPr>
              <w:pStyle w:val="TableContents"/>
              <w:spacing w:before="0" w:after="0"/>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47,880</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1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47,597</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pPr>
            <w:r>
              <w:rPr/>
              <w:t>​</w:t>
            </w:r>
          </w:p>
        </w:tc>
      </w:tr>
      <w:tr>
        <w:trPr/>
        <w:tc>
          <w:tcPr>
            <w:tcW w:w="2225"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CECL Reserve</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(479)</w:t>
            </w:r>
          </w:p>
        </w:tc>
        <w:tc>
          <w:tcPr>
            <w:tcW w:w="326" w:type="dxa"/>
            <w:tcBorders/>
            <w:shd w:fill="auto" w:val="clear"/>
            <w:vAlign w:val="center"/>
          </w:tcPr>
          <w:p>
            <w:pPr>
              <w:pStyle w:val="TableContents"/>
              <w:spacing w:before="0" w:after="0"/>
              <w:ind w:left="0" w:right="0" w:hanging="0"/>
              <w:rPr/>
            </w:pPr>
            <w:r>
              <w:rPr/>
              <w:t>​</w:t>
            </w:r>
          </w:p>
        </w:tc>
        <w:tc>
          <w:tcPr>
            <w:tcW w:w="858" w:type="dxa"/>
            <w:tcBorders/>
            <w:shd w:fill="auto" w:val="clear"/>
            <w:vAlign w:val="center"/>
          </w:tcPr>
          <w:p>
            <w:pPr>
              <w:pStyle w:val="TableContents"/>
              <w:spacing w:before="0" w:after="0"/>
              <w:ind w:left="0" w:right="0" w:hanging="0"/>
              <w:rPr/>
            </w:pPr>
            <w:r>
              <w:rPr/>
              <w:t>​</w:t>
            </w:r>
          </w:p>
        </w:tc>
      </w:tr>
      <w:tr>
        <w:trPr/>
        <w:tc>
          <w:tcPr>
            <w:tcW w:w="2225"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47,118</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During the three months ended March 31, 2023, the maturity date of this loan was extended to February 2038, and the coupon rate was reduced to</w:t>
            </w:r>
            <w:r>
              <w:rPr>
                <w:rFonts w:ascii="Times New Roman;Times;serif" w:hAnsi="Times New Roman;Times;serif"/>
                <w:sz w:val="20"/>
              </w:rPr>
              <w:t xml:space="preserve"> </w:t>
            </w:r>
            <w:r>
              <w:rPr>
                <w:rFonts w:ascii="Times New Roman;Times;serif" w:hAnsi="Times New Roman;Times;serif"/>
                <w:sz w:val="16"/>
              </w:rPr>
              <w:t>0.0%.</w:t>
            </w:r>
          </w:p>
        </w:tc>
      </w:tr>
    </w:tbl>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December 31, 2022 (in thousands): </w:t>
      </w:r>
    </w:p>
    <w:tbl>
      <w:tblPr>
        <w:tblW w:w="10205" w:type="dxa"/>
        <w:jc w:val="left"/>
        <w:tblInd w:w="0" w:type="dxa"/>
        <w:tblCellMar>
          <w:top w:w="0" w:type="dxa"/>
          <w:left w:w="0" w:type="dxa"/>
          <w:bottom w:w="0" w:type="dxa"/>
          <w:right w:w="0" w:type="dxa"/>
        </w:tblCellMar>
      </w:tblPr>
      <w:tblGrid>
        <w:gridCol w:w="2225"/>
        <w:gridCol w:w="326"/>
        <w:gridCol w:w="1099"/>
        <w:gridCol w:w="326"/>
        <w:gridCol w:w="898"/>
        <w:gridCol w:w="326"/>
        <w:gridCol w:w="274"/>
        <w:gridCol w:w="842"/>
        <w:gridCol w:w="326"/>
        <w:gridCol w:w="271"/>
        <w:gridCol w:w="834"/>
        <w:gridCol w:w="326"/>
        <w:gridCol w:w="233"/>
        <w:gridCol w:w="715"/>
        <w:gridCol w:w="326"/>
        <w:gridCol w:w="858"/>
      </w:tblGrid>
      <w:tr>
        <w:trPr/>
        <w:tc>
          <w:tcPr>
            <w:tcW w:w="2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12875" cy="175260"/>
                      <wp:effectExtent l="0" t="0" r="0" b="0"/>
                      <wp:wrapNone/>
                      <wp:docPr id="88" name="Frame88"/>
                      <a:graphic xmlns:a="http://schemas.openxmlformats.org/drawingml/2006/main">
                        <a:graphicData uri="http://schemas.microsoft.com/office/word/2010/wordprocessingShape">
                          <wps:wsp>
                            <wps:cNvSpPr txBox="1"/>
                            <wps:spPr>
                              <a:xfrm>
                                <a:off x="0" y="0"/>
                                <a:ext cx="141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7865" cy="175260"/>
                      <wp:effectExtent l="0" t="0" r="0" b="0"/>
                      <wp:wrapNone/>
                      <wp:docPr id="90" name="Frame90"/>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70230" cy="175260"/>
                      <wp:effectExtent l="0" t="0" r="0" b="0"/>
                      <wp:wrapNone/>
                      <wp:docPr id="92" name="Frame92"/>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73990" cy="175260"/>
                      <wp:effectExtent l="0" t="0" r="0" b="0"/>
                      <wp:wrapNone/>
                      <wp:docPr id="94" name="Frame94"/>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34670" cy="175260"/>
                      <wp:effectExtent l="0" t="0" r="0" b="0"/>
                      <wp:wrapNone/>
                      <wp:docPr id="95" name="Frame95"/>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2085" cy="175260"/>
                      <wp:effectExtent l="0" t="0" r="0" b="0"/>
                      <wp:wrapNone/>
                      <wp:docPr id="97" name="Frame9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29590" cy="175260"/>
                      <wp:effectExtent l="0" t="0" r="0" b="0"/>
                      <wp:wrapNone/>
                      <wp:docPr id="98" name="Frame98"/>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7955" cy="175260"/>
                      <wp:effectExtent l="0" t="0" r="0" b="0"/>
                      <wp:wrapNone/>
                      <wp:docPr id="100" name="Frame100"/>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4025" cy="175260"/>
                      <wp:effectExtent l="0" t="0" r="0" b="0"/>
                      <wp:wrapNone/>
                      <wp:docPr id="101" name="Frame101"/>
                      <a:graphic xmlns:a="http://schemas.openxmlformats.org/drawingml/2006/main">
                        <a:graphicData uri="http://schemas.microsoft.com/office/word/2010/wordprocessingShape">
                          <wps:wsp>
                            <wps:cNvSpPr txBox="1"/>
                            <wps:spPr>
                              <a:xfrm>
                                <a:off x="0" y="0"/>
                                <a:ext cx="454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44830" cy="175260"/>
                      <wp:effectExtent l="0" t="0" r="0" b="0"/>
                      <wp:wrapNone/>
                      <wp:docPr id="103" name="Frame103"/>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2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7"/>
              </w:rPr>
            </w:pPr>
            <w:r>
              <w:rPr>
                <w:rFonts w:ascii="Times New Roman;Times;serif" w:hAnsi="Times New Roman;Times;serif"/>
                <w:b/>
                <w:sz w:val="17"/>
              </w:rPr>
              <w:t>Description</w:t>
            </w:r>
          </w:p>
        </w:tc>
        <w:tc>
          <w:tcPr>
            <w:tcW w:w="326" w:type="dxa"/>
            <w:tcBorders/>
            <w:shd w:fill="auto" w:val="clear"/>
            <w:vAlign w:val="center"/>
          </w:tcPr>
          <w:p>
            <w:pPr>
              <w:pStyle w:val="TableContents"/>
              <w:spacing w:before="0" w:after="0"/>
              <w:ind w:left="0" w:right="0" w:hanging="0"/>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shd w:fill="auto" w:val="cle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shd w:fill="auto" w:val="clear"/>
            <w:vAlign w:val="center"/>
          </w:tcPr>
          <w:p>
            <w:pPr>
              <w:pStyle w:val="TableContents"/>
              <w:spacing w:before="0" w:after="0"/>
              <w:ind w:left="0" w:right="0" w:hanging="0"/>
              <w:rPr/>
            </w:pPr>
            <w:r>
              <w:rPr/>
              <w:t>    </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shd w:fill="auto" w:val="clear"/>
            <w:vAlign w:val="center"/>
          </w:tcPr>
          <w:p>
            <w:pPr>
              <w:pStyle w:val="TableContents"/>
              <w:spacing w:before="0" w:after="0"/>
              <w:ind w:left="0" w:right="0" w:hanging="0"/>
              <w:rPr/>
            </w:pPr>
            <w:r>
              <w:rPr/>
              <w:t>    </w:t>
            </w:r>
          </w:p>
        </w:tc>
        <w:tc>
          <w:tcPr>
            <w:tcW w:w="9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shd w:fill="auto" w:val="clear"/>
            <w:vAlign w:val="center"/>
          </w:tcPr>
          <w:p>
            <w:pPr>
              <w:pStyle w:val="TableContents"/>
              <w:spacing w:before="0" w:after="0"/>
              <w:ind w:left="0" w:right="0" w:hanging="0"/>
              <w:rPr/>
            </w:pPr>
            <w:r>
              <w:rPr/>
              <w:t>    </w:t>
            </w:r>
          </w:p>
        </w:tc>
        <w:tc>
          <w:tcPr>
            <w:tcW w:w="85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25"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Mortgage Note – 4311 Maple Avenue – Dallas, TX</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October 2020</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2023</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1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395</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7.50%</w:t>
            </w:r>
          </w:p>
        </w:tc>
      </w:tr>
      <w:tr>
        <w:trPr/>
        <w:tc>
          <w:tcPr>
            <w:tcW w:w="2225"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Construction Loan – The Exchange At Gwinnett – Buford, GA</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January 2022</w:t>
            </w:r>
          </w:p>
        </w:tc>
        <w:tc>
          <w:tcPr>
            <w:tcW w:w="326"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7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26" w:type="dxa"/>
            <w:tcBorders/>
            <w:shd w:fill="auto" w:val="clear"/>
            <w:vAlign w:val="center"/>
          </w:tcPr>
          <w:p>
            <w:pPr>
              <w:pStyle w:val="TableContents"/>
              <w:spacing w:before="0" w:after="0"/>
              <w:ind w:left="0" w:right="0" w:hanging="0"/>
              <w:rPr/>
            </w:pPr>
            <w:r>
              <w:rPr/>
              <w:t>​</w:t>
            </w:r>
          </w:p>
        </w:tc>
        <w:tc>
          <w:tcPr>
            <w:tcW w:w="85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7.25%</w:t>
            </w:r>
          </w:p>
        </w:tc>
      </w:tr>
      <w:tr>
        <w:trPr/>
        <w:tc>
          <w:tcPr>
            <w:tcW w:w="2225" w:type="dxa"/>
            <w:tcBorders/>
            <w:shd w:fill="CCEEFF"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715" w:type="dxa"/>
            <w:tcBorders/>
            <w:shd w:fill="CCEEFF" w:val="cle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29,887</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8.50%</w:t>
            </w:r>
          </w:p>
        </w:tc>
      </w:tr>
      <w:tr>
        <w:trPr/>
        <w:tc>
          <w:tcPr>
            <w:tcW w:w="2225" w:type="dxa"/>
            <w:tcBorders/>
            <w:shd w:fill="auto" w:val="cle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Improvement Loan - Ashford Lane – Atlanta, GA</w:t>
            </w:r>
          </w:p>
        </w:tc>
        <w:tc>
          <w:tcPr>
            <w:tcW w:w="326" w:type="dxa"/>
            <w:tcBorders/>
            <w:shd w:fill="auto" w:val="clear"/>
            <w:vAlign w:val="center"/>
          </w:tcPr>
          <w:p>
            <w:pPr>
              <w:pStyle w:val="TableContents"/>
              <w:spacing w:before="0" w:after="0"/>
              <w:ind w:left="0" w:right="0" w:hanging="0"/>
              <w:rPr/>
            </w:pPr>
            <w:r>
              <w:rPr/>
              <w:t>​</w:t>
            </w:r>
          </w:p>
        </w:tc>
        <w:tc>
          <w:tcPr>
            <w:tcW w:w="1099"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May 2022</w:t>
            </w:r>
          </w:p>
        </w:tc>
        <w:tc>
          <w:tcPr>
            <w:tcW w:w="326"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auto" w:val="clear"/>
            <w:vAlign w:val="center"/>
          </w:tcPr>
          <w:p>
            <w:pPr>
              <w:pStyle w:val="TableContents"/>
              <w:spacing w:before="0" w:after="0"/>
              <w:ind w:left="0" w:right="0" w:hanging="0"/>
              <w:rPr/>
            </w:pPr>
            <w:r>
              <w:rPr/>
              <w:t>​</w:t>
            </w:r>
          </w:p>
        </w:tc>
        <w:tc>
          <w:tcPr>
            <w:tcW w:w="27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26" w:type="dxa"/>
            <w:tcBorders/>
            <w:shd w:fill="auto" w:val="cle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1,453</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1,453</w:t>
            </w:r>
          </w:p>
        </w:tc>
        <w:tc>
          <w:tcPr>
            <w:tcW w:w="326" w:type="dxa"/>
            <w:tcBorders/>
            <w:shd w:fill="auto" w:val="clear"/>
            <w:vAlign w:val="center"/>
          </w:tcPr>
          <w:p>
            <w:pPr>
              <w:pStyle w:val="TableContents"/>
              <w:spacing w:before="0" w:after="0"/>
              <w:ind w:left="0" w:right="0" w:hanging="0"/>
              <w:rPr/>
            </w:pPr>
            <w:r>
              <w:rPr/>
              <w:t>​</w:t>
            </w:r>
          </w:p>
        </w:tc>
        <w:tc>
          <w:tcPr>
            <w:tcW w:w="858" w:type="dxa"/>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r>
      <w:tr>
        <w:trPr/>
        <w:tc>
          <w:tcPr>
            <w:tcW w:w="222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99"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7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40,600</w:t>
            </w:r>
          </w:p>
        </w:tc>
        <w:tc>
          <w:tcPr>
            <w:tcW w:w="326" w:type="dxa"/>
            <w:tcBorders/>
            <w:shd w:fill="CCEEFF" w:val="clear"/>
            <w:vAlign w:val="center"/>
          </w:tcPr>
          <w:p>
            <w:pPr>
              <w:pStyle w:val="TableContents"/>
              <w:spacing w:before="0" w:after="0"/>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32,073</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w:t>
            </w:r>
          </w:p>
        </w:tc>
        <w:tc>
          <w:tcPr>
            <w:tcW w:w="7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7"/>
              </w:rPr>
            </w:pPr>
            <w:r>
              <w:rPr>
                <w:rFonts w:ascii="Times New Roman;Times;serif" w:hAnsi="Times New Roman;Times;serif"/>
                <w:sz w:val="17"/>
              </w:rPr>
              <w:t>31,908</w:t>
            </w:r>
          </w:p>
        </w:tc>
        <w:tc>
          <w:tcPr>
            <w:tcW w:w="326" w:type="dxa"/>
            <w:tcBorders/>
            <w:shd w:fill="CCEEFF" w:val="clear"/>
            <w:vAlign w:val="center"/>
          </w:tcPr>
          <w:p>
            <w:pPr>
              <w:pStyle w:val="TableContents"/>
              <w:spacing w:before="0" w:after="0"/>
              <w:ind w:left="0" w:right="0" w:hanging="0"/>
              <w:rPr/>
            </w:pPr>
            <w:r>
              <w:rPr/>
              <w:t>​</w:t>
            </w:r>
          </w:p>
        </w:tc>
        <w:tc>
          <w:tcPr>
            <w:tcW w:w="858" w:type="dxa"/>
            <w:tcBorders/>
            <w:shd w:fill="CCEEFF" w:val="clear"/>
            <w:vAlign w:val="center"/>
          </w:tcPr>
          <w:p>
            <w:pPr>
              <w:pStyle w:val="TableContents"/>
              <w:spacing w:before="0" w:after="0"/>
              <w:ind w:left="0" w:right="0" w:hanging="0"/>
              <w:jc w:val="center"/>
              <w:rPr/>
            </w:pPr>
            <w:r>
              <w:rPr/>
              <w:t>​</w:t>
            </w:r>
          </w:p>
        </w:tc>
      </w:tr>
    </w:tbl>
    <w:p>
      <w:pPr>
        <w:pStyle w:val="TextBody"/>
        <w:spacing w:before="0" w:after="0"/>
        <w:ind w:left="0" w:right="0" w:firstLine="36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investments portfolio at March 31, 2023 and December 31, 2022 consisted of the following (in thousands):</w:t>
      </w:r>
    </w:p>
    <w:tbl>
      <w:tblPr>
        <w:tblW w:w="7358" w:type="dxa"/>
        <w:jc w:val="left"/>
        <w:tblInd w:w="0" w:type="dxa"/>
        <w:tblCellMar>
          <w:top w:w="0" w:type="dxa"/>
          <w:left w:w="0" w:type="dxa"/>
          <w:bottom w:w="0" w:type="dxa"/>
          <w:right w:w="0" w:type="dxa"/>
        </w:tblCellMar>
      </w:tblPr>
      <w:tblGrid>
        <w:gridCol w:w="3496"/>
        <w:gridCol w:w="326"/>
        <w:gridCol w:w="342"/>
        <w:gridCol w:w="1098"/>
        <w:gridCol w:w="326"/>
        <w:gridCol w:w="371"/>
        <w:gridCol w:w="1399"/>
      </w:tblGrid>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c>
          <w:tcPr>
            <w:tcW w:w="1399" w:type="dxa"/>
            <w:tcBorders/>
            <w:shd w:fill="auto" w:val="clear"/>
            <w:vAlign w:val="center"/>
          </w:tcPr>
          <w:p>
            <w:pPr>
              <w:pStyle w:val="TableContents"/>
              <w:spacing w:before="0" w:after="0"/>
              <w:ind w:left="0" w:right="0" w:hanging="0"/>
              <w:rPr/>
            </w:pPr>
            <w:r>
              <w:rPr/>
              <w:t>​</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rPr/>
            </w:pPr>
            <w:r>
              <w:rPr/>
              <w:t>    </w:t>
            </w:r>
          </w:p>
        </w:tc>
        <w:tc>
          <w:tcPr>
            <w:tcW w:w="1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47,880</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32,073</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Unaccreted Origination Fees</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c>
          <w:tcPr>
            <w:tcW w:w="13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spacing w:before="0" w:after="0"/>
              <w:ind w:left="0" w:right="0" w:hanging="0"/>
              <w:rPr/>
            </w:pPr>
            <w:r>
              <w:rPr/>
              <w:t>​</w:t>
            </w:r>
          </w:p>
        </w:tc>
        <w:tc>
          <w:tcPr>
            <w:tcW w:w="3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spacing w:before="0" w:after="0"/>
              <w:ind w:left="0" w:right="0" w:hanging="0"/>
              <w:rPr/>
            </w:pPr>
            <w:r>
              <w:rPr/>
              <w:t>​</w:t>
            </w:r>
          </w:p>
        </w:tc>
        <w:tc>
          <w:tcPr>
            <w:tcW w:w="3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shd w:fill="auto" w:val="clear"/>
            <w:vAlign w:val="center"/>
          </w:tcPr>
          <w:p>
            <w:pPr>
              <w:pStyle w:val="TableContents"/>
              <w:spacing w:before="0" w:after="0"/>
              <w:ind w:left="0" w:right="0" w:hanging="0"/>
              <w:rPr/>
            </w:pPr>
            <w:r>
              <w:rPr/>
              <w:t>​</w:t>
            </w:r>
          </w:p>
        </w:tc>
        <w:tc>
          <w:tcPr>
            <w:tcW w:w="3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47,118</w:t>
            </w:r>
          </w:p>
        </w:tc>
        <w:tc>
          <w:tcPr>
            <w:tcW w:w="326" w:type="dxa"/>
            <w:tcBorders/>
            <w:shd w:fill="auto" w:val="clear"/>
            <w:vAlign w:val="center"/>
          </w:tcPr>
          <w:p>
            <w:pPr>
              <w:pStyle w:val="TableContents"/>
              <w:spacing w:before="0" w:after="0"/>
              <w:ind w:left="0" w:right="0" w:hanging="0"/>
              <w:rPr/>
            </w:pPr>
            <w:r>
              <w:rPr/>
              <w:t>​</w:t>
            </w:r>
          </w:p>
        </w:tc>
        <w:tc>
          <w:tcPr>
            <w:tcW w:w="37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31,908</w:t>
            </w:r>
          </w:p>
        </w:tc>
      </w:tr>
    </w:tbl>
    <w:p>
      <w:pPr>
        <w:pStyle w:val="TextBody"/>
        <w:spacing w:before="0" w:after="0"/>
        <w:ind w:left="0" w:right="0" w:firstLine="49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830" w:name="Tc_1pIC64oJ0UqAx7OT4uc9aA_6_5"/>
      <w:bookmarkStart w:id="831" w:name="Tc_Sbbo7riQuku6E6V1KxoZKg_6_2"/>
      <w:bookmarkStart w:id="832" w:name="Tc_tmo1Xax1nkGdmptpFU9vyQ_6_0"/>
      <w:bookmarkStart w:id="833" w:name="Tc_nGUGPUxThUGCoUSuDFqWNA_5_0"/>
      <w:bookmarkStart w:id="834" w:name="Tc_KNOMVpr-akGCA86q1JP-qA_4_0"/>
      <w:bookmarkStart w:id="835" w:name="Tc_RddAg3LfBkyHQ4TULLH0tg_3_5"/>
      <w:bookmarkStart w:id="836" w:name="Tc_P1_8Wq1ivECZfIv_Wf8wvw_3_2"/>
      <w:bookmarkStart w:id="837" w:name="Tc_Kl7D1hMWZ0yo-ojkCFR0cw_3_0"/>
      <w:bookmarkStart w:id="838" w:name="Tc_5CDoaWbWQkGs2LV9zrz37A_2_5"/>
      <w:bookmarkStart w:id="839" w:name="Tc_D5jzsd2nV0CiF5nDPRUdpg_2_2"/>
      <w:bookmarkStart w:id="840" w:name="Tc_srOD9oAQN0KGOHcyCyyLmA_2_0"/>
      <w:bookmarkStart w:id="841" w:name="Tc_SoC_noKUP0CLb_HDM2T9xw_1_2"/>
      <w:bookmarkStart w:id="842" w:name="_fb79294d_c712_4aa2_b943_483ec32b6de3"/>
      <w:bookmarkEnd w:id="830"/>
      <w:bookmarkEnd w:id="831"/>
      <w:bookmarkEnd w:id="832"/>
      <w:bookmarkEnd w:id="833"/>
      <w:bookmarkEnd w:id="834"/>
      <w:bookmarkEnd w:id="835"/>
      <w:bookmarkEnd w:id="836"/>
      <w:bookmarkEnd w:id="837"/>
      <w:bookmarkEnd w:id="838"/>
      <w:bookmarkEnd w:id="839"/>
      <w:bookmarkEnd w:id="840"/>
      <w:bookmarkEnd w:id="841"/>
      <w:bookmarkEnd w:id="842"/>
      <w:r>
        <w:rPr>
          <w:rFonts w:ascii="Times New Roman;Times;serif" w:hAnsi="Times New Roman;Times;serif"/>
          <w:b/>
          <w:sz w:val="20"/>
        </w:rPr>
        <w:t>NOTE 5. RELATED PARTY MANAGEMENT SERVICES BUSINESS</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Management fee income is recognized as revenue over time, over the period the services are performed.</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i/>
          <w:sz w:val="20"/>
        </w:rPr>
        <w:t>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2022.</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2023 and 2022, the Company earned management fee revenue from PINE totaling $1.1 million and $0.9 million, respectively. Dividend income for each of the three months ended March 31, 2023 and 2022 totaled $0.6 million. </w:t>
      </w:r>
      <w:r>
        <w:rPr>
          <w:rFonts w:ascii="Times New Roman;Times;serif" w:hAnsi="Times New Roman;Times;serif"/>
          <w:sz w:val="20"/>
          <w:highlight w:val="white"/>
        </w:rPr>
        <w:t>Management fee revenue from PINE, included in management services, and dividend income, included in investment and other income (loss), are reflected in the accompanying consolidated statements of operations.</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represents amounts due (to) from PINE as of March 31, 2023 and December 31, 2022 which are included in other assets on the consolidated balance sheets (in thousands): </w:t>
      </w:r>
    </w:p>
    <w:tbl>
      <w:tblPr>
        <w:tblW w:w="7156" w:type="dxa"/>
        <w:jc w:val="left"/>
        <w:tblInd w:w="0" w:type="dxa"/>
        <w:tblCellMar>
          <w:top w:w="0" w:type="dxa"/>
          <w:left w:w="0" w:type="dxa"/>
          <w:bottom w:w="0" w:type="dxa"/>
          <w:right w:w="0" w:type="dxa"/>
        </w:tblCellMar>
      </w:tblPr>
      <w:tblGrid>
        <w:gridCol w:w="3511"/>
        <w:gridCol w:w="326"/>
        <w:gridCol w:w="388"/>
        <w:gridCol w:w="1052"/>
        <w:gridCol w:w="109"/>
        <w:gridCol w:w="414"/>
        <w:gridCol w:w="1356"/>
      </w:tblGrid>
      <w:tr>
        <w:trPr/>
        <w:tc>
          <w:tcPr>
            <w:tcW w:w="3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8020" cy="175260"/>
                      <wp:effectExtent l="0" t="0" r="0" b="0"/>
                      <wp:wrapNone/>
                      <wp:docPr id="104" name="Frame104"/>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4" w:type="dxa"/>
            <w:tcBorders/>
            <w:shd w:fill="auto" w:val="clear"/>
            <w:vAlign w:val="center"/>
          </w:tcPr>
          <w:p>
            <w:pPr>
              <w:pStyle w:val="TableContents"/>
              <w:spacing w:before="0" w:after="0"/>
              <w:ind w:left="0" w:right="0" w:hanging="0"/>
              <w:rPr/>
            </w:pPr>
            <w:r>
              <w:rPr/>
              <w:t>​</w:t>
            </w:r>
          </w:p>
        </w:tc>
        <w:tc>
          <w:tcPr>
            <w:tcW w:w="1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61060" cy="175260"/>
                      <wp:effectExtent l="0" t="0" r="0" b="0"/>
                      <wp:wrapNone/>
                      <wp:docPr id="106" name="Frame106"/>
                      <a:graphic xmlns:a="http://schemas.openxmlformats.org/drawingml/2006/main">
                        <a:graphicData uri="http://schemas.microsoft.com/office/word/2010/wordprocessingShape">
                          <wps:wsp>
                            <wps:cNvSpPr txBox="1"/>
                            <wps:spPr>
                              <a:xfrm>
                                <a:off x="0" y="0"/>
                                <a:ext cx="861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1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Description</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Services Fee due From PINE</w:t>
            </w:r>
          </w:p>
        </w:tc>
        <w:tc>
          <w:tcPr>
            <w:tcW w:w="326"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shd w:fill="CCEEFF" w:val="clear"/>
            <w:vAlign w:val="center"/>
          </w:tcPr>
          <w:p>
            <w:pPr>
              <w:pStyle w:val="TableContents"/>
              <w:spacing w:before="0" w:after="0"/>
              <w:ind w:left="0" w:right="0" w:hanging="0"/>
              <w:jc w:val="right"/>
              <w:rPr/>
            </w:pPr>
            <w:r>
              <w:rPr/>
              <w:t>​</w:t>
            </w:r>
          </w:p>
        </w:tc>
        <w:tc>
          <w:tcPr>
            <w:tcW w:w="4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Receivable</w:t>
            </w:r>
          </w:p>
        </w:tc>
        <w:tc>
          <w:tcPr>
            <w:tcW w:w="326"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shd w:fill="auto" w:val="clear"/>
            <w:vAlign w:val="center"/>
          </w:tcPr>
          <w:p>
            <w:pPr>
              <w:pStyle w:val="TableContents"/>
              <w:spacing w:before="0" w:after="0"/>
              <w:ind w:left="0" w:right="0" w:hanging="0"/>
              <w:jc w:val="right"/>
              <w:rPr/>
            </w:pPr>
            <w:r>
              <w:rPr/>
              <w:t>​</w:t>
            </w:r>
          </w:p>
        </w:tc>
        <w:tc>
          <w:tcPr>
            <w:tcW w:w="414" w:type="dxa"/>
            <w:tcBorders/>
            <w:shd w:fill="auto" w:val="clear"/>
            <w:vAlign w:val="center"/>
          </w:tcPr>
          <w:p>
            <w:pPr>
              <w:pStyle w:val="TableContents"/>
              <w:spacing w:before="0" w:after="0"/>
              <w:ind w:left="0" w:right="0" w:hanging="0"/>
              <w:rPr/>
            </w:pPr>
            <w:r>
              <w:rPr/>
              <w:t>​</w:t>
            </w:r>
          </w:p>
        </w:tc>
        <w:tc>
          <w:tcPr>
            <w:tcW w:w="13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38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CCEEFF" w:val="clear"/>
            <w:vAlign w:val="center"/>
          </w:tcPr>
          <w:p>
            <w:pPr>
              <w:pStyle w:val="TableContents"/>
              <w:spacing w:before="0" w:after="0"/>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38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109" w:type="dxa"/>
            <w:tcBorders/>
            <w:shd w:fill="auto" w:val="clear"/>
            <w:vAlign w:val="center"/>
          </w:tcPr>
          <w:p>
            <w:pPr>
              <w:pStyle w:val="TableContents"/>
              <w:spacing w:before="0" w:after="0"/>
              <w:ind w:left="0" w:right="0" w:hanging="0"/>
              <w:jc w:val="right"/>
              <w:rPr/>
            </w:pPr>
            <w:r>
              <w:rPr/>
              <w:t>​</w:t>
            </w:r>
          </w:p>
        </w:tc>
        <w:tc>
          <w:tcPr>
            <w:tcW w:w="4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1,300</w:t>
            </w:r>
          </w:p>
        </w:tc>
      </w:tr>
    </w:tbl>
    <w:p>
      <w:pPr>
        <w:pStyle w:val="TextBody"/>
        <w:spacing w:before="0" w:after="0"/>
        <w:ind w:left="0" w:right="0" w:hanging="0"/>
        <w:rPr/>
      </w:pPr>
      <w:r>
        <w:rPr/>
        <w:t>​</w:t>
      </w:r>
    </w:p>
    <w:p>
      <w:pPr>
        <w:pStyle w:val="TextBody"/>
        <w:pBdr/>
        <w:shd w:fill="FFFFFF" w:val="clear"/>
        <w:spacing w:before="24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Board authorized the purchase by the Company of up to $5.0 million in shares of common stock of PINE, at a weighted average price not to exceed $17.75 per share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February 16, 2023, the Board cancelled the Prior PINE Share Purchase Authorization and authorized the purchase by the Company of up to $2.1 million in shares of common stock of PINE, at a weighted average price not to exceed $18.50 per share (the “2023 PINE Share Purchase Authorization”). Pursuant to the 2023 PINE Share Purchase Authorization, during the three months ended March 31, 2023, the Company purchased 129,271 shares of PINE common stock on the open market for a total of $2.1 million, or an average price of $16.21 per share. </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2023, CTO owns, in the aggregate, 1,223,854 OP Units and 1,108,814 shares of PINE common stock, representing an investment totaling $39.3 million, or 14.8% of PINE’s outstanding equity.</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year ended December 31, 2021, PINE exercised its right to purchase the following properties from the Company pursuant to the ROFO Agreement: (i) a portfolio of six net leased properties for an aggregate purchase price of $44.5 million, and (ii) one single-tenant income property for a purchase price of $11.5 million. </w:t>
      </w:r>
    </w:p>
    <w:p>
      <w:pPr>
        <w:pStyle w:val="TextBody"/>
        <w:spacing w:before="0" w:after="0"/>
        <w:ind w:left="0" w:right="0" w:hanging="0"/>
        <w:rPr>
          <w:rFonts w:ascii="Times New Roman;Times;serif" w:hAnsi="Times New Roman;Times;serif"/>
          <w:b/>
          <w:sz w:val="20"/>
        </w:rPr>
      </w:pPr>
      <w:bookmarkStart w:id="843" w:name="Tc_XRIzXWFFA0ybJgylA_T0Cg_5_5"/>
      <w:bookmarkStart w:id="844" w:name="Tc_uzrUTjKAmEmqLBUbDzSIJA_5_2"/>
      <w:bookmarkStart w:id="845" w:name="Tc_hE3HmvfSQUeK-TIEbGK8Kw_5_0"/>
      <w:bookmarkStart w:id="846" w:name="Tc_-nSejd7B5EerHGq7WSHojQ_4_0"/>
      <w:bookmarkStart w:id="847" w:name="Tc_2HdosHeFs0q2PgI36kKNNw_3_5"/>
      <w:bookmarkStart w:id="848" w:name="Tc_WUEXDUlNa0yhVU5S1KHZNA_3_2"/>
      <w:bookmarkStart w:id="849" w:name="Tc_wmQCaexNL0uF346pOhhI6A_3_0"/>
      <w:bookmarkStart w:id="850" w:name="Tc_3p8L0t52cU6j3XcIJ7tBWQ_2_5"/>
      <w:bookmarkStart w:id="851" w:name="Tc_VVm-W5DwW0-pUvn2e5ueSQ_2_2"/>
      <w:bookmarkStart w:id="852" w:name="Tc_7ARQ0SpaLUCYSOWPWhSLvA_1_2"/>
      <w:bookmarkStart w:id="853" w:name="REAL_ESTATE_OPS_SUBSURFACE"/>
      <w:bookmarkStart w:id="854" w:name="_6bcbc6f6_0cad_4d79_a54f_225a4c1d3c83"/>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b/>
          <w:sz w:val="20"/>
        </w:rPr>
        <w:t>NOTE 6. REAL ESTATE OPERATIONS</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Real Estate Operations </w:t>
      </w:r>
    </w:p>
    <w:p>
      <w:pPr>
        <w:pStyle w:val="TextBody"/>
        <w:spacing w:before="100" w:after="10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Land and development costs at March 31, 2023 and December 31, 2022 were as follows (in thousands):</w:t>
      </w:r>
    </w:p>
    <w:p>
      <w:pPr>
        <w:pStyle w:val="TextBody"/>
        <w:spacing w:before="0" w:after="0"/>
        <w:ind w:left="0" w:right="0" w:firstLine="490"/>
        <w:jc w:val="both"/>
        <w:rPr/>
      </w:pPr>
      <w:r>
        <w:rPr/>
        <w:t>​</w:t>
      </w:r>
    </w:p>
    <w:tbl>
      <w:tblPr>
        <w:tblW w:w="6908" w:type="dxa"/>
        <w:jc w:val="left"/>
        <w:tblInd w:w="0" w:type="dxa"/>
        <w:tblCellMar>
          <w:top w:w="0" w:type="dxa"/>
          <w:left w:w="0" w:type="dxa"/>
          <w:bottom w:w="0" w:type="dxa"/>
          <w:right w:w="0" w:type="dxa"/>
        </w:tblCellMar>
      </w:tblPr>
      <w:tblGrid>
        <w:gridCol w:w="3046"/>
        <w:gridCol w:w="326"/>
        <w:gridCol w:w="479"/>
        <w:gridCol w:w="961"/>
        <w:gridCol w:w="326"/>
        <w:gridCol w:w="497"/>
        <w:gridCol w:w="1273"/>
      </w:tblGrid>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04165" cy="175260"/>
                      <wp:effectExtent l="0" t="0" r="0" b="0"/>
                      <wp:wrapNone/>
                      <wp:docPr id="108" name="Frame108"/>
                      <a:graphic xmlns:a="http://schemas.openxmlformats.org/drawingml/2006/main">
                        <a:graphicData uri="http://schemas.microsoft.com/office/word/2010/wordprocessingShape">
                          <wps:wsp>
                            <wps:cNvSpPr txBox="1"/>
                            <wps:spPr>
                              <a:xfrm>
                                <a:off x="0" y="0"/>
                                <a:ext cx="304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10235" cy="175260"/>
                      <wp:effectExtent l="0" t="0" r="0" b="0"/>
                      <wp:wrapNone/>
                      <wp:docPr id="109" name="Frame10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15595" cy="175260"/>
                      <wp:effectExtent l="0" t="0" r="0" b="0"/>
                      <wp:wrapNone/>
                      <wp:docPr id="110" name="Frame110"/>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08355" cy="175260"/>
                      <wp:effectExtent l="0" t="0" r="0" b="0"/>
                      <wp:wrapNone/>
                      <wp:docPr id="111" name="Frame111"/>
                      <a:graphic xmlns:a="http://schemas.openxmlformats.org/drawingml/2006/main">
                        <a:graphicData uri="http://schemas.microsoft.com/office/word/2010/wordprocessingShape">
                          <wps:wsp>
                            <wps:cNvSpPr txBox="1"/>
                            <wps:spPr>
                              <a:xfrm>
                                <a:off x="0" y="0"/>
                                <a:ext cx="808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53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0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rPr/>
            </w:pPr>
            <w:r>
              <w:rPr/>
              <w:t>    </w:t>
            </w:r>
          </w:p>
        </w:tc>
        <w:tc>
          <w:tcPr>
            <w:tcW w:w="1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and Development Costs</w:t>
            </w:r>
          </w:p>
        </w:tc>
        <w:tc>
          <w:tcPr>
            <w:tcW w:w="326" w:type="dxa"/>
            <w:tcBorders/>
            <w:shd w:fill="CCEEFF" w:val="clear"/>
            <w:vAlign w:val="center"/>
          </w:tcPr>
          <w:p>
            <w:pPr>
              <w:pStyle w:val="TableContents"/>
              <w:spacing w:before="0" w:after="0"/>
              <w:ind w:left="0" w:right="0" w:hanging="0"/>
              <w:rPr/>
            </w:pPr>
            <w:r>
              <w:rPr/>
              <w:t>​</w:t>
            </w:r>
          </w:p>
        </w:tc>
        <w:tc>
          <w:tcPr>
            <w:tcW w:w="4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spacing w:before="0" w:after="0"/>
              <w:ind w:left="0" w:right="0" w:hanging="0"/>
              <w:rPr/>
            </w:pPr>
            <w:r>
              <w:rPr/>
              <w:t>​</w:t>
            </w:r>
          </w:p>
        </w:tc>
        <w:tc>
          <w:tcPr>
            <w:tcW w:w="49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Subsurface Interests</w:t>
            </w:r>
          </w:p>
        </w:tc>
        <w:tc>
          <w:tcPr>
            <w:tcW w:w="326" w:type="dxa"/>
            <w:tcBorders/>
            <w:shd w:fill="auto" w:val="clear"/>
            <w:vAlign w:val="center"/>
          </w:tcPr>
          <w:p>
            <w:pPr>
              <w:pStyle w:val="TableContents"/>
              <w:spacing w:before="0" w:after="0"/>
              <w:ind w:left="0" w:right="0" w:hanging="0"/>
              <w:rPr/>
            </w:pPr>
            <w:r>
              <w:rPr/>
              <w:t>​</w:t>
            </w:r>
          </w:p>
        </w:tc>
        <w:tc>
          <w:tcPr>
            <w:tcW w:w="47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auto" w:val="clear"/>
            <w:vAlign w:val="center"/>
          </w:tcPr>
          <w:p>
            <w:pPr>
              <w:pStyle w:val="TableContents"/>
              <w:spacing w:before="0" w:after="0"/>
              <w:ind w:left="0" w:right="0" w:hanging="0"/>
              <w:rPr/>
            </w:pPr>
            <w:r>
              <w:rPr/>
              <w:t>​</w:t>
            </w:r>
          </w:p>
        </w:tc>
        <w:tc>
          <w:tcPr>
            <w:tcW w:w="4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Land and Development Costs </w:t>
            </w:r>
          </w:p>
        </w:tc>
        <w:tc>
          <w:tcPr>
            <w:tcW w:w="326" w:type="dxa"/>
            <w:tcBorders/>
            <w:shd w:fill="CCEEFF" w:val="clear"/>
            <w:vAlign w:val="center"/>
          </w:tcPr>
          <w:p>
            <w:pPr>
              <w:pStyle w:val="TableContents"/>
              <w:spacing w:before="0" w:after="0"/>
              <w:ind w:left="0" w:right="0" w:hanging="0"/>
              <w:rPr/>
            </w:pPr>
            <w:r>
              <w:rPr/>
              <w:t>​</w:t>
            </w:r>
          </w:p>
        </w:tc>
        <w:tc>
          <w:tcPr>
            <w:tcW w:w="47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26" w:type="dxa"/>
            <w:tcBorders/>
            <w:shd w:fill="CCEEFF" w:val="clear"/>
            <w:vAlign w:val="center"/>
          </w:tcPr>
          <w:p>
            <w:pPr>
              <w:pStyle w:val="TableContents"/>
              <w:spacing w:before="0" w:after="0"/>
              <w:ind w:left="0" w:right="0" w:hanging="0"/>
              <w:rPr/>
            </w:pPr>
            <w:r>
              <w:rPr/>
              <w:t>​</w:t>
            </w:r>
          </w:p>
        </w:tc>
        <w:tc>
          <w:tcPr>
            <w:tcW w:w="4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685</w:t>
            </w:r>
          </w:p>
        </w:tc>
      </w:tr>
    </w:tbl>
    <w:p>
      <w:pPr>
        <w:pStyle w:val="TextBody"/>
        <w:spacing w:before="0" w:after="0"/>
        <w:ind w:left="0" w:right="0" w:hanging="0"/>
        <w:rPr/>
      </w:pPr>
      <w:r>
        <w:rPr/>
        <w:t>​</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As of March 31, 2023, the Company owns 353,000 acres of Subsurface Interests. The 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three months ended March 31, 2023, the Company sold subsurface oil, gas, and mineral rights of 2,412 acres for a sales price of $0.2 million. During the three months ended March 31, 2022, the Company sold subsurface oil, gas, and mineral rights of 4,750 acres for a sales price of $0.4 million. Revenues received from oil royalties totaled under $0.01 million during each of the three months ended March 31</w:t>
      </w:r>
      <w:r>
        <w:rPr>
          <w:rFonts w:ascii="Times New Roman;Times;serif" w:hAnsi="Times New Roman;Times;serif"/>
          <w:sz w:val="20"/>
          <w:highlight w:val="white"/>
        </w:rPr>
        <w:t>, 2023 and 2022.</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sz w:val="20"/>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$0.1 million and $0.2 million during the three months ended March 31, 2023 and 2022, respectively.</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w:t>
      </w:r>
      <w:r>
        <w:rPr>
          <w:rFonts w:ascii="Times New Roman;Times;serif" w:hAnsi="Times New Roman;Times;serif"/>
          <w:sz w:val="20"/>
        </w:rPr>
        <w:t>The Company owns an inventory of mitigation credits with a cost basis of $2.5 million as of March 31, 2023. As of December 31, 2022, the Company owned mitigation credits and mitigation credit rights with an aggregate cost basis of $2.6 million. During the three months ended March 31, 2023, the remaining mitigation credit rights were released and transferred to mitigation credits as they are available for sale as of March 31, 2023. On December 29, 2022, the Company completed the sale of the entity that owned the mitigation bank previously owned by the Company. A balance of mitigation credits and mitigation credit rights were retained by the Company as part of the sale agreement.</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Revenues and the cost of sales of mitigation credit sales are reported as revenues from, and direct costs of, real estate operations, respectively, in the consolidated statements of operations. During the three months ended March 31, 2023, 0.73 mitigation credits were sold for $0.1 million resulting in a gain of less than $0.1 million. </w:t>
      </w:r>
      <w:r>
        <w:rPr>
          <w:rFonts w:ascii="Times New Roman;Times;serif" w:hAnsi="Times New Roman;Times;serif"/>
          <w:sz w:val="20"/>
          <w:highlight w:val="white"/>
        </w:rPr>
        <w:t>There were no mitigation credit sales during the three months ended March 31, 2022</w:t>
      </w:r>
      <w:r>
        <w:rPr>
          <w:rFonts w:ascii="Times New Roman;Times;serif" w:hAnsi="Times New Roman;Times;serif"/>
          <w:sz w:val="20"/>
        </w:rPr>
        <w:t xml:space="preserve">. </w:t>
      </w:r>
    </w:p>
    <w:p>
      <w:pPr>
        <w:pStyle w:val="TextBody"/>
        <w:pBdr/>
        <w:spacing w:before="240" w:after="0"/>
        <w:ind w:left="0" w:right="0" w:hanging="490"/>
        <w:jc w:val="both"/>
        <w:rPr>
          <w:rFonts w:ascii="Times New Roman;Times;serif" w:hAnsi="Times New Roman;Times;serif"/>
          <w:b/>
          <w:sz w:val="20"/>
        </w:rPr>
      </w:pPr>
      <w:r>
        <w:rPr>
          <w:rFonts w:ascii="Times New Roman;Times;serif" w:hAnsi="Times New Roman;Times;serif"/>
          <w:b/>
          <w:sz w:val="20"/>
        </w:rPr>
        <w:t>NOTE 7. INVESTMENT SECURITIES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2023, the Company owns, in the aggregate and on a fully diluted basis, 2.33 million shares of PINE, or 14.8% of PINE’s total shares outstanding for an investment value of $39.3 million, which total includes 1.2 million OP Units, or 7.8%, which the Company received in exchange for the contribution of certain income properties to the PINE Operating Partnership, in addition to 1,108,814 shares of common stock owned by the Company, or 7.0%.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spacing w:before="0" w:after="0"/>
        <w:ind w:left="0" w:right="0" w:firstLine="49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bookmarkStart w:id="855" w:name="Tc_6_GE-RYafkmsDMDv8i6-ZA_12_11"/>
      <w:bookmarkStart w:id="856" w:name="Tc_YGXttsCN5kmF3hjFMDb4Ig_12_9"/>
      <w:bookmarkStart w:id="857" w:name="Tc_eTNdSrNzXUiA_OAl0XTqIA_12_8"/>
      <w:bookmarkStart w:id="858" w:name="Tc_dAcO7lApAUKeZMmqUaS8Aw_12_5"/>
      <w:bookmarkStart w:id="859" w:name="Tc_Szp73YqOpk6WgC1G8RCOfQ_12_2"/>
      <w:bookmarkStart w:id="860" w:name="Tc_4Q51ZtO4AUyoalHS7EDQWw_12_0"/>
      <w:bookmarkStart w:id="861" w:name="Tc_eBdtGf0UJU-7JM12vGB8EA_11_9"/>
      <w:bookmarkStart w:id="862" w:name="Tc_ABEz4m7o3EyvJ_lo8Rd90g_11_0"/>
      <w:bookmarkStart w:id="863" w:name="Tc_G8qgLSc1kUqLA5TL9HQwXg_10_9"/>
      <w:bookmarkStart w:id="864" w:name="Tc_fVlRPgmPn0uByVC4ld-nUw_10_0"/>
      <w:bookmarkStart w:id="865" w:name="Tc_WftWwPXdL0i6rUmhnKQs9Q_9_11"/>
      <w:bookmarkStart w:id="866" w:name="Tc_VYPdvJQVskmEAGz_gUS2yg_9_9"/>
      <w:bookmarkStart w:id="867" w:name="Tc_h5j4-sXiMk29SbRJgSFjMA_9_8"/>
      <w:bookmarkStart w:id="868" w:name="Tc_hr1z7-u-eU6BUnOMN6Hmog_9_5"/>
      <w:bookmarkStart w:id="869" w:name="Tc_j1sqqEp3YUKbs28J-7ObKA_9_2"/>
      <w:bookmarkStart w:id="870" w:name="Tc_RkdNzUaCr0WzUdvBl-0s8A_9_0"/>
      <w:bookmarkStart w:id="871" w:name="Tc_K8Bz2lLQUkGDKpMUz8rrHQ_8_0"/>
      <w:bookmarkStart w:id="872" w:name="Tc_qC9K2EBxq0KAWQmvwo1P5A_6_11"/>
      <w:bookmarkStart w:id="873" w:name="Tc_vKVpKGNJJ02Eo2jy6QXkyQ_6_8"/>
      <w:bookmarkStart w:id="874" w:name="Tc_DALMRtG9-E6RQ57Syse-kw_6_6"/>
      <w:bookmarkStart w:id="875" w:name="Tc_0lJcZKeHBEexeKFAMzp2PA_6_5"/>
      <w:bookmarkStart w:id="876" w:name="Tc_FzIwszAhTUSnduPAaAMDMw_6_2"/>
      <w:bookmarkStart w:id="877" w:name="Tc_1eJQzriC4UC0BNfYrYAgGQ_6_0"/>
      <w:bookmarkStart w:id="878" w:name="Tc_HsgaOOORtECFm_Do88gs_A_5_6"/>
      <w:bookmarkStart w:id="879" w:name="Tc_H_dMyllYXEKmf8D57ViLmw_5_0"/>
      <w:bookmarkStart w:id="880" w:name="Tc_lpL0flZZ-kS5j9pKpMNcmw_4_6"/>
      <w:bookmarkStart w:id="881" w:name="Tc_3Ae4WBq51UqIbgnCyyYWMw_4_0"/>
      <w:bookmarkStart w:id="882" w:name="Tc_PlaTo2GWKEGism7geLVENA_3_11"/>
      <w:bookmarkStart w:id="883" w:name="Tc_HP_q8FRirES7PugWZt5Y_g_3_8"/>
      <w:bookmarkStart w:id="884" w:name="Tc_ZfvthpX7bEeLl-IITsztwA_3_6"/>
      <w:bookmarkStart w:id="885" w:name="Tc_nA-t9SmjC0i1SmbdSO5FeQ_3_5"/>
      <w:bookmarkStart w:id="886" w:name="Tc_LdBqvzHqn063igYfn27YZA_3_2"/>
      <w:bookmarkStart w:id="887" w:name="Tc_IZzifzjqP0udf-qKSlIbKQ_3_0"/>
      <w:bookmarkStart w:id="888" w:name="Tc_LeTjxdTwkkqOYRh7Jgv9aQ_2_0"/>
      <w:bookmarkStart w:id="889" w:name="Tc_b3UwpLRzPk6YPA2wSdXAHg_1_11"/>
      <w:bookmarkStart w:id="890" w:name="Tc_gQYtVlJC9UW-TX2luBClKQ_1_8"/>
      <w:bookmarkStart w:id="891" w:name="Tc_3flI1jlhfEe3bGMx4yPF8g_1_5"/>
      <w:bookmarkStart w:id="892" w:name="Tc_Z6MA2NHAHEO4JseMzjc84A_1_2"/>
      <w:bookmarkStart w:id="893" w:name="_99aa4e26_e848_4ba6_84e6_387b5aca6730"/>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sz w:val="20"/>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the three months ended March 31, 2023 and 2022.</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available-for-sale securities as of March 31, 2023 and December 31, 2022 are summarized below (in thousands):</w:t>
      </w:r>
    </w:p>
    <w:tbl>
      <w:tblPr>
        <w:tblW w:w="10082" w:type="dxa"/>
        <w:jc w:val="left"/>
        <w:tblInd w:w="0" w:type="dxa"/>
        <w:tblCellMar>
          <w:top w:w="0" w:type="dxa"/>
          <w:left w:w="0" w:type="dxa"/>
          <w:bottom w:w="0" w:type="dxa"/>
          <w:right w:w="0" w:type="dxa"/>
        </w:tblCellMar>
      </w:tblPr>
      <w:tblGrid>
        <w:gridCol w:w="2926"/>
        <w:gridCol w:w="326"/>
        <w:gridCol w:w="211"/>
        <w:gridCol w:w="676"/>
        <w:gridCol w:w="326"/>
        <w:gridCol w:w="594"/>
        <w:gridCol w:w="1191"/>
        <w:gridCol w:w="326"/>
        <w:gridCol w:w="427"/>
        <w:gridCol w:w="1283"/>
        <w:gridCol w:w="326"/>
        <w:gridCol w:w="309"/>
        <w:gridCol w:w="1161"/>
      </w:tblGrid>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pPr>
            <w:r>
              <w:rPr/>
              <w:t>​</w:t>
            </w:r>
          </w:p>
        </w:tc>
        <w:tc>
          <w:tcPr>
            <w:tcW w:w="1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7" w:type="dxa"/>
            <w:tcBorders/>
            <w:shd w:fill="auto" w:val="clear"/>
            <w:vAlign w:val="center"/>
          </w:tcPr>
          <w:p>
            <w:pPr>
              <w:pStyle w:val="TableContents"/>
              <w:spacing w:before="0" w:after="0"/>
              <w:ind w:left="0" w:right="0" w:hanging="0"/>
              <w:rPr/>
            </w:pPr>
            <w:r>
              <w:rPr/>
              <w:t>​</w:t>
            </w:r>
          </w:p>
        </w:tc>
        <w:tc>
          <w:tcPr>
            <w:tcW w:w="128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1161" w:type="dxa"/>
            <w:tcBorders/>
            <w:shd w:fill="auto" w:val="clear"/>
            <w:vAlign w:val="center"/>
          </w:tcPr>
          <w:p>
            <w:pPr>
              <w:pStyle w:val="TableContents"/>
              <w:spacing w:before="0" w:after="0"/>
              <w:ind w:left="0" w:right="0" w:hanging="0"/>
              <w:rPr/>
            </w:pPr>
            <w:r>
              <w:rPr/>
              <w:t>​</w: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26" w:type="dxa"/>
            <w:tcBorders/>
            <w:shd w:fill="auto" w:val="clear"/>
            <w:vAlign w:val="center"/>
          </w:tcPr>
          <w:p>
            <w:pPr>
              <w:pStyle w:val="TableContents"/>
              <w:spacing w:before="0" w:after="0"/>
              <w:ind w:left="0" w:right="0" w:hanging="0"/>
              <w:rPr/>
            </w:pPr>
            <w:r>
              <w:rPr/>
              <w:t>    </w:t>
            </w:r>
          </w:p>
        </w:tc>
        <w:tc>
          <w:tcPr>
            <w:tcW w:w="1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26" w:type="dxa"/>
            <w:tcBorders/>
            <w:shd w:fill="auto" w:val="clear"/>
            <w:vAlign w:val="center"/>
          </w:tcPr>
          <w:p>
            <w:pPr>
              <w:pStyle w:val="TableContents"/>
              <w:spacing w:before="0" w:after="0"/>
              <w:ind w:left="0" w:right="0" w:hanging="0"/>
              <w:rPr/>
            </w:pPr>
            <w:r>
              <w:rPr/>
              <w:t>    </w:t>
            </w:r>
          </w:p>
        </w:tc>
        <w:tc>
          <w:tcPr>
            <w:tcW w:w="17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26" w:type="dxa"/>
            <w:tcBorders/>
            <w:shd w:fill="auto" w:val="clear"/>
            <w:vAlign w:val="center"/>
          </w:tcPr>
          <w:p>
            <w:pPr>
              <w:pStyle w:val="TableContents"/>
              <w:spacing w:before="0" w:after="0"/>
              <w:ind w:left="0" w:right="0" w:hanging="0"/>
              <w:rPr/>
            </w:pPr>
            <w:r>
              <w:rPr/>
              <w:t>    </w:t>
            </w:r>
          </w:p>
        </w:tc>
        <w:tc>
          <w:tcPr>
            <w:tcW w:w="14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594" w:type="dxa"/>
            <w:tcBorders/>
            <w:shd w:fill="CCEEFF" w:val="clear"/>
            <w:vAlign w:val="center"/>
          </w:tcPr>
          <w:p>
            <w:pPr>
              <w:pStyle w:val="TableContents"/>
              <w:spacing w:before="0" w:after="0"/>
              <w:ind w:left="0" w:right="0" w:hanging="0"/>
              <w:jc w:val="center"/>
              <w:rPr/>
            </w:pPr>
            <w:r>
              <w:rPr/>
              <w:t>​</w:t>
            </w:r>
          </w:p>
        </w:tc>
        <w:tc>
          <w:tcPr>
            <w:tcW w:w="119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427" w:type="dxa"/>
            <w:tcBorders/>
            <w:shd w:fill="CCEEFF" w:val="clear"/>
            <w:vAlign w:val="center"/>
          </w:tcPr>
          <w:p>
            <w:pPr>
              <w:pStyle w:val="TableContents"/>
              <w:spacing w:before="0" w:after="0"/>
              <w:ind w:left="0" w:right="0" w:hanging="0"/>
              <w:jc w:val="center"/>
              <w:rPr/>
            </w:pPr>
            <w:r>
              <w:rPr/>
              <w:t>​</w:t>
            </w:r>
          </w:p>
        </w:tc>
        <w:tc>
          <w:tcPr>
            <w:tcW w:w="1283"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jc w:val="center"/>
              <w:rPr/>
            </w:pPr>
            <w:r>
              <w:rPr/>
              <w:t>​</w:t>
            </w:r>
          </w:p>
        </w:tc>
        <w:tc>
          <w:tcPr>
            <w:tcW w:w="1161" w:type="dxa"/>
            <w:tcBorders/>
            <w:shd w:fill="CCEEFF" w:val="clear"/>
            <w:vAlign w:val="center"/>
          </w:tcPr>
          <w:p>
            <w:pPr>
              <w:pStyle w:val="TableContents"/>
              <w:spacing w:before="0" w:after="0"/>
              <w:ind w:left="0" w:right="0" w:hanging="0"/>
              <w:jc w:val="center"/>
              <w:rPr/>
            </w:pPr>
            <w:r>
              <w:rPr/>
              <w:t>​</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20,482</w:t>
            </w:r>
          </w:p>
        </w:tc>
        <w:tc>
          <w:tcPr>
            <w:tcW w:w="326"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18,662</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spacing w:before="0" w:after="0"/>
              <w:ind w:left="0" w:right="0" w:hanging="0"/>
              <w:rPr/>
            </w:pPr>
            <w:r>
              <w:rPr/>
              <w:t>​</w:t>
            </w:r>
          </w:p>
        </w:tc>
        <w:tc>
          <w:tcPr>
            <w:tcW w:w="59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26" w:type="dxa"/>
            <w:tcBorders/>
            <w:shd w:fill="CCEEFF" w:val="clear"/>
            <w:vAlign w:val="center"/>
          </w:tcPr>
          <w:p>
            <w:pPr>
              <w:pStyle w:val="TableContents"/>
              <w:spacing w:before="0" w:after="0"/>
              <w:ind w:left="0" w:right="0" w:hanging="0"/>
              <w:rPr/>
            </w:pPr>
            <w:r>
              <w:rPr/>
              <w:t>​</w:t>
            </w:r>
          </w:p>
        </w:tc>
        <w:tc>
          <w:tcPr>
            <w:tcW w:w="3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20,597</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shd w:fill="auto" w:val="clear"/>
            <w:vAlign w:val="center"/>
          </w:tcPr>
          <w:p>
            <w:pPr>
              <w:pStyle w:val="TableContents"/>
              <w:spacing w:before="0" w:after="0"/>
              <w:ind w:left="0" w:right="0" w:hanging="0"/>
              <w:rPr/>
            </w:pPr>
            <w:r>
              <w:rPr/>
              <w:t>​</w:t>
            </w:r>
          </w:p>
        </w:tc>
        <w:tc>
          <w:tcPr>
            <w:tcW w:w="5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(4,476)</w:t>
            </w:r>
          </w:p>
        </w:tc>
        <w:tc>
          <w:tcPr>
            <w:tcW w:w="326" w:type="dxa"/>
            <w:tcBorders/>
            <w:shd w:fill="auto" w:val="clear"/>
            <w:vAlign w:val="center"/>
          </w:tcPr>
          <w:p>
            <w:pPr>
              <w:pStyle w:val="TableContents"/>
              <w:spacing w:before="0" w:after="0"/>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39,259</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shd w:fill="CCEEFF" w:val="clear"/>
            <w:vAlign w:val="center"/>
          </w:tcPr>
          <w:p>
            <w:pPr>
              <w:pStyle w:val="TableContents"/>
              <w:spacing w:before="0" w:after="0"/>
              <w:ind w:left="0" w:right="0" w:hanging="0"/>
              <w:rPr/>
            </w:pPr>
            <w:r>
              <w:rPr/>
              <w:t>​</w:t>
            </w:r>
          </w:p>
        </w:tc>
        <w:tc>
          <w:tcPr>
            <w:tcW w:w="5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(4,476)</w:t>
            </w:r>
          </w:p>
        </w:tc>
        <w:tc>
          <w:tcPr>
            <w:tcW w:w="326" w:type="dxa"/>
            <w:tcBorders/>
            <w:shd w:fill="CCEEFF" w:val="clear"/>
            <w:vAlign w:val="center"/>
          </w:tcPr>
          <w:p>
            <w:pPr>
              <w:pStyle w:val="TableContents"/>
              <w:spacing w:before="0" w:after="0"/>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39,259</w: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pPr>
            <w:r>
              <w:rPr/>
              <w:t>​</w:t>
            </w:r>
          </w:p>
        </w:tc>
        <w:tc>
          <w:tcPr>
            <w:tcW w:w="11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7" w:type="dxa"/>
            <w:tcBorders/>
            <w:shd w:fill="auto" w:val="clear"/>
            <w:vAlign w:val="center"/>
          </w:tcPr>
          <w:p>
            <w:pPr>
              <w:pStyle w:val="TableContents"/>
              <w:spacing w:before="0" w:after="0"/>
              <w:ind w:left="0" w:right="0" w:hanging="0"/>
              <w:rPr/>
            </w:pPr>
            <w:r>
              <w:rPr/>
              <w:t>​</w:t>
            </w:r>
          </w:p>
        </w:tc>
        <w:tc>
          <w:tcPr>
            <w:tcW w:w="12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1161" w:type="dxa"/>
            <w:tcBorders/>
            <w:shd w:fill="auto" w:val="clear"/>
            <w:vAlign w:val="center"/>
          </w:tcPr>
          <w:p>
            <w:pPr>
              <w:pStyle w:val="TableContents"/>
              <w:spacing w:before="0" w:after="0"/>
              <w:ind w:left="0" w:right="0" w:hanging="0"/>
              <w:jc w:val="right"/>
              <w:rPr/>
            </w:pPr>
            <w:r>
              <w:rPr/>
              <w:t>​</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94" w:type="dxa"/>
            <w:tcBorders/>
            <w:shd w:fill="CCEEFF" w:val="clear"/>
            <w:vAlign w:val="center"/>
          </w:tcPr>
          <w:p>
            <w:pPr>
              <w:pStyle w:val="TableContents"/>
              <w:spacing w:before="0" w:after="0"/>
              <w:ind w:left="0" w:right="0" w:hanging="0"/>
              <w:rPr/>
            </w:pPr>
            <w:r>
              <w:rPr/>
              <w:t>​</w:t>
            </w:r>
          </w:p>
        </w:tc>
        <w:tc>
          <w:tcPr>
            <w:tcW w:w="11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7" w:type="dxa"/>
            <w:tcBorders/>
            <w:shd w:fill="CCEEFF" w:val="clear"/>
            <w:vAlign w:val="center"/>
          </w:tcPr>
          <w:p>
            <w:pPr>
              <w:pStyle w:val="TableContents"/>
              <w:spacing w:before="0" w:after="0"/>
              <w:ind w:left="0" w:right="0" w:hanging="0"/>
              <w:rPr/>
            </w:pPr>
            <w:r>
              <w:rPr/>
              <w:t>​</w:t>
            </w:r>
          </w:p>
        </w:tc>
        <w:tc>
          <w:tcPr>
            <w:tcW w:w="12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1161" w:type="dxa"/>
            <w:tcBorders/>
            <w:shd w:fill="CCEEFF" w:val="clear"/>
            <w:vAlign w:val="center"/>
          </w:tcPr>
          <w:p>
            <w:pPr>
              <w:pStyle w:val="TableContents"/>
              <w:spacing w:before="0" w:after="0"/>
              <w:ind w:left="0" w:right="0" w:hanging="0"/>
              <w:jc w:val="right"/>
              <w:rPr/>
            </w:pPr>
            <w:r>
              <w:rPr/>
              <w:t>​</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18,382</w:t>
            </w:r>
          </w:p>
        </w:tc>
        <w:tc>
          <w:tcPr>
            <w:tcW w:w="326"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auto" w:val="clear"/>
            <w:vAlign w:val="center"/>
          </w:tcPr>
          <w:p>
            <w:pPr>
              <w:pStyle w:val="TableContents"/>
              <w:spacing w:before="0" w:after="0"/>
              <w:ind w:left="0" w:right="0" w:hanging="0"/>
              <w:rPr/>
            </w:pPr>
            <w:r>
              <w:rPr/>
              <w:t>​</w:t>
            </w:r>
          </w:p>
        </w:tc>
        <w:tc>
          <w:tcPr>
            <w:tcW w:w="4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18,690</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spacing w:before="0" w:after="0"/>
              <w:ind w:left="0" w:right="0" w:hanging="0"/>
              <w:rPr/>
            </w:pPr>
            <w:r>
              <w:rPr/>
              <w:t>​</w:t>
            </w:r>
          </w:p>
        </w:tc>
        <w:tc>
          <w:tcPr>
            <w:tcW w:w="59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spacing w:before="0" w:after="0"/>
              <w:ind w:left="0" w:right="0" w:hanging="0"/>
              <w:rPr/>
            </w:pPr>
            <w:r>
              <w:rPr/>
              <w:t>​</w:t>
            </w:r>
          </w:p>
        </w:tc>
        <w:tc>
          <w:tcPr>
            <w:tcW w:w="4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23,351</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41,635</w:t>
            </w:r>
          </w:p>
        </w:tc>
        <w:tc>
          <w:tcPr>
            <w:tcW w:w="326" w:type="dxa"/>
            <w:tcBorders/>
            <w:shd w:fill="auto" w:val="clear"/>
            <w:vAlign w:val="center"/>
          </w:tcPr>
          <w:p>
            <w:pPr>
              <w:pStyle w:val="TableContents"/>
              <w:spacing w:before="0" w:after="0"/>
              <w:ind w:left="0" w:right="0" w:hanging="0"/>
              <w:rPr/>
            </w:pPr>
            <w:r>
              <w:rPr/>
              <w:t>​</w:t>
            </w:r>
          </w:p>
        </w:tc>
        <w:tc>
          <w:tcPr>
            <w:tcW w:w="5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shd w:fill="auto" w:val="clear"/>
            <w:vAlign w:val="center"/>
          </w:tcPr>
          <w:p>
            <w:pPr>
              <w:pStyle w:val="TableContents"/>
              <w:spacing w:before="0" w:after="0"/>
              <w:ind w:left="0" w:right="0" w:hanging="0"/>
              <w:rPr/>
            </w:pPr>
            <w:r>
              <w:rPr/>
              <w:t>​</w:t>
            </w:r>
          </w:p>
        </w:tc>
        <w:tc>
          <w:tcPr>
            <w:tcW w:w="42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42,041</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41,635</w:t>
            </w:r>
          </w:p>
        </w:tc>
        <w:tc>
          <w:tcPr>
            <w:tcW w:w="326" w:type="dxa"/>
            <w:tcBorders/>
            <w:shd w:fill="CCEEFF" w:val="clear"/>
            <w:vAlign w:val="center"/>
          </w:tcPr>
          <w:p>
            <w:pPr>
              <w:pStyle w:val="TableContents"/>
              <w:spacing w:before="0" w:after="0"/>
              <w:ind w:left="0" w:right="0" w:hanging="0"/>
              <w:rPr/>
            </w:pPr>
            <w:r>
              <w:rPr/>
              <w:t>​</w:t>
            </w:r>
          </w:p>
        </w:tc>
        <w:tc>
          <w:tcPr>
            <w:tcW w:w="5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shd w:fill="CCEEFF" w:val="clear"/>
            <w:vAlign w:val="center"/>
          </w:tcPr>
          <w:p>
            <w:pPr>
              <w:pStyle w:val="TableContents"/>
              <w:spacing w:before="0" w:after="0"/>
              <w:ind w:left="0" w:right="0" w:hanging="0"/>
              <w:rPr/>
            </w:pPr>
            <w:r>
              <w:rPr/>
              <w:t>​</w:t>
            </w:r>
          </w:p>
        </w:tc>
        <w:tc>
          <w:tcPr>
            <w:tcW w:w="4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42,041</w:t>
            </w:r>
          </w:p>
        </w:tc>
      </w:tr>
    </w:tbl>
    <w:p>
      <w:pPr>
        <w:pStyle w:val="TextBody"/>
        <w:spacing w:before="0" w:after="0"/>
        <w:ind w:left="0" w:right="0" w:firstLine="360"/>
        <w:jc w:val="both"/>
        <w:rPr/>
      </w:pPr>
      <w:r>
        <w:rPr/>
        <w:t>​</w:t>
      </w:r>
    </w:p>
    <w:p>
      <w:pPr>
        <w:pStyle w:val="TextBody"/>
        <w:spacing w:before="0" w:after="0"/>
        <w:ind w:left="0" w:right="0" w:hanging="0"/>
        <w:rPr/>
      </w:pPr>
      <w:r>
        <w:rPr/>
        <w:t>​</w:t>
      </w:r>
    </w:p>
    <w:p>
      <w:pPr>
        <w:pStyle w:val="TextBody"/>
        <w:spacing w:before="0" w:after="0"/>
        <w:ind w:left="0" w:right="0" w:firstLine="360"/>
        <w:jc w:val="both"/>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894" w:name="Tc_87hlTPEnokGGqQEqEWq8ng_6_11"/>
      <w:bookmarkStart w:id="895" w:name="Tc_zcbtU1oukESyaDxQ12yZVg_6_8"/>
      <w:bookmarkStart w:id="896" w:name="Tc_ElY6ocRBXUmW_z4_voj_dA_6_5"/>
      <w:bookmarkStart w:id="897" w:name="Tc_T0LFykNzKUuF2YGi2yvKKQ_6_2"/>
      <w:bookmarkStart w:id="898" w:name="Tc_-aUsYj_3nE6wfKl_x0uK9g_6_0"/>
      <w:bookmarkStart w:id="899" w:name="Tc_YMeZTD3eCkC12RZX4vkK5A_5_11"/>
      <w:bookmarkStart w:id="900" w:name="Tc_OcEjzyDaFUGSZnlRfgstkA_5_8"/>
      <w:bookmarkStart w:id="901" w:name="Tc_QJOM4eDUk02CYLuQ7DfMPg_5_5"/>
      <w:bookmarkStart w:id="902" w:name="Tc_wXoWXsNK3UGEVVSHp6bSkg_5_2"/>
      <w:bookmarkStart w:id="903" w:name="Tc_2zCxfeQpfk2OSS_woMZ_uQ_5_0"/>
      <w:bookmarkStart w:id="904" w:name="Tc_cDt6hogfrEWfwW3kPt5iAA_4_11"/>
      <w:bookmarkStart w:id="905" w:name="Tc_X3ViR5Mwyk2ybyqZYRGoQw_4_8"/>
      <w:bookmarkStart w:id="906" w:name="Tc_kyfzuDF4P0-izDixQYiZzw_4_5"/>
      <w:bookmarkStart w:id="907" w:name="Tc_PtWTKkGMGk-mBwL3GuEI2g_4_2"/>
      <w:bookmarkStart w:id="908" w:name="Tc_97mABDOYjES1ryeqrMGtgA_4_0"/>
      <w:bookmarkStart w:id="909" w:name="Tc_dmB6mb_JaEu5OtgNeWcgCQ_3_11"/>
      <w:bookmarkStart w:id="910" w:name="Tc_NPpkAwFQUUSlo_ZQhQDB0g_3_8"/>
      <w:bookmarkStart w:id="911" w:name="Tc_hlNhPfV3iUOBm-958p3mKA_3_5"/>
      <w:bookmarkStart w:id="912" w:name="Tc_2CJHqez78EClOvU4Vd2cGg_3_2"/>
      <w:bookmarkStart w:id="913" w:name="Tc_WcUejzc6HEWRNhQJZKHp-Q_3_0"/>
      <w:bookmarkStart w:id="914" w:name="Tc_ruDjfUIURUWKz5BDmFoqVg_2_11"/>
      <w:bookmarkStart w:id="915" w:name="Tc_qJa2xocnqEqTa4zAUGwrWw_2_8"/>
      <w:bookmarkStart w:id="916" w:name="Tc_0owaDiDMWUCPNphhUNGNZg_2_5"/>
      <w:bookmarkStart w:id="917" w:name="Tc_UZw61nW41U6Pcfer9ju0WA_2_2"/>
      <w:bookmarkStart w:id="918" w:name="Tc_9lebaKgNp0KQZlbZeaZyxw_1_8"/>
      <w:bookmarkStart w:id="919" w:name="Tc_PeNATwMKFkCk64x_Lkleqg_1_2"/>
      <w:bookmarkStart w:id="920" w:name="_b282e86b_cc08_44b8_9236_752c254c20f1"/>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r>
        <w:rPr>
          <w:rFonts w:ascii="Times New Roman;Times;serif" w:hAnsi="Times New Roman;Times;serif"/>
          <w:b/>
          <w:sz w:val="20"/>
        </w:rPr>
        <w:t>NOTE 8. FAIR VALUE OF FINANCIAL INSTRUMENTS</w:t>
      </w:r>
    </w:p>
    <w:p>
      <w:pPr>
        <w:pStyle w:val="TextBody"/>
        <w:spacing w:before="0" w:after="0"/>
        <w:ind w:left="0" w:right="0" w:firstLine="490"/>
        <w:jc w:val="both"/>
        <w:rPr/>
      </w:pPr>
      <w:r>
        <w:rPr/>
        <w:t>​</w:t>
      </w:r>
    </w:p>
    <w:p>
      <w:pPr>
        <w:pStyle w:val="TextBody"/>
        <w:spacing w:before="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March 31, 2023 and December 31, 2022 (in thousands):</w:t>
      </w:r>
    </w:p>
    <w:tbl>
      <w:tblPr>
        <w:tblW w:w="10205" w:type="dxa"/>
        <w:jc w:val="left"/>
        <w:tblInd w:w="0" w:type="dxa"/>
        <w:tblCellMar>
          <w:top w:w="0" w:type="dxa"/>
          <w:left w:w="0" w:type="dxa"/>
          <w:bottom w:w="0" w:type="dxa"/>
          <w:right w:w="0" w:type="dxa"/>
        </w:tblCellMar>
      </w:tblPr>
      <w:tblGrid>
        <w:gridCol w:w="2955"/>
        <w:gridCol w:w="326"/>
        <w:gridCol w:w="276"/>
        <w:gridCol w:w="1024"/>
        <w:gridCol w:w="326"/>
        <w:gridCol w:w="348"/>
        <w:gridCol w:w="1293"/>
        <w:gridCol w:w="326"/>
        <w:gridCol w:w="276"/>
        <w:gridCol w:w="1024"/>
        <w:gridCol w:w="326"/>
        <w:gridCol w:w="323"/>
        <w:gridCol w:w="1382"/>
      </w:tblGrid>
      <w:tr>
        <w:trPr/>
        <w:tc>
          <w:tcPr>
            <w:tcW w:w="29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10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pPr>
            <w:r>
              <w:rPr/>
              <w:t>​</w:t>
            </w:r>
          </w:p>
        </w:tc>
        <w:tc>
          <w:tcPr>
            <w:tcW w:w="12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10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1382" w:type="dxa"/>
            <w:tcBorders/>
            <w:shd w:fill="auto" w:val="clear"/>
            <w:vAlign w:val="center"/>
          </w:tcPr>
          <w:p>
            <w:pPr>
              <w:pStyle w:val="TableContents"/>
              <w:spacing w:before="0" w:after="0"/>
              <w:ind w:left="0" w:right="0" w:hanging="0"/>
              <w:rPr/>
            </w:pPr>
            <w:r>
              <w:rPr/>
              <w:t>​</w:t>
            </w:r>
          </w:p>
        </w:tc>
      </w:tr>
      <w:tr>
        <w:trPr/>
        <w:tc>
          <w:tcPr>
            <w:tcW w:w="29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rPr/>
            </w:pPr>
            <w:r>
              <w:rPr/>
              <w:t>​</w:t>
            </w:r>
          </w:p>
        </w:tc>
        <w:tc>
          <w:tcPr>
            <w:tcW w:w="333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9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shd w:fill="auto" w:val="clear"/>
            <w:vAlign w:val="center"/>
          </w:tcPr>
          <w:p>
            <w:pPr>
              <w:pStyle w:val="TableContents"/>
              <w:spacing w:before="0" w:after="0"/>
              <w:ind w:left="0" w:right="0" w:hanging="0"/>
              <w:rPr/>
            </w:pPr>
            <w:r>
              <w:rPr/>
              <w:t>    </w:t>
            </w:r>
          </w:p>
        </w:tc>
        <w:tc>
          <w:tcPr>
            <w:tcW w:w="16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26"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shd w:fill="auto" w:val="clear"/>
            <w:vAlign w:val="center"/>
          </w:tcPr>
          <w:p>
            <w:pPr>
              <w:pStyle w:val="TableContents"/>
              <w:spacing w:before="0" w:after="0"/>
              <w:ind w:left="0" w:right="0" w:hanging="0"/>
              <w:rPr/>
            </w:pPr>
            <w:r>
              <w:rPr/>
              <w:t>    </w:t>
            </w:r>
          </w:p>
        </w:tc>
        <w:tc>
          <w:tcPr>
            <w:tcW w:w="17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shd w:fill="CCEEFF" w:val="clear"/>
            <w:vAlign w:val="center"/>
          </w:tcPr>
          <w:p>
            <w:pPr>
              <w:pStyle w:val="TableContents"/>
              <w:spacing w:before="0" w:after="0"/>
              <w:ind w:left="0" w:right="0" w:hanging="0"/>
              <w:rPr/>
            </w:pPr>
            <w:r>
              <w:rPr/>
              <w:t>​</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7,023</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r>
      <w:tr>
        <w:trPr/>
        <w:tc>
          <w:tcPr>
            <w:tcW w:w="29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 - Level 1</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r>
      <w:tr>
        <w:trPr/>
        <w:tc>
          <w:tcPr>
            <w:tcW w:w="29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47,118</w:t>
            </w:r>
          </w:p>
        </w:tc>
        <w:tc>
          <w:tcPr>
            <w:tcW w:w="326" w:type="dxa"/>
            <w:tcBorders/>
            <w:shd w:fill="CCEEFF" w:val="clear"/>
            <w:vAlign w:val="center"/>
          </w:tcPr>
          <w:p>
            <w:pPr>
              <w:pStyle w:val="TableContents"/>
              <w:spacing w:before="0" w:after="0"/>
              <w:ind w:left="0" w:right="0" w:hanging="0"/>
              <w:rPr/>
            </w:pPr>
            <w:r>
              <w:rPr/>
              <w:t>​</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48,545</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32,960</w:t>
            </w:r>
          </w:p>
        </w:tc>
      </w:tr>
      <w:tr>
        <w:trPr/>
        <w:tc>
          <w:tcPr>
            <w:tcW w:w="29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 - Level 2</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465,130</w:t>
            </w:r>
          </w:p>
        </w:tc>
        <w:tc>
          <w:tcPr>
            <w:tcW w:w="326" w:type="dxa"/>
            <w:tcBorders/>
            <w:shd w:fill="auto" w:val="clear"/>
            <w:vAlign w:val="center"/>
          </w:tcPr>
          <w:p>
            <w:pPr>
              <w:pStyle w:val="TableContents"/>
              <w:spacing w:before="0" w:after="0"/>
              <w:ind w:left="0" w:right="0" w:hanging="0"/>
              <w:rPr/>
            </w:pPr>
            <w:r>
              <w:rPr/>
              <w:t>​</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442,382</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2"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426,421</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spacing w:before="0" w:after="0"/>
        <w:ind w:left="0" w:right="0" w:firstLine="49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bookmarkStart w:id="921" w:name="Tc_0nYf6HVEI0quBSeHmeRLUA_15_12"/>
      <w:bookmarkStart w:id="922" w:name="Tc_lC-Z7_Zoo0SqMv2x1cmxbA_15_11"/>
      <w:bookmarkStart w:id="923" w:name="Tc_30zh2TXguUqb4ZHcWMWNHA_15_9"/>
      <w:bookmarkStart w:id="924" w:name="Tc_CgENDx_Lk0KuKsg6QQDmeQ_15_8"/>
      <w:bookmarkStart w:id="925" w:name="Tc_wnITtFOGlUazm8vRvEa8tw_15_5"/>
      <w:bookmarkStart w:id="926" w:name="Tc_z-IoudESlUOPI4ktw06NRw_15_2"/>
      <w:bookmarkStart w:id="927" w:name="Tc__Zq2Po91K0-x99e71Cg0Dw_15_0"/>
      <w:bookmarkStart w:id="928" w:name="Tc_IGdjL2K94k66Md3VQbOXzQ_14_12"/>
      <w:bookmarkStart w:id="929" w:name="Tc_XYnryQp3kEmugcffnpWQiQ_14_11"/>
      <w:bookmarkStart w:id="930" w:name="Tc_83fx2BGl20OFbWx_OH3ePA_14_8"/>
      <w:bookmarkStart w:id="931" w:name="Tc_yw3dIeRFLkqC9cp1txvxvg_14_6"/>
      <w:bookmarkStart w:id="932" w:name="Tc_HJg1u214P0C07Y3lThcAAA_14_5"/>
      <w:bookmarkStart w:id="933" w:name="Tc_XVpwcP_yrESdpV-y0G6B3Q_14_2"/>
      <w:bookmarkStart w:id="934" w:name="Tc_VNn34f0LsEeBSpuHgUOZBQ_14_0"/>
      <w:bookmarkStart w:id="935" w:name="Tc_9biDLCsNSEOOqdJFz-hEBQ_13_12"/>
      <w:bookmarkStart w:id="936" w:name="Tc_5a4TrAq8iUi8XVMwmmkjQw_13_11"/>
      <w:bookmarkStart w:id="937" w:name="Tc_UNO2sRiFiEaFiGm8NGGYeA_13_8"/>
      <w:bookmarkStart w:id="938" w:name="Tc_iXj-GxJt2UKqbk0zn-_UNw_13_6"/>
      <w:bookmarkStart w:id="939" w:name="Tc_UV4PJNvJ0kyaI56_t3eCIA_13_5"/>
      <w:bookmarkStart w:id="940" w:name="Tc_zdXVZcqhMkOFLK-CQJ-fng_13_2"/>
      <w:bookmarkStart w:id="941" w:name="Tc_DSklQEolE0amsDg4YxSBUA_13_0"/>
      <w:bookmarkStart w:id="942" w:name="Tc_Q5xEoMAS6kiraV8hz2UVeQ_12_12"/>
      <w:bookmarkStart w:id="943" w:name="Tc_ofm0PGr2skWlKJZh_XnC-A_12_11"/>
      <w:bookmarkStart w:id="944" w:name="Tc_hec3baWaXU6KwbR3ExWTgw_12_8"/>
      <w:bookmarkStart w:id="945" w:name="Tc_xFF9wzRsPkWATi02YgdDBg_12_6"/>
      <w:bookmarkStart w:id="946" w:name="Tc_e0y5Qd81VkuKB7AnshT47g_12_5"/>
      <w:bookmarkStart w:id="947" w:name="Tc_M6qQR7nuEECbXfTsVD6Mxg_12_2"/>
      <w:bookmarkStart w:id="948" w:name="Tc_YiT6yqqP70iTGlbXniQ3AA_12_0"/>
      <w:bookmarkStart w:id="949" w:name="Tc_V7Yko5MnZE2F16noXl4Veg_11_12"/>
      <w:bookmarkStart w:id="950" w:name="Tc_6W491C4yOkm-jnoiXC-gCA_11_11"/>
      <w:bookmarkStart w:id="951" w:name="Tc_s49sXF_sf0SLXASS7FLbnA_11_8"/>
      <w:bookmarkStart w:id="952" w:name="Tc_iATiOltUBka5sJ2kHASCTQ_11_6"/>
      <w:bookmarkStart w:id="953" w:name="Tc_Zl-kBcClrkSomnX310d3mQ_11_5"/>
      <w:bookmarkStart w:id="954" w:name="Tc_yUFCyiwWX0KvrjSxszrEhg_11_2"/>
      <w:bookmarkStart w:id="955" w:name="Tc_r2jrKWFkP0Se_RLmzVbZhw_11_0"/>
      <w:bookmarkStart w:id="956" w:name="Tc_Xw5oPfRBzkyWonoeW4eMVQ_10_0"/>
      <w:bookmarkStart w:id="957" w:name="Tc_fpPk62etiUS0Mp9QfwHEkA_9_12"/>
      <w:bookmarkStart w:id="958" w:name="Tc_Zj1ajf5nPUijjuYaNE9cZA_9_11"/>
      <w:bookmarkStart w:id="959" w:name="Tc_KrAAOXpqkEO-o_p0GipWhg_9_9"/>
      <w:bookmarkStart w:id="960" w:name="Tc_Ms9wJu5eCESV3-GgOkhACg_9_8"/>
      <w:bookmarkStart w:id="961" w:name="Tc_q4AC3bxFkkC8PAUkV5BgOw_9_5"/>
      <w:bookmarkStart w:id="962" w:name="Tc_Joy6owxy7U2E_SXtSOUj_g_9_2"/>
      <w:bookmarkStart w:id="963" w:name="Tc_rbNSAvBPOk6y0KBspRfaTg_9_0"/>
      <w:bookmarkStart w:id="964" w:name="Tc_DU-ntkU6fEWyu8vtkrsOPQ_8_12"/>
      <w:bookmarkStart w:id="965" w:name="Tc__vsQz63lM06YLk9xCSLj2A_8_11"/>
      <w:bookmarkStart w:id="966" w:name="Tc_6TMXFeFotEWXtdGq1D6aUA_8_8"/>
      <w:bookmarkStart w:id="967" w:name="Tc_fWaNB54qHUq7pZ3cZEd2Ew_8_6"/>
      <w:bookmarkStart w:id="968" w:name="Tc_f-nUCWHsQ0Gn9bHQXQaXUQ_8_5"/>
      <w:bookmarkStart w:id="969" w:name="Tc_xdpW99JZAkueQy7loQA_WQ_8_2"/>
      <w:bookmarkStart w:id="970" w:name="Tc_ro7D5sxsfE64YeWmat9S4g_8_0"/>
      <w:bookmarkStart w:id="971" w:name="Tc_qpSx5mjtQ0au96f4LudRVQ_7_12"/>
      <w:bookmarkStart w:id="972" w:name="Tc_kZJ6KCoZmUaddT2JizMagg_7_11"/>
      <w:bookmarkStart w:id="973" w:name="Tc_1sfRxl_FQ06XxtBXJ1RBtg_7_8"/>
      <w:bookmarkStart w:id="974" w:name="Tc_U0QpArSNG0qmxl7eXWj1PQ_7_6"/>
      <w:bookmarkStart w:id="975" w:name="Tc_d6L_NpSlM0WsHryheRAjUA_7_5"/>
      <w:bookmarkStart w:id="976" w:name="Tc_z8wXXlwg8U26dMG_ObBPYA_7_2"/>
      <w:bookmarkStart w:id="977" w:name="Tc_3E5zXSPXwUq08RXe7e1KJQ_7_0"/>
      <w:bookmarkStart w:id="978" w:name="Tc_syocc2rOTEKEKmHhlE5X2g_6_12"/>
      <w:bookmarkStart w:id="979" w:name="Tc_ATlnhVFME0ivyhznUBJXfw_6_11"/>
      <w:bookmarkStart w:id="980" w:name="Tc_Ad332lhDiE2VMSbHrZ4YvQ_6_8"/>
      <w:bookmarkStart w:id="981" w:name="Tc_7SXxQ5KznEGCHQpEpygcKw_6_6"/>
      <w:bookmarkStart w:id="982" w:name="Tc_lJMrTDntJU-4EpJjatcMVA_6_5"/>
      <w:bookmarkStart w:id="983" w:name="Tc_Xquf4Z2RGEuxaeRW9M4U7Q_6_2"/>
      <w:bookmarkStart w:id="984" w:name="Tc_MiTKe8czVUaRa1eiVvZ_VQ_6_0"/>
      <w:bookmarkStart w:id="985" w:name="Tc_E-JlknRJdUS-3-81sPOVsw_5_12"/>
      <w:bookmarkStart w:id="986" w:name="Tc_4EbD92ARr0GogNVizj4Rcg_5_11"/>
      <w:bookmarkStart w:id="987" w:name="Tc_0mCebPrW8k6J-brQlSI4IA_5_8"/>
      <w:bookmarkStart w:id="988" w:name="Tc_jHqQndHGVk61LldaU9FtSg_5_6"/>
      <w:bookmarkStart w:id="989" w:name="Tc_0RFJAkoTikGrsJP5Ed0yLg_5_5"/>
      <w:bookmarkStart w:id="990" w:name="Tc_S9DxdiIfTkaGcMsxxej-WA_5_2"/>
      <w:bookmarkStart w:id="991" w:name="Tc_eOZMfQkM4UaVb6TLg4XucA_5_0"/>
      <w:bookmarkStart w:id="992" w:name="Tc_WU1P6wHzhUy5FG78BSCFZA_4_12"/>
      <w:bookmarkStart w:id="993" w:name="Tc_kqYpWfCPz0m_eCPcCuDy-g_4_11"/>
      <w:bookmarkStart w:id="994" w:name="Tc_mDQEfu4bm06sWfmd5w7GNg_4_8"/>
      <w:bookmarkStart w:id="995" w:name="Tc_q8YyKarLOEOxGxAC1TssVA_4_6"/>
      <w:bookmarkStart w:id="996" w:name="Tc_MlzPUB1OaEObfqpfAoKlZw_4_5"/>
      <w:bookmarkStart w:id="997" w:name="Tc_6CvfH57ygU6pvbl5zQu0kw_4_2"/>
      <w:bookmarkStart w:id="998" w:name="Tc_B2P1pfAcUUKVvwBMYN7Ebg_4_0"/>
      <w:bookmarkStart w:id="999" w:name="Tc_bXXD_eLeYkqaCnvMxdDUuQ_3_0"/>
      <w:bookmarkStart w:id="1000" w:name="Tc_3QvtUG_U9kK2nIm2Nd7stA_2_11"/>
      <w:bookmarkStart w:id="1001" w:name="Tc_BRiBlR08i0CBZi-GknQHZw_2_8"/>
      <w:bookmarkStart w:id="1002" w:name="Tc_a9e0F-T_MkGgZ4QKAv7ijg_2_5"/>
      <w:bookmarkStart w:id="1003" w:name="Tc_EMLCeGsVoUaM71DlcQVNfw_2_2"/>
      <w:bookmarkStart w:id="1004" w:name="Tc_GTBAv9_8ikuiKHcaKCxNbA_1_5"/>
      <w:bookmarkStart w:id="1005" w:name="_401b5851_70ab_4f36_9a0e_c5ffec8f9aa4"/>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Fonts w:ascii="Times New Roman;Times;serif" w:hAnsi="Times New Roman;Times;serif"/>
          <w:sz w:val="20"/>
        </w:rPr>
        <w:t>The following table presents the fair value of assets measured on a recurring basis by level as of March 31, 2023 and December 31, 2022 (in thousands). See Note 16, “Interest Rate Swaps” for further disclosure related to the Company’s interest rate swaps.</w:t>
      </w:r>
    </w:p>
    <w:p>
      <w:pPr>
        <w:pStyle w:val="TextBody"/>
        <w:spacing w:before="0" w:after="0"/>
        <w:ind w:left="0" w:right="0" w:firstLine="490"/>
        <w:jc w:val="both"/>
        <w:rPr/>
      </w:pPr>
      <w:r>
        <w:rPr/>
        <w:t>​</w:t>
      </w:r>
    </w:p>
    <w:tbl>
      <w:tblPr>
        <w:tblW w:w="10205" w:type="dxa"/>
        <w:jc w:val="left"/>
        <w:tblInd w:w="0" w:type="dxa"/>
        <w:tblCellMar>
          <w:top w:w="0" w:type="dxa"/>
          <w:left w:w="0" w:type="dxa"/>
          <w:bottom w:w="0" w:type="dxa"/>
          <w:right w:w="0" w:type="dxa"/>
        </w:tblCellMar>
      </w:tblPr>
      <w:tblGrid>
        <w:gridCol w:w="2199"/>
        <w:gridCol w:w="109"/>
        <w:gridCol w:w="203"/>
        <w:gridCol w:w="635"/>
        <w:gridCol w:w="326"/>
        <w:gridCol w:w="543"/>
        <w:gridCol w:w="1665"/>
        <w:gridCol w:w="326"/>
        <w:gridCol w:w="467"/>
        <w:gridCol w:w="1434"/>
        <w:gridCol w:w="326"/>
        <w:gridCol w:w="595"/>
        <w:gridCol w:w="1377"/>
      </w:tblGrid>
      <w:tr>
        <w:trPr/>
        <w:tc>
          <w:tcPr>
            <w:tcW w:w="2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96365" cy="175260"/>
                      <wp:effectExtent l="0" t="0" r="0" b="0"/>
                      <wp:wrapNone/>
                      <wp:docPr id="112" name="Frame112"/>
                      <a:graphic xmlns:a="http://schemas.openxmlformats.org/drawingml/2006/main">
                        <a:graphicData uri="http://schemas.microsoft.com/office/word/2010/wordprocessingShape">
                          <wps:wsp>
                            <wps:cNvSpPr txBox="1"/>
                            <wps:spPr>
                              <a:xfrm>
                                <a:off x="0" y="0"/>
                                <a:ext cx="139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8905" cy="175260"/>
                      <wp:effectExtent l="0" t="0" r="0" b="0"/>
                      <wp:wrapNone/>
                      <wp:docPr id="114" name="Frame114"/>
                      <a:graphic xmlns:a="http://schemas.openxmlformats.org/drawingml/2006/main">
                        <a:graphicData uri="http://schemas.microsoft.com/office/word/2010/wordprocessingShape">
                          <wps:wsp>
                            <wps:cNvSpPr txBox="1"/>
                            <wps:spPr>
                              <a:xfrm>
                                <a:off x="0" y="0"/>
                                <a:ext cx="128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3225" cy="175260"/>
                      <wp:effectExtent l="0" t="0" r="0" b="0"/>
                      <wp:wrapNone/>
                      <wp:docPr id="115" name="Frame115"/>
                      <a:graphic xmlns:a="http://schemas.openxmlformats.org/drawingml/2006/main">
                        <a:graphicData uri="http://schemas.microsoft.com/office/word/2010/wordprocessingShape">
                          <wps:wsp>
                            <wps:cNvSpPr txBox="1"/>
                            <wps:spPr>
                              <a:xfrm>
                                <a:off x="0" y="0"/>
                                <a:ext cx="403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44805" cy="175260"/>
                      <wp:effectExtent l="0" t="0" r="0" b="0"/>
                      <wp:wrapNone/>
                      <wp:docPr id="117" name="Frame117"/>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57275" cy="175260"/>
                      <wp:effectExtent l="0" t="0" r="0" b="0"/>
                      <wp:wrapNone/>
                      <wp:docPr id="118" name="Frame118"/>
                      <a:graphic xmlns:a="http://schemas.openxmlformats.org/drawingml/2006/main">
                        <a:graphicData uri="http://schemas.microsoft.com/office/word/2010/wordprocessingShape">
                          <wps:wsp>
                            <wps:cNvSpPr txBox="1"/>
                            <wps:spPr>
                              <a:xfrm>
                                <a:off x="0" y="0"/>
                                <a:ext cx="1057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6545" cy="175260"/>
                      <wp:effectExtent l="0" t="0" r="0" b="0"/>
                      <wp:wrapNone/>
                      <wp:docPr id="120" name="Frame120"/>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10590" cy="175260"/>
                      <wp:effectExtent l="0" t="0" r="0" b="0"/>
                      <wp:wrapNone/>
                      <wp:docPr id="121" name="Frame121"/>
                      <a:graphic xmlns:a="http://schemas.openxmlformats.org/drawingml/2006/main">
                        <a:graphicData uri="http://schemas.microsoft.com/office/word/2010/wordprocessingShape">
                          <wps:wsp>
                            <wps:cNvSpPr txBox="1"/>
                            <wps:spPr>
                              <a:xfrm>
                                <a:off x="0" y="0"/>
                                <a:ext cx="910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77825" cy="175260"/>
                      <wp:effectExtent l="0" t="0" r="0" b="0"/>
                      <wp:wrapNone/>
                      <wp:docPr id="123" name="Frame123"/>
                      <a:graphic xmlns:a="http://schemas.openxmlformats.org/drawingml/2006/main">
                        <a:graphicData uri="http://schemas.microsoft.com/office/word/2010/wordprocessingShape">
                          <wps:wsp>
                            <wps:cNvSpPr txBox="1"/>
                            <wps:spPr>
                              <a:xfrm>
                                <a:off x="0" y="0"/>
                                <a:ext cx="377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74395" cy="175260"/>
                      <wp:effectExtent l="0" t="0" r="0" b="0"/>
                      <wp:wrapNone/>
                      <wp:docPr id="124" name="Frame124"/>
                      <a:graphic xmlns:a="http://schemas.openxmlformats.org/drawingml/2006/main">
                        <a:graphicData uri="http://schemas.microsoft.com/office/word/2010/wordprocessingShape">
                          <wps:wsp>
                            <wps:cNvSpPr txBox="1"/>
                            <wps:spPr>
                              <a:xfrm>
                                <a:off x="0" y="0"/>
                                <a:ext cx="874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9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3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19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shd w:fill="auto" w:val="clear"/>
            <w:vAlign w:val="center"/>
          </w:tcPr>
          <w:p>
            <w:pPr>
              <w:pStyle w:val="TableContents"/>
              <w:spacing w:before="0" w:after="0"/>
              <w:ind w:left="0" w:right="0" w:hanging="0"/>
              <w:rPr/>
            </w:pPr>
            <w:r>
              <w:rPr/>
              <w:t>    </w:t>
            </w:r>
          </w:p>
        </w:tc>
        <w:tc>
          <w:tcPr>
            <w:tcW w:w="22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 (Level 1)</w:t>
            </w:r>
          </w:p>
        </w:tc>
        <w:tc>
          <w:tcPr>
            <w:tcW w:w="326" w:type="dxa"/>
            <w:tcBorders/>
            <w:shd w:fill="auto" w:val="clear"/>
            <w:vAlign w:val="center"/>
          </w:tcPr>
          <w:p>
            <w:pPr>
              <w:pStyle w:val="TableContents"/>
              <w:spacing w:before="0" w:after="0"/>
              <w:ind w:left="0" w:right="0" w:hanging="0"/>
              <w:rPr/>
            </w:pPr>
            <w:r>
              <w:rPr/>
              <w:t>    </w:t>
            </w:r>
          </w:p>
        </w:tc>
        <w:tc>
          <w:tcPr>
            <w:tcW w:w="1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 (Level 2)</w:t>
            </w:r>
          </w:p>
        </w:tc>
        <w:tc>
          <w:tcPr>
            <w:tcW w:w="326" w:type="dxa"/>
            <w:tcBorders/>
            <w:shd w:fill="auto" w:val="clear"/>
            <w:vAlign w:val="center"/>
          </w:tcPr>
          <w:p>
            <w:pPr>
              <w:pStyle w:val="TableContents"/>
              <w:spacing w:before="0" w:after="0"/>
              <w:ind w:left="0" w:right="0" w:hanging="0"/>
              <w:rPr/>
            </w:pPr>
            <w:r>
              <w:rPr/>
              <w:t>    </w:t>
            </w:r>
          </w:p>
        </w:tc>
        <w:tc>
          <w:tcPr>
            <w:tcW w:w="19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 (Level 3)</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March 31, 2023</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jc w:val="center"/>
              <w:rPr/>
            </w:pPr>
            <w:r>
              <w:rPr/>
              <w:t>​</w:t>
            </w:r>
          </w:p>
        </w:tc>
        <w:tc>
          <w:tcPr>
            <w:tcW w:w="635"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center"/>
              <w:rPr/>
            </w:pPr>
            <w:r>
              <w:rPr/>
              <w:t>​</w:t>
            </w:r>
          </w:p>
        </w:tc>
        <w:tc>
          <w:tcPr>
            <w:tcW w:w="1665"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467" w:type="dxa"/>
            <w:tcBorders/>
            <w:shd w:fill="CCEEFF" w:val="clear"/>
            <w:vAlign w:val="center"/>
          </w:tcPr>
          <w:p>
            <w:pPr>
              <w:pStyle w:val="TableContents"/>
              <w:spacing w:before="0" w:after="0"/>
              <w:ind w:left="0" w:right="0" w:hanging="0"/>
              <w:jc w:val="center"/>
              <w:rPr/>
            </w:pPr>
            <w:r>
              <w:rPr/>
              <w:t>​</w:t>
            </w:r>
          </w:p>
        </w:tc>
        <w:tc>
          <w:tcPr>
            <w:tcW w:w="1434"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595" w:type="dxa"/>
            <w:tcBorders/>
            <w:shd w:fill="CCEEFF" w:val="clear"/>
            <w:vAlign w:val="center"/>
          </w:tcPr>
          <w:p>
            <w:pPr>
              <w:pStyle w:val="TableContents"/>
              <w:spacing w:before="0" w:after="0"/>
              <w:ind w:left="0" w:right="0" w:hanging="0"/>
              <w:jc w:val="center"/>
              <w:rPr/>
            </w:pPr>
            <w:r>
              <w:rPr/>
              <w:t>​</w:t>
            </w:r>
          </w:p>
        </w:tc>
        <w:tc>
          <w:tcPr>
            <w:tcW w:w="1377" w:type="dxa"/>
            <w:tcBorders/>
            <w:shd w:fill="CCEEFF" w:val="clear"/>
            <w:vAlign w:val="center"/>
          </w:tcPr>
          <w:p>
            <w:pPr>
              <w:pStyle w:val="TableContents"/>
              <w:spacing w:before="0" w:after="0"/>
              <w:ind w:left="0" w:right="0" w:hanging="0"/>
              <w:jc w:val="center"/>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- 2026 Term Loan Interest Rate Swap</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3,737</w:t>
            </w:r>
          </w:p>
        </w:tc>
        <w:tc>
          <w:tcPr>
            <w:tcW w:w="326"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3,737</w:t>
            </w:r>
          </w:p>
        </w:tc>
        <w:tc>
          <w:tcPr>
            <w:tcW w:w="326" w:type="dxa"/>
            <w:tcBorders/>
            <w:shd w:fill="auto" w:val="clear"/>
            <w:vAlign w:val="center"/>
          </w:tcPr>
          <w:p>
            <w:pPr>
              <w:pStyle w:val="TableContents"/>
              <w:spacing w:before="0" w:after="0"/>
              <w:ind w:left="0" w:right="0" w:hanging="0"/>
              <w:rPr/>
            </w:pPr>
            <w:r>
              <w:rPr/>
              <w:t>    </w:t>
            </w:r>
          </w:p>
        </w:tc>
        <w:tc>
          <w:tcPr>
            <w:tcW w:w="5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auto" w:val="clear"/>
            <w:vAlign w:val="center"/>
          </w:tcPr>
          <w:p>
            <w:pPr>
              <w:pStyle w:val="TableContents"/>
              <w:spacing w:before="0" w:after="0"/>
              <w:ind w:left="0" w:right="0" w:hanging="0"/>
              <w:jc w:val="right"/>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- 2026 Term Loan Interest Rate Swap</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1,231</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1,231</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0" w:hanging="0"/>
              <w:jc w:val="right"/>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- 2027 Term Loan Interest Rate Swap</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8,262</w:t>
            </w:r>
          </w:p>
        </w:tc>
        <w:tc>
          <w:tcPr>
            <w:tcW w:w="326"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8,262</w:t>
            </w:r>
          </w:p>
        </w:tc>
        <w:tc>
          <w:tcPr>
            <w:tcW w:w="326" w:type="dxa"/>
            <w:tcBorders/>
            <w:shd w:fill="auto" w:val="clear"/>
            <w:vAlign w:val="center"/>
          </w:tcPr>
          <w:p>
            <w:pPr>
              <w:pStyle w:val="TableContents"/>
              <w:spacing w:before="0" w:after="0"/>
              <w:ind w:left="0" w:right="0" w:hanging="0"/>
              <w:rPr/>
            </w:pPr>
            <w:r>
              <w:rPr/>
              <w:t>    </w:t>
            </w:r>
          </w:p>
        </w:tc>
        <w:tc>
          <w:tcPr>
            <w:tcW w:w="5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auto" w:val="clear"/>
            <w:vAlign w:val="center"/>
          </w:tcPr>
          <w:p>
            <w:pPr>
              <w:pStyle w:val="TableContents"/>
              <w:spacing w:before="0" w:after="0"/>
              <w:ind w:left="0" w:right="0" w:hanging="0"/>
              <w:jc w:val="right"/>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- 2028 Term Loan Interest Rate Swap</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(1,968)</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(1,968)</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0" w:hanging="0"/>
              <w:jc w:val="right"/>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Credit Facility Interest Rate Swap</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26"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26" w:type="dxa"/>
            <w:tcBorders/>
            <w:shd w:fill="auto" w:val="clear"/>
            <w:vAlign w:val="center"/>
          </w:tcPr>
          <w:p>
            <w:pPr>
              <w:pStyle w:val="TableContents"/>
              <w:spacing w:before="0" w:after="0"/>
              <w:ind w:left="0" w:right="0" w:hanging="0"/>
              <w:rPr/>
            </w:pPr>
            <w:r>
              <w:rPr/>
              <w:t>    </w:t>
            </w:r>
          </w:p>
        </w:tc>
        <w:tc>
          <w:tcPr>
            <w:tcW w:w="5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auto" w:val="clear"/>
            <w:vAlign w:val="center"/>
          </w:tcPr>
          <w:p>
            <w:pPr>
              <w:pStyle w:val="TableContents"/>
              <w:spacing w:before="0" w:after="0"/>
              <w:ind w:left="0" w:right="0" w:hanging="0"/>
              <w:jc w:val="right"/>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39,259</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39,259</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0" w:hanging="0"/>
              <w:jc w:val="right"/>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December 31, 2022</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jc w:val="center"/>
              <w:rPr/>
            </w:pPr>
            <w:r>
              <w:rPr/>
              <w:t>​</w:t>
            </w:r>
          </w:p>
        </w:tc>
        <w:tc>
          <w:tcPr>
            <w:tcW w:w="63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center"/>
              <w:rPr/>
            </w:pPr>
            <w:r>
              <w:rPr/>
              <w:t>​</w:t>
            </w:r>
          </w:p>
        </w:tc>
        <w:tc>
          <w:tcPr>
            <w:tcW w:w="166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67" w:type="dxa"/>
            <w:tcBorders/>
            <w:shd w:fill="auto" w:val="clear"/>
            <w:vAlign w:val="center"/>
          </w:tcPr>
          <w:p>
            <w:pPr>
              <w:pStyle w:val="TableContents"/>
              <w:spacing w:before="0" w:after="0"/>
              <w:ind w:left="0" w:right="0" w:hanging="0"/>
              <w:jc w:val="center"/>
              <w:rPr/>
            </w:pPr>
            <w:r>
              <w:rPr/>
              <w:t>​</w:t>
            </w:r>
          </w:p>
        </w:tc>
        <w:tc>
          <w:tcPr>
            <w:tcW w:w="143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95" w:type="dxa"/>
            <w:tcBorders/>
            <w:shd w:fill="auto" w:val="clear"/>
            <w:vAlign w:val="center"/>
          </w:tcPr>
          <w:p>
            <w:pPr>
              <w:pStyle w:val="TableContents"/>
              <w:spacing w:before="0" w:after="0"/>
              <w:ind w:left="0" w:right="0" w:hanging="0"/>
              <w:jc w:val="center"/>
              <w:rPr/>
            </w:pPr>
            <w:r>
              <w:rPr/>
              <w:t>​</w:t>
            </w:r>
          </w:p>
        </w:tc>
        <w:tc>
          <w:tcPr>
            <w:tcW w:w="1377" w:type="dxa"/>
            <w:tcBorders/>
            <w:shd w:fill="auto" w:val="clear"/>
            <w:vAlign w:val="center"/>
          </w:tcPr>
          <w:p>
            <w:pPr>
              <w:pStyle w:val="TableContents"/>
              <w:spacing w:before="0" w:after="0"/>
              <w:ind w:left="0" w:right="0" w:hanging="0"/>
              <w:jc w:val="center"/>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- 2026 Term Loan Interest Rate Swap</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4,586</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4,586</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0" w:hanging="0"/>
              <w:jc w:val="right"/>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- 2026 Term Loan Interest Rate Swap</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1,461</w:t>
            </w:r>
          </w:p>
        </w:tc>
        <w:tc>
          <w:tcPr>
            <w:tcW w:w="326"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1,461</w:t>
            </w:r>
          </w:p>
        </w:tc>
        <w:tc>
          <w:tcPr>
            <w:tcW w:w="326" w:type="dxa"/>
            <w:tcBorders/>
            <w:shd w:fill="auto" w:val="clear"/>
            <w:vAlign w:val="center"/>
          </w:tcPr>
          <w:p>
            <w:pPr>
              <w:pStyle w:val="TableContents"/>
              <w:spacing w:before="0" w:after="0"/>
              <w:ind w:left="0" w:right="0" w:hanging="0"/>
              <w:rPr/>
            </w:pPr>
            <w:r>
              <w:rPr/>
              <w:t>    </w:t>
            </w:r>
          </w:p>
        </w:tc>
        <w:tc>
          <w:tcPr>
            <w:tcW w:w="5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auto" w:val="clear"/>
            <w:vAlign w:val="center"/>
          </w:tcPr>
          <w:p>
            <w:pPr>
              <w:pStyle w:val="TableContents"/>
              <w:spacing w:before="0" w:after="0"/>
              <w:ind w:left="0" w:right="0" w:hanging="0"/>
              <w:jc w:val="right"/>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- 2027 Term Loan Interest Rate Swap</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10,111</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10,111</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0" w:hanging="0"/>
              <w:jc w:val="right"/>
              <w:rPr/>
            </w:pPr>
            <w:r>
              <w:rPr/>
              <w:t>—</w:t>
            </w:r>
          </w:p>
        </w:tc>
      </w:tr>
      <w:tr>
        <w:trPr/>
        <w:tc>
          <w:tcPr>
            <w:tcW w:w="219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 Hedge - 2028 Term Loan Interest Rate Swap</w:t>
            </w:r>
          </w:p>
        </w:tc>
        <w:tc>
          <w:tcPr>
            <w:tcW w:w="109"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326"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6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326" w:type="dxa"/>
            <w:tcBorders/>
            <w:shd w:fill="auto" w:val="clear"/>
            <w:vAlign w:val="center"/>
          </w:tcPr>
          <w:p>
            <w:pPr>
              <w:pStyle w:val="TableContents"/>
              <w:spacing w:before="0" w:after="0"/>
              <w:ind w:left="0" w:right="0" w:hanging="0"/>
              <w:rPr/>
            </w:pPr>
            <w:r>
              <w:rPr/>
              <w:t>    </w:t>
            </w:r>
          </w:p>
        </w:tc>
        <w:tc>
          <w:tcPr>
            <w:tcW w:w="5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auto" w:val="clear"/>
            <w:vAlign w:val="center"/>
          </w:tcPr>
          <w:p>
            <w:pPr>
              <w:pStyle w:val="TableContents"/>
              <w:spacing w:before="0" w:after="0"/>
              <w:ind w:left="0" w:right="0" w:hanging="0"/>
              <w:jc w:val="right"/>
              <w:rPr/>
            </w:pPr>
            <w:r>
              <w:rPr/>
              <w:t>—</w:t>
            </w:r>
          </w:p>
        </w:tc>
      </w:tr>
      <w:tr>
        <w:trPr/>
        <w:tc>
          <w:tcPr>
            <w:tcW w:w="2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42,041</w:t>
            </w:r>
          </w:p>
        </w:tc>
        <w:tc>
          <w:tcPr>
            <w:tcW w:w="326"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66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42,041</w:t>
            </w:r>
          </w:p>
        </w:tc>
        <w:tc>
          <w:tcPr>
            <w:tcW w:w="326" w:type="dxa"/>
            <w:tcBorders/>
            <w:shd w:fill="CCEEFF" w:val="clear"/>
            <w:vAlign w:val="center"/>
          </w:tcPr>
          <w:p>
            <w:pPr>
              <w:pStyle w:val="TableContents"/>
              <w:spacing w:before="0" w:after="0"/>
              <w:ind w:left="0" w:right="0" w:hanging="0"/>
              <w:rPr/>
            </w:pPr>
            <w:r>
              <w:rPr/>
              <w:t>    </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9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377" w:type="dxa"/>
            <w:tcBorders/>
            <w:shd w:fill="CCEEFF" w:val="clear"/>
            <w:vAlign w:val="center"/>
          </w:tcPr>
          <w:p>
            <w:pPr>
              <w:pStyle w:val="TableContents"/>
              <w:spacing w:before="0" w:after="0"/>
              <w:ind w:left="0" w:right="60" w:hanging="0"/>
              <w:jc w:val="right"/>
              <w:rPr/>
            </w:pPr>
            <w:r>
              <w:rPr/>
              <w:t>—</w:t>
            </w:r>
          </w:p>
        </w:tc>
      </w:tr>
    </w:tbl>
    <w:p>
      <w:pPr>
        <w:pStyle w:val="TextBody"/>
        <w:pBdr/>
        <w:spacing w:before="0" w:after="0"/>
        <w:ind w:left="0" w:right="0" w:hanging="36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No assets were measured on a non-recurring basis as of March 31, 2023 or December 31,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006" w:name="Tc_qpLjF4E6o0OahkWnZQ4W_w_15_5"/>
      <w:bookmarkStart w:id="1007" w:name="Tc_QUx2zMOTv0KkxvBxD7OHJQ_15_2"/>
      <w:bookmarkStart w:id="1008" w:name="Tc_RNI_GpNsDEykHSXXs1B4zA_15_0"/>
      <w:bookmarkStart w:id="1009" w:name="Tc_yuq6gVd8LUWXuojtBfOiKQ_14_0"/>
      <w:bookmarkStart w:id="1010" w:name="Tc_vujCgo_oTkelyvlt25t2Jw_13_0"/>
      <w:bookmarkStart w:id="1011" w:name="Tc_Kj0KUoBXZ0iJt-7fhemk-w_12_0"/>
      <w:bookmarkStart w:id="1012" w:name="Tc_SUjwVqGfUEq4g19zUbTQFw_11_0"/>
      <w:bookmarkStart w:id="1013" w:name="Tc_no90CS9BOkOYFCfbzK3fVw_10_0"/>
      <w:bookmarkStart w:id="1014" w:name="Tc_b-VlX7y2mEGk0HMveMI7vA_9_0"/>
      <w:bookmarkStart w:id="1015" w:name="Tc_FlMa3NtpgEGDqylUrKd-Zw_8_0"/>
      <w:bookmarkStart w:id="1016" w:name="Tc_aqISXyL3kUORgNBfflSq8A_7_0"/>
      <w:bookmarkStart w:id="1017" w:name="Tc_u6pNIyeAXUKsB93aeOfjDw_6_0"/>
      <w:bookmarkStart w:id="1018" w:name="Tc_QOhEL7xf8U2fHg-BStYtzw_5_0"/>
      <w:bookmarkStart w:id="1019" w:name="Tc_VZAiUjFYq0yWUOQJoQKZYQ_4_5"/>
      <w:bookmarkStart w:id="1020" w:name="Tc_8MC106y-UkyXMzIwWuJjcA_4_2"/>
      <w:bookmarkStart w:id="1021" w:name="Tc_JTebdgbZAkGxcfZOmkUGdA_4_0"/>
      <w:bookmarkStart w:id="1022" w:name="Tc_GU9QfPGxEUC1kIlB2khKDg_3_0"/>
      <w:bookmarkStart w:id="1023" w:name="Tc_n8cknj4870muEVDqYbGm9g_2_5"/>
      <w:bookmarkStart w:id="1024" w:name="Tc_Dg-Yx2wQRUiXOlsbi2UE4A_2_2"/>
      <w:bookmarkStart w:id="1025" w:name="Tc_cZhfWTRUcUujGRGjBhLzkw_1_2"/>
      <w:bookmarkStart w:id="1026" w:name="_d38edbda_4893_4108_87e8_e46191dd7ca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b/>
          <w:sz w:val="20"/>
        </w:rPr>
        <w:t>NOTE 9. INTANGIBLE ASSETS AND LIABILITIES</w:t>
      </w:r>
    </w:p>
    <w:p>
      <w:pPr>
        <w:pStyle w:val="TextBody"/>
        <w:spacing w:before="0" w:after="0"/>
        <w:ind w:left="0" w:right="0" w:hanging="0"/>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March 31, 2023 and December 31, 2022 (in thousands):</w:t>
      </w:r>
    </w:p>
    <w:tbl>
      <w:tblPr>
        <w:tblW w:w="8921" w:type="dxa"/>
        <w:jc w:val="left"/>
        <w:tblInd w:w="0" w:type="dxa"/>
        <w:tblCellMar>
          <w:top w:w="0" w:type="dxa"/>
          <w:left w:w="0" w:type="dxa"/>
          <w:bottom w:w="0" w:type="dxa"/>
          <w:right w:w="0" w:type="dxa"/>
        </w:tblCellMar>
      </w:tblPr>
      <w:tblGrid>
        <w:gridCol w:w="5956"/>
        <w:gridCol w:w="326"/>
        <w:gridCol w:w="211"/>
        <w:gridCol w:w="796"/>
        <w:gridCol w:w="326"/>
        <w:gridCol w:w="248"/>
        <w:gridCol w:w="1058"/>
      </w:tblGrid>
      <w:tr>
        <w:trPr/>
        <w:tc>
          <w:tcPr>
            <w:tcW w:w="5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w:t>
            </w:r>
          </w:p>
        </w:tc>
        <w:tc>
          <w:tcPr>
            <w:tcW w:w="1058" w:type="dxa"/>
            <w:tcBorders/>
            <w:shd w:fill="auto" w:val="clear"/>
            <w:vAlign w:val="center"/>
          </w:tcPr>
          <w:p>
            <w:pPr>
              <w:pStyle w:val="TableContents"/>
              <w:spacing w:before="0" w:after="0"/>
              <w:ind w:left="0" w:right="0" w:hanging="0"/>
              <w:rPr/>
            </w:pPr>
            <w:r>
              <w:rPr/>
              <w:t>​</w:t>
            </w:r>
          </w:p>
        </w:tc>
      </w:tr>
      <w:tr>
        <w:trPr/>
        <w:tc>
          <w:tcPr>
            <w:tcW w:w="59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9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Lease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w:t>
            </w:r>
          </w:p>
        </w:tc>
        <w:tc>
          <w:tcPr>
            <w:tcW w:w="1058" w:type="dxa"/>
            <w:tcBorders/>
            <w:shd w:fill="CCEEFF" w:val="clear"/>
            <w:vAlign w:val="center"/>
          </w:tcPr>
          <w:p>
            <w:pPr>
              <w:pStyle w:val="TableContents"/>
              <w:spacing w:before="0" w:after="0"/>
              <w:ind w:left="0" w:right="0" w:hanging="0"/>
              <w:jc w:val="right"/>
              <w:rPr/>
            </w:pPr>
            <w:r>
              <w:rPr/>
              <w:t>​</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Value of In-Place Leases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90,413</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90,335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Value of Above Market In-Place 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31,735</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w:t>
            </w:r>
          </w:p>
        </w:tc>
        <w:tc>
          <w:tcPr>
            <w:tcW w:w="10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32,008</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Value of Intangible Leasing Costs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25,499</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25,531</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 Intangible Lease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147,647</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w:t>
            </w:r>
          </w:p>
        </w:tc>
        <w:tc>
          <w:tcPr>
            <w:tcW w:w="10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147,874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(37,324)</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(31,890)</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 Intangible Lease Assets—Net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110,323</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115,984</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Lease Liabilities (Included in Accrued and Other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w:t>
            </w:r>
          </w:p>
        </w:tc>
        <w:tc>
          <w:tcPr>
            <w:tcW w:w="1058" w:type="dxa"/>
            <w:tcBorders/>
            <w:shd w:fill="auto" w:val="clear"/>
            <w:vAlign w:val="center"/>
          </w:tcPr>
          <w:p>
            <w:pPr>
              <w:pStyle w:val="TableContents"/>
              <w:spacing w:before="0" w:after="0"/>
              <w:ind w:left="0" w:right="0" w:hanging="0"/>
              <w:jc w:val="right"/>
              <w:rPr/>
            </w:pPr>
            <w:r>
              <w:rPr/>
              <w:t>​</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Value of Below Market In-Place Leases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(12,316)</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 Intangible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(12,316)</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w:t>
            </w:r>
          </w:p>
        </w:tc>
        <w:tc>
          <w:tcPr>
            <w:tcW w:w="10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5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 Intangible Lease Liabilities—Net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(9,346)</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5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Intangible Assets and Liabilities—Net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100,977</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106,099</w:t>
            </w:r>
          </w:p>
        </w:tc>
      </w:tr>
    </w:tbl>
    <w:p>
      <w:pPr>
        <w:pStyle w:val="TextBody"/>
        <w:shd w:fill="FFFFFF" w:val="clear"/>
        <w:spacing w:before="0" w:after="0"/>
        <w:ind w:left="0" w:right="0" w:firstLine="49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bookmarkStart w:id="1027" w:name="Tc_wRmo5ZTrMEur87XhtoPAuA_9_8"/>
      <w:bookmarkStart w:id="1028" w:name="Tc_9BSJWL8m2UaAtphscnQdFQ_9_5"/>
      <w:bookmarkStart w:id="1029" w:name="Tc_pJBYZHd3zUmQ1xw56PcvdA_9_2"/>
      <w:bookmarkStart w:id="1030" w:name="Tc_XXXOKyotMEi9mkjeb3SgfQ_9_0"/>
      <w:bookmarkStart w:id="1031" w:name="Tc_zq90UhOSZki2toLGeOQiBw_8_0"/>
      <w:bookmarkStart w:id="1032" w:name="Tc_QrinzHlPIkKMfVPZ2hzsyg_7_0"/>
      <w:bookmarkStart w:id="1033" w:name="Tc_GEFPFmLtFU2LjPDrgTjQxw_6_0"/>
      <w:bookmarkStart w:id="1034" w:name="Tc_U6my0vXUvEmnwN7z-He3qQ_5_0"/>
      <w:bookmarkStart w:id="1035" w:name="Tc_fHiVw5E-FUWhO80Ya3ry5g_4_0"/>
      <w:bookmarkStart w:id="1036" w:name="Tc_7qDYnW5XK06uB8lOl9pecw_3_0"/>
      <w:bookmarkStart w:id="1037" w:name="Tc_vGUbrvBxgUK6FoVv4n2Yrg_2_8"/>
      <w:bookmarkStart w:id="1038" w:name="Tc__2a9jRr4aEGeRBxcza2N_w_2_5"/>
      <w:bookmarkStart w:id="1039" w:name="Tc_vVx2LGkPCkeHUKGQTBRcKw_2_2"/>
      <w:bookmarkStart w:id="1040" w:name="Tc_1-hf3RhjDk6g4e240uxunQ_2_0"/>
      <w:bookmarkStart w:id="1041" w:name="Tc_dLmgiNqij06jxHx_Qe1-_w_1_8"/>
      <w:bookmarkStart w:id="1042" w:name="Tc_rogCTAdoT0OQgHnBUkV44g_1_5"/>
      <w:bookmarkStart w:id="1043" w:name="Tc_vBVxuRyXOky4vWxhK3Pllw_1_2"/>
      <w:bookmarkStart w:id="1044" w:name="Tc_Z_63BoeJ1Uqp1J-b6BhrwA_1_0"/>
      <w:bookmarkStart w:id="1045" w:name="_ff51a9dd_4df9_4686_8bd5_d55d34db9a22"/>
      <w:bookmarkStart w:id="1046" w:name="Tc_zM0s5lwrcEy6FeXSQKZcZg_5_5"/>
      <w:bookmarkStart w:id="1047" w:name="Tc_oUYqgI1VhEa0zoS_YRUCsA_5_2"/>
      <w:bookmarkStart w:id="1048" w:name="Tc_JKvl_s6A5EapXcOUz1lFXg_5_0"/>
      <w:bookmarkStart w:id="1049" w:name="Tc_Rdxs-Rc9bk-nrE2p0jGMOA_4_0"/>
      <w:bookmarkStart w:id="1050" w:name="Tc_3QPgFEsdFUuFxn0tODTfTg_3_5"/>
      <w:bookmarkStart w:id="1051" w:name="Tc_7TH723BnSEeXYOBO6T5-gg_3_2"/>
      <w:bookmarkStart w:id="1052" w:name="Tc_k83RzjRg1k-QvFYyueBnFw_3_0"/>
      <w:bookmarkStart w:id="1053" w:name="Tc_jtXJGlqF5kKyM6jadZpYVg_2_5"/>
      <w:bookmarkStart w:id="1054" w:name="Tc_GMsgOWlYo0aX1_Y-2ugaLQ_2_2"/>
      <w:bookmarkStart w:id="1055" w:name="Tc_WQPEoyYFWkG8U60_KG-bIA_1_2"/>
      <w:bookmarkStart w:id="1056" w:name="_d1b39755_7ac9_4766_9ff3_a2fcab4802d2"/>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Fonts w:ascii="Times New Roman;Times;serif" w:hAnsi="Times New Roman;Times;serif"/>
          <w:sz w:val="20"/>
        </w:rPr>
        <w:t>The following table reflects the net amortization of intangible assets and liabilities during the three months ended March 31, 2023 and 2022 (in thousands):</w:t>
      </w:r>
    </w:p>
    <w:p>
      <w:pPr>
        <w:pStyle w:val="TextBody"/>
        <w:spacing w:before="0" w:after="0"/>
        <w:ind w:left="0" w:right="0" w:firstLine="490"/>
        <w:jc w:val="both"/>
        <w:rPr/>
      </w:pPr>
      <w:r>
        <w:rPr/>
        <w:t>​</w:t>
      </w:r>
    </w:p>
    <w:tbl>
      <w:tblPr>
        <w:tblW w:w="6633" w:type="dxa"/>
        <w:jc w:val="left"/>
        <w:tblInd w:w="0" w:type="dxa"/>
        <w:tblCellMar>
          <w:top w:w="0" w:type="dxa"/>
          <w:left w:w="0" w:type="dxa"/>
          <w:bottom w:w="0" w:type="dxa"/>
          <w:right w:w="0" w:type="dxa"/>
        </w:tblCellMar>
      </w:tblPr>
      <w:tblGrid>
        <w:gridCol w:w="4411"/>
        <w:gridCol w:w="109"/>
        <w:gridCol w:w="263"/>
        <w:gridCol w:w="713"/>
        <w:gridCol w:w="116"/>
        <w:gridCol w:w="239"/>
        <w:gridCol w:w="782"/>
      </w:tblGrid>
      <w:tr>
        <w:trPr/>
        <w:tc>
          <w:tcPr>
            <w:tcW w:w="44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7005" cy="175260"/>
                      <wp:effectExtent l="0" t="0" r="0" b="0"/>
                      <wp:wrapNone/>
                      <wp:docPr id="126" name="Frame126"/>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52755" cy="175260"/>
                      <wp:effectExtent l="0" t="0" r="0" b="0"/>
                      <wp:wrapNone/>
                      <wp:docPr id="127" name="Frame127"/>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3660" cy="175260"/>
                      <wp:effectExtent l="0" t="0" r="0" b="0"/>
                      <wp:wrapNone/>
                      <wp:docPr id="128" name="Frame128"/>
                      <a:graphic xmlns:a="http://schemas.openxmlformats.org/drawingml/2006/main">
                        <a:graphicData uri="http://schemas.microsoft.com/office/word/2010/wordprocessingShape">
                          <wps:wsp>
                            <wps:cNvSpPr txBox="1"/>
                            <wps:spPr>
                              <a:xfrm>
                                <a:off x="0" y="0"/>
                                <a:ext cx="7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1765" cy="175260"/>
                      <wp:effectExtent l="0" t="0" r="0" b="0"/>
                      <wp:wrapNone/>
                      <wp:docPr id="129" name="Frame129"/>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6570" cy="175260"/>
                      <wp:effectExtent l="0" t="0" r="0" b="0"/>
                      <wp:wrapNone/>
                      <wp:docPr id="130" name="Frame130"/>
                      <a:graphic xmlns:a="http://schemas.openxmlformats.org/drawingml/2006/main">
                        <a:graphicData uri="http://schemas.microsoft.com/office/word/2010/wordprocessingShape">
                          <wps:wsp>
                            <wps:cNvSpPr txBox="1"/>
                            <wps:spPr>
                              <a:xfrm>
                                <a:off x="0" y="0"/>
                                <a:ext cx="496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4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116" w:type="dxa"/>
            <w:tcBorders/>
            <w:shd w:fill="auto" w:val="clear"/>
            <w:vAlign w:val="center"/>
          </w:tcPr>
          <w:p>
            <w:pPr>
              <w:pStyle w:val="TableContents"/>
              <w:spacing w:before="0" w:after="0"/>
              <w:ind w:left="0" w:right="0" w:hanging="0"/>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2022</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4,391</w:t>
            </w:r>
          </w:p>
        </w:tc>
        <w:tc>
          <w:tcPr>
            <w:tcW w:w="11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11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5,070</w:t>
            </w:r>
          </w:p>
        </w:tc>
        <w:tc>
          <w:tcPr>
            <w:tcW w:w="11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3,176</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spacing w:before="100" w:after="100"/>
        <w:ind w:left="0" w:right="0" w:firstLine="490"/>
        <w:jc w:val="both"/>
        <w:rPr/>
      </w:pPr>
      <w:r>
        <w:rPr/>
        <w:t>​</w:t>
      </w:r>
    </w:p>
    <w:tbl>
      <w:tblPr>
        <w:tblW w:w="10205" w:type="dxa"/>
        <w:jc w:val="left"/>
        <w:tblInd w:w="0" w:type="dxa"/>
        <w:tblCellMar>
          <w:top w:w="0" w:type="dxa"/>
          <w:left w:w="0" w:type="dxa"/>
          <w:bottom w:w="0" w:type="dxa"/>
          <w:right w:w="0" w:type="dxa"/>
        </w:tblCellMar>
      </w:tblPr>
      <w:tblGrid>
        <w:gridCol w:w="2374"/>
        <w:gridCol w:w="326"/>
        <w:gridCol w:w="423"/>
        <w:gridCol w:w="1357"/>
        <w:gridCol w:w="326"/>
        <w:gridCol w:w="513"/>
        <w:gridCol w:w="1650"/>
        <w:gridCol w:w="326"/>
        <w:gridCol w:w="551"/>
        <w:gridCol w:w="2359"/>
      </w:tblGrid>
      <w:tr>
        <w:trPr/>
        <w:tc>
          <w:tcPr>
            <w:tcW w:w="2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135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3" w:type="dxa"/>
            <w:tcBorders/>
            <w:shd w:fill="auto" w:val="clear"/>
            <w:vAlign w:val="center"/>
          </w:tcPr>
          <w:p>
            <w:pPr>
              <w:pStyle w:val="TableContents"/>
              <w:spacing w:before="0" w:after="0"/>
              <w:ind w:left="0" w:right="0" w:hanging="0"/>
              <w:rPr/>
            </w:pPr>
            <w:r>
              <w:rPr/>
              <w:t>​</w:t>
            </w:r>
          </w:p>
        </w:tc>
        <w:tc>
          <w:tcPr>
            <w:tcW w:w="16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2359" w:type="dxa"/>
            <w:tcBorders/>
            <w:shd w:fill="auto" w:val="clear"/>
            <w:vAlign w:val="center"/>
          </w:tcPr>
          <w:p>
            <w:pPr>
              <w:pStyle w:val="TableContents"/>
              <w:spacing w:before="0" w:after="0"/>
              <w:ind w:left="0" w:right="0" w:hanging="0"/>
              <w:rPr/>
            </w:pPr>
            <w:r>
              <w:rPr/>
              <w:t>​</w:t>
            </w:r>
          </w:p>
        </w:tc>
      </w:tr>
      <w:tr>
        <w:trPr/>
        <w:tc>
          <w:tcPr>
            <w:tcW w:w="237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shd w:fill="auto" w:val="clear"/>
            <w:vAlign w:val="center"/>
          </w:tcPr>
          <w:p>
            <w:pPr>
              <w:pStyle w:val="TableContents"/>
              <w:spacing w:before="0" w:after="0"/>
              <w:ind w:left="0" w:right="0" w:hanging="0"/>
              <w:rPr/>
            </w:pPr>
            <w:r>
              <w:rPr/>
              <w:t>    </w:t>
            </w:r>
          </w:p>
        </w:tc>
        <w:tc>
          <w:tcPr>
            <w:tcW w:w="17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Amount</w:t>
            </w:r>
          </w:p>
        </w:tc>
        <w:tc>
          <w:tcPr>
            <w:tcW w:w="326" w:type="dxa"/>
            <w:tcBorders/>
            <w:shd w:fill="auto" w:val="clear"/>
            <w:vAlign w:val="center"/>
          </w:tcPr>
          <w:p>
            <w:pPr>
              <w:pStyle w:val="TableContents"/>
              <w:spacing w:before="0" w:after="0"/>
              <w:ind w:left="0" w:right="0" w:hanging="0"/>
              <w:rPr/>
            </w:pPr>
            <w:r>
              <w:rPr/>
              <w:t>    </w:t>
            </w:r>
          </w:p>
        </w:tc>
        <w:tc>
          <w:tcPr>
            <w:tcW w:w="21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26" w:type="dxa"/>
            <w:tcBorders/>
            <w:shd w:fill="auto" w:val="clear"/>
            <w:vAlign w:val="center"/>
          </w:tcPr>
          <w:p>
            <w:pPr>
              <w:pStyle w:val="TableContents"/>
              <w:spacing w:before="0" w:after="0"/>
              <w:ind w:left="0" w:right="0" w:hanging="0"/>
              <w:rPr/>
            </w:pPr>
            <w:r>
              <w:rPr/>
              <w:t>    </w:t>
            </w:r>
          </w:p>
        </w:tc>
        <w:tc>
          <w:tcPr>
            <w:tcW w:w="29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13,134</w:t>
            </w:r>
          </w:p>
        </w:tc>
        <w:tc>
          <w:tcPr>
            <w:tcW w:w="326" w:type="dxa"/>
            <w:tcBorders/>
            <w:shd w:fill="CCEEFF" w:val="clear"/>
            <w:vAlign w:val="center"/>
          </w:tcPr>
          <w:p>
            <w:pPr>
              <w:pStyle w:val="TableContents"/>
              <w:spacing w:before="0" w:after="0"/>
              <w:ind w:left="0" w:right="0" w:hanging="0"/>
              <w:rPr/>
            </w:pPr>
            <w:r>
              <w:rPr/>
              <w:t>​</w:t>
            </w:r>
          </w:p>
        </w:tc>
        <w:tc>
          <w:tcPr>
            <w:tcW w:w="5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26"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15,171</w:t>
            </w:r>
          </w:p>
        </w:tc>
      </w:tr>
      <w:tr>
        <w:trPr/>
        <w:tc>
          <w:tcPr>
            <w:tcW w:w="2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13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17,512</w:t>
            </w:r>
          </w:p>
        </w:tc>
        <w:tc>
          <w:tcPr>
            <w:tcW w:w="326" w:type="dxa"/>
            <w:tcBorders/>
            <w:shd w:fill="auto" w:val="clear"/>
            <w:vAlign w:val="center"/>
          </w:tcPr>
          <w:p>
            <w:pPr>
              <w:pStyle w:val="TableContents"/>
              <w:spacing w:before="0" w:after="0"/>
              <w:ind w:left="0" w:right="0" w:hanging="0"/>
              <w:rPr/>
            </w:pPr>
            <w:r>
              <w:rPr/>
              <w:t>​</w:t>
            </w:r>
          </w:p>
        </w:tc>
        <w:tc>
          <w:tcPr>
            <w:tcW w:w="513" w:type="dxa"/>
            <w:tcBorders/>
            <w:shd w:fill="auto" w:val="clear"/>
            <w:vAlign w:val="center"/>
          </w:tcPr>
          <w:p>
            <w:pPr>
              <w:pStyle w:val="TableContents"/>
              <w:spacing w:before="0" w:after="0"/>
              <w:ind w:left="0" w:right="0" w:hanging="0"/>
              <w:rPr/>
            </w:pPr>
            <w:r>
              <w:rPr/>
              <w:t>​</w:t>
            </w:r>
          </w:p>
        </w:tc>
        <w:tc>
          <w:tcPr>
            <w:tcW w:w="16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326"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23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20,313</w:t>
            </w:r>
          </w:p>
        </w:tc>
      </w:tr>
      <w:tr>
        <w:trPr/>
        <w:tc>
          <w:tcPr>
            <w:tcW w:w="2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pPr>
            <w:r>
              <w:rPr/>
              <w:t>​</w:t>
            </w:r>
          </w:p>
        </w:tc>
        <w:tc>
          <w:tcPr>
            <w:tcW w:w="13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15,252</w:t>
            </w:r>
          </w:p>
        </w:tc>
        <w:tc>
          <w:tcPr>
            <w:tcW w:w="326" w:type="dxa"/>
            <w:tcBorders/>
            <w:shd w:fill="CCEEFF" w:val="clear"/>
            <w:vAlign w:val="center"/>
          </w:tcPr>
          <w:p>
            <w:pPr>
              <w:pStyle w:val="TableContents"/>
              <w:spacing w:before="0" w:after="0"/>
              <w:ind w:left="0" w:right="0" w:hanging="0"/>
              <w:rPr/>
            </w:pPr>
            <w:r>
              <w:rPr/>
              <w:t>​</w:t>
            </w:r>
          </w:p>
        </w:tc>
        <w:tc>
          <w:tcPr>
            <w:tcW w:w="513" w:type="dxa"/>
            <w:tcBorders/>
            <w:shd w:fill="CCEEFF" w:val="clear"/>
            <w:vAlign w:val="center"/>
          </w:tcPr>
          <w:p>
            <w:pPr>
              <w:pStyle w:val="TableContents"/>
              <w:spacing w:before="0" w:after="0"/>
              <w:ind w:left="0" w:right="0" w:hanging="0"/>
              <w:rPr/>
            </w:pPr>
            <w:r>
              <w:rPr/>
              <w:t>​</w:t>
            </w:r>
          </w:p>
        </w:tc>
        <w:tc>
          <w:tcPr>
            <w:tcW w:w="16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2,752</w:t>
            </w:r>
          </w:p>
        </w:tc>
        <w:tc>
          <w:tcPr>
            <w:tcW w:w="326"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pPr>
            <w:r>
              <w:rPr/>
              <w:t>​</w:t>
            </w:r>
          </w:p>
        </w:tc>
        <w:tc>
          <w:tcPr>
            <w:tcW w:w="23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18,004</w:t>
            </w:r>
          </w:p>
        </w:tc>
      </w:tr>
      <w:tr>
        <w:trPr/>
        <w:tc>
          <w:tcPr>
            <w:tcW w:w="2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13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13,471</w:t>
            </w:r>
          </w:p>
        </w:tc>
        <w:tc>
          <w:tcPr>
            <w:tcW w:w="326" w:type="dxa"/>
            <w:tcBorders/>
            <w:shd w:fill="auto" w:val="clear"/>
            <w:vAlign w:val="center"/>
          </w:tcPr>
          <w:p>
            <w:pPr>
              <w:pStyle w:val="TableContents"/>
              <w:spacing w:before="0" w:after="0"/>
              <w:ind w:left="0" w:right="0" w:hanging="0"/>
              <w:rPr/>
            </w:pPr>
            <w:r>
              <w:rPr/>
              <w:t>​</w:t>
            </w:r>
          </w:p>
        </w:tc>
        <w:tc>
          <w:tcPr>
            <w:tcW w:w="513" w:type="dxa"/>
            <w:tcBorders/>
            <w:shd w:fill="auto" w:val="clear"/>
            <w:vAlign w:val="center"/>
          </w:tcPr>
          <w:p>
            <w:pPr>
              <w:pStyle w:val="TableContents"/>
              <w:spacing w:before="0" w:after="0"/>
              <w:ind w:left="0" w:right="0" w:hanging="0"/>
              <w:rPr/>
            </w:pPr>
            <w:r>
              <w:rPr/>
              <w:t>​</w:t>
            </w:r>
          </w:p>
        </w:tc>
        <w:tc>
          <w:tcPr>
            <w:tcW w:w="16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2,821</w:t>
            </w:r>
          </w:p>
        </w:tc>
        <w:tc>
          <w:tcPr>
            <w:tcW w:w="326"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23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16,292</w:t>
            </w:r>
          </w:p>
        </w:tc>
      </w:tr>
      <w:tr>
        <w:trPr/>
        <w:tc>
          <w:tcPr>
            <w:tcW w:w="2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pPr>
            <w:r>
              <w:rPr/>
              <w:t>​</w:t>
            </w:r>
          </w:p>
        </w:tc>
        <w:tc>
          <w:tcPr>
            <w:tcW w:w="13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11,214</w:t>
            </w:r>
          </w:p>
        </w:tc>
        <w:tc>
          <w:tcPr>
            <w:tcW w:w="326" w:type="dxa"/>
            <w:tcBorders/>
            <w:shd w:fill="CCEEFF" w:val="clear"/>
            <w:vAlign w:val="center"/>
          </w:tcPr>
          <w:p>
            <w:pPr>
              <w:pStyle w:val="TableContents"/>
              <w:spacing w:before="0" w:after="0"/>
              <w:ind w:left="0" w:right="0" w:hanging="0"/>
              <w:rPr/>
            </w:pPr>
            <w:r>
              <w:rPr/>
              <w:t>​</w:t>
            </w:r>
          </w:p>
        </w:tc>
        <w:tc>
          <w:tcPr>
            <w:tcW w:w="513" w:type="dxa"/>
            <w:tcBorders/>
            <w:shd w:fill="CCEEFF" w:val="clear"/>
            <w:vAlign w:val="center"/>
          </w:tcPr>
          <w:p>
            <w:pPr>
              <w:pStyle w:val="TableContents"/>
              <w:spacing w:before="0" w:after="0"/>
              <w:ind w:left="0" w:right="0" w:hanging="0"/>
              <w:rPr/>
            </w:pPr>
            <w:r>
              <w:rPr/>
              <w:t>​</w:t>
            </w:r>
          </w:p>
        </w:tc>
        <w:tc>
          <w:tcPr>
            <w:tcW w:w="16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shd w:fill="CCEEFF" w:val="clear"/>
            <w:vAlign w:val="center"/>
          </w:tcPr>
          <w:p>
            <w:pPr>
              <w:pStyle w:val="TableContents"/>
              <w:spacing w:before="0" w:after="0"/>
              <w:ind w:left="0" w:right="0" w:hanging="0"/>
              <w:rPr/>
            </w:pPr>
            <w:r>
              <w:rPr/>
              <w:t>​</w:t>
            </w:r>
          </w:p>
        </w:tc>
        <w:tc>
          <w:tcPr>
            <w:tcW w:w="551" w:type="dxa"/>
            <w:tcBorders/>
            <w:shd w:fill="CCEEFF" w:val="clear"/>
            <w:vAlign w:val="center"/>
          </w:tcPr>
          <w:p>
            <w:pPr>
              <w:pStyle w:val="TableContents"/>
              <w:spacing w:before="0" w:after="0"/>
              <w:ind w:left="0" w:right="0" w:hanging="0"/>
              <w:rPr/>
            </w:pPr>
            <w:r>
              <w:rPr/>
              <w:t>​</w:t>
            </w:r>
          </w:p>
        </w:tc>
        <w:tc>
          <w:tcPr>
            <w:tcW w:w="23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12,958</w:t>
            </w:r>
          </w:p>
        </w:tc>
      </w:tr>
      <w:tr>
        <w:trPr/>
        <w:tc>
          <w:tcPr>
            <w:tcW w:w="2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13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326" w:type="dxa"/>
            <w:tcBorders/>
            <w:shd w:fill="auto" w:val="clear"/>
            <w:vAlign w:val="center"/>
          </w:tcPr>
          <w:p>
            <w:pPr>
              <w:pStyle w:val="TableContents"/>
              <w:spacing w:before="0" w:after="0"/>
              <w:ind w:left="0" w:right="0" w:hanging="0"/>
              <w:rPr/>
            </w:pPr>
            <w:r>
              <w:rPr/>
              <w:t>​</w:t>
            </w:r>
          </w:p>
        </w:tc>
        <w:tc>
          <w:tcPr>
            <w:tcW w:w="513" w:type="dxa"/>
            <w:tcBorders/>
            <w:shd w:fill="auto" w:val="clear"/>
            <w:vAlign w:val="center"/>
          </w:tcPr>
          <w:p>
            <w:pPr>
              <w:pStyle w:val="TableContents"/>
              <w:spacing w:before="0" w:after="0"/>
              <w:ind w:left="0" w:right="0" w:hanging="0"/>
              <w:rPr/>
            </w:pPr>
            <w:r>
              <w:rPr/>
              <w:t>​</w:t>
            </w:r>
          </w:p>
        </w:tc>
        <w:tc>
          <w:tcPr>
            <w:tcW w:w="16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shd w:fill="auto" w:val="clear"/>
            <w:vAlign w:val="center"/>
          </w:tcPr>
          <w:p>
            <w:pPr>
              <w:pStyle w:val="TableContents"/>
              <w:spacing w:before="0" w:after="0"/>
              <w:ind w:left="0" w:right="0" w:hanging="0"/>
              <w:rPr/>
            </w:pPr>
            <w:r>
              <w:rPr/>
              <w:t>​</w:t>
            </w:r>
          </w:p>
        </w:tc>
        <w:tc>
          <w:tcPr>
            <w:tcW w:w="551" w:type="dxa"/>
            <w:tcBorders/>
            <w:shd w:fill="auto" w:val="clear"/>
            <w:vAlign w:val="center"/>
          </w:tcPr>
          <w:p>
            <w:pPr>
              <w:pStyle w:val="TableContents"/>
              <w:spacing w:before="0" w:after="0"/>
              <w:ind w:left="0" w:right="0" w:hanging="0"/>
              <w:rPr/>
            </w:pPr>
            <w:r>
              <w:rPr/>
              <w:t>​</w:t>
            </w:r>
          </w:p>
        </w:tc>
        <w:tc>
          <w:tcPr>
            <w:tcW w:w="23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8,570</w:t>
            </w:r>
          </w:p>
        </w:tc>
      </w:tr>
      <w:tr>
        <w:trPr/>
        <w:tc>
          <w:tcPr>
            <w:tcW w:w="2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spacing w:before="0" w:after="0"/>
              <w:ind w:left="0" w:right="0" w:hanging="0"/>
              <w:rPr/>
            </w:pPr>
            <w:r>
              <w:rPr/>
              <w:t>​</w:t>
            </w:r>
          </w:p>
        </w:tc>
        <w:tc>
          <w:tcPr>
            <w:tcW w:w="4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8,209</w:t>
            </w:r>
          </w:p>
        </w:tc>
        <w:tc>
          <w:tcPr>
            <w:tcW w:w="326" w:type="dxa"/>
            <w:tcBorders/>
            <w:shd w:fill="CCEEFF" w:val="clear"/>
            <w:vAlign w:val="center"/>
          </w:tcPr>
          <w:p>
            <w:pPr>
              <w:pStyle w:val="TableContents"/>
              <w:spacing w:before="0" w:after="0"/>
              <w:ind w:left="0" w:right="0" w:hanging="0"/>
              <w:rPr/>
            </w:pPr>
            <w:r>
              <w:rPr/>
              <w:t>​</w:t>
            </w:r>
          </w:p>
        </w:tc>
        <w:tc>
          <w:tcPr>
            <w:tcW w:w="5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326" w:type="dxa"/>
            <w:tcBorders/>
            <w:shd w:fill="CCEEFF" w:val="cle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9,669</w:t>
            </w:r>
          </w:p>
        </w:tc>
      </w:tr>
      <w:tr>
        <w:trPr/>
        <w:tc>
          <w:tcPr>
            <w:tcW w:w="2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4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86,123</w:t>
            </w:r>
          </w:p>
        </w:tc>
        <w:tc>
          <w:tcPr>
            <w:tcW w:w="326" w:type="dxa"/>
            <w:tcBorders/>
            <w:shd w:fill="auto" w:val="clear"/>
            <w:vAlign w:val="center"/>
          </w:tcPr>
          <w:p>
            <w:pPr>
              <w:pStyle w:val="TableContents"/>
              <w:spacing w:before="0" w:after="0"/>
              <w:ind w:left="0" w:right="0" w:hanging="0"/>
              <w:rPr/>
            </w:pPr>
            <w:r>
              <w:rPr/>
              <w:t>​</w:t>
            </w:r>
          </w:p>
        </w:tc>
        <w:tc>
          <w:tcPr>
            <w:tcW w:w="5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5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14,854</w:t>
            </w:r>
          </w:p>
        </w:tc>
        <w:tc>
          <w:tcPr>
            <w:tcW w:w="326" w:type="dxa"/>
            <w:tcBorders/>
            <w:shd w:fill="auto" w:val="clear"/>
            <w:vAlign w:val="center"/>
          </w:tcPr>
          <w:p>
            <w:pPr>
              <w:pStyle w:val="TableContents"/>
              <w:spacing w:before="0" w:after="0"/>
              <w:ind w:left="0" w:right="0" w:hanging="0"/>
              <w:rPr/>
            </w:pPr>
            <w:r>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9"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100,977</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2023, the weighted average amortization period of total intangible assets and liabilities was 6.1 years and 7.8 years, respectively.</w:t>
      </w:r>
    </w:p>
    <w:p>
      <w:pPr>
        <w:pStyle w:val="TextBody"/>
        <w:spacing w:before="0" w:after="0"/>
        <w:ind w:left="0" w:right="0" w:hanging="0"/>
        <w:rPr/>
      </w:pPr>
      <w:r>
        <w:rPr/>
        <w:t>​</w:t>
      </w:r>
    </w:p>
    <w:p>
      <w:pPr>
        <w:pStyle w:val="TextBody"/>
        <w:spacing w:before="0" w:after="0"/>
        <w:ind w:left="0" w:right="0" w:hanging="0"/>
        <w:rPr/>
      </w:pPr>
      <w:r>
        <w:rPr/>
        <w:t>​</w:t>
      </w:r>
    </w:p>
    <w:p>
      <w:pPr>
        <w:pStyle w:val="TextBody"/>
        <w:spacing w:lineRule="auto" w:line="268" w:before="0" w:after="0"/>
        <w:ind w:left="0" w:right="0" w:hanging="0"/>
        <w:jc w:val="both"/>
        <w:rPr>
          <w:rFonts w:ascii="Times New Roman;Times;serif" w:hAnsi="Times New Roman;Times;serif"/>
          <w:b/>
          <w:sz w:val="20"/>
        </w:rPr>
      </w:pPr>
      <w:r>
        <w:rPr>
          <w:rFonts w:ascii="Times New Roman;Times;serif" w:hAnsi="Times New Roman;Times;serif"/>
          <w:b/>
          <w:sz w:val="20"/>
        </w:rPr>
        <w:t>NOTE 10. PROVISION FOR IMPAIRMENT</w:t>
      </w:r>
    </w:p>
    <w:p>
      <w:pPr>
        <w:pStyle w:val="TextBody"/>
        <w:spacing w:before="0" w:after="0"/>
        <w:ind w:left="0" w:right="0" w:hanging="0"/>
        <w:jc w:val="both"/>
        <w:rPr/>
      </w:pPr>
      <w:r>
        <w:rPr/>
        <w:t>​</w:t>
      </w:r>
    </w:p>
    <w:p>
      <w:pPr>
        <w:pStyle w:val="TextBody"/>
        <w:shd w:fill="FFFFFF" w:val="clear"/>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three months ended March 31, 2023 or 2022.</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The Company evaluates the collectability of its commercial loans and investments on a quarterly basis or whenever events or circumstance indicate that the carrying amount of an asset may not be recoverable. The Company accounts for provisions for credit losses in accordance with ASC Topic 326, Measurement of Credit Losses on Financial Instruments.</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March 31, 2023, the Company recorded a $0.5 million impairment charge representing the provision for credit losses related to our commercial loans and investments. There were no such impairment charges during the three months ended March 31,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057" w:name="Tc_4rDka8u9KUWzgOmeIS3W7g_12_5"/>
      <w:bookmarkStart w:id="1058" w:name="Tc_p4BlkkZpCkywpFaLUG_iFA_12_2"/>
      <w:bookmarkStart w:id="1059" w:name="Tc_gACQgskAOEyqWahJeRRXpQ_12_0"/>
      <w:bookmarkStart w:id="1060" w:name="Tc_HROVNvjHV0mWhPWDV2ocYQ_11_0"/>
      <w:bookmarkStart w:id="1061" w:name="Tc_y-8x8uX6jkCMMXbc7nkYBg_10_0"/>
      <w:bookmarkStart w:id="1062" w:name="Tc_CfhK-HJkB0KnbPAHxiGH9g_9_0"/>
      <w:bookmarkStart w:id="1063" w:name="Tc_1w1bNbC2h0KA8d9tzKzp1Q_8_0"/>
      <w:bookmarkStart w:id="1064" w:name="Tc_cBeexu-up0GT7F_Pe6C7Fw_7_0"/>
      <w:bookmarkStart w:id="1065" w:name="Tc_oE7QSjEb-0WznoUAmvFZFw_6_0"/>
      <w:bookmarkStart w:id="1066" w:name="Tc_9KFtobpAwUKd0T07LqzGTg_4_0"/>
      <w:bookmarkStart w:id="1067" w:name="Tc_M8ViZxj2Fka8pxngvfFbug_3_5"/>
      <w:bookmarkStart w:id="1068" w:name="Tc_e6kYg-4Oe0qetFxLULN00w_3_2"/>
      <w:bookmarkStart w:id="1069" w:name="Tc_ig4RxqM0x0mnhit8OQqnoQ_3_0"/>
      <w:bookmarkStart w:id="1070" w:name="Tc__GvIIfoN0UWT4PlX-gaGMw_2_5"/>
      <w:bookmarkStart w:id="1071" w:name="Tc_pjd3czfgCEyEq5-ar_qn8A_2_2"/>
      <w:bookmarkStart w:id="1072" w:name="Tc_IQOzixnsqUC27xCSL6WcJg_1_2"/>
      <w:bookmarkStart w:id="1073" w:name="_7a71d79e_4205_47ce_9f7e_5778ccc0af5c"/>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b/>
          <w:sz w:val="20"/>
        </w:rPr>
        <w:t>NOTE 11. OTHER ASSETS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March 31, 2023 and December 31, 2022 (in thousands):</w:t>
      </w:r>
    </w:p>
    <w:p>
      <w:pPr>
        <w:pStyle w:val="TextBody"/>
        <w:spacing w:before="0" w:after="0"/>
        <w:ind w:left="0" w:right="0" w:firstLine="360"/>
        <w:jc w:val="both"/>
        <w:rPr/>
      </w:pPr>
      <w:r>
        <w:rPr/>
        <w:t>​</w:t>
      </w:r>
    </w:p>
    <w:tbl>
      <w:tblPr>
        <w:tblW w:w="10205" w:type="dxa"/>
        <w:jc w:val="left"/>
        <w:tblInd w:w="0" w:type="dxa"/>
        <w:tblCellMar>
          <w:top w:w="0" w:type="dxa"/>
          <w:left w:w="0" w:type="dxa"/>
          <w:bottom w:w="0" w:type="dxa"/>
          <w:right w:w="0" w:type="dxa"/>
        </w:tblCellMar>
      </w:tblPr>
      <w:tblGrid>
        <w:gridCol w:w="6392"/>
        <w:gridCol w:w="326"/>
        <w:gridCol w:w="336"/>
        <w:gridCol w:w="1079"/>
        <w:gridCol w:w="326"/>
        <w:gridCol w:w="369"/>
        <w:gridCol w:w="1377"/>
      </w:tblGrid>
      <w:tr>
        <w:trPr/>
        <w:tc>
          <w:tcPr>
            <w:tcW w:w="6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1377" w:type="dxa"/>
            <w:tcBorders/>
            <w:shd w:fill="auto" w:val="clear"/>
            <w:vAlign w:val="center"/>
          </w:tcPr>
          <w:p>
            <w:pPr>
              <w:pStyle w:val="TableContents"/>
              <w:spacing w:before="0" w:after="0"/>
              <w:ind w:left="0" w:right="0" w:hanging="0"/>
              <w:rPr/>
            </w:pPr>
            <w:r>
              <w:rPr/>
              <w:t>​</w:t>
            </w:r>
          </w:p>
        </w:tc>
      </w:tr>
      <w:tr>
        <w:trPr/>
        <w:tc>
          <w:tcPr>
            <w:tcW w:w="6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48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3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rPr/>
            </w:pPr>
            <w:r>
              <w:rPr/>
              <w:t>    </w:t>
            </w:r>
          </w:p>
        </w:tc>
        <w:tc>
          <w:tcPr>
            <w:tcW w:w="17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639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63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Property Straight-line Rent Adjustment and COVID-19 Deferral Balance</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6,449</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13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r>
      <w:tr>
        <w:trPr/>
        <w:tc>
          <w:tcPr>
            <w:tcW w:w="6392"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0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13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63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Golf Rounds Surcharge</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13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639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 Hedge - Interest Rate Swap</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0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13,230</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13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16,158</w:t>
            </w:r>
          </w:p>
        </w:tc>
      </w:tr>
      <w:tr>
        <w:trPr/>
        <w:tc>
          <w:tcPr>
            <w:tcW w:w="63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Infrastructure Reimbursement Receivables</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13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639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Deposits, and Other</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0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326" w:type="dxa"/>
            <w:tcBorders/>
            <w:shd w:fill="CCEEFF" w:val="clear"/>
            <w:vAlign w:val="center"/>
          </w:tcPr>
          <w:p>
            <w:pPr>
              <w:pStyle w:val="TableContents"/>
              <w:spacing w:before="0" w:after="0"/>
              <w:ind w:left="0" w:right="0" w:hanging="0"/>
              <w:rPr/>
            </w:pPr>
            <w:r>
              <w:rPr/>
              <w:t>​</w:t>
            </w:r>
          </w:p>
        </w:tc>
        <w:tc>
          <w:tcPr>
            <w:tcW w:w="369" w:type="dxa"/>
            <w:tcBorders/>
            <w:shd w:fill="CCEEFF" w:val="clear"/>
            <w:vAlign w:val="center"/>
          </w:tcPr>
          <w:p>
            <w:pPr>
              <w:pStyle w:val="TableContents"/>
              <w:spacing w:before="0" w:after="0"/>
              <w:ind w:left="0" w:right="0" w:hanging="0"/>
              <w:rPr/>
            </w:pPr>
            <w:r>
              <w:rPr/>
              <w:t>​</w:t>
            </w:r>
          </w:p>
        </w:tc>
        <w:tc>
          <w:tcPr>
            <w:tcW w:w="13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5,421</w:t>
            </w:r>
          </w:p>
        </w:tc>
      </w:tr>
      <w:tr>
        <w:trPr/>
        <w:tc>
          <w:tcPr>
            <w:tcW w:w="63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from Alpine Income Property Trust, Inc.</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shd w:fill="auto" w:val="clear"/>
            <w:vAlign w:val="center"/>
          </w:tcPr>
          <w:p>
            <w:pPr>
              <w:pStyle w:val="TableContents"/>
              <w:spacing w:before="0" w:after="0"/>
              <w:ind w:left="0" w:right="0" w:hanging="0"/>
              <w:rPr/>
            </w:pPr>
            <w:r>
              <w:rPr/>
              <w:t>​</w:t>
            </w:r>
          </w:p>
        </w:tc>
        <w:tc>
          <w:tcPr>
            <w:tcW w:w="369" w:type="dxa"/>
            <w:tcBorders/>
            <w:shd w:fill="auto" w:val="clear"/>
            <w:vAlign w:val="center"/>
          </w:tcPr>
          <w:p>
            <w:pPr>
              <w:pStyle w:val="TableContents"/>
              <w:spacing w:before="0" w:after="0"/>
              <w:ind w:left="0" w:right="0" w:hanging="0"/>
              <w:rPr/>
            </w:pPr>
            <w:r>
              <w:rPr/>
              <w:t>​</w:t>
            </w:r>
          </w:p>
        </w:tc>
        <w:tc>
          <w:tcPr>
            <w:tcW w:w="13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639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26" w:type="dxa"/>
            <w:tcBorders/>
            <w:shd w:fill="CCEEFF" w:val="clear"/>
            <w:vAlign w:val="center"/>
          </w:tcPr>
          <w:p>
            <w:pPr>
              <w:pStyle w:val="TableContents"/>
              <w:spacing w:before="0" w:after="0"/>
              <w:ind w:left="0" w:right="0" w:hanging="0"/>
              <w:rPr/>
            </w:pPr>
            <w:r>
              <w:rPr/>
              <w:t>​</w:t>
            </w:r>
          </w:p>
        </w:tc>
        <w:tc>
          <w:tcPr>
            <w:tcW w:w="33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shd w:fill="CCEEFF" w:val="clear"/>
            <w:vAlign w:val="center"/>
          </w:tcPr>
          <w:p>
            <w:pPr>
              <w:pStyle w:val="TableContents"/>
              <w:spacing w:before="0" w:after="0"/>
              <w:ind w:left="0" w:right="0" w:hanging="0"/>
              <w:rPr/>
            </w:pPr>
            <w:r>
              <w:rPr/>
              <w:t>​</w:t>
            </w:r>
          </w:p>
        </w:tc>
        <w:tc>
          <w:tcPr>
            <w:tcW w:w="36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2,051</w:t>
            </w:r>
          </w:p>
        </w:tc>
      </w:tr>
      <w:tr>
        <w:trPr/>
        <w:tc>
          <w:tcPr>
            <w:tcW w:w="639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Assets</w:t>
            </w:r>
          </w:p>
        </w:tc>
        <w:tc>
          <w:tcPr>
            <w:tcW w:w="326" w:type="dxa"/>
            <w:tcBorders/>
            <w:shd w:fill="auto" w:val="clear"/>
            <w:vAlign w:val="center"/>
          </w:tcPr>
          <w:p>
            <w:pPr>
              <w:pStyle w:val="TableContents"/>
              <w:spacing w:before="0" w:after="0"/>
              <w:ind w:left="0" w:right="0" w:hanging="0"/>
              <w:rPr/>
            </w:pPr>
            <w:r>
              <w:rPr/>
              <w:t>​</w:t>
            </w:r>
          </w:p>
        </w:tc>
        <w:tc>
          <w:tcPr>
            <w:tcW w:w="33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33,134</w:t>
            </w:r>
          </w:p>
        </w:tc>
        <w:tc>
          <w:tcPr>
            <w:tcW w:w="326" w:type="dxa"/>
            <w:tcBorders/>
            <w:shd w:fill="auto" w:val="clear"/>
            <w:vAlign w:val="center"/>
          </w:tcPr>
          <w:p>
            <w:pPr>
              <w:pStyle w:val="TableContents"/>
              <w:spacing w:before="0" w:after="0"/>
              <w:ind w:left="0" w:right="0" w:hanging="0"/>
              <w:rPr/>
            </w:pPr>
            <w:r>
              <w:rPr/>
              <w:t>​</w:t>
            </w:r>
          </w:p>
        </w:tc>
        <w:tc>
          <w:tcPr>
            <w:tcW w:w="36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34,453</w:t>
            </w:r>
          </w:p>
        </w:tc>
      </w:tr>
    </w:tbl>
    <w:tbl>
      <w:tblPr>
        <w:tblW w:w="9392" w:type="dxa"/>
        <w:jc w:val="left"/>
        <w:tblInd w:w="0" w:type="dxa"/>
        <w:tblCellMar>
          <w:top w:w="0" w:type="dxa"/>
          <w:left w:w="0" w:type="dxa"/>
          <w:bottom w:w="0" w:type="dxa"/>
          <w:right w:w="0" w:type="dxa"/>
        </w:tblCellMar>
      </w:tblPr>
      <w:tblGrid>
        <w:gridCol w:w="286"/>
        <w:gridCol w:w="9106"/>
      </w:tblGrid>
      <w:tr>
        <w:trPr/>
        <w:tc>
          <w:tcPr>
            <w:tcW w:w="286" w:type="dxa"/>
            <w:tcBorders/>
            <w:shd w:fill="auto" w:val="clear"/>
            <w:vAlign w:val="center"/>
          </w:tcPr>
          <w:p>
            <w:pPr>
              <w:pStyle w:val="TableContents"/>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910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Allowance for doubtful accounts was $2.2</w:t>
            </w:r>
            <w:r>
              <w:rPr>
                <w:rFonts w:ascii="Times New Roman;Times;serif" w:hAnsi="Times New Roman;Times;serif"/>
                <w:sz w:val="20"/>
              </w:rPr>
              <w:t xml:space="preserve"> </w:t>
            </w:r>
            <w:r>
              <w:rPr>
                <w:rFonts w:ascii="Times New Roman;Times;serif" w:hAnsi="Times New Roman;Times;serif"/>
                <w:sz w:val="16"/>
              </w:rPr>
              <w:t>million and $1.8</w:t>
            </w:r>
            <w:r>
              <w:rPr>
                <w:rFonts w:ascii="Times New Roman;Times;serif" w:hAnsi="Times New Roman;Times;serif"/>
                <w:sz w:val="20"/>
              </w:rPr>
              <w:t xml:space="preserve"> </w:t>
            </w:r>
            <w:r>
              <w:rPr>
                <w:rFonts w:ascii="Times New Roman;Times;serif" w:hAnsi="Times New Roman;Times;serif"/>
                <w:sz w:val="16"/>
              </w:rPr>
              <w:t xml:space="preserve">million as of March 31, 2023 and December 31, 2022, respectively. </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Infrastructure Reimbursement Receivables. </w:t>
      </w:r>
      <w:r>
        <w:rPr>
          <w:rFonts w:ascii="Times New Roman;Times;serif" w:hAnsi="Times New Roman;Times;serif"/>
          <w:sz w:val="20"/>
        </w:rPr>
        <w:t>As of March 31, 2023 and December 31, 2022, the infrastructure reimbursement receivables were all related to the land sales within the Tomoka Town Center. The balance as of March 31, 2023 consisted of $0.7 million due from Tanger for infrastructure reimbursement to be repaid in four remaining annual installments of approximately $0.2 million each, net of a discount of $0.07 million, and $0.2 million due from Sam’s Club for infrastructure reimbursement to be repaid in two remaining annual installments of $0.1 million each, net of a discount of $0.02 million.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12. EQUITY</w:t>
      </w:r>
    </w:p>
    <w:p>
      <w:pPr>
        <w:pStyle w:val="TextBody"/>
        <w:spacing w:before="0" w:after="0"/>
        <w:ind w:left="0" w:right="0" w:hanging="0"/>
        <w:rPr/>
      </w:pPr>
      <w:r>
        <w:rPr/>
        <w:t>​</w:t>
      </w:r>
    </w:p>
    <w:p>
      <w:pPr>
        <w:pStyle w:val="TextBody"/>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STOCK SPLIT</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27, 2022, the Company announced that its Board of Directors approved a three-for-one stock split of the Company’s common stock to be effected in the form of a stock dividend.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Times New Roman;Times;serif" w:hAnsi="Times New Roman;Times;serif"/>
          <w:i/>
          <w:sz w:val="20"/>
        </w:rPr>
        <w:t>Equity</w:t>
      </w:r>
      <w:r>
        <w:rPr>
          <w:rFonts w:ascii="Times New Roman;Times;serif" w:hAnsi="Times New Roman;Times;serif"/>
          <w:sz w:val="20"/>
        </w:rPr>
        <w:t xml:space="preserve">,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Securities and Exchange Commission declared the Form S-3 effective on October 26, 2022.</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spacing w:before="0" w:after="0"/>
        <w:ind w:left="0" w:right="0" w:firstLine="36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not active under the 2022 ATM Program during the three months ended March 31,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i/>
          <w:sz w:val="20"/>
        </w:rPr>
      </w:pPr>
      <w:bookmarkStart w:id="1074" w:name="Tc_zMvIj768i0eO_AERBQBGrg_9_5"/>
      <w:bookmarkStart w:id="1075" w:name="Tc_Wwka-b6TzUq7qeiL46mLbw_9_2"/>
      <w:bookmarkStart w:id="1076" w:name="Tc_bNDuIgb8RkCXZ7lybSyOuQ_9_0"/>
      <w:bookmarkStart w:id="1077" w:name="Tc_cG7-DwJCbU6ljVxn9iWubQ_8_5"/>
      <w:bookmarkStart w:id="1078" w:name="Tc_yc13DYsca0mcjfv-ycP7bg_8_2"/>
      <w:bookmarkStart w:id="1079" w:name="Tc_qHXS78u6yUuhrcdz05SYIg_8_0"/>
      <w:bookmarkStart w:id="1080" w:name="Tc_nBIrMIEX-0qo6HIBhfGsfw_7_0"/>
      <w:bookmarkStart w:id="1081" w:name="Tc_mlwyvyl8HUKsqNOvk_Ysbw_5_5"/>
      <w:bookmarkStart w:id="1082" w:name="Tc_tOB-9kkdl0a71uwaq7zFfA_5_2"/>
      <w:bookmarkStart w:id="1083" w:name="Tc_LNUvD00QzEiLuQRc9Vqimg_5_0"/>
      <w:bookmarkStart w:id="1084" w:name="Tc_XTEDSDNQlEqIiYee4AVxhg_4_5"/>
      <w:bookmarkStart w:id="1085" w:name="Tc_tEz819DzRUyJ0UIJAbtdeg_4_2"/>
      <w:bookmarkStart w:id="1086" w:name="Tc_HyJz3pJ0MU-i8RvbVUL7BQ_4_0"/>
      <w:bookmarkStart w:id="1087" w:name="Tc_WXdUWh-y3U-R4dbtdG5tmg_3_0"/>
      <w:bookmarkStart w:id="1088" w:name="Tc_otbx291WxEO8yhOleAJsVQ_2_5"/>
      <w:bookmarkStart w:id="1089" w:name="Tc_WAMFSSFd80CuFO_0hOyvBQ_2_2"/>
      <w:bookmarkStart w:id="1090" w:name="Tc_ISuiHIGCtUyl2GnCfg9jqA_1_2"/>
      <w:bookmarkStart w:id="1091" w:name="_b5591f53_c79a_49ec_8bd0_03ff7382d3e8"/>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Pr>
          <w:rFonts w:ascii="Times New Roman;Times;serif" w:hAnsi="Times New Roman;Times;serif"/>
          <w:i/>
          <w:sz w:val="20"/>
        </w:rPr>
        <w:t>SERIES A PREFERRED STOCK REPURCHASE PROGRAM</w:t>
      </w:r>
    </w:p>
    <w:p>
      <w:pPr>
        <w:pStyle w:val="TextBody"/>
        <w:shd w:fill="FFFFFF" w:val="clear"/>
        <w:spacing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at a purchase price per share equal to or less than $19.00.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The Company was not active under the Series A Preferred Stock Repurchase Program during the three months ended March 31,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outlines dividends declared and paid for each issuance of CTO’s stock during the three months ended March 31, 2023 and 2022 (in thousands, except per share data): </w:t>
      </w:r>
    </w:p>
    <w:p>
      <w:pPr>
        <w:pStyle w:val="TextBody"/>
        <w:spacing w:before="0" w:after="0"/>
        <w:ind w:left="0" w:right="0" w:firstLine="490"/>
        <w:jc w:val="both"/>
        <w:rPr/>
      </w:pPr>
      <w:r>
        <w:rPr/>
        <w:t>​</w:t>
      </w:r>
    </w:p>
    <w:tbl>
      <w:tblPr>
        <w:tblW w:w="4750" w:type="dxa"/>
        <w:jc w:val="left"/>
        <w:tblInd w:w="0" w:type="dxa"/>
        <w:tblCellMar>
          <w:top w:w="0" w:type="dxa"/>
          <w:left w:w="0" w:type="dxa"/>
          <w:bottom w:w="0" w:type="dxa"/>
          <w:right w:w="0" w:type="dxa"/>
        </w:tblCellMar>
      </w:tblPr>
      <w:tblGrid>
        <w:gridCol w:w="2101"/>
        <w:gridCol w:w="326"/>
        <w:gridCol w:w="263"/>
        <w:gridCol w:w="713"/>
        <w:gridCol w:w="326"/>
        <w:gridCol w:w="260"/>
        <w:gridCol w:w="761"/>
      </w:tblGrid>
      <w:tr>
        <w:trPr/>
        <w:tc>
          <w:tcPr>
            <w:tcW w:w="2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7005" cy="175260"/>
                      <wp:effectExtent l="0" t="0" r="0" b="0"/>
                      <wp:wrapNone/>
                      <wp:docPr id="132" name="Frame132"/>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52755" cy="175260"/>
                      <wp:effectExtent l="0" t="0" r="0" b="0"/>
                      <wp:wrapNone/>
                      <wp:docPr id="133" name="Frame133"/>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5100" cy="175260"/>
                      <wp:effectExtent l="0" t="0" r="0" b="0"/>
                      <wp:wrapNone/>
                      <wp:docPr id="135" name="Frame13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83235" cy="175260"/>
                      <wp:effectExtent l="0" t="0" r="0" b="0"/>
                      <wp:wrapNone/>
                      <wp:docPr id="136" name="Frame136"/>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2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1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2022</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Series A Preferred Stock </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71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761" w:type="dxa"/>
            <w:tcBorders/>
            <w:shd w:fill="CCEEFF" w:val="clear"/>
            <w:vAlign w:val="center"/>
          </w:tcPr>
          <w:p>
            <w:pPr>
              <w:pStyle w:val="TableContents"/>
              <w:spacing w:before="0" w:after="0"/>
              <w:ind w:left="0" w:right="0" w:hanging="0"/>
              <w:rPr/>
            </w:pPr>
            <w:r>
              <w:rPr/>
              <w:t>​</w:t>
            </w:r>
          </w:p>
        </w:tc>
      </w:tr>
      <w:tr>
        <w:trPr/>
        <w:tc>
          <w:tcPr>
            <w:tcW w:w="2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 Share</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2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71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761" w:type="dxa"/>
            <w:tcBorders/>
            <w:shd w:fill="auto" w:val="clear"/>
            <w:vAlign w:val="center"/>
          </w:tcPr>
          <w:p>
            <w:pPr>
              <w:pStyle w:val="TableContents"/>
              <w:spacing w:before="0" w:after="0"/>
              <w:ind w:left="0" w:right="0" w:hanging="0"/>
              <w:rPr/>
            </w:pPr>
            <w:r>
              <w:rPr/>
              <w:t>​</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71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761" w:type="dxa"/>
            <w:tcBorders/>
            <w:shd w:fill="CCEEFF" w:val="clear"/>
            <w:vAlign w:val="center"/>
          </w:tcPr>
          <w:p>
            <w:pPr>
              <w:pStyle w:val="TableContents"/>
              <w:spacing w:before="0" w:after="0"/>
              <w:ind w:left="0" w:right="0" w:hanging="0"/>
              <w:rPr/>
            </w:pPr>
            <w:r>
              <w:rPr/>
              <w:t>​</w:t>
            </w:r>
          </w:p>
        </w:tc>
      </w:tr>
      <w:tr>
        <w:trPr/>
        <w:tc>
          <w:tcPr>
            <w:tcW w:w="2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6,417</w:t>
            </w:r>
          </w:p>
        </w:tc>
      </w:tr>
      <w:tr>
        <w:trPr/>
        <w:tc>
          <w:tcPr>
            <w:tcW w:w="2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Per Share </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0.36</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2025 NOTES</w:t>
      </w:r>
    </w:p>
    <w:p>
      <w:pPr>
        <w:pStyle w:val="TextBody"/>
        <w:spacing w:before="0" w:after="0"/>
        <w:ind w:left="0" w:right="0" w:hanging="0"/>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Effective January 1, 2022, the Company adopted ASU 2020-06 whereby diluted EPS includes the dilutive impact of the 2025 Notes (hereinafter defined) using the if-converted method. Upon adoption, during the three months ended March 31, 2022,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13. COMMON STOCK AND EARNINGS PER SHARE</w:t>
      </w:r>
    </w:p>
    <w:p>
      <w:pPr>
        <w:pStyle w:val="TextBody"/>
        <w:spacing w:before="0" w:after="0"/>
        <w:ind w:left="0" w:right="0" w:firstLine="36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56" w:before="0" w:after="240"/>
        <w:ind w:left="0" w:right="0" w:firstLine="490"/>
        <w:jc w:val="both"/>
        <w:rPr>
          <w:rFonts w:ascii="Times New Roman;Times;serif" w:hAnsi="Times New Roman;Times;serif"/>
          <w:sz w:val="20"/>
        </w:rPr>
      </w:pPr>
      <w:bookmarkStart w:id="1092" w:name="Tc_-BgfiWfbGkCjqJd5nFlq-Q_15_5"/>
      <w:bookmarkStart w:id="1093" w:name="Tc_rcpLX_dgD0iKZEykgrHjdg_15_2"/>
      <w:bookmarkStart w:id="1094" w:name="Tc_vRO-pibzH0-GueayAvG-rQ_15_0"/>
      <w:bookmarkStart w:id="1095" w:name="Tc_vYk9i4MR8k601sRhnQodiQ_14_0"/>
      <w:bookmarkStart w:id="1096" w:name="Tc_BgPc6S1AOUaiLPboI-5IQw_13_0"/>
      <w:bookmarkStart w:id="1097" w:name="Tc_L0QPmm0jZEGMqz2fWywRig_11_0"/>
      <w:bookmarkStart w:id="1098" w:name="Tc_TEyqzNCMPkuU4EydNBE7UA_10_6"/>
      <w:bookmarkStart w:id="1099" w:name="Tc_3Z10QJnWTke0hZhIe4wdYg_10_3"/>
      <w:bookmarkStart w:id="1100" w:name="Tc_3O7SR3yPVEWaEE21Spob9g_10_0"/>
      <w:bookmarkStart w:id="1101" w:name="Tc_0Z97UC4iyUuz6Uwy_ahKcg_9_0"/>
      <w:bookmarkStart w:id="1102" w:name="Tc_9nzugjSnpUO6x_On9h0BYA_8_0"/>
      <w:bookmarkStart w:id="1103" w:name="Tc_ifLG_-1rIE2q0FpVK6IxtQ_6_0"/>
      <w:bookmarkStart w:id="1104" w:name="Tc_YjElcduBFUyx0K2A2G31vg_5_6"/>
      <w:bookmarkStart w:id="1105" w:name="Tc_xJX7TZb3_ESBW2m8QtqWDw_5_3"/>
      <w:bookmarkStart w:id="1106" w:name="Tc_ewZXwWPc6EyafPC1s_cIzw_5_0"/>
      <w:bookmarkStart w:id="1107" w:name="Tc_LrGulJSHJEKh-r5DwHF6iQ_4_5"/>
      <w:bookmarkStart w:id="1108" w:name="Tc_mkoT9qIwJEWetb5_41QQyg_4_2"/>
      <w:bookmarkStart w:id="1109" w:name="Tc_MnnO1YkRe0G4IbTJBErESQ_4_0"/>
      <w:bookmarkStart w:id="1110" w:name="Tc_CZJ5n_Iez0y2bzpcyaHtBA_3_0"/>
      <w:bookmarkStart w:id="1111" w:name="Tc_sIxH1rbFkUequ2E72v0EGQ_2_5"/>
      <w:bookmarkStart w:id="1112" w:name="Tc_KGp6jPE60UyidDbDw9cFuw_2_2"/>
      <w:bookmarkStart w:id="1113" w:name="Tc_Ij_d006I40OV2FT8CgC4_Q_1_2"/>
      <w:bookmarkStart w:id="1114" w:name="_bda1ae8c_9d0f_4f20_971a_aadae15bf94b"/>
      <w:bookmarkStart w:id="1115" w:name="_c3e3569c_855b_477f_92c6_76e31b7d64c4"/>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tbl>
      <w:tblPr>
        <w:tblW w:w="8907" w:type="dxa"/>
        <w:jc w:val="left"/>
        <w:tblInd w:w="0" w:type="dxa"/>
        <w:tblCellMar>
          <w:top w:w="0" w:type="dxa"/>
          <w:left w:w="0" w:type="dxa"/>
          <w:bottom w:w="0" w:type="dxa"/>
          <w:right w:w="0" w:type="dxa"/>
        </w:tblCellMar>
      </w:tblPr>
      <w:tblGrid>
        <w:gridCol w:w="5716"/>
        <w:gridCol w:w="326"/>
        <w:gridCol w:w="211"/>
        <w:gridCol w:w="1036"/>
        <w:gridCol w:w="326"/>
        <w:gridCol w:w="211"/>
        <w:gridCol w:w="1081"/>
      </w:tblGrid>
      <w:tr>
        <w:trPr/>
        <w:tc>
          <w:tcPr>
            <w:tcW w:w="5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9" name="Frame13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86435" cy="175260"/>
                      <wp:effectExtent l="0" t="0" r="0" b="0"/>
                      <wp:wrapNone/>
                      <wp:docPr id="142" name="Frame142"/>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7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2022</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Earnings: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Common Stockholders, Used in Basic EPS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571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Common Stockholders, Used in Diluted EPS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5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Shares: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Shares Outstanding,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17,726,677</w:t>
            </w:r>
          </w:p>
        </w:tc>
      </w:tr>
      <w:tr>
        <w:trPr/>
        <w:tc>
          <w:tcPr>
            <w:tcW w:w="57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Shares Outstanding, 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17,726,677</w:t>
            </w:r>
          </w:p>
        </w:tc>
      </w:tr>
      <w:tr>
        <w:trPr/>
        <w:tc>
          <w:tcPr>
            <w:tcW w:w="57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 Share Information: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lineRule="auto" w:line="240" w:before="0" w:after="0"/>
              <w:jc w:val="both"/>
              <w:rPr>
                <w:rFonts w:ascii="Times New Roman;Times;serif" w:hAnsi="Times New Roman;Times;serif"/>
                <w:sz w:val="11"/>
              </w:rPr>
            </w:pPr>
            <w:r>
              <w:rPr>
                <w:rFonts w:ascii="Times New Roman;Times;serif" w:hAnsi="Times New Roman;Times;serif"/>
                <w:sz w:val="11"/>
              </w:rPr>
              <w:t>(1)</w:t>
            </w:r>
          </w:p>
        </w:tc>
        <w:tc>
          <w:tcPr>
            <w:tcW w:w="99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months ended March 31, 2023 and 2022, a total of $0.5</w:t>
            </w:r>
            <w:r>
              <w:rPr>
                <w:rFonts w:ascii="Times New Roman;Times;serif" w:hAnsi="Times New Roman;Times;serif"/>
                <w:sz w:val="20"/>
              </w:rPr>
              <w:t xml:space="preserve"> </w:t>
            </w:r>
            <w:r>
              <w:rPr>
                <w:rFonts w:ascii="Times New Roman;Times;serif" w:hAnsi="Times New Roman;Times;serif"/>
                <w:sz w:val="16"/>
              </w:rPr>
              <w:t>million and $0.6</w:t>
            </w:r>
            <w:r>
              <w:rPr>
                <w:rFonts w:ascii="Times New Roman;Times;serif" w:hAnsi="Times New Roman;Times;serif"/>
                <w:sz w:val="20"/>
              </w:rPr>
              <w:t xml:space="preserve"> </w:t>
            </w:r>
            <w:r>
              <w:rPr>
                <w:rFonts w:ascii="Times New Roman;Times;serif" w:hAnsi="Times New Roman;Times;serif"/>
                <w:sz w:val="16"/>
              </w:rPr>
              <w:t>million of interest was not included, respectively, as the impact of the 2025 Notes, if-converted, would be antidilutive to the net loss attributable to common stockholders of $7.2</w:t>
            </w:r>
            <w:r>
              <w:rPr>
                <w:rFonts w:ascii="Times New Roman;Times;serif" w:hAnsi="Times New Roman;Times;serif"/>
                <w:sz w:val="20"/>
              </w:rPr>
              <w:t xml:space="preserve"> </w:t>
            </w:r>
            <w:r>
              <w:rPr>
                <w:rFonts w:ascii="Times New Roman;Times;serif" w:hAnsi="Times New Roman;Times;serif"/>
                <w:sz w:val="16"/>
              </w:rPr>
              <w:t>million and $1.0</w:t>
            </w:r>
            <w:r>
              <w:rPr>
                <w:rFonts w:ascii="Times New Roman;Times;serif" w:hAnsi="Times New Roman;Times;serif"/>
                <w:sz w:val="20"/>
              </w:rPr>
              <w:t xml:space="preserve"> </w:t>
            </w:r>
            <w:r>
              <w:rPr>
                <w:rFonts w:ascii="Times New Roman;Times;serif" w:hAnsi="Times New Roman;Times;serif"/>
                <w:sz w:val="16"/>
              </w:rPr>
              <w:t>million, respectively.</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(2)</w:t>
            </w:r>
          </w:p>
        </w:tc>
        <w:tc>
          <w:tcPr>
            <w:tcW w:w="996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A total o</w:t>
            </w:r>
            <w:r>
              <w:rPr>
                <w:rFonts w:ascii="Times New Roman;Times;serif" w:hAnsi="Times New Roman;Times;serif"/>
                <w:sz w:val="16"/>
                <w:highlight w:val="white"/>
              </w:rPr>
              <w:t>f 3.2</w:t>
            </w:r>
            <w:r>
              <w:rPr>
                <w:rFonts w:ascii="Times New Roman;Times;serif" w:hAnsi="Times New Roman;Times;serif"/>
                <w:sz w:val="20"/>
                <w:highlight w:val="white"/>
              </w:rPr>
              <w:t> </w:t>
            </w:r>
            <w:r>
              <w:rPr>
                <w:rFonts w:ascii="Times New Roman;Times;serif" w:hAnsi="Times New Roman;Times;serif"/>
                <w:sz w:val="16"/>
                <w:highlight w:val="white"/>
              </w:rPr>
              <w:t>million and 3.0</w:t>
            </w:r>
            <w:r>
              <w:rPr>
                <w:rFonts w:ascii="Times New Roman;Times;serif" w:hAnsi="Times New Roman;Times;serif"/>
                <w:sz w:val="20"/>
                <w:highlight w:val="white"/>
              </w:rPr>
              <w:t xml:space="preserve"> </w:t>
            </w:r>
            <w:r>
              <w:rPr>
                <w:rFonts w:ascii="Times New Roman;Times;serif" w:hAnsi="Times New Roman;Times;serif"/>
                <w:sz w:val="16"/>
                <w:highlight w:val="white"/>
              </w:rPr>
              <w:t xml:space="preserve">million shares, representing the dilutive impact of the 2025 Notes, upon adoption of ASU 2020-06 effective January 1, 2022, were not included in the computation of diluted net loss attributable to common stockholders for the </w:t>
            </w:r>
            <w:r>
              <w:rPr>
                <w:rFonts w:ascii="Times New Roman;Times;serif" w:hAnsi="Times New Roman;Times;serif"/>
                <w:sz w:val="16"/>
              </w:rPr>
              <w:t xml:space="preserve">three months ended March 31, 2023 and 2022, respectively, </w:t>
            </w:r>
            <w:r>
              <w:rPr>
                <w:rFonts w:ascii="Times New Roman;Times;serif" w:hAnsi="Times New Roman;Times;serif"/>
                <w:sz w:val="16"/>
                <w:highlight w:val="white"/>
              </w:rPr>
              <w:t>because they were antidilutive to the net loss attributable to common stockholders of </w:t>
            </w:r>
            <w:r>
              <w:rPr>
                <w:rFonts w:ascii="Times New Roman;Times;serif" w:hAnsi="Times New Roman;Times;serif"/>
                <w:sz w:val="16"/>
              </w:rPr>
              <w:t>$7.2</w:t>
            </w:r>
            <w:r>
              <w:rPr>
                <w:rFonts w:ascii="Times New Roman;Times;serif" w:hAnsi="Times New Roman;Times;serif"/>
                <w:sz w:val="20"/>
              </w:rPr>
              <w:t xml:space="preserve"> </w:t>
            </w:r>
            <w:r>
              <w:rPr>
                <w:rFonts w:ascii="Times New Roman;Times;serif" w:hAnsi="Times New Roman;Times;serif"/>
                <w:sz w:val="16"/>
              </w:rPr>
              <w:t>million and $1.0</w:t>
            </w:r>
            <w:r>
              <w:rPr>
                <w:rFonts w:ascii="Times New Roman;Times;serif" w:hAnsi="Times New Roman;Times;serif"/>
                <w:sz w:val="20"/>
              </w:rPr>
              <w:t xml:space="preserve"> </w:t>
            </w:r>
            <w:r>
              <w:rPr>
                <w:rFonts w:ascii="Times New Roman;Times;serif" w:hAnsi="Times New Roman;Times;serif"/>
                <w:sz w:val="16"/>
              </w:rPr>
              <w:t>million, respectively.</w:t>
            </w:r>
          </w:p>
        </w:tc>
      </w:tr>
    </w:tbl>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There were no potentially dilutive securities for the three months ended March 31, 2023 or 2022 related to the Company’s stock options and restricted stock. The effect of 68,447 potentially dilutive restricted stock units were not included for the three months ended March 31, 2023, as the effect would be anti-dilutive.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Effective January 1, 2022, the Company adopted ASU 2020-06 whereby diluted EPS includes the dilutive impact, if any, of the 2025 Notes (hereinafter defined)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effect of 3.2 million and 3.0 million potentially dilutive 2025 Notes, if-converted, were not included for the three months ended March 31, 2023 and 2022, as the effect would be anti-dilutive.</w:t>
      </w:r>
    </w:p>
    <w:p>
      <w:pPr>
        <w:pStyle w:val="TextBody"/>
        <w:spacing w:before="0" w:after="0"/>
        <w:ind w:left="0" w:right="0" w:firstLine="49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NOTE 14. SHARE REPURCHASES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approved a $10.0</w:t>
      </w:r>
      <w:r>
        <w:rPr>
          <w:rFonts w:ascii="Times New Roman;Times;serif" w:hAnsi="Times New Roman;Times;serif"/>
          <w:sz w:val="20"/>
        </w:rPr>
        <w:t xml:space="preserve"> </w:t>
      </w:r>
      <w:r>
        <w:rPr>
          <w:rFonts w:ascii="TimesNewRomanPSMT" w:hAnsi="TimesNewRomanPSMT"/>
          <w:sz w:val="20"/>
        </w:rPr>
        <w:t>million common stock repurchase program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2020, the Company repurchased 265,695</w:t>
      </w:r>
      <w:r>
        <w:rPr>
          <w:rFonts w:ascii="Times New Roman;Times;serif" w:hAnsi="Times New Roman;Times;serif"/>
          <w:sz w:val="20"/>
        </w:rPr>
        <w:t xml:space="preserve"> </w:t>
      </w:r>
      <w:r>
        <w:rPr>
          <w:rFonts w:ascii="TimesNewRomanPSMT" w:hAnsi="TimesNewRomanPSMT"/>
          <w:sz w:val="20"/>
        </w:rPr>
        <w:t>shares of its common stock on the open market for a total cost of $4.1</w:t>
      </w:r>
      <w:r>
        <w:rPr>
          <w:rFonts w:ascii="Times New Roman;Times;serif" w:hAnsi="Times New Roman;Times;serif"/>
          <w:sz w:val="20"/>
        </w:rPr>
        <w:t xml:space="preserve"> </w:t>
      </w:r>
      <w:r>
        <w:rPr>
          <w:rFonts w:ascii="TimesNewRomanPSMT" w:hAnsi="TimesNewRomanPSMT"/>
          <w:sz w:val="20"/>
        </w:rPr>
        <w:t>million, or an average price per share of $15.43. During the year ended December 31, 2021, the Company repurchased 121,659</w:t>
      </w:r>
      <w:r>
        <w:rPr>
          <w:rFonts w:ascii="Times New Roman;Times;serif" w:hAnsi="Times New Roman;Times;serif"/>
          <w:sz w:val="20"/>
        </w:rPr>
        <w:t xml:space="preserve"> </w:t>
      </w:r>
      <w:r>
        <w:rPr>
          <w:rFonts w:ascii="TimesNewRomanPSMT" w:hAnsi="TimesNewRomanPSMT"/>
          <w:sz w:val="20"/>
        </w:rPr>
        <w:t>shares of its common stock on the open market for a total cost of $2.2</w:t>
      </w:r>
      <w:r>
        <w:rPr>
          <w:rFonts w:ascii="Times New Roman;Times;serif" w:hAnsi="Times New Roman;Times;serif"/>
          <w:sz w:val="20"/>
        </w:rPr>
        <w:t xml:space="preserve"> </w:t>
      </w:r>
      <w:r>
        <w:rPr>
          <w:rFonts w:ascii="TimesNewRomanPSMT" w:hAnsi="TimesNewRomanPSMT"/>
          <w:sz w:val="20"/>
        </w:rPr>
        <w:t>million, or an average price per share of $18.16. During the year ended December 31, 2022, the Company repurchased 145,724</w:t>
      </w:r>
      <w:r>
        <w:rPr>
          <w:rFonts w:ascii="Times New Roman;Times;serif" w:hAnsi="Times New Roman;Times;serif"/>
          <w:sz w:val="20"/>
        </w:rPr>
        <w:t xml:space="preserve"> </w:t>
      </w:r>
      <w:r>
        <w:rPr>
          <w:rFonts w:ascii="TimesNewRomanPSMT" w:hAnsi="TimesNewRomanPSMT"/>
          <w:sz w:val="20"/>
        </w:rPr>
        <w:t>shares of its common stock on the open market for a total cost of $2.8</w:t>
      </w:r>
      <w:r>
        <w:rPr>
          <w:rFonts w:ascii="Times New Roman;Times;serif" w:hAnsi="Times New Roman;Times;serif"/>
          <w:sz w:val="20"/>
        </w:rPr>
        <w:t xml:space="preserve"> </w:t>
      </w:r>
      <w:r>
        <w:rPr>
          <w:rFonts w:ascii="TimesNewRomanPSMT" w:hAnsi="TimesNewRomanPSMT"/>
          <w:sz w:val="20"/>
        </w:rPr>
        <w:t xml:space="preserve">million, or an average price per share of $19.15.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NewRomanPSMT" w:hAnsi="TimesNewRomanPSMT"/>
          <w:sz w:val="20"/>
        </w:rPr>
        <w:t>On February 16, 2023, the Company’s Board of Directors approved a common stock repurchase program (the “February $5.0</w:t>
      </w:r>
      <w:r>
        <w:rPr>
          <w:rFonts w:ascii="Times New Roman;Times;serif" w:hAnsi="Times New Roman;Times;serif"/>
          <w:sz w:val="20"/>
        </w:rPr>
        <w:t xml:space="preserve"> </w:t>
      </w:r>
      <w:r>
        <w:rPr>
          <w:rFonts w:ascii="TimesNewRomanPSMT" w:hAnsi="TimesNewRomanPSMT"/>
          <w:sz w:val="20"/>
        </w:rPr>
        <w:t>Million Common Stock Repurchase Program”). Pursuant to the February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at an average per share purchase price equal to or less than $17.00. During the three months ended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w:t>
      </w:r>
      <w:r>
        <w:rPr>
          <w:rFonts w:ascii="Times New Roman;Times;serif" w:hAnsi="Times New Roman;Times;serif"/>
          <w:sz w:val="20"/>
        </w:rPr>
        <w:t>. Accordingly, as of March 31, 2023, no shares of the Company’s common stock remained available for repurchase under the February $5.0 Million Common Stock Repurchase Program.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which is </w:t>
      </w:r>
      <w:r>
        <w:rPr>
          <w:rFonts w:ascii="TimesNewRomanPSMT" w:hAnsi="TimesNewRomanPSMT"/>
          <w:sz w:val="20"/>
        </w:rPr>
        <w:t>expected to be in effect until the approved dollar amount has been used to repurchase shares (the “April $5.0</w:t>
      </w:r>
      <w:r>
        <w:rPr>
          <w:rFonts w:ascii="Times New Roman;Times;serif" w:hAnsi="Times New Roman;Times;serif"/>
          <w:sz w:val="20"/>
        </w:rPr>
        <w:t xml:space="preserve"> </w:t>
      </w:r>
      <w:r>
        <w:rPr>
          <w:rFonts w:ascii="TimesNewRomanPSMT" w:hAnsi="TimesNewRomanPSMT"/>
          <w:sz w:val="20"/>
        </w:rPr>
        <w:t>Million Common Stock Repurchase Program”). Pursuant to the April $5.0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at an average per share purchase price equal to or less than $15.75. Shares may be purchased under the April $5.0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$5.0</w:t>
      </w:r>
      <w:r>
        <w:rPr>
          <w:rFonts w:ascii="Times New Roman;Times;serif" w:hAnsi="Times New Roman;Times;serif"/>
          <w:sz w:val="20"/>
        </w:rPr>
        <w:t xml:space="preserve"> </w:t>
      </w:r>
      <w:r>
        <w:rPr>
          <w:rFonts w:ascii="TimesNewRomanPSMT" w:hAnsi="TimesNewRomanPSMT"/>
          <w:sz w:val="20"/>
        </w:rPr>
        <w:t>Million Common Stock Repurchase Program does not obligate the Company to acquire any particular amount of shares of its common stock and may be modified or suspended.</w:t>
      </w:r>
    </w:p>
    <w:p>
      <w:pPr>
        <w:pStyle w:val="TextBody"/>
        <w:spacing w:before="0" w:after="0"/>
        <w:ind w:left="0" w:right="0" w:firstLine="490"/>
        <w:jc w:val="both"/>
        <w:rPr/>
      </w:pPr>
      <w:r>
        <w:rPr/>
        <w:t>​</w:t>
      </w:r>
    </w:p>
    <w:p>
      <w:pPr>
        <w:pStyle w:val="TextBody"/>
        <w:spacing w:before="0" w:after="0"/>
        <w:ind w:left="0" w:right="0" w:hanging="0"/>
        <w:jc w:val="both"/>
        <w:rPr>
          <w:rFonts w:ascii="Times New Roman;Times;serif" w:hAnsi="Times New Roman;Times;serif"/>
          <w:b/>
          <w:sz w:val="20"/>
        </w:rPr>
      </w:pPr>
      <w:bookmarkStart w:id="1116" w:name="MORTGAGE_NOTES_PAYABLE"/>
      <w:bookmarkStart w:id="1117" w:name="CREDIT_FACILITY"/>
      <w:bookmarkStart w:id="1118" w:name="Tc_dCoGonREikmt8Kxnj9mRlA_8_1"/>
      <w:bookmarkStart w:id="1119" w:name="Tc_j62_CjrVG0662T2usFjfsg_8_0"/>
      <w:bookmarkStart w:id="1120" w:name="Tc_Wzy5SJRKtkyV1EOwPFpcDw_7_4"/>
      <w:bookmarkStart w:id="1121" w:name="Tc_qnkufjLb2kigQ1I9tIBuog_7_0"/>
      <w:bookmarkStart w:id="1122" w:name="Tc_22vTO6qmW0WhL3gbmFHiYA_6_4"/>
      <w:bookmarkStart w:id="1123" w:name="Tc__6sFb_MHbEaGTu-fQt6b4Q_6_0"/>
      <w:bookmarkStart w:id="1124" w:name="Tc_DIdu8GupX0SVjLC7EuaUEg_5_8"/>
      <w:bookmarkStart w:id="1125" w:name="Tc_ppkN9DlPRE2Onw9W5Rh_pQ_5_4"/>
      <w:bookmarkStart w:id="1126" w:name="Tc__82-0oIN_EOPxes5WMT2Ew_5_0"/>
      <w:bookmarkStart w:id="1127" w:name="Tc_H62DPKBgW0Spea0nEO-TRw_4_8"/>
      <w:bookmarkStart w:id="1128" w:name="Tc_4k4yfFI-zUWHCf8A950QGQ_4_4"/>
      <w:bookmarkStart w:id="1129" w:name="Tc_hrLxU9lbrEe6l6aZfJtAFQ_4_0"/>
      <w:bookmarkStart w:id="1130" w:name="Tc_9li92beuqEaNUpefPYpTyw_3_8"/>
      <w:bookmarkStart w:id="1131" w:name="Tc_stj-Z_CudUe_t5Mx97Hr_g_3_4"/>
      <w:bookmarkStart w:id="1132" w:name="Tc_fJwLoM4Bn0i_C4ygeBYHnQ_3_0"/>
      <w:bookmarkStart w:id="1133" w:name="Tc_j9_jNtrBgEKYiXM7h-Zjgg_2_8"/>
      <w:bookmarkStart w:id="1134" w:name="Tc_oom2DA2qRUeyEabaKOTlMQ_2_4"/>
      <w:bookmarkStart w:id="1135" w:name="Tc_p2mB0ZuJ302BXK043cyX1A_2_1"/>
      <w:bookmarkStart w:id="1136" w:name="Tc_CiqhK1W2XkSxvcSXsR7Haw_2_0"/>
      <w:bookmarkStart w:id="1137" w:name="Tc_gIybmDx05kiA1TmwwiQhQA_1_7"/>
      <w:bookmarkStart w:id="1138" w:name="Tc__CID3IcZbEKViptKAacvuA_1_4"/>
      <w:bookmarkStart w:id="1139" w:name="Tc_JhPltixLtU6bbucxX1_KHg_1_1"/>
      <w:bookmarkStart w:id="1140" w:name="_79e4c11c_a6a9_439e_bf78_3dc80c747fd3"/>
      <w:bookmarkStart w:id="1141" w:name="LT_DEBT"/>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b/>
          <w:sz w:val="20"/>
        </w:rPr>
        <w:t>NOTE 15. LONG-TERM DEBT</w:t>
      </w:r>
    </w:p>
    <w:p>
      <w:pPr>
        <w:pStyle w:val="TextBody"/>
        <w:spacing w:before="0" w:after="0"/>
        <w:ind w:left="0" w:right="0" w:hanging="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2023, the Company’s outstanding indebtedness, at face value, was as follows (in thousands):</w:t>
      </w:r>
    </w:p>
    <w:tbl>
      <w:tblPr>
        <w:tblW w:w="8533" w:type="dxa"/>
        <w:jc w:val="left"/>
        <w:tblInd w:w="0" w:type="dxa"/>
        <w:tblCellMar>
          <w:top w:w="0" w:type="dxa"/>
          <w:left w:w="0" w:type="dxa"/>
          <w:bottom w:w="0" w:type="dxa"/>
          <w:right w:w="0" w:type="dxa"/>
        </w:tblCellMar>
      </w:tblPr>
      <w:tblGrid>
        <w:gridCol w:w="3661"/>
        <w:gridCol w:w="316"/>
        <w:gridCol w:w="1169"/>
        <w:gridCol w:w="326"/>
        <w:gridCol w:w="652"/>
        <w:gridCol w:w="653"/>
        <w:gridCol w:w="146"/>
        <w:gridCol w:w="109"/>
        <w:gridCol w:w="1501"/>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24735" cy="175260"/>
                      <wp:effectExtent l="0" t="0" r="0" b="0"/>
                      <wp:wrapNone/>
                      <wp:docPr id="143" name="Frame143"/>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0660" cy="175260"/>
                      <wp:effectExtent l="0" t="0" r="0" b="0"/>
                      <wp:wrapNone/>
                      <wp:docPr id="144" name="Frame14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42315" cy="175260"/>
                      <wp:effectExtent l="0" t="0" r="0" b="0"/>
                      <wp:wrapNone/>
                      <wp:docPr id="145" name="Frame145"/>
                      <a:graphic xmlns:a="http://schemas.openxmlformats.org/drawingml/2006/main">
                        <a:graphicData uri="http://schemas.microsoft.com/office/word/2010/wordprocessingShape">
                          <wps:wsp>
                            <wps:cNvSpPr txBox="1"/>
                            <wps:spPr>
                              <a:xfrm>
                                <a:off x="0" y="0"/>
                                <a:ext cx="742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14020" cy="175260"/>
                      <wp:effectExtent l="0" t="0" r="0" b="0"/>
                      <wp:wrapNone/>
                      <wp:docPr id="147" name="Frame147"/>
                      <a:graphic xmlns:a="http://schemas.openxmlformats.org/drawingml/2006/main">
                        <a:graphicData uri="http://schemas.microsoft.com/office/word/2010/wordprocessingShape">
                          <wps:wsp>
                            <wps:cNvSpPr txBox="1"/>
                            <wps:spPr>
                              <a:xfrm>
                                <a:off x="0" y="0"/>
                                <a:ext cx="414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14655" cy="175260"/>
                      <wp:effectExtent l="0" t="0" r="0" b="0"/>
                      <wp:wrapNone/>
                      <wp:docPr id="148" name="Frame148"/>
                      <a:graphic xmlns:a="http://schemas.openxmlformats.org/drawingml/2006/main">
                        <a:graphicData uri="http://schemas.microsoft.com/office/word/2010/wordprocessingShape">
                          <wps:wsp>
                            <wps:cNvSpPr txBox="1"/>
                            <wps:spPr>
                              <a:xfrm>
                                <a:off x="0" y="0"/>
                                <a:ext cx="414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710" cy="175260"/>
                      <wp:effectExtent l="0" t="0" r="0" b="0"/>
                      <wp:wrapNone/>
                      <wp:docPr id="149" name="Frame14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53135" cy="175260"/>
                      <wp:effectExtent l="0" t="0" r="0" b="0"/>
                      <wp:wrapNone/>
                      <wp:docPr id="151" name="Frame151"/>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61" w:type="dxa"/>
            <w:tcBorders/>
            <w:shd w:fill="auto" w:val="clear"/>
            <w:vAlign w:val="center"/>
          </w:tcPr>
          <w:p>
            <w:pPr>
              <w:pStyle w:val="TableContents"/>
              <w:spacing w:before="0" w:after="0"/>
              <w:ind w:left="0" w:right="0" w:hanging="0"/>
              <w:jc w:val="center"/>
              <w:rPr/>
            </w:pPr>
            <w:r>
              <w:rPr/>
              <w:t>​</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shd w:fill="auto" w:val="clear"/>
            <w:vAlign w:val="center"/>
          </w:tcPr>
          <w:p>
            <w:pPr>
              <w:pStyle w:val="TableContents"/>
              <w:spacing w:before="0" w:after="0"/>
              <w:ind w:left="0" w:right="0" w:hanging="0"/>
              <w:rPr/>
            </w:pPr>
            <w:r>
              <w:rPr/>
              <w:t> </w:t>
            </w:r>
          </w:p>
        </w:tc>
        <w:tc>
          <w:tcPr>
            <w:tcW w:w="1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r>
      <w:tr>
        <w:trPr/>
        <w:tc>
          <w:tcPr>
            <w:tcW w:w="36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133,150</w:t>
            </w:r>
          </w:p>
        </w:tc>
        <w:tc>
          <w:tcPr>
            <w:tcW w:w="326" w:type="dxa"/>
            <w:tcBorders/>
            <w:shd w:fill="CCEEFF" w:val="clear"/>
            <w:vAlign w:val="center"/>
          </w:tcPr>
          <w:p>
            <w:pPr>
              <w:pStyle w:val="TableContents"/>
              <w:spacing w:before="0" w:after="0"/>
              <w:ind w:left="0" w:right="0" w:hanging="0"/>
              <w:rPr/>
            </w:pPr>
            <w:r>
              <w:rPr/>
              <w:t>​</w:t>
            </w:r>
          </w:p>
        </w:tc>
        <w:tc>
          <w:tcPr>
            <w:tcW w:w="1305" w:type="dxa"/>
            <w:gridSpan w:val="2"/>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 xml:space="preserve">(2) </w:t>
            </w:r>
          </w:p>
        </w:tc>
        <w:tc>
          <w:tcPr>
            <w:tcW w:w="316" w:type="dxa"/>
            <w:tcBorders/>
            <w:shd w:fill="auto" w:val="clear"/>
            <w:vAlign w:val="center"/>
          </w:tcPr>
          <w:p>
            <w:pPr>
              <w:pStyle w:val="TableContents"/>
              <w:spacing w:before="0" w:after="0"/>
              <w:ind w:left="0" w:right="0" w:hanging="0"/>
              <w:rPr/>
            </w:pPr>
            <w:r>
              <w:rPr/>
              <w:t>​</w:t>
            </w:r>
          </w:p>
        </w:tc>
        <w:tc>
          <w:tcPr>
            <w:tcW w:w="11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1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(3) </w:t>
            </w:r>
          </w:p>
        </w:tc>
        <w:tc>
          <w:tcPr>
            <w:tcW w:w="316" w:type="dxa"/>
            <w:tcBorders/>
            <w:shd w:fill="CCEEFF" w:val="clear"/>
            <w:vAlign w:val="center"/>
          </w:tcPr>
          <w:p>
            <w:pPr>
              <w:pStyle w:val="TableContents"/>
              <w:spacing w:before="0" w:after="0"/>
              <w:ind w:left="0" w:right="0" w:hanging="0"/>
              <w:rPr/>
            </w:pPr>
            <w:r>
              <w:rPr/>
              <w:t>​</w:t>
            </w:r>
          </w:p>
        </w:tc>
        <w:tc>
          <w:tcPr>
            <w:tcW w:w="11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spacing w:before="0" w:after="0"/>
              <w:ind w:left="0" w:right="0" w:hanging="0"/>
              <w:rPr/>
            </w:pPr>
            <w:r>
              <w:rPr/>
              <w:t>​</w:t>
            </w:r>
          </w:p>
        </w:tc>
        <w:tc>
          <w:tcPr>
            <w:tcW w:w="1305" w:type="dxa"/>
            <w:gridSpan w:val="2"/>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(4) </w:t>
            </w:r>
          </w:p>
        </w:tc>
        <w:tc>
          <w:tcPr>
            <w:tcW w:w="316" w:type="dxa"/>
            <w:tcBorders/>
            <w:shd w:fill="auto" w:val="clear"/>
            <w:vAlign w:val="center"/>
          </w:tcPr>
          <w:p>
            <w:pPr>
              <w:pStyle w:val="TableContents"/>
              <w:spacing w:before="0" w:after="0"/>
              <w:ind w:left="0" w:right="0" w:hanging="0"/>
              <w:rPr/>
            </w:pPr>
            <w:r>
              <w:rPr/>
              <w:t>​</w:t>
            </w:r>
          </w:p>
        </w:tc>
        <w:tc>
          <w:tcPr>
            <w:tcW w:w="11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3.875% Convertible Senior Notes due 2025</w:t>
            </w:r>
          </w:p>
        </w:tc>
        <w:tc>
          <w:tcPr>
            <w:tcW w:w="316" w:type="dxa"/>
            <w:tcBorders/>
            <w:shd w:fill="CCEEFF" w:val="clear"/>
            <w:vAlign w:val="center"/>
          </w:tcPr>
          <w:p>
            <w:pPr>
              <w:pStyle w:val="TableContents"/>
              <w:spacing w:before="0" w:after="0"/>
              <w:ind w:left="0" w:right="0" w:hanging="0"/>
              <w:rPr/>
            </w:pPr>
            <w:r>
              <w:rPr/>
              <w:t>​</w:t>
            </w:r>
          </w:p>
        </w:tc>
        <w:tc>
          <w:tcPr>
            <w:tcW w:w="11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c>
          <w:tcPr>
            <w:tcW w:w="326" w:type="dxa"/>
            <w:tcBorders/>
            <w:shd w:fill="CCEEFF" w:val="clear"/>
            <w:vAlign w:val="center"/>
          </w:tcPr>
          <w:p>
            <w:pPr>
              <w:pStyle w:val="TableContents"/>
              <w:spacing w:before="0" w:after="0"/>
              <w:ind w:left="0" w:right="0" w:hanging="0"/>
              <w:rPr/>
            </w:pPr>
            <w:r>
              <w:rPr/>
              <w:t>​</w:t>
            </w:r>
          </w:p>
        </w:tc>
        <w:tc>
          <w:tcPr>
            <w:tcW w:w="1305" w:type="dxa"/>
            <w:gridSpan w:val="2"/>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1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3.875%</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Note Payable</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Face Value Debt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466,984</w:t>
            </w:r>
          </w:p>
        </w:tc>
        <w:tc>
          <w:tcPr>
            <w:tcW w:w="326" w:type="dxa"/>
            <w:tcBorders/>
            <w:shd w:fill="CCEEFF" w:val="clear"/>
            <w:vAlign w:val="center"/>
          </w:tcPr>
          <w:p>
            <w:pPr>
              <w:pStyle w:val="TableContents"/>
              <w:spacing w:before="0" w:after="0"/>
              <w:ind w:left="0" w:right="0" w:hanging="0"/>
              <w:rPr/>
            </w:pPr>
            <w:r>
              <w:rPr/>
              <w:t>​</w:t>
            </w:r>
          </w:p>
        </w:tc>
        <w:tc>
          <w:tcPr>
            <w:tcW w:w="652" w:type="dxa"/>
            <w:tcBorders/>
            <w:shd w:fill="CCEEFF" w:val="clear"/>
            <w:vAlign w:val="center"/>
          </w:tcPr>
          <w:p>
            <w:pPr>
              <w:pStyle w:val="TableContents"/>
              <w:spacing w:before="0" w:after="0"/>
              <w:ind w:left="0" w:right="0" w:hanging="0"/>
              <w:rPr/>
            </w:pPr>
            <w:r>
              <w:rPr/>
              <w:t>​</w:t>
            </w:r>
          </w:p>
        </w:tc>
        <w:tc>
          <w:tcPr>
            <w:tcW w:w="65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5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$100.0</w:t>
            </w:r>
            <w:r>
              <w:rPr>
                <w:rFonts w:ascii="Times New Roman;Times;serif" w:hAnsi="Times New Roman;Times;serif"/>
                <w:sz w:val="20"/>
              </w:rPr>
              <w:t xml:space="preserve"> </w:t>
            </w:r>
            <w:r>
              <w:rPr>
                <w:rFonts w:ascii="Times New Roman;Times;serif" w:hAnsi="Times New Roman;Times;serif"/>
                <w:sz w:val="16"/>
              </w:rPr>
              <w:t>million of the Credit Facility balance to fix SOFR and achieve a weighted average fixed swap rate of 3.28%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pBdr/>
        <w:spacing w:lineRule="auto" w:line="240" w:before="0" w:after="0"/>
        <w:ind w:left="0" w:right="0" w:hanging="36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Company utilized interest rate swaps on the $65.0 million 2026 Term Loan balance to fix SOFR and achieve a weighted average fixed swap rate of 0.26% plus the 10 bps SOFR adjustment plus the applicable spread.</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4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2027 Term Loan balance to fix SOFR and achieve a fixed swap rate of 0.64%</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5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weighted average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 xml:space="preserve">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w:t>
      </w:r>
      <w:r>
        <w:rPr>
          <w:rFonts w:ascii="Times New Roman;Times;serif" w:hAnsi="Times New Roman;Times;serif"/>
          <w:sz w:val="20"/>
          <w:highlight w:val="white"/>
        </w:rPr>
        <w:t>The Huntington National Bank, PNC Bank, National Association, and Regions Bank, were added as lenders to the Company’s Credit Facility.</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 </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 </w:t>
      </w:r>
    </w:p>
    <w:p>
      <w:pPr>
        <w:pStyle w:val="TextBody"/>
        <w:spacing w:before="0" w:after="0"/>
        <w:ind w:left="0" w:right="0" w:firstLine="490"/>
        <w:jc w:val="both"/>
        <w:rPr/>
      </w:pPr>
      <w:r>
        <w:rPr/>
        <w:t>​</w:t>
      </w:r>
    </w:p>
    <w:p>
      <w:pPr>
        <w:pStyle w:val="TextBody"/>
        <w:shd w:fill="FFFFFF" w:val="clear"/>
        <w:spacing w:before="0" w:after="200"/>
        <w:ind w:left="0" w:right="0" w:firstLine="490"/>
        <w:jc w:val="both"/>
        <w:rPr>
          <w:rFonts w:ascii="Times New Roman;Times;serif" w:hAnsi="Times New Roman;Times;serif"/>
          <w:sz w:val="20"/>
        </w:rPr>
      </w:pPr>
      <w:r>
        <w:rPr>
          <w:rFonts w:ascii="Times New Roman;Times;serif" w:hAnsi="Times New Roman;Times;serif"/>
          <w:sz w:val="20"/>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March 31, 2023, the current commitment level under the Credit Facility was $300.0 million. The undrawn commitment under the Credit Facility totaled $166.8 million. As of March 31, 2023, the Credit Facility had a $133.2 million balance outstanding.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142" w:name="CONVERTIBLE_DEBT"/>
      <w:bookmarkEnd w:id="1142"/>
      <w:r>
        <w:rPr>
          <w:rFonts w:ascii="Times New Roman;Times;serif" w:hAnsi="Times New Roman;Times;serif"/>
          <w:sz w:val="20"/>
        </w:rPr>
        <w:t>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highlight w:val="white"/>
        </w:rPr>
        <w:t>On March 3, 2022, in connection with the acquisition of Price Plaza Shopping Center, the Company assumed an existing $17.8 million secured fixed-rate mortgage note payable, which bears interest at a fixed rate of 4.06% and matures in August 2026.</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The Company had an initial aggregate principal amount of $75.0 million of 3.875% Convertible 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March 31, 2023.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at a price not to exceed 117% of par value. The 2025 Notes Repurchase Program does not obligate the Company to acquire any particular amount of 2025 Notes and may be modified or suspended. The Company was not active under the 2025 Notes Repurchase Program during the three months ended March 31, 2023.</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first quarter 2023 dividend, the conversion rate is equal to 63.4237 shares of common stock for each $1,000 principal amount of 2025 Notes, which represents an adjusted conversion price of $15.77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 </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highlight w:val="white"/>
        </w:rPr>
        <w:t xml:space="preserve">As of </w:t>
      </w:r>
      <w:r>
        <w:rPr>
          <w:rFonts w:ascii="Times New Roman;Times;serif" w:hAnsi="Times New Roman;Times;serif"/>
          <w:sz w:val="20"/>
        </w:rPr>
        <w:t>March 31</w:t>
      </w:r>
      <w:r>
        <w:rPr>
          <w:rFonts w:ascii="Times New Roman;Times;serif" w:hAnsi="Times New Roman;Times;serif"/>
          <w:sz w:val="20"/>
          <w:highlight w:val="white"/>
        </w:rPr>
        <w:t>, 2023, the unamortized debt discount of our 2025 Notes was $0.3 million, which represents the cash component of the discount.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bookmarkStart w:id="1143" w:name="Tc_l1LX_q1QbUmyOgjd8O6SqA_8_5"/>
      <w:bookmarkStart w:id="1144" w:name="Tc_OLQPNJpjG06sKd0au6HSww_8_2"/>
      <w:bookmarkStart w:id="1145" w:name="Tc_iy__PdtTx0-DZ7Kgv0hS3A_8_0"/>
      <w:bookmarkStart w:id="1146" w:name="Tc_Udlns2FXbE2APE3GHtJVbg_6_5"/>
      <w:bookmarkStart w:id="1147" w:name="Tc_BPoh-IMrYUWFd7v1L8Nrkw_6_2"/>
      <w:bookmarkStart w:id="1148" w:name="Tc_eGpPR75x_EG_tC0PtXQcGg_6_0"/>
      <w:bookmarkStart w:id="1149" w:name="Tc_dl-KsfrXKEC_RLAbaDB5UQ_5_0"/>
      <w:bookmarkStart w:id="1150" w:name="Tc_d07OwupY_UGGcPd3x5IurQ_4_0"/>
      <w:bookmarkStart w:id="1151" w:name="Tc_E10odWEz-02OSegru1_CXg_3_5"/>
      <w:bookmarkStart w:id="1152" w:name="Tc_7Hl84Uuxc0-ZOIg1RVJevw_3_2"/>
      <w:bookmarkStart w:id="1153" w:name="Tc_QM3Vlc2LKkOrnTaL0leLhg_3_0"/>
      <w:bookmarkStart w:id="1154" w:name="Tc_zjhEyzpMWECAn7atyE83ig_2_5"/>
      <w:bookmarkStart w:id="1155" w:name="Tc_H_y7zkcyVUyYJ4CYVEJL2A_2_2"/>
      <w:bookmarkStart w:id="1156" w:name="Tc_q6lxPh_B40SeKdnig7FY3w_1_2"/>
      <w:bookmarkStart w:id="1157" w:name="_2b934688_492b_489a_a84a_0fe197acf345"/>
      <w:bookmarkStart w:id="1158" w:name="Narr_oa3PbgYq-keWTok3bNsMxg"/>
      <w:bookmarkStart w:id="1159" w:name="Tc_OEJEcAUDe0eS5CwM8FVHWg_5_2"/>
      <w:bookmarkStart w:id="1160" w:name="Tc_Xt3FUBIE8kyN5C7100ecRw_5_0"/>
      <w:bookmarkStart w:id="1161" w:name="Tc_Ug9DfqYvwkyjSKImG9VOHQ_4_0"/>
      <w:bookmarkStart w:id="1162" w:name="Tc_cWDRUYUuykevNxNdzrnBog_3_0"/>
      <w:bookmarkStart w:id="1163" w:name="Tc_KdhB210g6kCmBU72FMVR9g_2_2"/>
      <w:bookmarkStart w:id="1164" w:name="Tc_D1eeDXPCLE6Lhp2wlBmVow_2_0"/>
      <w:bookmarkStart w:id="1165" w:name="Tc_zy3fh7OdR0asQ69FgmEcWw_1_2"/>
      <w:bookmarkStart w:id="1166" w:name="_d3676e3e_749f_44c9_8273_135a3f7b2ffe"/>
      <w:bookmarkStart w:id="1167" w:name="Tc_UrswonBtekWkVgbRIUVEOg_9_2"/>
      <w:bookmarkStart w:id="1168" w:name="Tc_QJ62qMgY50anTwdIu704-w_9_0"/>
      <w:bookmarkStart w:id="1169" w:name="Tc_c3aTbzbrbkOn6PaDuHKuJw_8_3"/>
      <w:bookmarkStart w:id="1170" w:name="Tc_ZvQJ9hq4ZE-tyOU-GsqLvw_8_0"/>
      <w:bookmarkStart w:id="1171" w:name="Tc_wz7d2munek-jwLBO618-RA_7_0"/>
      <w:bookmarkStart w:id="1172" w:name="Tc_vpgNw-6PME62jjg8CWl-Xg_6_0"/>
      <w:bookmarkStart w:id="1173" w:name="Tc_B-2x75jFbUy6Eg3VXiCqvA_5_0"/>
      <w:bookmarkStart w:id="1174" w:name="Tc_oyPRMR1nBEqFWJJNCuwtVg_4_0"/>
      <w:bookmarkStart w:id="1175" w:name="Tc_iNMbuvv3NUeZaFFL3ZRljw_3_3"/>
      <w:bookmarkStart w:id="1176" w:name="Tc_gs-T2KoZgES1WrjHCcSYTA_3_0"/>
      <w:bookmarkStart w:id="1177" w:name="Tc_ilw0Om0c4UqhUCSR_QOu8A_2_3"/>
      <w:bookmarkStart w:id="1178" w:name="Tc_S7xobNjx10GOV8HqJ6jqMg_2_2"/>
      <w:bookmarkStart w:id="1179" w:name="Tc_NpvGk-xi_02nvnsmTAOuYw_2_0"/>
      <w:bookmarkStart w:id="1180" w:name="Tc_U9hFN2vhNkm7yfxthvJNbg_1_2"/>
      <w:bookmarkStart w:id="1181" w:name="Tc_EAzzL8hcPU6N8kWbtDn3Ig_1_0"/>
      <w:bookmarkStart w:id="1182" w:name="_8d5e61bf_559d_488e_8b34_6b453f8938ad"/>
      <w:bookmarkStart w:id="1183" w:name="Tc_4N88Z9no5UGU-l3RI7lTBA_10_12"/>
      <w:bookmarkStart w:id="1184" w:name="Tc_WxfhKcjUeEaM-_ZuokyqFg_10_11"/>
      <w:bookmarkStart w:id="1185" w:name="Tc_1BBC5w8YZU-N5LAAti8icQ_10_8"/>
      <w:bookmarkStart w:id="1186" w:name="Tc_sIiNvQAy1UaRDH4Fk32sOQ_10_6"/>
      <w:bookmarkStart w:id="1187" w:name="Tc_LBOjb2O9IUKyI8R-y-d0cw_10_5"/>
      <w:bookmarkStart w:id="1188" w:name="Tc_iffUgKSN60euQ7m7RvJsWw_10_2"/>
      <w:bookmarkStart w:id="1189" w:name="Tc_zpXoEoXxEU-D3pfHjhU6Ng_10_0"/>
      <w:bookmarkStart w:id="1190" w:name="Tc_8XlIsL5XIkW31dsDy8MF3Q_9_12"/>
      <w:bookmarkStart w:id="1191" w:name="Tc_3emJzi8bokajv3N9yIa4xg_9_6"/>
      <w:bookmarkStart w:id="1192" w:name="Tc_cCguJxoC9kmgumy_2BwS-A_9_0"/>
      <w:bookmarkStart w:id="1193" w:name="Tc_PHXEkCkjkEee1iF8iLOKSQ_8_12"/>
      <w:bookmarkStart w:id="1194" w:name="Tc_NZ0pSMD_AUSd8drFxfB2hw_8_6"/>
      <w:bookmarkStart w:id="1195" w:name="Tc_p_zN_ERLFkyOckdZTKniYQ_8_0"/>
      <w:bookmarkStart w:id="1196" w:name="Tc_Y5MI3V3GHEOf8cNf3KaBOw_7_12"/>
      <w:bookmarkStart w:id="1197" w:name="Tc_JwFCJBmjjEKHwbcf3WsMEw_7_6"/>
      <w:bookmarkStart w:id="1198" w:name="Tc_hgz2rLDsqU6URbOEB5Hd_w_7_0"/>
      <w:bookmarkStart w:id="1199" w:name="Tc_Bcf9OAkLwUuBRHuQNqM9Xw_6_12"/>
      <w:bookmarkStart w:id="1200" w:name="Tc_URXCNoo01k6bZpQ_aPWfLw_6_6"/>
      <w:bookmarkStart w:id="1201" w:name="Tc_KmC3_LZXyU64kOKm5JMrbA_6_0"/>
      <w:bookmarkStart w:id="1202" w:name="Tc_LnJZTcFf8Eimjk0yCLiBzA_5_12"/>
      <w:bookmarkStart w:id="1203" w:name="Tc_aDHhR86d20qCh9x_aT5Ucw_5_6"/>
      <w:bookmarkStart w:id="1204" w:name="Tc_Fs31SvQqXUq6NDonyjufbQ_5_0"/>
      <w:bookmarkStart w:id="1205" w:name="Tc_QohFRF5CS0Sce6bD-qFvTA_4_12"/>
      <w:bookmarkStart w:id="1206" w:name="Tc_s4eAfevSRESC3QDG-ki9aQ_4_6"/>
      <w:bookmarkStart w:id="1207" w:name="Tc_d86n9xGmZ02W-G6gmVOfag_4_0"/>
      <w:bookmarkStart w:id="1208" w:name="Tc_X9lc1f_t8kaFY-pDS8KM-A_3_12"/>
      <w:bookmarkStart w:id="1209" w:name="Tc_95taMyY3lEGnuvS3Dtrkvg_3_11"/>
      <w:bookmarkStart w:id="1210" w:name="Tc_nSYnobbS_0eSggo6rpJ9iA_3_8"/>
      <w:bookmarkStart w:id="1211" w:name="Tc_9M5cm6otkU6SSiCbXLMmMQ_3_6"/>
      <w:bookmarkStart w:id="1212" w:name="Tc_NJtjfMiMtUCGGpgrlhpG9Q_3_5"/>
      <w:bookmarkStart w:id="1213" w:name="Tc_sRKlW3ecHUiLYY3UUNPQyw_3_2"/>
      <w:bookmarkStart w:id="1214" w:name="Tc_3GTMBKPGxUONM5Ib8DSa3g_3_0"/>
      <w:bookmarkStart w:id="1215" w:name="Tc_4qTehkZGOkia-1Ch0jER8Q_2_11"/>
      <w:bookmarkStart w:id="1216" w:name="Tc_z0qfuJiv0kCyfdr5m0as8w_2_8"/>
      <w:bookmarkStart w:id="1217" w:name="Tc_pH1Hlsvan0aFpj5ENkRm9Q_2_5"/>
      <w:bookmarkStart w:id="1218" w:name="Tc_9uoXuKWDKEGQcgKUtQMrKA_2_2"/>
      <w:bookmarkStart w:id="1219" w:name="Tc_C17fhIkpDE6d6AWS4C4NtQ_1_8"/>
      <w:bookmarkStart w:id="1220" w:name="Tc_My83lJ-E90W3D5mH99Fw3w_1_2"/>
      <w:bookmarkStart w:id="1221" w:name="_688834bc_2e5d_4b02_bc33_e41db34a27c4"/>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Fonts w:ascii="Times New Roman;Times;serif" w:hAnsi="Times New Roman;Times;serif"/>
          <w:sz w:val="20"/>
        </w:rPr>
        <w:t>Long-term debt consisted of the following (in thousands):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622"/>
        <w:gridCol w:w="326"/>
        <w:gridCol w:w="211"/>
        <w:gridCol w:w="781"/>
        <w:gridCol w:w="326"/>
        <w:gridCol w:w="647"/>
        <w:gridCol w:w="1067"/>
        <w:gridCol w:w="146"/>
        <w:gridCol w:w="211"/>
        <w:gridCol w:w="781"/>
        <w:gridCol w:w="326"/>
        <w:gridCol w:w="548"/>
        <w:gridCol w:w="1213"/>
      </w:tblGrid>
      <w:tr>
        <w:trPr/>
        <w:tc>
          <w:tcPr>
            <w:tcW w:w="36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0845" cy="175260"/>
                      <wp:effectExtent l="0" t="0" r="0" b="0"/>
                      <wp:wrapNone/>
                      <wp:docPr id="156" name="Frame156"/>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77545" cy="175260"/>
                      <wp:effectExtent l="0" t="0" r="0" b="0"/>
                      <wp:wrapNone/>
                      <wp:docPr id="157" name="Frame157"/>
                      <a:graphic xmlns:a="http://schemas.openxmlformats.org/drawingml/2006/main">
                        <a:graphicData uri="http://schemas.microsoft.com/office/word/2010/wordprocessingShape">
                          <wps:wsp>
                            <wps:cNvSpPr txBox="1"/>
                            <wps:spPr>
                              <a:xfrm>
                                <a:off x="0" y="0"/>
                                <a:ext cx="677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5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6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7980" cy="175260"/>
                      <wp:effectExtent l="0" t="0" r="0" b="0"/>
                      <wp:wrapNone/>
                      <wp:docPr id="162" name="Frame162"/>
                      <a:graphic xmlns:a="http://schemas.openxmlformats.org/drawingml/2006/main">
                        <a:graphicData uri="http://schemas.microsoft.com/office/word/2010/wordprocessingShape">
                          <wps:wsp>
                            <wps:cNvSpPr txBox="1"/>
                            <wps:spPr>
                              <a:xfrm>
                                <a:off x="0" y="0"/>
                                <a:ext cx="347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70255" cy="175260"/>
                      <wp:effectExtent l="0" t="0" r="0" b="0"/>
                      <wp:wrapNone/>
                      <wp:docPr id="163" name="Frame163"/>
                      <a:graphic xmlns:a="http://schemas.openxmlformats.org/drawingml/2006/main">
                        <a:graphicData uri="http://schemas.microsoft.com/office/word/2010/wordprocessingShape">
                          <wps:wsp>
                            <wps:cNvSpPr txBox="1"/>
                            <wps:spPr>
                              <a:xfrm>
                                <a:off x="0" y="0"/>
                                <a:ext cx="770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2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03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46" w:type="dxa"/>
            <w:tcBorders/>
            <w:shd w:fill="auto" w:val="clear"/>
            <w:vAlign w:val="center"/>
          </w:tcPr>
          <w:p>
            <w:pPr>
              <w:pStyle w:val="TableContents"/>
              <w:spacing w:before="0" w:after="0"/>
              <w:ind w:left="0" w:right="0" w:hanging="0"/>
              <w:rPr/>
            </w:pPr>
            <w:r>
              <w:rPr/>
              <w:t>​</w:t>
            </w:r>
          </w:p>
        </w:tc>
        <w:tc>
          <w:tcPr>
            <w:tcW w:w="307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62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7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7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6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Facility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133,150</w:t>
            </w:r>
          </w:p>
        </w:tc>
        <w:tc>
          <w:tcPr>
            <w:tcW w:w="326"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113,750</w:t>
            </w:r>
          </w:p>
        </w:tc>
        <w:tc>
          <w:tcPr>
            <w:tcW w:w="326" w:type="dxa"/>
            <w:tcBorders/>
            <w:shd w:fill="CCEEFF" w:val="clear"/>
            <w:vAlign w:val="center"/>
          </w:tcPr>
          <w:p>
            <w:pPr>
              <w:pStyle w:val="TableContents"/>
              <w:spacing w:before="0" w:after="0"/>
              <w:ind w:left="0" w:right="0" w:hanging="0"/>
              <w:rPr/>
            </w:pPr>
            <w:r>
              <w:rPr/>
              <w:t>​</w:t>
            </w:r>
          </w:p>
        </w:tc>
        <w:tc>
          <w:tcPr>
            <w:tcW w:w="5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spacing w:before="0" w:after="0"/>
              <w:ind w:left="0" w:right="0" w:hanging="0"/>
              <w:jc w:val="right"/>
              <w:rPr/>
            </w:pPr>
            <w:r>
              <w:rPr/>
              <w:t>—</w:t>
            </w:r>
          </w:p>
        </w:tc>
      </w:tr>
      <w:tr>
        <w:trPr/>
        <w:tc>
          <w:tcPr>
            <w:tcW w:w="36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 Term Loan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shd w:fill="auto" w:val="clear"/>
            <w:vAlign w:val="center"/>
          </w:tcPr>
          <w:p>
            <w:pPr>
              <w:pStyle w:val="TableContents"/>
              <w:spacing w:before="0" w:after="0"/>
              <w:ind w:left="0" w:right="0" w:hanging="0"/>
              <w:rPr/>
            </w:pPr>
            <w:r>
              <w:rPr/>
              <w:t>​</w:t>
            </w:r>
          </w:p>
        </w:tc>
        <w:tc>
          <w:tcPr>
            <w:tcW w:w="64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shd w:fill="auto" w:val="clear"/>
            <w:vAlign w:val="center"/>
          </w:tcPr>
          <w:p>
            <w:pPr>
              <w:pStyle w:val="TableContents"/>
              <w:spacing w:before="0" w:after="0"/>
              <w:ind w:left="0" w:right="0" w:hanging="0"/>
              <w:rPr/>
            </w:pPr>
            <w:r>
              <w:rPr/>
              <w:t>​</w:t>
            </w:r>
          </w:p>
        </w:tc>
        <w:tc>
          <w:tcPr>
            <w:tcW w:w="548" w:type="dxa"/>
            <w:tcBorders/>
            <w:shd w:fill="auto" w:val="clear"/>
            <w:vAlign w:val="center"/>
          </w:tcPr>
          <w:p>
            <w:pPr>
              <w:pStyle w:val="TableContents"/>
              <w:spacing w:before="0" w:after="0"/>
              <w:ind w:left="0" w:right="0" w:hanging="0"/>
              <w:rPr/>
            </w:pPr>
            <w:r>
              <w:rPr/>
              <w:t>​</w:t>
            </w:r>
          </w:p>
        </w:tc>
        <w:tc>
          <w:tcPr>
            <w:tcW w:w="1213" w:type="dxa"/>
            <w:tcBorders/>
            <w:shd w:fill="auto" w:val="clear"/>
            <w:vAlign w:val="center"/>
          </w:tcPr>
          <w:p>
            <w:pPr>
              <w:pStyle w:val="TableContents"/>
              <w:spacing w:before="0" w:after="0"/>
              <w:ind w:left="0" w:right="0" w:hanging="0"/>
              <w:jc w:val="right"/>
              <w:rPr/>
            </w:pPr>
            <w:r>
              <w:rPr/>
              <w:t>—</w:t>
            </w:r>
          </w:p>
        </w:tc>
      </w:tr>
      <w:tr>
        <w:trPr/>
        <w:tc>
          <w:tcPr>
            <w:tcW w:w="36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Term Loan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rPr/>
            </w:pPr>
            <w:r>
              <w:rPr/>
              <w:t>​</w:t>
            </w:r>
          </w:p>
        </w:tc>
        <w:tc>
          <w:tcPr>
            <w:tcW w:w="1067"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spacing w:before="0" w:after="0"/>
              <w:ind w:left="0" w:right="0" w:hanging="0"/>
              <w:rPr/>
            </w:pPr>
            <w:r>
              <w:rPr/>
              <w:t>​</w:t>
            </w:r>
          </w:p>
        </w:tc>
        <w:tc>
          <w:tcPr>
            <w:tcW w:w="548" w:type="dxa"/>
            <w:tcBorders/>
            <w:shd w:fill="CCEEFF" w:val="clear"/>
            <w:vAlign w:val="center"/>
          </w:tcPr>
          <w:p>
            <w:pPr>
              <w:pStyle w:val="TableContents"/>
              <w:spacing w:before="0" w:after="0"/>
              <w:ind w:left="0" w:right="0" w:hanging="0"/>
              <w:rPr/>
            </w:pPr>
            <w:r>
              <w:rPr/>
              <w:t>​</w:t>
            </w:r>
          </w:p>
        </w:tc>
        <w:tc>
          <w:tcPr>
            <w:tcW w:w="1213" w:type="dxa"/>
            <w:tcBorders/>
            <w:shd w:fill="CCEEFF" w:val="clear"/>
            <w:vAlign w:val="center"/>
          </w:tcPr>
          <w:p>
            <w:pPr>
              <w:pStyle w:val="TableContents"/>
              <w:spacing w:before="0" w:after="0"/>
              <w:ind w:left="0" w:right="0" w:hanging="0"/>
              <w:jc w:val="right"/>
              <w:rPr/>
            </w:pPr>
            <w:r>
              <w:rPr/>
              <w:t>—</w:t>
            </w:r>
          </w:p>
        </w:tc>
      </w:tr>
      <w:tr>
        <w:trPr/>
        <w:tc>
          <w:tcPr>
            <w:tcW w:w="36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 Term Loan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auto" w:val="clear"/>
            <w:vAlign w:val="center"/>
          </w:tcPr>
          <w:p>
            <w:pPr>
              <w:pStyle w:val="TableContents"/>
              <w:spacing w:before="0" w:after="0"/>
              <w:ind w:left="0" w:right="0" w:hanging="0"/>
              <w:rPr/>
            </w:pPr>
            <w:r>
              <w:rPr/>
              <w:t>​</w:t>
            </w:r>
          </w:p>
        </w:tc>
        <w:tc>
          <w:tcPr>
            <w:tcW w:w="64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auto" w:val="clear"/>
            <w:vAlign w:val="center"/>
          </w:tcPr>
          <w:p>
            <w:pPr>
              <w:pStyle w:val="TableContents"/>
              <w:spacing w:before="0" w:after="0"/>
              <w:ind w:left="0" w:right="0" w:hanging="0"/>
              <w:rPr/>
            </w:pPr>
            <w:r>
              <w:rPr/>
              <w:t>​</w:t>
            </w:r>
          </w:p>
        </w:tc>
        <w:tc>
          <w:tcPr>
            <w:tcW w:w="548" w:type="dxa"/>
            <w:tcBorders/>
            <w:shd w:fill="auto" w:val="clear"/>
            <w:vAlign w:val="center"/>
          </w:tcPr>
          <w:p>
            <w:pPr>
              <w:pStyle w:val="TableContents"/>
              <w:spacing w:before="0" w:after="0"/>
              <w:ind w:left="0" w:right="0" w:hanging="0"/>
              <w:rPr/>
            </w:pPr>
            <w:r>
              <w:rPr/>
              <w:t>​</w:t>
            </w:r>
          </w:p>
        </w:tc>
        <w:tc>
          <w:tcPr>
            <w:tcW w:w="1213" w:type="dxa"/>
            <w:tcBorders/>
            <w:shd w:fill="auto" w:val="clear"/>
            <w:vAlign w:val="center"/>
          </w:tcPr>
          <w:p>
            <w:pPr>
              <w:pStyle w:val="TableContents"/>
              <w:spacing w:before="0" w:after="0"/>
              <w:ind w:left="0" w:right="0" w:hanging="0"/>
              <w:jc w:val="right"/>
              <w:rPr/>
            </w:pPr>
            <w:r>
              <w:rPr/>
              <w:t>—</w:t>
            </w:r>
          </w:p>
        </w:tc>
      </w:tr>
      <w:tr>
        <w:trPr/>
        <w:tc>
          <w:tcPr>
            <w:tcW w:w="36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3.875% Convertible Senior Notes, net of Discount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50,710</w:t>
            </w:r>
          </w:p>
        </w:tc>
        <w:tc>
          <w:tcPr>
            <w:tcW w:w="326" w:type="dxa"/>
            <w:tcBorders/>
            <w:shd w:fill="CCEEFF" w:val="clear"/>
            <w:vAlign w:val="center"/>
          </w:tcPr>
          <w:p>
            <w:pPr>
              <w:pStyle w:val="TableContents"/>
              <w:spacing w:before="0" w:after="0"/>
              <w:ind w:left="0" w:right="0" w:hanging="0"/>
              <w:rPr/>
            </w:pPr>
            <w:r>
              <w:rPr/>
              <w:t>​</w:t>
            </w:r>
          </w:p>
        </w:tc>
        <w:tc>
          <w:tcPr>
            <w:tcW w:w="647" w:type="dxa"/>
            <w:tcBorders/>
            <w:shd w:fill="CCEEFF" w:val="clear"/>
            <w:vAlign w:val="center"/>
          </w:tcPr>
          <w:p>
            <w:pPr>
              <w:pStyle w:val="TableContents"/>
              <w:spacing w:before="0" w:after="0"/>
              <w:ind w:left="0" w:right="0" w:hanging="0"/>
              <w:rPr/>
            </w:pPr>
            <w:r>
              <w:rPr/>
              <w:t>​</w:t>
            </w:r>
          </w:p>
        </w:tc>
        <w:tc>
          <w:tcPr>
            <w:tcW w:w="1067"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50,670</w:t>
            </w:r>
          </w:p>
        </w:tc>
        <w:tc>
          <w:tcPr>
            <w:tcW w:w="326" w:type="dxa"/>
            <w:tcBorders/>
            <w:shd w:fill="CCEEFF" w:val="clear"/>
            <w:vAlign w:val="center"/>
          </w:tcPr>
          <w:p>
            <w:pPr>
              <w:pStyle w:val="TableContents"/>
              <w:spacing w:before="0" w:after="0"/>
              <w:ind w:left="0" w:right="0" w:hanging="0"/>
              <w:rPr/>
            </w:pPr>
            <w:r>
              <w:rPr/>
              <w:t>​</w:t>
            </w:r>
          </w:p>
        </w:tc>
        <w:tc>
          <w:tcPr>
            <w:tcW w:w="548" w:type="dxa"/>
            <w:tcBorders/>
            <w:shd w:fill="CCEEFF" w:val="clear"/>
            <w:vAlign w:val="center"/>
          </w:tcPr>
          <w:p>
            <w:pPr>
              <w:pStyle w:val="TableContents"/>
              <w:spacing w:before="0" w:after="0"/>
              <w:ind w:left="0" w:right="0" w:hanging="0"/>
              <w:rPr/>
            </w:pPr>
            <w:r>
              <w:rPr/>
              <w:t>​</w:t>
            </w:r>
          </w:p>
        </w:tc>
        <w:tc>
          <w:tcPr>
            <w:tcW w:w="1213" w:type="dxa"/>
            <w:tcBorders/>
            <w:shd w:fill="CCEEFF" w:val="clear"/>
            <w:vAlign w:val="center"/>
          </w:tcPr>
          <w:p>
            <w:pPr>
              <w:pStyle w:val="TableContents"/>
              <w:spacing w:before="0" w:after="0"/>
              <w:ind w:left="0" w:right="0" w:hanging="0"/>
              <w:jc w:val="right"/>
              <w:rPr/>
            </w:pPr>
            <w:r>
              <w:rPr/>
              <w:t>—</w:t>
            </w:r>
          </w:p>
        </w:tc>
      </w:tr>
      <w:tr>
        <w:trPr/>
        <w:tc>
          <w:tcPr>
            <w:tcW w:w="36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Note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shd w:fill="auto" w:val="clear"/>
            <w:vAlign w:val="center"/>
          </w:tcPr>
          <w:p>
            <w:pPr>
              <w:pStyle w:val="TableContents"/>
              <w:spacing w:before="0" w:after="0"/>
              <w:ind w:left="0" w:right="0" w:hanging="0"/>
              <w:rPr/>
            </w:pPr>
            <w:r>
              <w:rPr/>
              <w:t>​</w:t>
            </w:r>
          </w:p>
        </w:tc>
        <w:tc>
          <w:tcPr>
            <w:tcW w:w="64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shd w:fill="auto" w:val="clear"/>
            <w:vAlign w:val="center"/>
          </w:tcPr>
          <w:p>
            <w:pPr>
              <w:pStyle w:val="TableContents"/>
              <w:spacing w:before="0" w:after="0"/>
              <w:ind w:left="0" w:right="0" w:hanging="0"/>
              <w:rPr/>
            </w:pPr>
            <w:r>
              <w:rPr/>
              <w:t>​</w:t>
            </w:r>
          </w:p>
        </w:tc>
        <w:tc>
          <w:tcPr>
            <w:tcW w:w="548" w:type="dxa"/>
            <w:tcBorders/>
            <w:shd w:fill="auto" w:val="clear"/>
            <w:vAlign w:val="center"/>
          </w:tcPr>
          <w:p>
            <w:pPr>
              <w:pStyle w:val="TableContents"/>
              <w:spacing w:before="0" w:after="0"/>
              <w:ind w:left="0" w:right="0" w:hanging="0"/>
              <w:rPr/>
            </w:pPr>
            <w:r>
              <w:rPr/>
              <w:t>​</w:t>
            </w:r>
          </w:p>
        </w:tc>
        <w:tc>
          <w:tcPr>
            <w:tcW w:w="1213" w:type="dxa"/>
            <w:tcBorders/>
            <w:shd w:fill="auto" w:val="clear"/>
            <w:vAlign w:val="center"/>
          </w:tcPr>
          <w:p>
            <w:pPr>
              <w:pStyle w:val="TableContents"/>
              <w:spacing w:before="0" w:after="0"/>
              <w:ind w:left="0" w:right="0" w:hanging="0"/>
              <w:jc w:val="right"/>
              <w:rPr/>
            </w:pPr>
            <w:r>
              <w:rPr/>
              <w:t>—</w:t>
            </w:r>
          </w:p>
        </w:tc>
      </w:tr>
      <w:tr>
        <w:trPr/>
        <w:tc>
          <w:tcPr>
            <w:tcW w:w="36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26" w:type="dxa"/>
            <w:tcBorders/>
            <w:shd w:fill="CCEEFF" w:val="clear"/>
            <w:vAlign w:val="center"/>
          </w:tcPr>
          <w:p>
            <w:pPr>
              <w:pStyle w:val="TableContents"/>
              <w:spacing w:before="0" w:after="0"/>
              <w:ind w:left="0" w:right="0" w:hanging="0"/>
              <w:rPr/>
            </w:pPr>
            <w:r>
              <w:rPr/>
              <w:t>​</w:t>
            </w:r>
          </w:p>
        </w:tc>
        <w:tc>
          <w:tcPr>
            <w:tcW w:w="64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6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shd w:fill="CCEEFF" w:val="clear"/>
            <w:vAlign w:val="center"/>
          </w:tcPr>
          <w:p>
            <w:pPr>
              <w:pStyle w:val="TableContents"/>
              <w:spacing w:before="0" w:after="0"/>
              <w:ind w:left="0" w:right="0" w:hanging="0"/>
              <w:rPr/>
            </w:pPr>
            <w:r>
              <w:rPr/>
              <w:t>​</w:t>
            </w:r>
          </w:p>
        </w:tc>
        <w:tc>
          <w:tcPr>
            <w:tcW w:w="54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1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6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465,130</w:t>
            </w:r>
          </w:p>
        </w:tc>
        <w:tc>
          <w:tcPr>
            <w:tcW w:w="326" w:type="dxa"/>
            <w:tcBorders/>
            <w:shd w:fill="auto" w:val="clear"/>
            <w:vAlign w:val="center"/>
          </w:tcPr>
          <w:p>
            <w:pPr>
              <w:pStyle w:val="TableContents"/>
              <w:spacing w:before="0" w:after="0"/>
              <w:ind w:left="0" w:right="0" w:hanging="0"/>
              <w:rPr/>
            </w:pPr>
            <w:r>
              <w:rPr/>
              <w:t>​</w:t>
            </w:r>
          </w:p>
        </w:tc>
        <w:tc>
          <w:tcPr>
            <w:tcW w:w="6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c>
          <w:tcPr>
            <w:tcW w:w="326" w:type="dxa"/>
            <w:tcBorders/>
            <w:shd w:fill="auto" w:val="clear"/>
            <w:vAlign w:val="center"/>
          </w:tcPr>
          <w:p>
            <w:pPr>
              <w:pStyle w:val="TableContents"/>
              <w:spacing w:before="0" w:after="0"/>
              <w:ind w:left="0" w:right="0" w:hanging="0"/>
              <w:rPr/>
            </w:pPr>
            <w:r>
              <w:rPr/>
              <w:t>​</w:t>
            </w:r>
          </w:p>
        </w:tc>
        <w:tc>
          <w:tcPr>
            <w:tcW w:w="54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auto" w:val="clear"/>
            <w:tcMar>
              <w:bottom w:w="28" w:type="dxa"/>
            </w:tcMar>
            <w:vAlign w:val="center"/>
          </w:tcPr>
          <w:p>
            <w:pPr>
              <w:pStyle w:val="TableContents"/>
              <w:spacing w:before="0" w:after="0"/>
              <w:ind w:left="0" w:right="72" w:hanging="0"/>
              <w:jc w:val="right"/>
              <w:rPr/>
            </w:pPr>
            <w:r>
              <w:rPr/>
              <w:t>—</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Payments applicable to reduction of principal amounts as of March 31, 2023 will be required as follows (in thousands):</w:t>
      </w:r>
    </w:p>
    <w:p>
      <w:pPr>
        <w:pStyle w:val="TextBody"/>
        <w:spacing w:before="0" w:after="0"/>
        <w:ind w:left="0" w:right="0" w:firstLine="490"/>
        <w:jc w:val="both"/>
        <w:rPr/>
      </w:pPr>
      <w:r>
        <w:rPr/>
        <w:t>​</w:t>
      </w:r>
    </w:p>
    <w:tbl>
      <w:tblPr>
        <w:tblW w:w="4436" w:type="dxa"/>
        <w:jc w:val="left"/>
        <w:tblInd w:w="0" w:type="dxa"/>
        <w:tblCellMar>
          <w:top w:w="0" w:type="dxa"/>
          <w:left w:w="0" w:type="dxa"/>
          <w:bottom w:w="0" w:type="dxa"/>
          <w:right w:w="0" w:type="dxa"/>
        </w:tblCellMar>
      </w:tblPr>
      <w:tblGrid>
        <w:gridCol w:w="3001"/>
        <w:gridCol w:w="326"/>
        <w:gridCol w:w="211"/>
        <w:gridCol w:w="898"/>
      </w:tblGrid>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rPr/>
            </w:pPr>
            <w:r>
              <w:rPr/>
              <w:t>​</w:t>
            </w:r>
          </w:p>
        </w:tc>
      </w:tr>
      <w:tr>
        <w:trPr/>
        <w:tc>
          <w:tcPr>
            <w:tcW w:w="30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 of March 31, 2023</w:t>
            </w:r>
          </w:p>
        </w:tc>
        <w:tc>
          <w:tcPr>
            <w:tcW w:w="326" w:type="dxa"/>
            <w:tcBorders/>
            <w:shd w:fill="auto" w:val="clear"/>
            <w:vAlign w:val="center"/>
          </w:tcPr>
          <w:p>
            <w:pPr>
              <w:pStyle w:val="TableContents"/>
              <w:spacing w:before="0" w:after="0"/>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auto" w:val="clear"/>
            <w:vAlign w:val="center"/>
          </w:tcPr>
          <w:p>
            <w:pPr>
              <w:pStyle w:val="TableContents"/>
              <w:spacing w:before="0" w:after="0"/>
              <w:ind w:left="0" w:right="0" w:hanging="0"/>
              <w:jc w:val="right"/>
              <w:rPr/>
            </w:pPr>
            <w:r>
              <w:rPr/>
              <w:t>—</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pPr>
            <w:r>
              <w:rPr/>
              <w:t>—</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82,800</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233,150</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 - Face Value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466,984</w:t>
            </w:r>
          </w:p>
        </w:tc>
      </w:tr>
    </w:tbl>
    <w:p>
      <w:pPr>
        <w:pStyle w:val="TextBody"/>
        <w:spacing w:before="0" w:after="0"/>
        <w:ind w:left="0" w:right="0" w:hanging="0"/>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March 31, 2023 consisted of the following (in thousands):</w:t>
      </w:r>
    </w:p>
    <w:tbl>
      <w:tblPr>
        <w:tblW w:w="5681" w:type="dxa"/>
        <w:jc w:val="left"/>
        <w:tblInd w:w="0" w:type="dxa"/>
        <w:tblCellMar>
          <w:top w:w="0" w:type="dxa"/>
          <w:left w:w="0" w:type="dxa"/>
          <w:bottom w:w="0" w:type="dxa"/>
          <w:right w:w="0" w:type="dxa"/>
        </w:tblCellMar>
      </w:tblPr>
      <w:tblGrid>
        <w:gridCol w:w="4246"/>
        <w:gridCol w:w="326"/>
        <w:gridCol w:w="211"/>
        <w:gridCol w:w="898"/>
      </w:tblGrid>
      <w:tr>
        <w:trPr/>
        <w:tc>
          <w:tcPr>
            <w:tcW w:w="4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rPr/>
            </w:pPr>
            <w:r>
              <w:rPr/>
              <w:t>​</w:t>
            </w:r>
          </w:p>
        </w:tc>
      </w:tr>
      <w:tr>
        <w:trPr/>
        <w:tc>
          <w:tcPr>
            <w:tcW w:w="42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466,984</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Unamortized Discount on Convertible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465,130</w:t>
            </w:r>
          </w:p>
        </w:tc>
      </w:tr>
    </w:tbl>
    <w:p>
      <w:pPr>
        <w:pStyle w:val="TextBody"/>
        <w:spacing w:before="0" w:after="0"/>
        <w:ind w:left="0" w:right="0" w:hanging="0"/>
        <w:rPr/>
      </w:pPr>
      <w:r>
        <w:rPr/>
        <w:t>​</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$1.5 million of financing costs, net of accumulated amortization included in the table above, as of March 31, 2023, the Company also had financing costs, net of accumulated amortization related to the Credit Facility of $1.9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months ended March 31, 2023 and 2022 (in thousands):</w:t>
      </w:r>
    </w:p>
    <w:tbl>
      <w:tblPr>
        <w:tblW w:w="7126" w:type="dxa"/>
        <w:jc w:val="left"/>
        <w:tblInd w:w="0" w:type="dxa"/>
        <w:tblCellMar>
          <w:top w:w="0" w:type="dxa"/>
          <w:left w:w="0" w:type="dxa"/>
          <w:bottom w:w="0" w:type="dxa"/>
          <w:right w:w="0" w:type="dxa"/>
        </w:tblCellMar>
      </w:tblPr>
      <w:tblGrid>
        <w:gridCol w:w="3976"/>
        <w:gridCol w:w="109"/>
        <w:gridCol w:w="388"/>
        <w:gridCol w:w="1052"/>
        <w:gridCol w:w="116"/>
        <w:gridCol w:w="347"/>
        <w:gridCol w:w="1138"/>
      </w:tblGrid>
      <w:tr>
        <w:trPr/>
        <w:tc>
          <w:tcPr>
            <w:tcW w:w="39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6380" cy="175260"/>
                      <wp:effectExtent l="0" t="0" r="0" b="0"/>
                      <wp:wrapNone/>
                      <wp:docPr id="165" name="Frame165"/>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68020" cy="175260"/>
                      <wp:effectExtent l="0" t="0" r="0" b="0"/>
                      <wp:wrapNone/>
                      <wp:docPr id="166" name="Frame166"/>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3660" cy="175260"/>
                      <wp:effectExtent l="0" t="0" r="0" b="0"/>
                      <wp:wrapNone/>
                      <wp:docPr id="167" name="Frame167"/>
                      <a:graphic xmlns:a="http://schemas.openxmlformats.org/drawingml/2006/main">
                        <a:graphicData uri="http://schemas.microsoft.com/office/word/2010/wordprocessingShape">
                          <wps:wsp>
                            <wps:cNvSpPr txBox="1"/>
                            <wps:spPr>
                              <a:xfrm>
                                <a:off x="0" y="0"/>
                                <a:ext cx="7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0345" cy="175260"/>
                      <wp:effectExtent l="0" t="0" r="0" b="0"/>
                      <wp:wrapNone/>
                      <wp:docPr id="168" name="Frame168"/>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22630" cy="175260"/>
                      <wp:effectExtent l="0" t="0" r="0" b="0"/>
                      <wp:wrapNone/>
                      <wp:docPr id="169" name="Frame169"/>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4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39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16" w:type="dxa"/>
            <w:tcBorders/>
            <w:shd w:fill="auto" w:val="clear"/>
            <w:vAlign w:val="center"/>
          </w:tcPr>
          <w:p>
            <w:pPr>
              <w:pStyle w:val="TableContents"/>
              <w:spacing w:before="0" w:after="0"/>
              <w:ind w:left="0" w:right="0" w:hanging="0"/>
              <w:rPr/>
            </w:pPr>
            <w:r>
              <w:rPr/>
              <w:t>​</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39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c>
          <w:tcPr>
            <w:tcW w:w="116" w:type="dxa"/>
            <w:tcBorders/>
            <w:shd w:fill="CCEEFF" w:val="clear"/>
            <w:vAlign w:val="center"/>
          </w:tcPr>
          <w:p>
            <w:pPr>
              <w:pStyle w:val="TableContents"/>
              <w:spacing w:before="0" w:after="0"/>
              <w:ind w:left="0" w:right="0" w:hanging="0"/>
              <w:rPr/>
            </w:pPr>
            <w:r>
              <w:rPr/>
              <w:t>​</w:t>
            </w:r>
          </w:p>
        </w:tc>
        <w:tc>
          <w:tcPr>
            <w:tcW w:w="3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3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16" w:type="dxa"/>
            <w:tcBorders/>
            <w:shd w:fill="auto" w:val="clear"/>
            <w:vAlign w:val="center"/>
          </w:tcPr>
          <w:p>
            <w:pPr>
              <w:pStyle w:val="TableContents"/>
              <w:spacing w:before="0" w:after="0"/>
              <w:ind w:left="0" w:right="0" w:hanging="0"/>
              <w:rPr/>
            </w:pPr>
            <w:r>
              <w:rPr/>
              <w:t>​</w:t>
            </w:r>
          </w:p>
        </w:tc>
        <w:tc>
          <w:tcPr>
            <w:tcW w:w="347"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39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Discount on Convertible Notes</w:t>
            </w:r>
          </w:p>
        </w:tc>
        <w:tc>
          <w:tcPr>
            <w:tcW w:w="109" w:type="dxa"/>
            <w:tcBorders/>
            <w:shd w:fill="CCEEFF" w:val="clear"/>
            <w:vAlign w:val="center"/>
          </w:tcPr>
          <w:p>
            <w:pPr>
              <w:pStyle w:val="TableContents"/>
              <w:spacing w:before="0" w:after="0"/>
              <w:ind w:left="0" w:right="0" w:hanging="0"/>
              <w:rPr/>
            </w:pPr>
            <w:r>
              <w:rPr/>
              <w:t>​</w:t>
            </w:r>
          </w:p>
        </w:tc>
        <w:tc>
          <w:tcPr>
            <w:tcW w:w="38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16" w:type="dxa"/>
            <w:tcBorders/>
            <w:shd w:fill="CCEEFF" w:val="clear"/>
            <w:vAlign w:val="center"/>
          </w:tcPr>
          <w:p>
            <w:pPr>
              <w:pStyle w:val="TableContents"/>
              <w:spacing w:before="0" w:after="0"/>
              <w:ind w:left="0" w:right="0" w:hanging="0"/>
              <w:rPr/>
            </w:pPr>
            <w:r>
              <w:rPr/>
              <w:t>​</w:t>
            </w:r>
          </w:p>
        </w:tc>
        <w:tc>
          <w:tcPr>
            <w:tcW w:w="34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auto" w:val="clear"/>
            <w:vAlign w:val="center"/>
          </w:tcPr>
          <w:p>
            <w:pPr>
              <w:pStyle w:val="TableContents"/>
              <w:spacing w:before="0" w:after="0"/>
              <w:ind w:left="0" w:right="0" w:hanging="0"/>
              <w:rPr/>
            </w:pPr>
            <w:r>
              <w:rPr/>
              <w:t>​</w:t>
            </w:r>
          </w:p>
        </w:tc>
        <w:tc>
          <w:tcPr>
            <w:tcW w:w="38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c>
          <w:tcPr>
            <w:tcW w:w="116" w:type="dxa"/>
            <w:tcBorders/>
            <w:shd w:fill="auto" w:val="clear"/>
            <w:vAlign w:val="center"/>
          </w:tcPr>
          <w:p>
            <w:pPr>
              <w:pStyle w:val="TableContents"/>
              <w:spacing w:before="0" w:after="0"/>
              <w:ind w:left="0" w:right="0" w:hanging="0"/>
              <w:rPr/>
            </w:pPr>
            <w:r>
              <w:rPr/>
              <w:t>​</w:t>
            </w:r>
          </w:p>
        </w:tc>
        <w:tc>
          <w:tcPr>
            <w:tcW w:w="3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r>
      <w:tr>
        <w:trPr/>
        <w:tc>
          <w:tcPr>
            <w:tcW w:w="39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rPr/>
            </w:pPr>
            <w:r>
              <w:rPr/>
              <w:t>​</w:t>
            </w:r>
          </w:p>
        </w:tc>
        <w:tc>
          <w:tcPr>
            <w:tcW w:w="116" w:type="dxa"/>
            <w:tcBorders/>
            <w:shd w:fill="CCEEFF" w:val="clear"/>
            <w:vAlign w:val="center"/>
          </w:tcPr>
          <w:p>
            <w:pPr>
              <w:pStyle w:val="TableContents"/>
              <w:spacing w:before="0" w:after="0"/>
              <w:ind w:left="0" w:right="0" w:hanging="0"/>
              <w:rPr/>
            </w:pPr>
            <w:r>
              <w:rPr/>
              <w:t>​</w:t>
            </w:r>
          </w:p>
        </w:tc>
        <w:tc>
          <w:tcPr>
            <w:tcW w:w="347" w:type="dxa"/>
            <w:tcBorders/>
            <w:shd w:fill="CCEEFF" w:val="clear"/>
            <w:vAlign w:val="center"/>
          </w:tcPr>
          <w:p>
            <w:pPr>
              <w:pStyle w:val="TableContents"/>
              <w:spacing w:before="0" w:after="0"/>
              <w:ind w:left="0" w:right="0" w:hanging="0"/>
              <w:rPr/>
            </w:pPr>
            <w:r>
              <w:rPr/>
              <w:t>​</w:t>
            </w:r>
          </w:p>
        </w:tc>
        <w:tc>
          <w:tcPr>
            <w:tcW w:w="1138" w:type="dxa"/>
            <w:tcBorders/>
            <w:shd w:fill="CCEEFF" w:val="clear"/>
            <w:vAlign w:val="center"/>
          </w:tcPr>
          <w:p>
            <w:pPr>
              <w:pStyle w:val="TableContents"/>
              <w:spacing w:before="0" w:after="0"/>
              <w:ind w:left="0" w:right="0" w:hanging="0"/>
              <w:rPr/>
            </w:pPr>
            <w:r>
              <w:rPr/>
              <w:t>​</w:t>
            </w:r>
          </w:p>
        </w:tc>
      </w:tr>
      <w:tr>
        <w:trPr/>
        <w:tc>
          <w:tcPr>
            <w:tcW w:w="39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 Paid</w:t>
            </w:r>
          </w:p>
        </w:tc>
        <w:tc>
          <w:tcPr>
            <w:tcW w:w="109" w:type="dxa"/>
            <w:tcBorders/>
            <w:shd w:fill="auto" w:val="clear"/>
            <w:vAlign w:val="center"/>
          </w:tcPr>
          <w:p>
            <w:pPr>
              <w:pStyle w:val="TableContents"/>
              <w:spacing w:before="0" w:after="0"/>
              <w:ind w:left="0" w:right="0" w:hanging="0"/>
              <w:rPr/>
            </w:pPr>
            <w:r>
              <w:rPr/>
              <w:t>​</w:t>
            </w:r>
          </w:p>
        </w:tc>
        <w:tc>
          <w:tcPr>
            <w:tcW w:w="38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4,268</w:t>
            </w:r>
          </w:p>
        </w:tc>
        <w:tc>
          <w:tcPr>
            <w:tcW w:w="116" w:type="dxa"/>
            <w:tcBorders/>
            <w:shd w:fill="auto" w:val="clear"/>
            <w:vAlign w:val="center"/>
          </w:tcPr>
          <w:p>
            <w:pPr>
              <w:pStyle w:val="TableContents"/>
              <w:spacing w:before="0" w:after="0"/>
              <w:ind w:left="0" w:right="0" w:hanging="0"/>
              <w:rPr/>
            </w:pPr>
            <w:r>
              <w:rPr/>
              <w:t>​</w:t>
            </w:r>
          </w:p>
        </w:tc>
        <w:tc>
          <w:tcPr>
            <w:tcW w:w="3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1,087</w:t>
            </w:r>
          </w:p>
        </w:tc>
      </w:tr>
    </w:tbl>
    <w:p>
      <w:pPr>
        <w:pStyle w:val="TextBody"/>
        <w:spacing w:before="0" w:after="0"/>
        <w:ind w:left="0" w:right="0" w:hanging="0"/>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March 31, 2023 and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222" w:name="Tc_oTSSsvbw-E2nWPC8FEY92w_11_11"/>
      <w:bookmarkStart w:id="1223" w:name="Tc_vjLVm5WzBEWSVy8IiwS4qA_11_8"/>
      <w:bookmarkStart w:id="1224" w:name="Tc_hX_3sxICmUmDAeEZhxa4Sg_11_6"/>
      <w:bookmarkStart w:id="1225" w:name="Tc_7sz1ourdGUSidSsPm-Hvog_11_4"/>
      <w:bookmarkStart w:id="1226" w:name="Tc_evmPhLY8jkGkm-4i50XuPA_11_2"/>
      <w:bookmarkStart w:id="1227" w:name="Tc_M0VTcmAqCUWuJbPxH_Xx-A_11_0"/>
      <w:bookmarkStart w:id="1228" w:name="Tc_K9Rvu6DQd0qIhlYAInfgsw_10_11"/>
      <w:bookmarkStart w:id="1229" w:name="Tc_fnblZpLxR0C_0dbs35ZWLw_10_8"/>
      <w:bookmarkStart w:id="1230" w:name="Tc_I86GMAQMVEW1LPUJZtIbNA_10_6"/>
      <w:bookmarkStart w:id="1231" w:name="Tc_bCvijfnBnk20Lnk0tvycIg_10_4"/>
      <w:bookmarkStart w:id="1232" w:name="Tc_GwR_9tZaGUSkMRVVto2zew_10_2"/>
      <w:bookmarkStart w:id="1233" w:name="Tc_jH75vunkqky4P55XKppLbw_10_0"/>
      <w:bookmarkStart w:id="1234" w:name="Tc_jE2k5lXcwUqBhCeOiuinJw_9_11"/>
      <w:bookmarkStart w:id="1235" w:name="Tc_TEYFjJppekOkPDghR5mu4Q_9_8"/>
      <w:bookmarkStart w:id="1236" w:name="Tc_Uf0fHZOJ_UKGZHYfjIYBuA_9_6"/>
      <w:bookmarkStart w:id="1237" w:name="Tc_vSVkYkxfmECgGM4ezoajBg_9_4"/>
      <w:bookmarkStart w:id="1238" w:name="Tc_J0F9y3R_ok-b-l3xzrcXoA_9_2"/>
      <w:bookmarkStart w:id="1239" w:name="Tc_1CQpidgQwUaRUYc1-vspdQ_9_0"/>
      <w:bookmarkStart w:id="1240" w:name="Tc_3IqyDd7FVUKH0Iw0YNDa5w_8_11"/>
      <w:bookmarkStart w:id="1241" w:name="Tc_Dz6Zuyc5_k-03jRYopPZCQ_8_8"/>
      <w:bookmarkStart w:id="1242" w:name="Tc_JV_qXGQ18EudGgyBlE15aw_8_6"/>
      <w:bookmarkStart w:id="1243" w:name="Tc_ahKDu9cluEOJpLeLNdia2g_8_4"/>
      <w:bookmarkStart w:id="1244" w:name="Tc_I7VnwNt9gEaH-oRllyDSpg_8_2"/>
      <w:bookmarkStart w:id="1245" w:name="Tc_d2CIWNt5w0e3OjuY1Eww9w_8_0"/>
      <w:bookmarkStart w:id="1246" w:name="Tc_ycrQ5AY-aUCj37K88X9F_g_7_11"/>
      <w:bookmarkStart w:id="1247" w:name="Tc_pLMLA1K6lkOhAOzIinovDw_7_8"/>
      <w:bookmarkStart w:id="1248" w:name="Tc_dAkMyjF2EUWiYIhoAfRc6Q_7_6"/>
      <w:bookmarkStart w:id="1249" w:name="Tc_FjyW3lyITUOnU6gZsRD35A_7_4"/>
      <w:bookmarkStart w:id="1250" w:name="Tc_n-JFzno6GUCPJlRAr_Sb1A_7_2"/>
      <w:bookmarkStart w:id="1251" w:name="Tc_YXxNd48DOUW20B8s3jyMvQ_7_0"/>
      <w:bookmarkStart w:id="1252" w:name="Tc_8I2ua5xBSUyac-6X3yVQfA_6_11"/>
      <w:bookmarkStart w:id="1253" w:name="Tc_ryimQ3El5k-CFL_6e9r4eQ_6_8"/>
      <w:bookmarkStart w:id="1254" w:name="Tc_zfxzf0hjJEWUqA1jinWmwQ_6_6"/>
      <w:bookmarkStart w:id="1255" w:name="Tc_IGw9jP3esUuDJq_PQLLlvw_6_4"/>
      <w:bookmarkStart w:id="1256" w:name="Tc_TVjkmQ5Py0eNBKDVNQDgcw_6_2"/>
      <w:bookmarkStart w:id="1257" w:name="Tc_W5dhEMEi4U6FNjLJ38nB5w_6_0"/>
      <w:bookmarkStart w:id="1258" w:name="Tc_xrnUHm0lakmRsfJyXXnHQA_5_11"/>
      <w:bookmarkStart w:id="1259" w:name="Tc_lG2HNkKjMk623KF9mtEOAg_5_8"/>
      <w:bookmarkStart w:id="1260" w:name="Tc_Vf86_nR5u0m4BcokLrFkIg_5_6"/>
      <w:bookmarkStart w:id="1261" w:name="Tc_VUOUlVgZN0e3Uiqq5M8N3Q_5_4"/>
      <w:bookmarkStart w:id="1262" w:name="Tc_sapqzpBjL0KynVmJ0YzTZw_5_2"/>
      <w:bookmarkStart w:id="1263" w:name="Tc_S-BHepXOp0yf-DGeC8mZhQ_5_0"/>
      <w:bookmarkStart w:id="1264" w:name="Tc_aFaMJBlCmUWtCPMVn94zyQ_4_11"/>
      <w:bookmarkStart w:id="1265" w:name="Tc_6UOlKiVgaEWR5rpEFOqmrw_4_8"/>
      <w:bookmarkStart w:id="1266" w:name="Tc_ognKGk7hn0G7_X2QmZY9iw_4_6"/>
      <w:bookmarkStart w:id="1267" w:name="Tc_qvmeqnBE60ySfwDBBT6WgA_4_4"/>
      <w:bookmarkStart w:id="1268" w:name="Tc_DhC9-VNsmk20mYadReZk6Q_4_2"/>
      <w:bookmarkStart w:id="1269" w:name="Tc_HXOYGfbhBkCZUdPHfSKCIw_4_0"/>
      <w:bookmarkStart w:id="1270" w:name="Tc_4Q8Zv5N2lkOctovVcX6Tow_3_11"/>
      <w:bookmarkStart w:id="1271" w:name="Tc_CDd0bRajy0-MTKzpv9M_8A_3_8"/>
      <w:bookmarkStart w:id="1272" w:name="Tc_MsGJ6zm-mE-VKi9fDVTrhw_3_6"/>
      <w:bookmarkStart w:id="1273" w:name="Tc_h8rqyISP8EmbBkpJaQSjVA_3_4"/>
      <w:bookmarkStart w:id="1274" w:name="Tc_QTB4OieHAEWf3mnLnSlfTA_3_2"/>
      <w:bookmarkStart w:id="1275" w:name="Tc_MBmjQyD7fUSgXan2LT2glw_3_0"/>
      <w:bookmarkStart w:id="1276" w:name="Tc_1JJq5izE70Kcb23E-8QomA_2_11"/>
      <w:bookmarkStart w:id="1277" w:name="Tc_y05It8ZFMUqdLb4WVS5pLQ_2_8"/>
      <w:bookmarkStart w:id="1278" w:name="Tc_JQ0jOpG7WEGxkm0-5IGf3A_2_6"/>
      <w:bookmarkStart w:id="1279" w:name="Tc_j2lzhgNArkmOSxLnDOvLrA_2_4"/>
      <w:bookmarkStart w:id="1280" w:name="Tc_r5BkvxDnekaJCWbvd_aBog_2_2"/>
      <w:bookmarkStart w:id="1281" w:name="Tc_hjBUZ5Mt90OZR_Nxx-RToA_2_0"/>
      <w:bookmarkStart w:id="1282" w:name="Tc_5mpOyKRayk2U3pt15XK7Ug_1_11"/>
      <w:bookmarkStart w:id="1283" w:name="Tc_pA8K_2Tz0E2XVW42cOjOdQ_1_8"/>
      <w:bookmarkStart w:id="1284" w:name="Tc_EwQ_lYVR6EGlqeOzjyL-4g_1_6"/>
      <w:bookmarkStart w:id="1285" w:name="Tc_znvb4Yjrm0qSXvJyr1W6aQ_1_4"/>
      <w:bookmarkStart w:id="1286" w:name="Tc_z5lnKG0B70S1-ejhTt1b3g_1_2"/>
      <w:bookmarkStart w:id="1287" w:name="Tc_2HhqTNCKKEahOUKAZpWx2w_1_0"/>
      <w:bookmarkStart w:id="1288" w:name="_605493b2_0b12_4c3f_b08b_34679f131bad"/>
      <w:bookmarkStart w:id="1289" w:name="_882ecfa3_9873_42a9_baed_cc17df57674f_3"/>
      <w:bookmarkStart w:id="1290" w:name="_882ecfa3_9873_42a9_baed_cc17df57674f_2"/>
      <w:bookmarkStart w:id="1291" w:name="_882ecfa3_9873_42a9_baed_cc17df57674f"/>
      <w:bookmarkStart w:id="1292" w:name="_f11344d3_6868_4a19_8248_ec39797644db_3"/>
      <w:bookmarkStart w:id="1293" w:name="_f11344d3_6868_4a19_8248_ec39797644db_2"/>
      <w:bookmarkStart w:id="1294" w:name="_f11344d3_6868_4a19_8248_ec39797644db"/>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NOTE 16. INTEREST RATE SWAPS</w:t>
      </w:r>
    </w:p>
    <w:p>
      <w:pPr>
        <w:pStyle w:val="TextBody"/>
        <w:spacing w:before="280" w:after="120"/>
        <w:ind w:left="0" w:right="0" w:firstLine="547"/>
        <w:jc w:val="both"/>
        <w:rPr>
          <w:rFonts w:ascii="Times New Roman;Times;serif" w:hAnsi="Times New Roman;Times;serif"/>
          <w:sz w:val="20"/>
        </w:rPr>
      </w:pPr>
      <w:r>
        <w:rPr>
          <w:rFonts w:ascii="Times New Roman;Times;serif" w:hAnsi="Times New Roman;Times;serif"/>
          <w:sz w:val="20"/>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2023 and 2022.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are noted below (in thousands):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302"/>
        <w:gridCol w:w="109"/>
        <w:gridCol w:w="1158"/>
        <w:gridCol w:w="109"/>
        <w:gridCol w:w="1188"/>
        <w:gridCol w:w="109"/>
        <w:gridCol w:w="2578"/>
        <w:gridCol w:w="109"/>
        <w:gridCol w:w="196"/>
        <w:gridCol w:w="691"/>
        <w:gridCol w:w="109"/>
        <w:gridCol w:w="660"/>
        <w:gridCol w:w="1887"/>
      </w:tblGrid>
      <w:tr>
        <w:trPr/>
        <w:tc>
          <w:tcPr>
            <w:tcW w:w="1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26770" cy="175260"/>
                      <wp:effectExtent l="0" t="0" r="0" b="0"/>
                      <wp:wrapNone/>
                      <wp:docPr id="170" name="Frame170"/>
                      <a:graphic xmlns:a="http://schemas.openxmlformats.org/drawingml/2006/main">
                        <a:graphicData uri="http://schemas.microsoft.com/office/word/2010/wordprocessingShape">
                          <wps:wsp>
                            <wps:cNvSpPr txBox="1"/>
                            <wps:spPr>
                              <a:xfrm>
                                <a:off x="0" y="0"/>
                                <a:ext cx="826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35330" cy="175260"/>
                      <wp:effectExtent l="0" t="0" r="0" b="0"/>
                      <wp:wrapNone/>
                      <wp:docPr id="172" name="Frame172"/>
                      <a:graphic xmlns:a="http://schemas.openxmlformats.org/drawingml/2006/main">
                        <a:graphicData uri="http://schemas.microsoft.com/office/word/2010/wordprocessingShape">
                          <wps:wsp>
                            <wps:cNvSpPr txBox="1"/>
                            <wps:spPr>
                              <a:xfrm>
                                <a:off x="0" y="0"/>
                                <a:ext cx="735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54380" cy="175260"/>
                      <wp:effectExtent l="0" t="0" r="0" b="0"/>
                      <wp:wrapNone/>
                      <wp:docPr id="174" name="Frame174"/>
                      <a:graphic xmlns:a="http://schemas.openxmlformats.org/drawingml/2006/main">
                        <a:graphicData uri="http://schemas.microsoft.com/office/word/2010/wordprocessingShape">
                          <wps:wsp>
                            <wps:cNvSpPr txBox="1"/>
                            <wps:spPr>
                              <a:xfrm>
                                <a:off x="0" y="0"/>
                                <a:ext cx="754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37030" cy="175260"/>
                      <wp:effectExtent l="0" t="0" r="0" b="0"/>
                      <wp:wrapNone/>
                      <wp:docPr id="176" name="Frame176"/>
                      <a:graphic xmlns:a="http://schemas.openxmlformats.org/drawingml/2006/main">
                        <a:graphicData uri="http://schemas.microsoft.com/office/word/2010/wordprocessingShape">
                          <wps:wsp>
                            <wps:cNvSpPr txBox="1"/>
                            <wps:spPr>
                              <a:xfrm>
                                <a:off x="0" y="0"/>
                                <a:ext cx="1637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8785" cy="175260"/>
                      <wp:effectExtent l="0" t="0" r="0" b="0"/>
                      <wp:wrapNone/>
                      <wp:docPr id="179" name="Frame17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19100" cy="175260"/>
                      <wp:effectExtent l="0" t="0" r="0" b="0"/>
                      <wp:wrapNone/>
                      <wp:docPr id="181" name="Frame181"/>
                      <a:graphic xmlns:a="http://schemas.openxmlformats.org/drawingml/2006/main">
                        <a:graphicData uri="http://schemas.microsoft.com/office/word/2010/wordprocessingShape">
                          <wps:wsp>
                            <wps:cNvSpPr txBox="1"/>
                            <wps:spPr>
                              <a:xfrm>
                                <a:off x="0" y="0"/>
                                <a:ext cx="419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98245" cy="175260"/>
                      <wp:effectExtent l="0" t="0" r="0" b="0"/>
                      <wp:wrapNone/>
                      <wp:docPr id="182" name="Frame182"/>
                      <a:graphic xmlns:a="http://schemas.openxmlformats.org/drawingml/2006/main">
                        <a:graphicData uri="http://schemas.microsoft.com/office/word/2010/wordprocessingShape">
                          <wps:wsp>
                            <wps:cNvSpPr txBox="1"/>
                            <wps:spPr>
                              <a:xfrm>
                                <a:off x="0" y="0"/>
                                <a:ext cx="1198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2" w:type="dxa"/>
            <w:tcBorders>
              <w:bottom w:val="single" w:sz="2" w:space="0" w:color="000000"/>
            </w:tcBorders>
            <w:shd w:fill="auto" w:val="clear"/>
            <w:tcMar>
              <w:bottom w:w="28" w:type="dxa"/>
            </w:tcM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shd w:fill="auto" w:val="clear"/>
            <w:vAlign w:val="center"/>
          </w:tcPr>
          <w:p>
            <w:pPr>
              <w:pStyle w:val="TableContents"/>
              <w:spacing w:before="0" w:after="0"/>
              <w:ind w:left="0" w:right="0" w:hanging="0"/>
              <w:rPr/>
            </w:pPr>
            <w:r>
              <w:rPr/>
              <w:t>​</w:t>
            </w:r>
          </w:p>
        </w:tc>
        <w:tc>
          <w:tcPr>
            <w:tcW w:w="115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shd w:fill="auto" w:val="clear"/>
            <w:vAlign w:val="center"/>
          </w:tcPr>
          <w:p>
            <w:pPr>
              <w:pStyle w:val="TableContents"/>
              <w:spacing w:before="0" w:after="0"/>
              <w:ind w:left="0" w:right="0" w:hanging="0"/>
              <w:rPr/>
            </w:pPr>
            <w:r>
              <w:rPr/>
              <w:t>​</w:t>
            </w:r>
          </w:p>
        </w:tc>
        <w:tc>
          <w:tcPr>
            <w:tcW w:w="118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shd w:fill="auto" w:val="clear"/>
            <w:vAlign w:val="center"/>
          </w:tcPr>
          <w:p>
            <w:pPr>
              <w:pStyle w:val="TableContents"/>
              <w:spacing w:before="0" w:after="0"/>
              <w:ind w:left="0" w:right="0" w:hanging="0"/>
              <w:rPr/>
            </w:pPr>
            <w:r>
              <w:rPr/>
              <w:t>​</w:t>
            </w:r>
          </w:p>
        </w:tc>
        <w:tc>
          <w:tcPr>
            <w:tcW w:w="257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shd w:fill="auto" w:val="clear"/>
            <w:vAlign w:val="center"/>
          </w:tcPr>
          <w:p>
            <w:pPr>
              <w:pStyle w:val="TableContents"/>
              <w:spacing w:before="0" w:after="0"/>
              <w:ind w:left="0" w:right="0" w:hanging="0"/>
              <w:jc w:val="center"/>
              <w:rPr/>
            </w:pPr>
            <w:r>
              <w:rPr/>
              <w:t>​</w:t>
            </w:r>
          </w:p>
        </w:tc>
        <w:tc>
          <w:tcPr>
            <w:tcW w:w="25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March 31, 2023</w:t>
            </w:r>
          </w:p>
        </w:tc>
      </w:tr>
      <w:tr>
        <w:trPr/>
        <w:tc>
          <w:tcPr>
            <w:tcW w:w="130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spacing w:before="0" w:after="0"/>
              <w:ind w:left="0" w:right="0" w:hanging="0"/>
              <w:rPr/>
            </w:pPr>
            <w:r>
              <w:rPr/>
              <w:t>​</w:t>
            </w:r>
          </w:p>
        </w:tc>
        <w:tc>
          <w:tcPr>
            <w:tcW w:w="115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3/10/2021</w:t>
            </w:r>
          </w:p>
        </w:tc>
        <w:tc>
          <w:tcPr>
            <w:tcW w:w="109" w:type="dxa"/>
            <w:tcBorders/>
            <w:shd w:fill="CCEEFF" w:val="clear"/>
            <w:vAlign w:val="center"/>
          </w:tcPr>
          <w:p>
            <w:pPr>
              <w:pStyle w:val="TableContents"/>
              <w:spacing w:before="0" w:after="0"/>
              <w:ind w:left="0" w:right="0" w:hanging="0"/>
              <w:jc w:val="center"/>
              <w:rPr/>
            </w:pPr>
            <w:r>
              <w:rPr/>
              <w:t>​</w:t>
            </w:r>
          </w:p>
        </w:tc>
        <w:tc>
          <w:tcPr>
            <w:tcW w:w="118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spacing w:before="0" w:after="0"/>
              <w:ind w:left="0" w:right="0" w:hanging="0"/>
              <w:rPr/>
            </w:pPr>
            <w:r>
              <w:rPr/>
              <w:t>​</w:t>
            </w:r>
          </w:p>
        </w:tc>
        <w:tc>
          <w:tcPr>
            <w:tcW w:w="257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0.12% + 0.10% + applicable spread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spacing w:before="0" w:after="0"/>
              <w:ind w:left="0" w:right="0" w:hanging="0"/>
              <w:jc w:val="right"/>
              <w:rPr/>
            </w:pPr>
            <w:r>
              <w:rPr/>
              <w:t>​</w:t>
            </w:r>
          </w:p>
        </w:tc>
        <w:tc>
          <w:tcPr>
            <w:tcW w:w="66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2,206</w:t>
            </w:r>
          </w:p>
        </w:tc>
      </w:tr>
      <w:tr>
        <w:trPr/>
        <w:tc>
          <w:tcPr>
            <w:tcW w:w="13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2026 Term Loan</w:t>
            </w:r>
          </w:p>
        </w:tc>
        <w:tc>
          <w:tcPr>
            <w:tcW w:w="109" w:type="dxa"/>
            <w:tcBorders/>
            <w:shd w:fill="auto" w:val="clear"/>
            <w:vAlign w:val="center"/>
          </w:tcPr>
          <w:p>
            <w:pPr>
              <w:pStyle w:val="TableContents"/>
              <w:spacing w:before="0" w:after="0"/>
              <w:ind w:left="0" w:right="0" w:hanging="0"/>
              <w:rPr/>
            </w:pPr>
            <w:r>
              <w:rPr/>
              <w:t>​</w:t>
            </w:r>
          </w:p>
        </w:tc>
        <w:tc>
          <w:tcPr>
            <w:tcW w:w="115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auto" w:val="clear"/>
            <w:vAlign w:val="center"/>
          </w:tcPr>
          <w:p>
            <w:pPr>
              <w:pStyle w:val="TableContents"/>
              <w:spacing w:before="0" w:after="0"/>
              <w:ind w:left="0" w:right="0" w:hanging="0"/>
              <w:rPr/>
            </w:pPr>
            <w:r>
              <w:rPr/>
              <w:t>​</w:t>
            </w:r>
          </w:p>
        </w:tc>
        <w:tc>
          <w:tcPr>
            <w:tcW w:w="257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1.44% + 0.10% + applicable spread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auto" w:val="clear"/>
            <w:vAlign w:val="center"/>
          </w:tcPr>
          <w:p>
            <w:pPr>
              <w:pStyle w:val="TableContents"/>
              <w:spacing w:before="0" w:after="0"/>
              <w:ind w:left="0" w:right="0" w:hanging="0"/>
              <w:jc w:val="right"/>
              <w:rPr/>
            </w:pPr>
            <w:r>
              <w:rPr/>
              <w:t>​</w:t>
            </w:r>
          </w:p>
        </w:tc>
        <w:tc>
          <w:tcPr>
            <w:tcW w:w="66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1,531</w:t>
            </w:r>
          </w:p>
        </w:tc>
      </w:tr>
      <w:tr>
        <w:trPr/>
        <w:tc>
          <w:tcPr>
            <w:tcW w:w="130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spacing w:before="0" w:after="0"/>
              <w:ind w:left="0" w:right="0" w:hanging="0"/>
              <w:rPr/>
            </w:pPr>
            <w:r>
              <w:rPr/>
              <w:t>​</w:t>
            </w:r>
          </w:p>
        </w:tc>
        <w:tc>
          <w:tcPr>
            <w:tcW w:w="115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8/31/2021</w:t>
            </w:r>
          </w:p>
        </w:tc>
        <w:tc>
          <w:tcPr>
            <w:tcW w:w="109" w:type="dxa"/>
            <w:tcBorders/>
            <w:shd w:fill="CCEEFF" w:val="clear"/>
            <w:vAlign w:val="center"/>
          </w:tcPr>
          <w:p>
            <w:pPr>
              <w:pStyle w:val="TableContents"/>
              <w:spacing w:before="0" w:after="0"/>
              <w:ind w:left="0" w:right="0" w:hanging="0"/>
              <w:jc w:val="center"/>
              <w:rPr/>
            </w:pPr>
            <w:r>
              <w:rPr/>
              <w:t>​</w:t>
            </w:r>
          </w:p>
        </w:tc>
        <w:tc>
          <w:tcPr>
            <w:tcW w:w="118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spacing w:before="0" w:after="0"/>
              <w:ind w:left="0" w:right="0" w:hanging="0"/>
              <w:rPr/>
            </w:pPr>
            <w:r>
              <w:rPr/>
              <w:t>​</w:t>
            </w:r>
          </w:p>
        </w:tc>
        <w:tc>
          <w:tcPr>
            <w:tcW w:w="257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shd w:fill="CCEEFF" w:val="clear"/>
            <w:vAlign w:val="center"/>
          </w:tcPr>
          <w:p>
            <w:pPr>
              <w:pStyle w:val="TableContents"/>
              <w:spacing w:before="0" w:after="0"/>
              <w:ind w:left="0" w:right="0" w:hanging="0"/>
              <w:jc w:val="right"/>
              <w:rPr/>
            </w:pPr>
            <w:r>
              <w:rPr/>
              <w:t>​</w:t>
            </w:r>
          </w:p>
        </w:tc>
        <w:tc>
          <w:tcPr>
            <w:tcW w:w="66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1,231</w:t>
            </w:r>
          </w:p>
        </w:tc>
      </w:tr>
      <w:tr>
        <w:trPr/>
        <w:tc>
          <w:tcPr>
            <w:tcW w:w="13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2027 Term Loan</w:t>
            </w:r>
          </w:p>
        </w:tc>
        <w:tc>
          <w:tcPr>
            <w:tcW w:w="109" w:type="dxa"/>
            <w:tcBorders/>
            <w:shd w:fill="auto" w:val="clear"/>
            <w:vAlign w:val="center"/>
          </w:tcPr>
          <w:p>
            <w:pPr>
              <w:pStyle w:val="TableContents"/>
              <w:spacing w:before="0" w:after="0"/>
              <w:ind w:left="0" w:right="0" w:hanging="0"/>
              <w:rPr/>
            </w:pPr>
            <w:r>
              <w:rPr/>
              <w:t>​</w:t>
            </w:r>
          </w:p>
        </w:tc>
        <w:tc>
          <w:tcPr>
            <w:tcW w:w="115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11/5/2021</w:t>
            </w:r>
          </w:p>
        </w:tc>
        <w:tc>
          <w:tcPr>
            <w:tcW w:w="109"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auto" w:val="clear"/>
            <w:vAlign w:val="center"/>
          </w:tcPr>
          <w:p>
            <w:pPr>
              <w:pStyle w:val="TableContents"/>
              <w:spacing w:before="0" w:after="0"/>
              <w:ind w:left="0" w:right="0" w:hanging="0"/>
              <w:rPr/>
            </w:pPr>
            <w:r>
              <w:rPr/>
              <w:t>​</w:t>
            </w:r>
          </w:p>
        </w:tc>
        <w:tc>
          <w:tcPr>
            <w:tcW w:w="257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0.64% + 0.10% + applicable spread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auto" w:val="clear"/>
            <w:vAlign w:val="center"/>
          </w:tcPr>
          <w:p>
            <w:pPr>
              <w:pStyle w:val="TableContents"/>
              <w:spacing w:before="0" w:after="0"/>
              <w:ind w:left="0" w:right="0" w:hanging="0"/>
              <w:jc w:val="right"/>
              <w:rPr/>
            </w:pPr>
            <w:r>
              <w:rPr/>
              <w:t>​</w:t>
            </w:r>
          </w:p>
        </w:tc>
        <w:tc>
          <w:tcPr>
            <w:tcW w:w="66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3,908</w:t>
            </w:r>
          </w:p>
        </w:tc>
      </w:tr>
      <w:tr>
        <w:trPr/>
        <w:tc>
          <w:tcPr>
            <w:tcW w:w="130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2027 Term Loan</w:t>
            </w:r>
          </w:p>
        </w:tc>
        <w:tc>
          <w:tcPr>
            <w:tcW w:w="109" w:type="dxa"/>
            <w:tcBorders/>
            <w:shd w:fill="CCEEFF" w:val="clear"/>
            <w:vAlign w:val="center"/>
          </w:tcPr>
          <w:p>
            <w:pPr>
              <w:pStyle w:val="TableContents"/>
              <w:spacing w:before="0" w:after="0"/>
              <w:ind w:left="0" w:right="0" w:hanging="0"/>
              <w:rPr/>
            </w:pPr>
            <w:r>
              <w:rPr/>
              <w:t>​</w:t>
            </w:r>
          </w:p>
        </w:tc>
        <w:tc>
          <w:tcPr>
            <w:tcW w:w="115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spacing w:before="0" w:after="0"/>
              <w:ind w:left="0" w:right="0" w:hanging="0"/>
              <w:jc w:val="center"/>
              <w:rPr/>
            </w:pPr>
            <w:r>
              <w:rPr/>
              <w:t>​</w:t>
            </w:r>
          </w:p>
        </w:tc>
        <w:tc>
          <w:tcPr>
            <w:tcW w:w="118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spacing w:before="0" w:after="0"/>
              <w:ind w:left="0" w:right="0" w:hanging="0"/>
              <w:rPr/>
            </w:pPr>
            <w:r>
              <w:rPr/>
              <w:t>​</w:t>
            </w:r>
          </w:p>
        </w:tc>
        <w:tc>
          <w:tcPr>
            <w:tcW w:w="257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spacing w:before="0" w:after="0"/>
              <w:ind w:left="0" w:right="0" w:hanging="0"/>
              <w:jc w:val="right"/>
              <w:rPr/>
            </w:pPr>
            <w:r>
              <w:rPr/>
              <w:t>​</w:t>
            </w:r>
          </w:p>
        </w:tc>
        <w:tc>
          <w:tcPr>
            <w:tcW w:w="66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4,354</w:t>
            </w:r>
          </w:p>
        </w:tc>
      </w:tr>
      <w:tr>
        <w:trPr/>
        <w:tc>
          <w:tcPr>
            <w:tcW w:w="13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2028 Term Loan</w:t>
            </w:r>
          </w:p>
        </w:tc>
        <w:tc>
          <w:tcPr>
            <w:tcW w:w="109" w:type="dxa"/>
            <w:tcBorders/>
            <w:shd w:fill="auto" w:val="clear"/>
            <w:vAlign w:val="center"/>
          </w:tcPr>
          <w:p>
            <w:pPr>
              <w:pStyle w:val="TableContents"/>
              <w:spacing w:before="0" w:after="0"/>
              <w:ind w:left="0" w:right="0" w:hanging="0"/>
              <w:rPr/>
            </w:pPr>
            <w:r>
              <w:rPr/>
              <w:t>​</w:t>
            </w:r>
          </w:p>
        </w:tc>
        <w:tc>
          <w:tcPr>
            <w:tcW w:w="115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auto" w:val="clear"/>
            <w:vAlign w:val="center"/>
          </w:tcPr>
          <w:p>
            <w:pPr>
              <w:pStyle w:val="TableContents"/>
              <w:spacing w:before="0" w:after="0"/>
              <w:ind w:left="0" w:right="0" w:hanging="0"/>
              <w:rPr/>
            </w:pPr>
            <w:r>
              <w:rPr/>
              <w:t>​</w:t>
            </w:r>
          </w:p>
        </w:tc>
        <w:tc>
          <w:tcPr>
            <w:tcW w:w="257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auto" w:val="clear"/>
            <w:vAlign w:val="center"/>
          </w:tcPr>
          <w:p>
            <w:pPr>
              <w:pStyle w:val="TableContents"/>
              <w:spacing w:before="0" w:after="0"/>
              <w:ind w:left="0" w:right="0" w:hanging="0"/>
              <w:jc w:val="right"/>
              <w:rPr/>
            </w:pPr>
            <w:r>
              <w:rPr/>
              <w:t>​</w:t>
            </w:r>
          </w:p>
        </w:tc>
        <w:tc>
          <w:tcPr>
            <w:tcW w:w="66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(979)</w:t>
            </w:r>
          </w:p>
        </w:tc>
      </w:tr>
      <w:tr>
        <w:trPr/>
        <w:tc>
          <w:tcPr>
            <w:tcW w:w="130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spacing w:before="0" w:after="0"/>
              <w:ind w:left="0" w:right="0" w:hanging="0"/>
              <w:rPr/>
            </w:pPr>
            <w:r>
              <w:rPr/>
              <w:t>​</w:t>
            </w:r>
          </w:p>
        </w:tc>
        <w:tc>
          <w:tcPr>
            <w:tcW w:w="115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spacing w:before="0" w:after="0"/>
              <w:ind w:left="0" w:right="0" w:hanging="0"/>
              <w:jc w:val="center"/>
              <w:rPr/>
            </w:pPr>
            <w:r>
              <w:rPr/>
              <w:t>​</w:t>
            </w:r>
          </w:p>
        </w:tc>
        <w:tc>
          <w:tcPr>
            <w:tcW w:w="118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spacing w:before="0" w:after="0"/>
              <w:ind w:left="0" w:right="0" w:hanging="0"/>
              <w:rPr/>
            </w:pPr>
            <w:r>
              <w:rPr/>
              <w:t>​</w:t>
            </w:r>
          </w:p>
        </w:tc>
        <w:tc>
          <w:tcPr>
            <w:tcW w:w="257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spacing w:before="0" w:after="0"/>
              <w:ind w:left="0" w:right="0" w:hanging="0"/>
              <w:jc w:val="right"/>
              <w:rPr/>
            </w:pPr>
            <w:r>
              <w:rPr/>
              <w:t>​</w:t>
            </w:r>
          </w:p>
        </w:tc>
        <w:tc>
          <w:tcPr>
            <w:tcW w:w="66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(989)</w:t>
            </w:r>
          </w:p>
        </w:tc>
      </w:tr>
      <w:tr>
        <w:trPr/>
        <w:tc>
          <w:tcPr>
            <w:tcW w:w="13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Credit Facility</w:t>
            </w:r>
          </w:p>
        </w:tc>
        <w:tc>
          <w:tcPr>
            <w:tcW w:w="109" w:type="dxa"/>
            <w:tcBorders/>
            <w:shd w:fill="auto" w:val="clear"/>
            <w:vAlign w:val="center"/>
          </w:tcPr>
          <w:p>
            <w:pPr>
              <w:pStyle w:val="TableContents"/>
              <w:spacing w:before="0" w:after="0"/>
              <w:ind w:left="0" w:right="0" w:hanging="0"/>
              <w:rPr/>
            </w:pPr>
            <w:r>
              <w:rPr/>
              <w:t>​</w:t>
            </w:r>
          </w:p>
        </w:tc>
        <w:tc>
          <w:tcPr>
            <w:tcW w:w="115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auto" w:val="clear"/>
            <w:vAlign w:val="center"/>
          </w:tcPr>
          <w:p>
            <w:pPr>
              <w:pStyle w:val="TableContents"/>
              <w:spacing w:before="0" w:after="0"/>
              <w:ind w:left="0" w:right="0" w:hanging="0"/>
              <w:rPr/>
            </w:pPr>
            <w:r>
              <w:rPr/>
              <w:t>​</w:t>
            </w:r>
          </w:p>
        </w:tc>
        <w:tc>
          <w:tcPr>
            <w:tcW w:w="257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3.27% + 0.10% + applicable spread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auto" w:val="clear"/>
            <w:vAlign w:val="center"/>
          </w:tcPr>
          <w:p>
            <w:pPr>
              <w:pStyle w:val="TableContents"/>
              <w:spacing w:before="0" w:after="0"/>
              <w:ind w:left="0" w:right="0" w:hanging="0"/>
              <w:jc w:val="right"/>
              <w:rPr/>
            </w:pPr>
            <w:r>
              <w:rPr/>
              <w:t>​</w:t>
            </w:r>
          </w:p>
        </w:tc>
        <w:tc>
          <w:tcPr>
            <w:tcW w:w="66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r>
      <w:tr>
        <w:trPr/>
        <w:tc>
          <w:tcPr>
            <w:tcW w:w="130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spacing w:before="0" w:after="0"/>
              <w:ind w:left="0" w:right="0" w:hanging="0"/>
              <w:rPr/>
            </w:pPr>
            <w:r>
              <w:rPr/>
              <w:t>​</w:t>
            </w:r>
          </w:p>
        </w:tc>
        <w:tc>
          <w:tcPr>
            <w:tcW w:w="115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spacing w:before="0" w:after="0"/>
              <w:ind w:left="0" w:right="0" w:hanging="0"/>
              <w:jc w:val="center"/>
              <w:rPr/>
            </w:pPr>
            <w:r>
              <w:rPr/>
              <w:t>​</w:t>
            </w:r>
          </w:p>
        </w:tc>
        <w:tc>
          <w:tcPr>
            <w:tcW w:w="118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spacing w:before="0" w:after="0"/>
              <w:ind w:left="0" w:right="0" w:hanging="0"/>
              <w:rPr/>
            </w:pPr>
            <w:r>
              <w:rPr/>
              <w:t>​</w:t>
            </w:r>
          </w:p>
        </w:tc>
        <w:tc>
          <w:tcPr>
            <w:tcW w:w="2578"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3.26% + 0.10% + applicable spread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shd w:fill="CCEEFF" w:val="clear"/>
            <w:vAlign w:val="center"/>
          </w:tcPr>
          <w:p>
            <w:pPr>
              <w:pStyle w:val="TableContents"/>
              <w:spacing w:before="0" w:after="0"/>
              <w:ind w:left="0" w:right="0" w:hanging="0"/>
              <w:jc w:val="right"/>
              <w:rPr/>
            </w:pPr>
            <w:r>
              <w:rPr/>
              <w:t>​</w:t>
            </w:r>
          </w:p>
        </w:tc>
        <w:tc>
          <w:tcPr>
            <w:tcW w:w="66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r>
      <w:tr>
        <w:trPr/>
        <w:tc>
          <w:tcPr>
            <w:tcW w:w="13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Credit Facility</w:t>
            </w:r>
          </w:p>
        </w:tc>
        <w:tc>
          <w:tcPr>
            <w:tcW w:w="109" w:type="dxa"/>
            <w:tcBorders/>
            <w:shd w:fill="auto" w:val="clear"/>
            <w:vAlign w:val="center"/>
          </w:tcPr>
          <w:p>
            <w:pPr>
              <w:pStyle w:val="TableContents"/>
              <w:spacing w:before="0" w:after="0"/>
              <w:ind w:left="0" w:right="0" w:hanging="0"/>
              <w:rPr/>
            </w:pPr>
            <w:r>
              <w:rPr/>
              <w:t>​</w:t>
            </w:r>
          </w:p>
        </w:tc>
        <w:tc>
          <w:tcPr>
            <w:tcW w:w="115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auto" w:val="clear"/>
            <w:vAlign w:val="center"/>
          </w:tcPr>
          <w:p>
            <w:pPr>
              <w:pStyle w:val="TableContents"/>
              <w:spacing w:before="0" w:after="0"/>
              <w:ind w:left="0" w:right="0" w:hanging="0"/>
              <w:rPr/>
            </w:pPr>
            <w:r>
              <w:rPr/>
              <w:t>​</w:t>
            </w:r>
          </w:p>
        </w:tc>
        <w:tc>
          <w:tcPr>
            <w:tcW w:w="257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3.36% + 0.10% + applicable spread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auto" w:val="clear"/>
            <w:vAlign w:val="center"/>
          </w:tcPr>
          <w:p>
            <w:pPr>
              <w:pStyle w:val="TableContents"/>
              <w:spacing w:before="0" w:after="0"/>
              <w:ind w:left="0" w:right="0" w:hanging="0"/>
              <w:jc w:val="right"/>
              <w:rPr/>
            </w:pPr>
            <w:r>
              <w:rPr/>
              <w:t>​</w:t>
            </w:r>
          </w:p>
        </w:tc>
        <w:tc>
          <w:tcPr>
            <w:tcW w:w="66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88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r>
    </w:tbl>
    <w:tbl>
      <w:tblPr>
        <w:tblW w:w="8222" w:type="dxa"/>
        <w:jc w:val="left"/>
        <w:tblInd w:w="0" w:type="dxa"/>
        <w:tblCellMar>
          <w:top w:w="0" w:type="dxa"/>
          <w:left w:w="0" w:type="dxa"/>
          <w:bottom w:w="0" w:type="dxa"/>
          <w:right w:w="0" w:type="dxa"/>
        </w:tblCellMar>
      </w:tblPr>
      <w:tblGrid>
        <w:gridCol w:w="286"/>
        <w:gridCol w:w="7936"/>
      </w:tblGrid>
      <w:tr>
        <w:trPr/>
        <w:tc>
          <w:tcPr>
            <w:tcW w:w="286" w:type="dxa"/>
            <w:tcBorders/>
            <w:shd w:fill="auto" w:val="clear"/>
            <w:vAlign w:val="center"/>
          </w:tcPr>
          <w:p>
            <w:pPr>
              <w:pStyle w:val="TableContents"/>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7936" w:type="dxa"/>
            <w:tcBorders/>
            <w:shd w:fill="auto" w:val="clear"/>
            <w:vAlign w:val="center"/>
          </w:tcPr>
          <w:p>
            <w:pPr>
              <w:pStyle w:val="TableContents"/>
              <w:spacing w:before="0" w:after="0"/>
              <w:jc w:val="both"/>
              <w:rPr>
                <w:rFonts w:ascii="Times New Roman;Times;serif" w:hAnsi="Times New Roman;Times;serif"/>
                <w:sz w:val="16"/>
              </w:rPr>
            </w:pPr>
            <w:r>
              <w:rPr>
                <w:rFonts w:ascii="Times New Roman;Times;serif" w:hAnsi="Times New Roman;Times;serif"/>
                <w:sz w:val="16"/>
              </w:rPr>
              <w:t xml:space="preserve">On September 30, 2022, the Company converted its existing interest rate swaps from 1-month LIBOR to SOFR. </w:t>
            </w:r>
          </w:p>
        </w:tc>
      </w:tr>
    </w:tbl>
    <w:p>
      <w:pPr>
        <w:pStyle w:val="TextBody"/>
        <w:pBdr/>
        <w:spacing w:before="0" w:after="0"/>
        <w:ind w:left="0" w:right="0" w:hanging="360"/>
        <w:jc w:val="both"/>
        <w:rPr/>
      </w:pPr>
      <w:r>
        <w:rPr/>
        <w:t>​</w:t>
      </w:r>
    </w:p>
    <w:p>
      <w:pPr>
        <w:pStyle w:val="TextBody"/>
        <w:pBdr/>
        <w:spacing w:before="0" w:after="0"/>
        <w:ind w:left="0" w:right="0" w:hanging="360"/>
        <w:jc w:val="both"/>
        <w:rPr/>
      </w:pPr>
      <w:r>
        <w:rPr/>
        <w:t>​</w:t>
      </w:r>
    </w:p>
    <w:p>
      <w:pPr>
        <w:pStyle w:val="TextBody"/>
        <w:pBdr/>
        <w:spacing w:before="0" w:after="0"/>
        <w:ind w:left="0" w:right="0" w:hanging="360"/>
        <w:jc w:val="both"/>
        <w:rPr/>
      </w:pPr>
      <w:r>
        <w:rPr/>
        <w:t>​</w:t>
      </w:r>
    </w:p>
    <w:p>
      <w:pPr>
        <w:pStyle w:val="TextBody"/>
        <w:pBdr/>
        <w:spacing w:before="0" w:after="0"/>
        <w:ind w:left="0" w:right="0" w:hanging="360"/>
        <w:jc w:val="both"/>
        <w:rPr/>
      </w:pPr>
      <w:r>
        <w:rPr/>
        <w:t>​</w:t>
      </w:r>
    </w:p>
    <w:p>
      <w:pPr>
        <w:pStyle w:val="TextBody"/>
        <w:spacing w:before="0" w:after="0"/>
        <w:ind w:left="0" w:right="0" w:hanging="0"/>
        <w:rPr>
          <w:rFonts w:ascii="Times New Roman;Times;serif" w:hAnsi="Times New Roman;Times;serif"/>
          <w:b/>
          <w:sz w:val="20"/>
        </w:rPr>
      </w:pPr>
      <w:bookmarkStart w:id="1295" w:name="Tc_Wlx_1q5oHkOwuJRaIgkZvQ_12_5"/>
      <w:bookmarkStart w:id="1296" w:name="Tc_g0tMjRsF50KD72M4zHDCRw_12_2"/>
      <w:bookmarkStart w:id="1297" w:name="Tc_fOLBJkFUrkGOa7iASzxNmQ_12_0"/>
      <w:bookmarkStart w:id="1298" w:name="Tc_eMB3rO9nWUqd-sXkbneaMA_11_0"/>
      <w:bookmarkStart w:id="1299" w:name="Tc_oFcTBAuanEaYmT9DqZOlUQ_9_0"/>
      <w:bookmarkStart w:id="1300" w:name="Tc_pD51MJ6GLkyRKjIKKEE2Sw_8_0"/>
      <w:bookmarkStart w:id="1301" w:name="Tc_Cgg4sDfN80eNZ8KEA3Ls9Q_7_0"/>
      <w:bookmarkStart w:id="1302" w:name="Tc_mji6JMl9QEuMzv_6QZEqVg_6_0"/>
      <w:bookmarkStart w:id="1303" w:name="Tc_w2VVm_eV8k603nXKScs61A_5_0"/>
      <w:bookmarkStart w:id="1304" w:name="Tc_X5aIbF1oQUS86SQoFiaF9g_4_0"/>
      <w:bookmarkStart w:id="1305" w:name="Tc_Sz6kUDhLSU-enLwDyB4cmA_3_5"/>
      <w:bookmarkStart w:id="1306" w:name="Tc_lvO5Vt_VmkaQ0FwtloQ8fg_3_2"/>
      <w:bookmarkStart w:id="1307" w:name="Tc_2cAzT7_P_UqgZ3dnDjnJFg_3_0"/>
      <w:bookmarkStart w:id="1308" w:name="Tc_EUlDcpGLuki55Lgr7JavXQ_2_5"/>
      <w:bookmarkStart w:id="1309" w:name="Tc_wy9mZVpUG0i_bY3a7ukvIw_2_2"/>
      <w:bookmarkStart w:id="1310" w:name="Tc_faiag-tAf0aJdDu6Fj_JxQ_1_2"/>
      <w:bookmarkStart w:id="1311" w:name="_5997395d_ca53_4c6d_998f_d465e5fe294c"/>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r>
        <w:rPr>
          <w:rFonts w:ascii="Times New Roman;Times;serif" w:hAnsi="Times New Roman;Times;serif"/>
          <w:b/>
          <w:sz w:val="20"/>
        </w:rPr>
        <w:t>NOTE 17. ACCRUED AND OTHER LIABILITIES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tbl>
      <w:tblPr>
        <w:tblW w:w="6205" w:type="dxa"/>
        <w:jc w:val="left"/>
        <w:tblInd w:w="0" w:type="dxa"/>
        <w:tblCellMar>
          <w:top w:w="0" w:type="dxa"/>
          <w:left w:w="0" w:type="dxa"/>
          <w:bottom w:w="0" w:type="dxa"/>
          <w:right w:w="0" w:type="dxa"/>
        </w:tblCellMar>
      </w:tblPr>
      <w:tblGrid>
        <w:gridCol w:w="3271"/>
        <w:gridCol w:w="326"/>
        <w:gridCol w:w="232"/>
        <w:gridCol w:w="744"/>
        <w:gridCol w:w="326"/>
        <w:gridCol w:w="274"/>
        <w:gridCol w:w="1032"/>
      </w:tblGrid>
      <w:tr>
        <w:trPr/>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7320" cy="175260"/>
                      <wp:effectExtent l="0" t="0" r="0" b="0"/>
                      <wp:wrapNone/>
                      <wp:docPr id="184" name="Frame184"/>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72440" cy="175260"/>
                      <wp:effectExtent l="0" t="0" r="0" b="0"/>
                      <wp:wrapNone/>
                      <wp:docPr id="185" name="Frame185"/>
                      <a:graphic xmlns:a="http://schemas.openxmlformats.org/drawingml/2006/main">
                        <a:graphicData uri="http://schemas.microsoft.com/office/word/2010/wordprocessingShape">
                          <wps:wsp>
                            <wps:cNvSpPr txBox="1"/>
                            <wps:spPr>
                              <a:xfrm>
                                <a:off x="0" y="0"/>
                                <a:ext cx="472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3990" cy="175260"/>
                      <wp:effectExtent l="0" t="0" r="0" b="0"/>
                      <wp:wrapNone/>
                      <wp:docPr id="187" name="Frame187"/>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55320" cy="175260"/>
                      <wp:effectExtent l="0" t="0" r="0" b="0"/>
                      <wp:wrapNone/>
                      <wp:docPr id="188" name="Frame188"/>
                      <a:graphic xmlns:a="http://schemas.openxmlformats.org/drawingml/2006/main">
                        <a:graphicData uri="http://schemas.microsoft.com/office/word/2010/wordprocessingShape">
                          <wps:wsp>
                            <wps:cNvSpPr txBox="1"/>
                            <wps:spPr>
                              <a:xfrm>
                                <a:off x="0" y="0"/>
                                <a:ext cx="655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2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Property Taxes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Tenant Improvements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5,063</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10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Tenant Security Deposits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10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Construction Costs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10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10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Environmental Reserve </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10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 Hedge - Interest Rate Swaps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7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w:t>
            </w:r>
          </w:p>
        </w:tc>
        <w:tc>
          <w:tcPr>
            <w:tcW w:w="10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7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10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4,265</w:t>
            </w:r>
          </w:p>
        </w:tc>
        <w:tc>
          <w:tcPr>
            <w:tcW w:w="326" w:type="dxa"/>
            <w:tcBorders/>
            <w:shd w:fill="CCEEFF" w:val="clear"/>
            <w:vAlign w:val="center"/>
          </w:tcPr>
          <w:p>
            <w:pPr>
              <w:pStyle w:val="TableContents"/>
              <w:spacing w:before="0" w:after="0"/>
              <w:ind w:left="0" w:right="0" w:hanging="0"/>
              <w:rPr/>
            </w:pPr>
            <w:r>
              <w:rPr/>
              <w:t>​</w:t>
            </w:r>
          </w:p>
        </w:tc>
        <w:tc>
          <w:tcPr>
            <w:tcW w:w="27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6,104</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Accrued and Other Liabilities</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18,814</w:t>
            </w:r>
          </w:p>
        </w:tc>
        <w:tc>
          <w:tcPr>
            <w:tcW w:w="326" w:type="dxa"/>
            <w:tcBorders/>
            <w:shd w:fill="auto" w:val="clear"/>
            <w:vAlign w:val="center"/>
          </w:tcPr>
          <w:p>
            <w:pPr>
              <w:pStyle w:val="TableContents"/>
              <w:spacing w:before="0" w:after="0"/>
              <w:ind w:left="0" w:right="0" w:hanging="0"/>
              <w:rPr/>
            </w:pPr>
            <w:r>
              <w:rPr/>
              <w:t>​</w:t>
            </w:r>
          </w:p>
        </w:tc>
        <w:tc>
          <w:tcPr>
            <w:tcW w:w="27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18,028</w:t>
            </w:r>
          </w:p>
        </w:tc>
      </w:tr>
    </w:tbl>
    <w:p>
      <w:pPr>
        <w:pStyle w:val="TextBody"/>
        <w:spacing w:before="0" w:after="0"/>
        <w:ind w:left="0" w:right="0" w:hanging="0"/>
        <w:jc w:val="both"/>
        <w:rPr/>
      </w:pPr>
      <w:r>
        <w:rPr/>
        <w:t> </w:t>
      </w:r>
    </w:p>
    <w:p>
      <w:pPr>
        <w:pStyle w:val="TextBody"/>
        <w:spacing w:before="0" w:after="120"/>
        <w:ind w:left="0" w:right="0" w:firstLine="547"/>
        <w:jc w:val="both"/>
        <w:rPr/>
      </w:pPr>
      <w:r>
        <w:rPr/>
        <w:t>​</w:t>
      </w:r>
    </w:p>
    <w:p>
      <w:pPr>
        <w:pStyle w:val="TextBody"/>
        <w:spacing w:before="0" w:after="120"/>
        <w:ind w:left="0" w:right="0" w:firstLine="547"/>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 xml:space="preserve">In connection with recent acquisitions, the Company received an aggregate of $7.4 million from the sellers of certain properties for tenant improvement allowances, leasing commissions and other capital improvements. These amounts are included in accrued and other liabilities on the consolidated balance sheets.  Through March 31, 2023, payments totaling $2.3 million were made, leaving a remaining reserve for tenant improvements of $5.1 million. </w:t>
      </w:r>
    </w:p>
    <w:p>
      <w:pPr>
        <w:pStyle w:val="TextBody"/>
        <w:spacing w:before="0" w:after="0"/>
        <w:ind w:left="0" w:right="0" w:hanging="0"/>
        <w:rPr>
          <w:rFonts w:ascii="Times New Roman;Times;serif" w:hAnsi="Times New Roman;Times;serif"/>
          <w:b/>
          <w:sz w:val="20"/>
        </w:rPr>
      </w:pPr>
      <w:bookmarkStart w:id="1312" w:name="Tc_amiU0eaVfUa702-9T3jALA_6_5"/>
      <w:bookmarkStart w:id="1313" w:name="Tc_bZNj7iLLXU2Qjc8lvNwzxg_6_2"/>
      <w:bookmarkStart w:id="1314" w:name="Tc_iUmGHBDaAkmIxrPrV1BKvA_6_0"/>
      <w:bookmarkStart w:id="1315" w:name="Tc_yvavmFyUxkiBSOpUplvKpg_5_0"/>
      <w:bookmarkStart w:id="1316" w:name="Tc_jD4JwBg27U6xt0yCT-Ckfg_4_0"/>
      <w:bookmarkStart w:id="1317" w:name="Tc_0Pl3z3LpUU2o_1VMUezztw_3_5"/>
      <w:bookmarkStart w:id="1318" w:name="Tc_Eno8BXnm0kavmdiaZgaFTA_3_2"/>
      <w:bookmarkStart w:id="1319" w:name="Tc_Yyi4Doux9U6k1oOJ60RF8A_3_0"/>
      <w:bookmarkStart w:id="1320" w:name="Tc_es7Sacv_lUim7Z4PgYbvxQ_2_5"/>
      <w:bookmarkStart w:id="1321" w:name="Tc_vi8M1oeC-ECmi3WR4Vn-AA_2_2"/>
      <w:bookmarkStart w:id="1322" w:name="Tc_slHpuYAjjk6hGAZA66sajw_1_2"/>
      <w:bookmarkStart w:id="1323" w:name="_b366cf25_b44e_44e7_991f_714e2013e8dc"/>
      <w:bookmarkEnd w:id="1312"/>
      <w:bookmarkEnd w:id="1313"/>
      <w:bookmarkEnd w:id="1314"/>
      <w:bookmarkEnd w:id="1315"/>
      <w:bookmarkEnd w:id="1316"/>
      <w:bookmarkEnd w:id="1317"/>
      <w:bookmarkEnd w:id="1318"/>
      <w:bookmarkEnd w:id="1319"/>
      <w:bookmarkEnd w:id="1320"/>
      <w:bookmarkEnd w:id="1321"/>
      <w:bookmarkEnd w:id="1322"/>
      <w:bookmarkEnd w:id="1323"/>
      <w:r>
        <w:rPr>
          <w:rFonts w:ascii="Times New Roman;Times;serif" w:hAnsi="Times New Roman;Times;serif"/>
          <w:b/>
          <w:sz w:val="20"/>
        </w:rPr>
        <w:t>NOTE 18. DEFERRED REVENUE</w:t>
      </w:r>
    </w:p>
    <w:p>
      <w:pPr>
        <w:pStyle w:val="TextBody"/>
        <w:spacing w:before="0" w:after="0"/>
        <w:ind w:left="0" w:right="0" w:hanging="0"/>
        <w:rPr/>
      </w:pPr>
      <w:r>
        <w:rPr/>
        <w:t>​</w:t>
      </w:r>
    </w:p>
    <w:p>
      <w:pPr>
        <w:pStyle w:val="TextBody"/>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7705" w:type="dxa"/>
        <w:jc w:val="left"/>
        <w:tblInd w:w="0" w:type="dxa"/>
        <w:tblCellMar>
          <w:top w:w="0" w:type="dxa"/>
          <w:left w:w="0" w:type="dxa"/>
          <w:bottom w:w="0" w:type="dxa"/>
          <w:right w:w="0" w:type="dxa"/>
        </w:tblCellMar>
      </w:tblPr>
      <w:tblGrid>
        <w:gridCol w:w="4771"/>
        <w:gridCol w:w="326"/>
        <w:gridCol w:w="263"/>
        <w:gridCol w:w="713"/>
        <w:gridCol w:w="326"/>
        <w:gridCol w:w="306"/>
        <w:gridCol w:w="1000"/>
      </w:tblGrid>
      <w:tr>
        <w:trPr/>
        <w:tc>
          <w:tcPr>
            <w:tcW w:w="4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7005" cy="175260"/>
                      <wp:effectExtent l="0" t="0" r="0" b="0"/>
                      <wp:wrapNone/>
                      <wp:docPr id="190" name="Frame190"/>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52755" cy="175260"/>
                      <wp:effectExtent l="0" t="0" r="0" b="0"/>
                      <wp:wrapNone/>
                      <wp:docPr id="191" name="Frame191"/>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94310" cy="175260"/>
                      <wp:effectExtent l="0" t="0" r="0" b="0"/>
                      <wp:wrapNone/>
                      <wp:docPr id="193" name="Frame193"/>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35000" cy="175260"/>
                      <wp:effectExtent l="0" t="0" r="0" b="0"/>
                      <wp:wrapNone/>
                      <wp:docPr id="194" name="Frame194"/>
                      <a:graphic xmlns:a="http://schemas.openxmlformats.org/drawingml/2006/main">
                        <a:graphicData uri="http://schemas.microsoft.com/office/word/2010/wordprocessingShape">
                          <wps:wsp>
                            <wps:cNvSpPr txBox="1"/>
                            <wps:spPr>
                              <a:xfrm>
                                <a:off x="0" y="0"/>
                                <a:ext cx="635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4,704</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3,951</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71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Tenant Contributions</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Revenue</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26"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5,735</w:t>
            </w:r>
          </w:p>
        </w:tc>
      </w:tr>
    </w:tbl>
    <w:p>
      <w:pPr>
        <w:pStyle w:val="TextBody"/>
        <w:spacing w:before="0" w:after="0"/>
        <w:ind w:left="0" w:right="0" w:firstLine="547"/>
        <w:jc w:val="both"/>
        <w:rPr/>
      </w:pPr>
      <w:r>
        <w:rPr/>
        <w:t> </w:t>
      </w:r>
    </w:p>
    <w:p>
      <w:pPr>
        <w:pStyle w:val="TextBody"/>
        <w:spacing w:before="0" w:after="0"/>
        <w:ind w:left="0" w:right="0" w:firstLine="547"/>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0"/>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three of the Company’s commercial 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spacing w:before="0" w:after="0"/>
        <w:ind w:left="0" w:right="0" w:firstLine="540"/>
        <w:jc w:val="both"/>
        <w:rPr/>
      </w:pPr>
      <w:r>
        <w:rPr/>
        <w:t>​</w:t>
      </w:r>
    </w:p>
    <w:p>
      <w:pPr>
        <w:pStyle w:val="TextBody"/>
        <w:spacing w:before="0" w:after="0"/>
        <w:ind w:left="0" w:right="0" w:firstLine="540"/>
        <w:jc w:val="both"/>
        <w:rPr/>
      </w:pPr>
      <w:r>
        <w:rPr/>
        <w:t>​</w:t>
      </w:r>
    </w:p>
    <w:p>
      <w:pPr>
        <w:pStyle w:val="TextBody"/>
        <w:spacing w:before="0" w:after="0"/>
        <w:ind w:left="0" w:right="0" w:hanging="0"/>
        <w:rPr>
          <w:rFonts w:ascii="Times New Roman;Times;serif" w:hAnsi="Times New Roman;Times;serif"/>
          <w:sz w:val="20"/>
        </w:rPr>
      </w:pPr>
      <w:bookmarkStart w:id="1324" w:name="Tc_s64zWIgti0GfOFZ_ySgY8Q_3_5"/>
      <w:bookmarkStart w:id="1325" w:name="Tc_hueoknXe8kOJJC1MBNZP6w_3_2"/>
      <w:bookmarkStart w:id="1326" w:name="Tc_Ip_AlIECokm1rZ3LJm4-Pg_3_0"/>
      <w:bookmarkStart w:id="1327" w:name="Tc_LeyJLFWAIkivpR1zXJzl0A_2_5"/>
      <w:bookmarkStart w:id="1328" w:name="Tc_JQ5whea8yEGsDg6JitbC6A_2_2"/>
      <w:bookmarkStart w:id="1329" w:name="Tc_3-9j5C2BxE2k_vqXxFHBLw_1_2"/>
      <w:bookmarkStart w:id="1330" w:name="_65e44a32_295e_45ae_88f7_8cb68539addf"/>
      <w:bookmarkStart w:id="1331" w:name="Tc_lLZRVm0xKEO3FadyNufN2Q_4_12"/>
      <w:bookmarkStart w:id="1332" w:name="Tc_9AfYhxkfREqdPt52GpCHpA_4_0"/>
      <w:bookmarkStart w:id="1333" w:name="Tc_s6OnXBmplUOgK1kv1rPMGQ_3_12"/>
      <w:bookmarkStart w:id="1334" w:name="Tc_sh6Rmh1I9Emsq02QOOkVYQ_3_0"/>
      <w:bookmarkStart w:id="1335" w:name="Tc_Yq7v2ovezkyl52LiFZoIYA_2_15"/>
      <w:bookmarkStart w:id="1336" w:name="Tc_bJgbM93PFEmVKtkOSF2Wmg_2_12"/>
      <w:bookmarkStart w:id="1337" w:name="Tc_CmeKPNlqH0ipDE2Z6WQ8aw_2_0"/>
      <w:bookmarkStart w:id="1338" w:name="Tc_8iyz7JDUzkyp4Jms5vXuTQ_1_17"/>
      <w:bookmarkStart w:id="1339" w:name="Tc_s5gCeH8p_kabcHmRKkglyA_1_14"/>
      <w:bookmarkStart w:id="1340" w:name="Tc_LG0Nz1CqN0qFSZFYnyCDnw_1_11"/>
      <w:bookmarkStart w:id="1341" w:name="Tc_OdDN0bhpi0u2jO9YK8HbjQ_1_8"/>
      <w:bookmarkStart w:id="1342" w:name="Tc_f69Wv7VJFEq74JjhvuATkw_1_5"/>
      <w:bookmarkStart w:id="1343" w:name="Tc_CnOTXg7pgEC8bsbqr5KDdg_1_2"/>
      <w:bookmarkStart w:id="1344" w:name="Tc_yrHI6faerUW2uoCWorIQ1A_1_0"/>
      <w:bookmarkStart w:id="1345" w:name="_fef2356e_4866_4bcd_94d2_4b4e4a9c54db"/>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r>
        <w:rPr>
          <w:rFonts w:ascii="Times New Roman;Times;serif" w:hAnsi="Times New Roman;Times;serif"/>
          <w:b/>
          <w:sz w:val="20"/>
        </w:rPr>
        <w:t>NOTE 19. STOCK-BASED COMPENSATION</w:t>
      </w:r>
      <w:r>
        <w:rPr>
          <w:rFonts w:ascii="Times New Roman;Times;serif" w:hAnsi="Times New Roman;Times;serif"/>
          <w:color w:val="FF0000"/>
          <w:sz w:val="20"/>
        </w:rPr>
        <w:t xml:space="preserv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spacing w:before="0" w:after="0"/>
        <w:ind w:left="0" w:right="0" w:hanging="0"/>
        <w:rPr/>
      </w:pPr>
      <w:r>
        <w:rPr/>
        <w:t>​</w:t>
      </w:r>
    </w:p>
    <w:p>
      <w:pPr>
        <w:pStyle w:val="TextBody"/>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summary of share activity for all equity classified stock compensation during the three months ended March 31, 2023 is presented below. </w:t>
      </w:r>
    </w:p>
    <w:p>
      <w:pPr>
        <w:pStyle w:val="TextBody"/>
        <w:spacing w:before="0" w:after="0"/>
        <w:ind w:left="0" w:right="0" w:firstLine="540"/>
        <w:jc w:val="both"/>
        <w:rPr/>
      </w:pPr>
      <w:r>
        <w:rPr/>
        <w:t>​</w:t>
      </w:r>
    </w:p>
    <w:tbl>
      <w:tblPr>
        <w:tblW w:w="10205" w:type="dxa"/>
        <w:jc w:val="left"/>
        <w:tblInd w:w="0" w:type="dxa"/>
        <w:tblCellMar>
          <w:top w:w="0" w:type="dxa"/>
          <w:left w:w="0" w:type="dxa"/>
          <w:bottom w:w="0" w:type="dxa"/>
          <w:right w:w="0" w:type="dxa"/>
        </w:tblCellMar>
      </w:tblPr>
      <w:tblGrid>
        <w:gridCol w:w="2226"/>
        <w:gridCol w:w="326"/>
        <w:gridCol w:w="188"/>
        <w:gridCol w:w="1196"/>
        <w:gridCol w:w="326"/>
        <w:gridCol w:w="123"/>
        <w:gridCol w:w="786"/>
        <w:gridCol w:w="109"/>
        <w:gridCol w:w="147"/>
        <w:gridCol w:w="1024"/>
        <w:gridCol w:w="109"/>
        <w:gridCol w:w="200"/>
        <w:gridCol w:w="640"/>
        <w:gridCol w:w="109"/>
        <w:gridCol w:w="182"/>
        <w:gridCol w:w="733"/>
        <w:gridCol w:w="326"/>
        <w:gridCol w:w="173"/>
        <w:gridCol w:w="1282"/>
      </w:tblGrid>
      <w:tr>
        <w:trPr/>
        <w:tc>
          <w:tcPr>
            <w:tcW w:w="2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9380" cy="175260"/>
                      <wp:effectExtent l="0" t="0" r="0" b="0"/>
                      <wp:wrapNone/>
                      <wp:docPr id="196" name="Frame196"/>
                      <a:graphic xmlns:a="http://schemas.openxmlformats.org/drawingml/2006/main">
                        <a:graphicData uri="http://schemas.microsoft.com/office/word/2010/wordprocessingShape">
                          <wps:wsp>
                            <wps:cNvSpPr txBox="1"/>
                            <wps:spPr>
                              <a:xfrm>
                                <a:off x="0" y="0"/>
                                <a:ext cx="119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59460" cy="175260"/>
                      <wp:effectExtent l="0" t="0" r="0" b="0"/>
                      <wp:wrapNone/>
                      <wp:docPr id="197" name="Frame197"/>
                      <a:graphic xmlns:a="http://schemas.openxmlformats.org/drawingml/2006/main">
                        <a:graphicData uri="http://schemas.microsoft.com/office/word/2010/wordprocessingShape">
                          <wps:wsp>
                            <wps:cNvSpPr txBox="1"/>
                            <wps:spPr>
                              <a:xfrm>
                                <a:off x="0" y="0"/>
                                <a:ext cx="759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8105" cy="175260"/>
                      <wp:effectExtent l="0" t="0" r="0" b="0"/>
                      <wp:wrapNone/>
                      <wp:docPr id="199" name="Frame199"/>
                      <a:graphic xmlns:a="http://schemas.openxmlformats.org/drawingml/2006/main">
                        <a:graphicData uri="http://schemas.microsoft.com/office/word/2010/wordprocessingShape">
                          <wps:wsp>
                            <wps:cNvSpPr txBox="1"/>
                            <wps:spPr>
                              <a:xfrm>
                                <a:off x="0" y="0"/>
                                <a:ext cx="78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99110" cy="175260"/>
                      <wp:effectExtent l="0" t="0" r="0" b="0"/>
                      <wp:wrapNone/>
                      <wp:docPr id="200" name="Frame200"/>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3345" cy="175260"/>
                      <wp:effectExtent l="0" t="0" r="0" b="0"/>
                      <wp:wrapNone/>
                      <wp:docPr id="202" name="Frame202"/>
                      <a:graphic xmlns:a="http://schemas.openxmlformats.org/drawingml/2006/main">
                        <a:graphicData uri="http://schemas.microsoft.com/office/word/2010/wordprocessingShape">
                          <wps:wsp>
                            <wps:cNvSpPr txBox="1"/>
                            <wps:spPr>
                              <a:xfrm>
                                <a:off x="0" y="0"/>
                                <a:ext cx="93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0240" cy="175260"/>
                      <wp:effectExtent l="0" t="0" r="0" b="0"/>
                      <wp:wrapNone/>
                      <wp:docPr id="203" name="Frame203"/>
                      <a:graphic xmlns:a="http://schemas.openxmlformats.org/drawingml/2006/main">
                        <a:graphicData uri="http://schemas.microsoft.com/office/word/2010/wordprocessingShape">
                          <wps:wsp>
                            <wps:cNvSpPr txBox="1"/>
                            <wps:spPr>
                              <a:xfrm>
                                <a:off x="0" y="0"/>
                                <a:ext cx="650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7000" cy="175260"/>
                      <wp:effectExtent l="0" t="0" r="0" b="0"/>
                      <wp:wrapNone/>
                      <wp:docPr id="205" name="Frame205"/>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6400" cy="175260"/>
                      <wp:effectExtent l="0" t="0" r="0" b="0"/>
                      <wp:wrapNone/>
                      <wp:docPr id="206" name="Frame206"/>
                      <a:graphic xmlns:a="http://schemas.openxmlformats.org/drawingml/2006/main">
                        <a:graphicData uri="http://schemas.microsoft.com/office/word/2010/wordprocessingShape">
                          <wps:wsp>
                            <wps:cNvSpPr txBox="1"/>
                            <wps:spPr>
                              <a:xfrm>
                                <a:off x="0" y="0"/>
                                <a:ext cx="406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15570" cy="175260"/>
                      <wp:effectExtent l="0" t="0" r="0" b="0"/>
                      <wp:wrapNone/>
                      <wp:docPr id="208" name="Frame208"/>
                      <a:graphic xmlns:a="http://schemas.openxmlformats.org/drawingml/2006/main">
                        <a:graphicData uri="http://schemas.microsoft.com/office/word/2010/wordprocessingShape">
                          <wps:wsp>
                            <wps:cNvSpPr txBox="1"/>
                            <wps:spPr>
                              <a:xfrm>
                                <a:off x="0" y="0"/>
                                <a:ext cx="115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65455" cy="175260"/>
                      <wp:effectExtent l="0" t="0" r="0" b="0"/>
                      <wp:wrapNone/>
                      <wp:docPr id="209" name="Frame209"/>
                      <a:graphic xmlns:a="http://schemas.openxmlformats.org/drawingml/2006/main">
                        <a:graphicData uri="http://schemas.microsoft.com/office/word/2010/wordprocessingShape">
                          <wps:wsp>
                            <wps:cNvSpPr txBox="1"/>
                            <wps:spPr>
                              <a:xfrm>
                                <a:off x="0" y="0"/>
                                <a:ext cx="465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09855" cy="175260"/>
                      <wp:effectExtent l="0" t="0" r="0" b="0"/>
                      <wp:wrapNone/>
                      <wp:docPr id="211" name="Frame211"/>
                      <a:graphic xmlns:a="http://schemas.openxmlformats.org/drawingml/2006/main">
                        <a:graphicData uri="http://schemas.microsoft.com/office/word/2010/wordprocessingShape">
                          <wps:wsp>
                            <wps:cNvSpPr txBox="1"/>
                            <wps:spPr>
                              <a:xfrm>
                                <a:off x="0" y="0"/>
                                <a:ext cx="109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14070" cy="175260"/>
                      <wp:effectExtent l="0" t="0" r="0" b="0"/>
                      <wp:wrapNone/>
                      <wp:docPr id="212" name="Frame212"/>
                      <a:graphic xmlns:a="http://schemas.openxmlformats.org/drawingml/2006/main">
                        <a:graphicData uri="http://schemas.microsoft.com/office/word/2010/wordprocessingShape">
                          <wps:wsp>
                            <wps:cNvSpPr txBox="1"/>
                            <wps:spPr>
                              <a:xfrm>
                                <a:off x="0" y="0"/>
                                <a:ext cx="814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Type of Award</w:t>
            </w:r>
          </w:p>
        </w:tc>
        <w:tc>
          <w:tcPr>
            <w:tcW w:w="326" w:type="dxa"/>
            <w:tcBorders/>
            <w:shd w:fill="auto" w:val="clear"/>
            <w:vAlign w:val="center"/>
          </w:tcPr>
          <w:p>
            <w:pPr>
              <w:pStyle w:val="TableContents"/>
              <w:spacing w:before="0" w:after="0"/>
              <w:ind w:left="0" w:right="0" w:hanging="0"/>
              <w:rPr/>
            </w:pPr>
            <w:r>
              <w:rPr/>
              <w:t>    </w:t>
            </w:r>
          </w:p>
        </w:tc>
        <w:tc>
          <w:tcPr>
            <w:tcW w:w="13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1/1/2023</w:t>
            </w:r>
          </w:p>
        </w:tc>
        <w:tc>
          <w:tcPr>
            <w:tcW w:w="326" w:type="dxa"/>
            <w:tcBorders/>
            <w:shd w:fill="auto" w:val="clear"/>
            <w:vAlign w:val="center"/>
          </w:tcPr>
          <w:p>
            <w:pPr>
              <w:pStyle w:val="TableContents"/>
              <w:spacing w:before="0" w:after="0"/>
              <w:ind w:left="0" w:right="0" w:hanging="0"/>
              <w:jc w:val="center"/>
              <w:rPr/>
            </w:pPr>
            <w:r>
              <w:rPr/>
              <w:t>    </w:t>
            </w:r>
          </w:p>
        </w:tc>
        <w:tc>
          <w:tcPr>
            <w:tcW w:w="9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shd w:fill="auto" w:val="clear"/>
            <w:vAlign w:val="center"/>
          </w:tcPr>
          <w:p>
            <w:pPr>
              <w:pStyle w:val="TableContents"/>
              <w:spacing w:before="0" w:after="0"/>
              <w:ind w:left="0" w:right="0" w:hanging="0"/>
              <w:jc w:val="center"/>
              <w:rPr/>
            </w:pPr>
            <w:r>
              <w:rPr/>
              <w:t>​</w:t>
            </w:r>
          </w:p>
        </w:tc>
        <w:tc>
          <w:tcPr>
            <w:tcW w:w="11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shd w:fill="auto" w:val="clear"/>
            <w:vAlign w:val="center"/>
          </w:tcPr>
          <w:p>
            <w:pPr>
              <w:pStyle w:val="TableContents"/>
              <w:spacing w:before="0" w:after="0"/>
              <w:ind w:left="0" w:right="0" w:hanging="0"/>
              <w:rPr/>
            </w:pPr>
            <w:r>
              <w:rPr/>
              <w:t>​</w:t>
            </w:r>
          </w:p>
        </w:tc>
        <w:tc>
          <w:tcPr>
            <w:tcW w:w="8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shd w:fill="auto" w:val="clear"/>
            <w:vAlign w:val="center"/>
          </w:tcPr>
          <w:p>
            <w:pPr>
              <w:pStyle w:val="TableContents"/>
              <w:spacing w:before="0" w:after="0"/>
              <w:ind w:left="0" w:right="0" w:hanging="0"/>
              <w:jc w:val="center"/>
              <w:rPr/>
            </w:pPr>
            <w:r>
              <w:rPr/>
              <w:t>​</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26" w:type="dxa"/>
            <w:tcBorders/>
            <w:shd w:fill="auto" w:val="clear"/>
            <w:vAlign w:val="center"/>
          </w:tcPr>
          <w:p>
            <w:pPr>
              <w:pStyle w:val="TableContents"/>
              <w:spacing w:before="0" w:after="0"/>
              <w:ind w:left="0" w:right="0" w:hanging="0"/>
              <w:jc w:val="center"/>
              <w:rPr/>
            </w:pPr>
            <w:r>
              <w:rPr/>
              <w:t>    </w:t>
            </w:r>
          </w:p>
        </w:tc>
        <w:tc>
          <w:tcPr>
            <w:tcW w:w="14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3/31/2023</w:t>
            </w:r>
          </w:p>
        </w:tc>
      </w:tr>
      <w:tr>
        <w:trPr/>
        <w:tc>
          <w:tcPr>
            <w:tcW w:w="22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26" w:type="dxa"/>
            <w:tcBorders/>
            <w:shd w:fill="CCEEFF" w:val="clear"/>
            <w:vAlign w:val="center"/>
          </w:tcPr>
          <w:p>
            <w:pPr>
              <w:pStyle w:val="TableContents"/>
              <w:spacing w:before="0" w:after="0"/>
              <w:ind w:left="0" w:right="0" w:hanging="0"/>
              <w:rPr/>
            </w:pPr>
            <w:r>
              <w:rPr/>
              <w:t>​</w:t>
            </w:r>
          </w:p>
        </w:tc>
        <w:tc>
          <w:tcPr>
            <w:tcW w:w="188" w:type="dxa"/>
            <w:tcBorders/>
            <w:shd w:fill="CCEEFF" w:val="clear"/>
            <w:vAlign w:val="center"/>
          </w:tcPr>
          <w:p>
            <w:pPr>
              <w:pStyle w:val="TableContents"/>
              <w:spacing w:before="0" w:after="0"/>
              <w:ind w:left="0" w:right="0" w:hanging="0"/>
              <w:rPr/>
            </w:pPr>
            <w:r>
              <w:rPr/>
              <w:t>​</w:t>
            </w:r>
          </w:p>
        </w:tc>
        <w:tc>
          <w:tcPr>
            <w:tcW w:w="119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230,247</w:t>
            </w:r>
          </w:p>
        </w:tc>
        <w:tc>
          <w:tcPr>
            <w:tcW w:w="326" w:type="dxa"/>
            <w:tcBorders/>
            <w:shd w:fill="CCEEFF" w:val="clear"/>
            <w:vAlign w:val="center"/>
          </w:tcPr>
          <w:p>
            <w:pPr>
              <w:pStyle w:val="TableContents"/>
              <w:spacing w:before="0" w:after="0"/>
              <w:ind w:left="0" w:right="0" w:hanging="0"/>
              <w:rPr/>
            </w:pPr>
            <w:r>
              <w:rPr/>
              <w:t>​</w:t>
            </w:r>
          </w:p>
        </w:tc>
        <w:tc>
          <w:tcPr>
            <w:tcW w:w="123" w:type="dxa"/>
            <w:tcBorders/>
            <w:shd w:fill="CCEEFF" w:val="clear"/>
            <w:vAlign w:val="center"/>
          </w:tcPr>
          <w:p>
            <w:pPr>
              <w:pStyle w:val="TableContents"/>
              <w:spacing w:before="0" w:after="0"/>
              <w:ind w:left="0" w:right="0" w:hanging="0"/>
              <w:jc w:val="right"/>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88,754</w:t>
            </w:r>
          </w:p>
        </w:tc>
        <w:tc>
          <w:tcPr>
            <w:tcW w:w="109" w:type="dxa"/>
            <w:tcBorders/>
            <w:shd w:fill="CCEEFF" w:val="clear"/>
            <w:vAlign w:val="center"/>
          </w:tcPr>
          <w:p>
            <w:pPr>
              <w:pStyle w:val="TableContents"/>
              <w:spacing w:before="0" w:after="0"/>
              <w:ind w:left="0" w:right="0" w:hanging="0"/>
              <w:rPr/>
            </w:pPr>
            <w:r>
              <w:rPr/>
              <w:t>​</w:t>
            </w:r>
          </w:p>
        </w:tc>
        <w:tc>
          <w:tcPr>
            <w:tcW w:w="147" w:type="dxa"/>
            <w:tcBorders/>
            <w:shd w:fill="CCEEFF" w:val="clear"/>
            <w:vAlign w:val="center"/>
          </w:tcPr>
          <w:p>
            <w:pPr>
              <w:pStyle w:val="TableContents"/>
              <w:spacing w:before="0" w:after="0"/>
              <w:ind w:left="0" w:right="0" w:hanging="0"/>
              <w:rPr/>
            </w:pPr>
            <w:r>
              <w:rPr/>
              <w:t>​</w:t>
            </w:r>
          </w:p>
        </w:tc>
        <w:tc>
          <w:tcPr>
            <w:tcW w:w="1024"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(72,141)</w:t>
            </w:r>
          </w:p>
        </w:tc>
        <w:tc>
          <w:tcPr>
            <w:tcW w:w="109"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82" w:type="dxa"/>
            <w:tcBorders/>
            <w:shd w:fill="CCEEFF" w:val="clear"/>
            <w:vAlign w:val="center"/>
          </w:tcPr>
          <w:p>
            <w:pPr>
              <w:pStyle w:val="TableContents"/>
              <w:spacing w:before="0" w:after="0"/>
              <w:ind w:left="0" w:right="0" w:hanging="0"/>
              <w:rPr/>
            </w:pPr>
            <w:r>
              <w:rPr/>
              <w:t>​</w:t>
            </w:r>
          </w:p>
        </w:tc>
        <w:tc>
          <w:tcPr>
            <w:tcW w:w="7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73" w:type="dxa"/>
            <w:tcBorders/>
            <w:shd w:fill="CCEEFF" w:val="clear"/>
            <w:vAlign w:val="center"/>
          </w:tcPr>
          <w:p>
            <w:pPr>
              <w:pStyle w:val="TableContents"/>
              <w:spacing w:before="0" w:after="0"/>
              <w:ind w:left="0" w:right="0" w:hanging="0"/>
              <w:rPr/>
            </w:pPr>
            <w:r>
              <w:rPr/>
              <w:t>​</w:t>
            </w:r>
          </w:p>
        </w:tc>
        <w:tc>
          <w:tcPr>
            <w:tcW w:w="128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246,860</w:t>
            </w:r>
          </w:p>
        </w:tc>
      </w:tr>
      <w:tr>
        <w:trPr/>
        <w:tc>
          <w:tcPr>
            <w:tcW w:w="22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26" w:type="dxa"/>
            <w:tcBorders/>
            <w:shd w:fill="auto" w:val="clear"/>
            <w:vAlign w:val="center"/>
          </w:tcPr>
          <w:p>
            <w:pPr>
              <w:pStyle w:val="TableContents"/>
              <w:spacing w:before="0" w:after="0"/>
              <w:ind w:left="0" w:right="0" w:hanging="0"/>
              <w:rPr/>
            </w:pPr>
            <w:r>
              <w:rPr/>
              <w:t>​</w:t>
            </w:r>
          </w:p>
        </w:tc>
        <w:tc>
          <w:tcPr>
            <w:tcW w:w="18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212,079</w:t>
            </w:r>
          </w:p>
        </w:tc>
        <w:tc>
          <w:tcPr>
            <w:tcW w:w="326" w:type="dxa"/>
            <w:tcBorders/>
            <w:shd w:fill="auto" w:val="clear"/>
            <w:vAlign w:val="center"/>
          </w:tcPr>
          <w:p>
            <w:pPr>
              <w:pStyle w:val="TableContents"/>
              <w:spacing w:before="0" w:after="0"/>
              <w:ind w:left="0" w:right="0" w:hanging="0"/>
              <w:rPr/>
            </w:pPr>
            <w:r>
              <w:rPr/>
              <w:t>​</w:t>
            </w:r>
          </w:p>
        </w:tc>
        <w:tc>
          <w:tcPr>
            <w:tcW w:w="1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91,003</w:t>
            </w:r>
          </w:p>
        </w:tc>
        <w:tc>
          <w:tcPr>
            <w:tcW w:w="109" w:type="dxa"/>
            <w:tcBorders/>
            <w:shd w:fill="auto" w:val="clear"/>
            <w:vAlign w:val="center"/>
          </w:tcPr>
          <w:p>
            <w:pPr>
              <w:pStyle w:val="TableContents"/>
              <w:spacing w:before="0" w:after="0"/>
              <w:ind w:left="0" w:right="0" w:hanging="0"/>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(74,229)</w:t>
            </w:r>
          </w:p>
        </w:tc>
        <w:tc>
          <w:tcPr>
            <w:tcW w:w="109" w:type="dxa"/>
            <w:tcBorders/>
            <w:shd w:fill="auto" w:val="clear"/>
            <w:vAlign w:val="center"/>
          </w:tcPr>
          <w:p>
            <w:pPr>
              <w:pStyle w:val="TableContents"/>
              <w:spacing w:before="0" w:after="0"/>
              <w:ind w:left="0" w:right="0" w:hanging="0"/>
              <w:rPr/>
            </w:pPr>
            <w:r>
              <w:rPr/>
              <w:t>​</w:t>
            </w:r>
          </w:p>
        </w:tc>
        <w:tc>
          <w:tcPr>
            <w:tcW w:w="20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8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26" w:type="dxa"/>
            <w:tcBorders/>
            <w:shd w:fill="auto" w:val="clear"/>
            <w:vAlign w:val="center"/>
          </w:tcPr>
          <w:p>
            <w:pPr>
              <w:pStyle w:val="TableContents"/>
              <w:spacing w:before="0" w:after="0"/>
              <w:ind w:left="0" w:right="0" w:hanging="0"/>
              <w:rPr/>
            </w:pPr>
            <w:r>
              <w:rPr/>
              <w:t>​</w:t>
            </w:r>
          </w:p>
        </w:tc>
        <w:tc>
          <w:tcPr>
            <w:tcW w:w="17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228,613</w:t>
            </w:r>
          </w:p>
        </w:tc>
      </w:tr>
      <w:tr>
        <w:trPr/>
        <w:tc>
          <w:tcPr>
            <w:tcW w:w="22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Shares</w:t>
            </w:r>
          </w:p>
        </w:tc>
        <w:tc>
          <w:tcPr>
            <w:tcW w:w="326" w:type="dxa"/>
            <w:tcBorders/>
            <w:shd w:fill="CCEEFF" w:val="clear"/>
            <w:vAlign w:val="center"/>
          </w:tcPr>
          <w:p>
            <w:pPr>
              <w:pStyle w:val="TableContents"/>
              <w:spacing w:before="0" w:after="0"/>
              <w:ind w:left="0" w:right="0" w:hanging="0"/>
              <w:rPr/>
            </w:pPr>
            <w:r>
              <w:rPr/>
              <w:t>​</w:t>
            </w:r>
          </w:p>
        </w:tc>
        <w:tc>
          <w:tcPr>
            <w:tcW w:w="188"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1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442,326</w:t>
            </w:r>
          </w:p>
        </w:tc>
        <w:tc>
          <w:tcPr>
            <w:tcW w:w="326" w:type="dxa"/>
            <w:tcBorders/>
            <w:shd w:fill="CCEEFF" w:val="clear"/>
            <w:vAlign w:val="center"/>
          </w:tcPr>
          <w:p>
            <w:pPr>
              <w:pStyle w:val="TableContents"/>
              <w:spacing w:before="0" w:after="0"/>
              <w:ind w:left="0" w:right="0" w:hanging="0"/>
              <w:rPr/>
            </w:pPr>
            <w:r>
              <w:rPr/>
              <w:t>​</w:t>
            </w:r>
          </w:p>
        </w:tc>
        <w:tc>
          <w:tcPr>
            <w:tcW w:w="12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179,757</w:t>
            </w:r>
          </w:p>
        </w:tc>
        <w:tc>
          <w:tcPr>
            <w:tcW w:w="109" w:type="dxa"/>
            <w:tcBorders/>
            <w:shd w:fill="CCEEFF" w:val="clear"/>
            <w:vAlign w:val="center"/>
          </w:tcPr>
          <w:p>
            <w:pPr>
              <w:pStyle w:val="TableContents"/>
              <w:spacing w:before="0" w:after="0"/>
              <w:ind w:left="0" w:right="0" w:hanging="0"/>
              <w:rPr/>
            </w:pPr>
            <w:r>
              <w:rPr/>
              <w:t>​</w:t>
            </w:r>
          </w:p>
        </w:tc>
        <w:tc>
          <w:tcPr>
            <w:tcW w:w="147"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(146,370)</w:t>
            </w:r>
          </w:p>
        </w:tc>
        <w:tc>
          <w:tcPr>
            <w:tcW w:w="109" w:type="dxa"/>
            <w:tcBorders/>
            <w:shd w:fill="CCEEFF" w:val="clear"/>
            <w:vAlign w:val="center"/>
          </w:tcPr>
          <w:p>
            <w:pPr>
              <w:pStyle w:val="TableContents"/>
              <w:spacing w:before="0" w:after="0"/>
              <w:ind w:left="0" w:right="0" w:hanging="0"/>
              <w:rPr/>
            </w:pPr>
            <w:r>
              <w:rPr/>
              <w:t>​</w:t>
            </w:r>
          </w:p>
        </w:tc>
        <w:tc>
          <w:tcPr>
            <w:tcW w:w="200"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640"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2"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7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26" w:type="dxa"/>
            <w:tcBorders/>
            <w:shd w:fill="CCEEFF" w:val="clear"/>
            <w:vAlign w:val="center"/>
          </w:tcPr>
          <w:p>
            <w:pPr>
              <w:pStyle w:val="TableContents"/>
              <w:spacing w:before="0" w:after="0"/>
              <w:ind w:left="0" w:right="0" w:hanging="0"/>
              <w:rPr/>
            </w:pPr>
            <w:r>
              <w:rPr/>
              <w:t>​</w:t>
            </w:r>
          </w:p>
        </w:tc>
        <w:tc>
          <w:tcPr>
            <w:tcW w:w="173"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28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475,473</w:t>
            </w:r>
          </w:p>
        </w:tc>
      </w:tr>
    </w:tbl>
    <w:p>
      <w:pPr>
        <w:pStyle w:val="TextBody"/>
        <w:spacing w:before="0" w:after="0"/>
        <w:ind w:left="0" w:right="0" w:firstLine="547"/>
        <w:jc w:val="both"/>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spacing w:before="0" w:after="0"/>
        <w:ind w:left="0" w:right="0" w:firstLine="547"/>
        <w:jc w:val="both"/>
        <w:rPr/>
      </w:pPr>
      <w:r>
        <w:rPr/>
        <w:t>​</w:t>
      </w:r>
    </w:p>
    <w:tbl>
      <w:tblPr>
        <w:tblW w:w="8359" w:type="dxa"/>
        <w:jc w:val="left"/>
        <w:tblInd w:w="0" w:type="dxa"/>
        <w:tblCellMar>
          <w:top w:w="0" w:type="dxa"/>
          <w:left w:w="0" w:type="dxa"/>
          <w:bottom w:w="0" w:type="dxa"/>
          <w:right w:w="0" w:type="dxa"/>
        </w:tblCellMar>
      </w:tblPr>
      <w:tblGrid>
        <w:gridCol w:w="4771"/>
        <w:gridCol w:w="326"/>
        <w:gridCol w:w="388"/>
        <w:gridCol w:w="1052"/>
        <w:gridCol w:w="337"/>
        <w:gridCol w:w="417"/>
        <w:gridCol w:w="1068"/>
      </w:tblGrid>
      <w:tr>
        <w:trPr/>
        <w:tc>
          <w:tcPr>
            <w:tcW w:w="4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w:t>
            </w:r>
          </w:p>
        </w:tc>
        <w:tc>
          <w:tcPr>
            <w:tcW w:w="1068" w:type="dxa"/>
            <w:tcBorders/>
            <w:shd w:fill="auto" w:val="clear"/>
            <w:vAlign w:val="center"/>
          </w:tcPr>
          <w:p>
            <w:pPr>
              <w:pStyle w:val="TableContents"/>
              <w:spacing w:before="0" w:after="0"/>
              <w:ind w:left="0" w:right="0" w:hanging="0"/>
              <w:rPr/>
            </w:pPr>
            <w:r>
              <w:rPr/>
              <w:t>​</w: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26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37" w:type="dxa"/>
            <w:tcBorders/>
            <w:shd w:fill="auto" w:val="clear"/>
            <w:vAlign w:val="center"/>
          </w:tcPr>
          <w:p>
            <w:pPr>
              <w:pStyle w:val="TableContents"/>
              <w:spacing w:before="0" w:after="0"/>
              <w:ind w:left="0" w:right="0" w:hanging="0"/>
              <w:jc w:val="center"/>
              <w:rPr/>
            </w:pPr>
            <w:r>
              <w:rPr/>
              <w:t>    </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26" w:type="dxa"/>
            <w:tcBorders/>
            <w:shd w:fill="CCEEFF" w:val="clear"/>
            <w:vAlign w:val="center"/>
          </w:tcPr>
          <w:p>
            <w:pPr>
              <w:pStyle w:val="TableContents"/>
              <w:spacing w:before="0" w:after="0"/>
              <w:ind w:left="0" w:right="0" w:hanging="0"/>
              <w:rPr/>
            </w:pPr>
            <w:r>
              <w:rPr/>
              <w:t>​</w:t>
            </w:r>
          </w:p>
        </w:tc>
        <w:tc>
          <w:tcPr>
            <w:tcW w:w="3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37" w:type="dxa"/>
            <w:tcBorders/>
            <w:shd w:fill="CCEEFF" w:val="clear"/>
            <w:vAlign w:val="center"/>
          </w:tcPr>
          <w:p>
            <w:pPr>
              <w:pStyle w:val="TableContents"/>
              <w:spacing w:before="0" w:after="0"/>
              <w:ind w:left="0" w:right="0" w:hanging="0"/>
              <w:rPr/>
            </w:pPr>
            <w:r>
              <w:rPr/>
              <w:t>​</w:t>
            </w:r>
          </w:p>
        </w:tc>
        <w:tc>
          <w:tcPr>
            <w:tcW w:w="4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906</w:t>
            </w:r>
          </w:p>
        </w:tc>
      </w:tr>
    </w:tbl>
    <w:p>
      <w:pPr>
        <w:pStyle w:val="TextBody"/>
        <w:spacing w:before="0" w:after="0"/>
        <w:ind w:left="0" w:right="0" w:hanging="0"/>
        <w:rPr/>
      </w:pPr>
      <w:r>
        <w:rPr/>
        <w:t>​</w:t>
      </w:r>
    </w:p>
    <w:p>
      <w:pPr>
        <w:pStyle w:val="TextBody"/>
        <w:spacing w:before="24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spacing w:before="0" w:after="120"/>
        <w:ind w:left="0" w:right="0" w:hanging="0"/>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88,754 performance shares during the three months ended March 31, 2023. </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March 31, 2023, there was $2.7 million of unrecognized compensation cost, adjusted for estimated forfeitures, related to the non-vested performance share awards, which will be recognized over a remaining weighted average period of 2.2 years.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bookmarkStart w:id="1346" w:name="Tc_ufihuamEFUCIIfb2Vkdkfw_7_5"/>
      <w:bookmarkStart w:id="1347" w:name="Tc_D0-zTU77UkGSSKpJlsWrfg_7_0"/>
      <w:bookmarkStart w:id="1348" w:name="Tc_K6H1VvcCXE-h8dc5G3widA_6_5"/>
      <w:bookmarkStart w:id="1349" w:name="Tc_PzlNIKmbkE6nrbLNfqLABw_6_0"/>
      <w:bookmarkStart w:id="1350" w:name="Tc_PVW8Sqw2ZUetBqpYK3u-yw_5_6"/>
      <w:bookmarkStart w:id="1351" w:name="Tc_neokdJ72pEez0Aeyw6qf0A_5_3"/>
      <w:bookmarkStart w:id="1352" w:name="Tc_mJg_Yz12J0ePhlGNvSTyYw_5_0"/>
      <w:bookmarkStart w:id="1353" w:name="Tc_6sK2UeYtb0Wp0E8NpcgelQ_4_5"/>
      <w:bookmarkStart w:id="1354" w:name="Tc_SlDLbmFcPke8KJcYDpZDjg_4_0"/>
      <w:bookmarkStart w:id="1355" w:name="Tc_ibxfRzM-W0SxppkCw7vVtA_3_5"/>
      <w:bookmarkStart w:id="1356" w:name="Tc_NRpRP3u3QUWW7yHgryCf8w_3_0"/>
      <w:bookmarkStart w:id="1357" w:name="Tc_w-_Nu58ZdEegDHtHNf2p-Q_2_5"/>
      <w:bookmarkStart w:id="1358" w:name="Tc_BmCiAkZtzkudfF-jPZnbNA_2_0"/>
      <w:bookmarkStart w:id="1359" w:name="Tc_Bh8jQ8kn1EuDtfXj0K7LAA_1_5"/>
      <w:bookmarkStart w:id="1360" w:name="Tc_zMjqIVjT0EO_WJTFFKmpNQ_1_2"/>
      <w:bookmarkStart w:id="1361" w:name="Tc_rXqSbP6p50WVoJEPfyccgg_1_0"/>
      <w:bookmarkStart w:id="1362" w:name="_a40a95b1_0307_4cbb_9b7a_0f53387de2f2"/>
      <w:bookmarkStart w:id="1363" w:name="Tc_yNac0jcB5ku6YkNz6KWUdw_7_5"/>
      <w:bookmarkStart w:id="1364" w:name="Tc_jjetMpc8MEmtoHiIAZka_Q_7_0"/>
      <w:bookmarkStart w:id="1365" w:name="Tc_AnjktcapX0SywTXja85dNQ_6_6"/>
      <w:bookmarkStart w:id="1366" w:name="Tc_tdrRV8g3zkK5R29v1BmUUg_6_3"/>
      <w:bookmarkStart w:id="1367" w:name="Tc_ecaNkjw1IkeCh-A1kxpTzg_6_0"/>
      <w:bookmarkStart w:id="1368" w:name="Tc_c2-PTuQtwEWzfDpQQY92UA_5_6"/>
      <w:bookmarkStart w:id="1369" w:name="Tc_ii7iGXa-Xk2-GkJ6jn9cJQ_5_3"/>
      <w:bookmarkStart w:id="1370" w:name="Tc_4qOQ5plRb0G8q2-K8xBDUw_5_0"/>
      <w:bookmarkStart w:id="1371" w:name="Tc_j95TNncYzUS5RpLPt8cvNg_4_5"/>
      <w:bookmarkStart w:id="1372" w:name="Tc_YHgWbTk6Uk2OaGU_7na51g_4_0"/>
      <w:bookmarkStart w:id="1373" w:name="Tc_FBMtWxS0kk6vGtsirpZtVQ_3_5"/>
      <w:bookmarkStart w:id="1374" w:name="Tc_4raylZWH5EqDfvQigFBCpg_3_0"/>
      <w:bookmarkStart w:id="1375" w:name="Tc_MpWHLDO0CE2gFjPNhy-ZHQ_2_5"/>
      <w:bookmarkStart w:id="1376" w:name="Tc_NyEOrG1zXE-tyiTRPVd4xA_2_0"/>
      <w:bookmarkStart w:id="1377" w:name="Tc_oG6sZoRrP0-kMA967xv8jQ_1_5"/>
      <w:bookmarkStart w:id="1378" w:name="Tc_VfnSUAqUk0KPFQD_C7lHcA_1_2"/>
      <w:bookmarkStart w:id="1379" w:name="Tc_XWdARML2_kC_lKW1h13PGw_1_0"/>
      <w:bookmarkStart w:id="1380" w:name="_8c412fab_1391_44a7_8a5b_5a93d2fcfb8a"/>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sz w:val="20"/>
        </w:rPr>
        <w:t>A summary of the activity for these awards during the three months ended March 31, 2023 is presented below: </w:t>
      </w:r>
    </w:p>
    <w:p>
      <w:pPr>
        <w:pStyle w:val="TextBody"/>
        <w:spacing w:before="0" w:after="0"/>
        <w:ind w:left="0" w:right="0" w:firstLine="360"/>
        <w:jc w:val="both"/>
        <w:rPr/>
      </w:pPr>
      <w:r>
        <w:rPr/>
        <w:t>​</w:t>
      </w:r>
    </w:p>
    <w:tbl>
      <w:tblPr>
        <w:tblW w:w="8121" w:type="dxa"/>
        <w:jc w:val="left"/>
        <w:tblInd w:w="0" w:type="dxa"/>
        <w:tblCellMar>
          <w:top w:w="0" w:type="dxa"/>
          <w:left w:w="0" w:type="dxa"/>
          <w:bottom w:w="0" w:type="dxa"/>
          <w:right w:w="0" w:type="dxa"/>
        </w:tblCellMar>
      </w:tblPr>
      <w:tblGrid>
        <w:gridCol w:w="3946"/>
        <w:gridCol w:w="326"/>
        <w:gridCol w:w="109"/>
        <w:gridCol w:w="796"/>
        <w:gridCol w:w="109"/>
        <w:gridCol w:w="665"/>
        <w:gridCol w:w="2170"/>
      </w:tblGrid>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pPr>
            <w:r>
              <w:rPr/>
              <w:t>​</w:t>
            </w:r>
          </w:p>
        </w:tc>
        <w:tc>
          <w:tcPr>
            <w:tcW w:w="2170" w:type="dxa"/>
            <w:tcBorders/>
            <w:shd w:fill="auto" w:val="clear"/>
            <w:vAlign w:val="center"/>
          </w:tcPr>
          <w:p>
            <w:pPr>
              <w:pStyle w:val="TableContents"/>
              <w:spacing w:before="0" w:after="0"/>
              <w:ind w:left="0" w:right="0" w:hanging="0"/>
              <w:rPr/>
            </w:pPr>
            <w:r>
              <w:rPr/>
              <w:t>​</w:t>
            </w:r>
          </w:p>
        </w:tc>
      </w:tr>
      <w:tr>
        <w:trPr/>
        <w:tc>
          <w:tcPr>
            <w:tcW w:w="39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Performance Shares With Market Conditions</w:t>
            </w:r>
          </w:p>
        </w:tc>
        <w:tc>
          <w:tcPr>
            <w:tcW w:w="326" w:type="dxa"/>
            <w:tcBorders/>
            <w:shd w:fill="auto" w:val="clear"/>
            <w:vAlign w:val="center"/>
          </w:tcPr>
          <w:p>
            <w:pPr>
              <w:pStyle w:val="TableContents"/>
              <w:spacing w:before="0" w:after="0"/>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shd w:fill="auto" w:val="clear"/>
            <w:vAlign w:val="center"/>
          </w:tcPr>
          <w:p>
            <w:pPr>
              <w:pStyle w:val="TableContents"/>
              <w:spacing w:before="0" w:after="0"/>
              <w:ind w:left="0" w:right="0" w:hanging="0"/>
              <w:rPr/>
            </w:pPr>
            <w:r>
              <w:rPr/>
              <w:t>​</w:t>
            </w:r>
          </w:p>
        </w:tc>
        <w:tc>
          <w:tcPr>
            <w:tcW w:w="28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230,247</w:t>
            </w:r>
          </w:p>
        </w:tc>
        <w:tc>
          <w:tcPr>
            <w:tcW w:w="109"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88,754</w:t>
            </w:r>
          </w:p>
        </w:tc>
        <w:tc>
          <w:tcPr>
            <w:tcW w:w="109"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(72,141)</w:t>
            </w:r>
          </w:p>
        </w:tc>
        <w:tc>
          <w:tcPr>
            <w:tcW w:w="109"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pPr>
            <w:r>
              <w:rPr/>
              <w:t>​</w:t>
            </w:r>
          </w:p>
        </w:tc>
        <w:tc>
          <w:tcPr>
            <w:tcW w:w="2170" w:type="dxa"/>
            <w:tcBorders/>
            <w:shd w:fill="auto" w:val="clear"/>
            <w:vAlign w:val="center"/>
          </w:tcPr>
          <w:p>
            <w:pPr>
              <w:pStyle w:val="TableContents"/>
              <w:spacing w:before="0" w:after="0"/>
              <w:ind w:left="0" w:right="0" w:hanging="0"/>
              <w:jc w:val="right"/>
              <w:rPr/>
            </w:pPr>
            <w:r>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7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March 31, 2023</w:t>
            </w:r>
          </w:p>
        </w:tc>
        <w:tc>
          <w:tcPr>
            <w:tcW w:w="326" w:type="dxa"/>
            <w:tcBorders/>
            <w:shd w:fill="auto" w:val="clear"/>
            <w:vAlign w:val="center"/>
          </w:tcPr>
          <w:p>
            <w:pPr>
              <w:pStyle w:val="TableContents"/>
              <w:spacing w:before="0" w:after="0"/>
              <w:ind w:left="0" w:right="0" w:hanging="0"/>
              <w:rPr/>
            </w:pPr>
            <w:r>
              <w:rPr/>
              <w:t>​</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246,860</w:t>
            </w:r>
          </w:p>
        </w:tc>
        <w:tc>
          <w:tcPr>
            <w:tcW w:w="109" w:type="dxa"/>
            <w:tcBorders/>
            <w:shd w:fill="auto" w:val="clear"/>
            <w:vAlign w:val="center"/>
          </w:tcPr>
          <w:p>
            <w:pPr>
              <w:pStyle w:val="TableContents"/>
              <w:spacing w:before="0" w:after="0"/>
              <w:ind w:left="0" w:right="0" w:hanging="0"/>
              <w:rPr/>
            </w:pPr>
            <w:r>
              <w:rPr/>
              <w:t>​</w:t>
            </w:r>
          </w:p>
        </w:tc>
        <w:tc>
          <w:tcPr>
            <w:tcW w:w="6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18.08</w:t>
            </w:r>
          </w:p>
        </w:tc>
      </w:tr>
    </w:tbl>
    <w:p>
      <w:pPr>
        <w:pStyle w:val="TextBody"/>
        <w:spacing w:before="0" w:after="0"/>
        <w:ind w:left="0" w:right="0" w:hanging="0"/>
        <w:rPr/>
      </w:pPr>
      <w:r>
        <w:rPr/>
        <w:t>​</w:t>
      </w:r>
    </w:p>
    <w:p>
      <w:pPr>
        <w:pStyle w:val="TextBody"/>
        <w:spacing w:lineRule="auto" w:line="256"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Shares</w:t>
      </w:r>
    </w:p>
    <w:p>
      <w:pPr>
        <w:pStyle w:val="TextBody"/>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91,003 shares of restricted Company common stock during the three months ended March 31, 2023. </w:t>
      </w:r>
    </w:p>
    <w:p>
      <w:pPr>
        <w:pStyle w:val="TextBody"/>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March 31, 2023, there was $3.8 million of unrecognized compensation cost, adjusted for estimated forfeitures, related to the non-vested restricted share awards, which will be recognized over a remaining weighted average period of 2.3 years.</w:t>
      </w:r>
    </w:p>
    <w:p>
      <w:pPr>
        <w:pStyle w:val="TextBody"/>
        <w:spacing w:lineRule="auto" w:line="256" w:before="0" w:after="24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three months ended March 31, 2023 is presented below:</w:t>
      </w:r>
    </w:p>
    <w:tbl>
      <w:tblPr>
        <w:tblW w:w="7003" w:type="dxa"/>
        <w:jc w:val="left"/>
        <w:tblInd w:w="0" w:type="dxa"/>
        <w:tblCellMar>
          <w:top w:w="0" w:type="dxa"/>
          <w:left w:w="0" w:type="dxa"/>
          <w:bottom w:w="0" w:type="dxa"/>
          <w:right w:w="0" w:type="dxa"/>
        </w:tblCellMar>
      </w:tblPr>
      <w:tblGrid>
        <w:gridCol w:w="2611"/>
        <w:gridCol w:w="326"/>
        <w:gridCol w:w="109"/>
        <w:gridCol w:w="796"/>
        <w:gridCol w:w="326"/>
        <w:gridCol w:w="665"/>
        <w:gridCol w:w="2170"/>
      </w:tblGrid>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pPr>
            <w:r>
              <w:rPr/>
              <w:t>​</w:t>
            </w:r>
          </w:p>
        </w:tc>
        <w:tc>
          <w:tcPr>
            <w:tcW w:w="2170" w:type="dxa"/>
            <w:tcBorders/>
            <w:shd w:fill="auto" w:val="clear"/>
            <w:vAlign w:val="center"/>
          </w:tcPr>
          <w:p>
            <w:pPr>
              <w:pStyle w:val="TableContents"/>
              <w:spacing w:before="0" w:after="0"/>
              <w:ind w:left="0" w:right="0" w:hanging="0"/>
              <w:rPr/>
            </w:pPr>
            <w:r>
              <w:rPr/>
              <w:t>​</w:t>
            </w:r>
          </w:p>
        </w:tc>
      </w:tr>
      <w:tr>
        <w:trPr/>
        <w:tc>
          <w:tcPr>
            <w:tcW w:w="26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Non-Vested Restricted Shares</w:t>
            </w:r>
          </w:p>
        </w:tc>
        <w:tc>
          <w:tcPr>
            <w:tcW w:w="326" w:type="dxa"/>
            <w:tcBorders/>
            <w:shd w:fill="auto" w:val="clear"/>
            <w:vAlign w:val="center"/>
          </w:tcPr>
          <w:p>
            <w:pPr>
              <w:pStyle w:val="TableContents"/>
              <w:spacing w:before="0" w:after="0"/>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shd w:fill="auto" w:val="clear"/>
            <w:vAlign w:val="center"/>
          </w:tcPr>
          <w:p>
            <w:pPr>
              <w:pStyle w:val="TableContents"/>
              <w:spacing w:before="0" w:after="0"/>
              <w:ind w:left="0" w:right="0" w:hanging="0"/>
              <w:rPr/>
            </w:pPr>
            <w:r>
              <w:rPr/>
              <w:t>    </w:t>
            </w:r>
          </w:p>
        </w:tc>
        <w:tc>
          <w:tcPr>
            <w:tcW w:w="28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212,079</w:t>
            </w:r>
          </w:p>
        </w:tc>
        <w:tc>
          <w:tcPr>
            <w:tcW w:w="326"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2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91,003</w:t>
            </w:r>
          </w:p>
        </w:tc>
        <w:tc>
          <w:tcPr>
            <w:tcW w:w="32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r>
      <w:tr>
        <w:trPr/>
        <w:tc>
          <w:tcPr>
            <w:tcW w:w="2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(74,229)</w:t>
            </w:r>
          </w:p>
        </w:tc>
        <w:tc>
          <w:tcPr>
            <w:tcW w:w="326" w:type="dxa"/>
            <w:tcBorders/>
            <w:shd w:fill="CCEEFF" w:val="clear"/>
            <w:vAlign w:val="center"/>
          </w:tcPr>
          <w:p>
            <w:pPr>
              <w:pStyle w:val="TableContents"/>
              <w:spacing w:before="0" w:after="0"/>
              <w:ind w:left="0" w:right="0" w:hanging="0"/>
              <w:rPr/>
            </w:pPr>
            <w:r>
              <w:rPr/>
              <w:t>​</w:t>
            </w:r>
          </w:p>
        </w:tc>
        <w:tc>
          <w:tcPr>
            <w:tcW w:w="6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5" w:type="dxa"/>
            <w:tcBorders/>
            <w:shd w:fill="auto" w:val="clear"/>
            <w:vAlign w:val="center"/>
          </w:tcPr>
          <w:p>
            <w:pPr>
              <w:pStyle w:val="TableContents"/>
              <w:spacing w:before="0" w:after="0"/>
              <w:ind w:left="0" w:right="0" w:hanging="0"/>
              <w:rPr/>
            </w:pPr>
            <w:r>
              <w:rPr/>
              <w:t>​</w:t>
            </w:r>
          </w:p>
        </w:tc>
        <w:tc>
          <w:tcPr>
            <w:tcW w:w="2170" w:type="dxa"/>
            <w:tcBorders/>
            <w:shd w:fill="auto" w:val="clear"/>
            <w:vAlign w:val="center"/>
          </w:tcPr>
          <w:p>
            <w:pPr>
              <w:pStyle w:val="TableContents"/>
              <w:spacing w:before="0" w:after="0"/>
              <w:ind w:left="0" w:right="0" w:hanging="0"/>
              <w:jc w:val="right"/>
              <w:rPr/>
            </w:pPr>
            <w:r>
              <w:rPr/>
              <w:t>—</w:t>
            </w:r>
          </w:p>
        </w:tc>
      </w:tr>
      <w:tr>
        <w:trPr/>
        <w:tc>
          <w:tcPr>
            <w:tcW w:w="2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spacing w:before="0" w:after="0"/>
              <w:ind w:left="0" w:right="0" w:hanging="0"/>
              <w:rPr/>
            </w:pPr>
            <w:r>
              <w:rPr/>
              <w:t>​</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r>
      <w:tr>
        <w:trPr/>
        <w:tc>
          <w:tcPr>
            <w:tcW w:w="2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March 31, 2023</w:t>
            </w:r>
          </w:p>
        </w:tc>
        <w:tc>
          <w:tcPr>
            <w:tcW w:w="326" w:type="dxa"/>
            <w:tcBorders/>
            <w:shd w:fill="auto" w:val="clear"/>
            <w:vAlign w:val="center"/>
          </w:tcPr>
          <w:p>
            <w:pPr>
              <w:pStyle w:val="TableContents"/>
              <w:spacing w:before="0" w:after="0"/>
              <w:ind w:left="0" w:right="0" w:hanging="0"/>
              <w:rPr/>
            </w:pPr>
            <w:r>
              <w:rPr/>
              <w:t>​</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228,613</w:t>
            </w:r>
          </w:p>
        </w:tc>
        <w:tc>
          <w:tcPr>
            <w:tcW w:w="326" w:type="dxa"/>
            <w:tcBorders/>
            <w:shd w:fill="auto" w:val="clear"/>
            <w:vAlign w:val="center"/>
          </w:tcPr>
          <w:p>
            <w:pPr>
              <w:pStyle w:val="TableContents"/>
              <w:spacing w:before="0" w:after="0"/>
              <w:ind w:left="0" w:right="0" w:hanging="0"/>
              <w:rPr/>
            </w:pPr>
            <w:r>
              <w:rPr/>
              <w:t>​</w:t>
            </w:r>
          </w:p>
        </w:tc>
        <w:tc>
          <w:tcPr>
            <w:tcW w:w="6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70"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19.12</w:t>
            </w:r>
          </w:p>
        </w:tc>
      </w:tr>
    </w:tbl>
    <w:p>
      <w:pPr>
        <w:pStyle w:val="TextBody"/>
        <w:spacing w:before="0" w:after="0"/>
        <w:ind w:left="0" w:right="0" w:hanging="0"/>
        <w:rPr/>
      </w:pPr>
      <w:r>
        <w:rPr/>
        <w:t>​</w:t>
      </w:r>
    </w:p>
    <w:p>
      <w:pPr>
        <w:pStyle w:val="TextBody"/>
        <w:spacing w:before="240" w:after="240"/>
        <w:ind w:left="0" w:right="0" w:hanging="0"/>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date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business days prior to the date of the award, rounded down to the nearest whole number of shares.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Each non-employee director serving as of the beginning of each calendar year shall receive an annual award of the Company’s common stock. The value of such award totaled $35,000 for the three months ended March 31, 2023 and 2022 (the “Annual Award”). The number of shares awarded is calculated based on the trailing 20-day average price of the Company’s common stock as of the date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business days prior to the date of the award, rounded down to the nearest whole number of shares. Non-employee directors do not receive meeting fees, but will receive additional retainers for service on Board committees, as set forth in the Company’s Non-Employee Director Compensation Policy available on the Company’s website (www.ctoreit.com).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2023 and 2022, the expense recognized for the value of the Company’s common stock received by non-employee directors totaled $0.2 million, or 12,764 shares and $0.3 million, or 14,112 shares, respectively. The expense recognized includes the Annual Award received during the first quarter of each respective year, which totaled $0.2 million during each of the three months ended March 31, 2023 and 2022. </w:t>
      </w:r>
    </w:p>
    <w:p>
      <w:pPr>
        <w:pStyle w:val="TextBody"/>
        <w:spacing w:before="280" w:after="0"/>
        <w:ind w:left="0" w:right="0" w:hanging="0"/>
        <w:rPr>
          <w:spacing w:val="1"/>
        </w:rPr>
      </w:pPr>
      <w:r>
        <w:rPr>
          <w:spacing w:val="1"/>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20. INCOME TAXES</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 </w:t>
      </w:r>
    </w:p>
    <w:p>
      <w:pPr>
        <w:pStyle w:val="TextBody"/>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 </w:t>
      </w:r>
    </w:p>
    <w:p>
      <w:pPr>
        <w:pStyle w:val="TextBody"/>
        <w:spacing w:before="280" w:after="120"/>
        <w:ind w:left="0" w:right="0" w:hanging="0"/>
        <w:jc w:val="both"/>
        <w:rPr>
          <w:rFonts w:ascii="Times New Roman;Times;serif" w:hAnsi="Times New Roman;Times;serif"/>
          <w:b/>
          <w:sz w:val="20"/>
        </w:rPr>
      </w:pPr>
      <w:bookmarkStart w:id="1381" w:name="Tc_g0UBQO-v-062ezWDdtWiSQ_4_2"/>
      <w:bookmarkStart w:id="1382" w:name="Tc_VE9SOrc_2EiX1Rfiv4EEQA_4_0"/>
      <w:bookmarkStart w:id="1383" w:name="Tc_FDSRe4j2eUmN1qtthfC63g_3_0"/>
      <w:bookmarkStart w:id="1384" w:name="Tc_pErmA0H0eU6c_D38emqPQw_2_2"/>
      <w:bookmarkStart w:id="1385" w:name="Tc_bKXQkNWrr0aIQE6maVkS7w_2_0"/>
      <w:bookmarkStart w:id="1386" w:name="Tc_vU-iSSGa3UyEpxguKYhYfg_1_2"/>
      <w:bookmarkStart w:id="1387" w:name="_b8bd35ba_7484_4167_970c_fe69309f0060"/>
      <w:bookmarkStart w:id="1388" w:name="COMMITMENTS"/>
      <w:bookmarkEnd w:id="1381"/>
      <w:bookmarkEnd w:id="1382"/>
      <w:bookmarkEnd w:id="1383"/>
      <w:bookmarkEnd w:id="1384"/>
      <w:bookmarkEnd w:id="1385"/>
      <w:bookmarkEnd w:id="1386"/>
      <w:bookmarkEnd w:id="1387"/>
      <w:bookmarkEnd w:id="1388"/>
      <w:r>
        <w:rPr>
          <w:rFonts w:ascii="Times New Roman;Times;serif" w:hAnsi="Times New Roman;Times;serif"/>
          <w:b/>
          <w:sz w:val="20"/>
        </w:rPr>
        <w:t>NOTE 21. COMMITMENTS AND CONTINGENCIES</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0"/>
        <w:ind w:left="0" w:right="0" w:hanging="0"/>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Contractual Commitments – Expenditures </w:t>
      </w:r>
    </w:p>
    <w:p>
      <w:pPr>
        <w:pStyle w:val="TextBody"/>
        <w:spacing w:lineRule="auto" w:line="273" w:before="0" w:after="0"/>
        <w:ind w:left="0" w:right="0" w:firstLine="547"/>
        <w:jc w:val="both"/>
        <w:rPr/>
      </w:pPr>
      <w:r>
        <w:rPr/>
        <w:t>​</w:t>
      </w:r>
    </w:p>
    <w:p>
      <w:pPr>
        <w:pStyle w:val="TextBody"/>
        <w:spacing w:lineRule="auto" w:line="268"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March 31, 2023, are as follows (in thousands): </w:t>
      </w:r>
    </w:p>
    <w:p>
      <w:pPr>
        <w:pStyle w:val="TextBody"/>
        <w:spacing w:lineRule="auto" w:line="268" w:before="0" w:after="0"/>
        <w:ind w:left="0" w:right="0" w:firstLine="547"/>
        <w:jc w:val="both"/>
        <w:rPr/>
      </w:pPr>
      <w:r>
        <w:rPr/>
        <w:t>​</w:t>
      </w:r>
    </w:p>
    <w:p>
      <w:pPr>
        <w:pStyle w:val="TextBody"/>
        <w:spacing w:lineRule="auto" w:line="273" w:before="0" w:after="0"/>
        <w:ind w:left="0" w:right="0" w:firstLine="547"/>
        <w:jc w:val="both"/>
        <w:rPr/>
      </w:pPr>
      <w:r>
        <w:rPr/>
        <w:t>​</w:t>
      </w:r>
    </w:p>
    <w:tbl>
      <w:tblPr>
        <w:tblW w:w="4190" w:type="dxa"/>
        <w:jc w:val="left"/>
        <w:tblInd w:w="0" w:type="dxa"/>
        <w:tblCellMar>
          <w:top w:w="0" w:type="dxa"/>
          <w:left w:w="0" w:type="dxa"/>
          <w:bottom w:w="0" w:type="dxa"/>
          <w:right w:w="0" w:type="dxa"/>
        </w:tblCellMar>
      </w:tblPr>
      <w:tblGrid>
        <w:gridCol w:w="2131"/>
        <w:gridCol w:w="109"/>
        <w:gridCol w:w="391"/>
        <w:gridCol w:w="1559"/>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53185" cy="175260"/>
                      <wp:effectExtent l="0" t="0" r="0" b="0"/>
                      <wp:wrapNone/>
                      <wp:docPr id="213" name="Frame213"/>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8285" cy="175260"/>
                      <wp:effectExtent l="0" t="0" r="0" b="0"/>
                      <wp:wrapNone/>
                      <wp:docPr id="215" name="Frame215"/>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89965" cy="175260"/>
                      <wp:effectExtent l="0" t="0" r="0" b="0"/>
                      <wp:wrapNone/>
                      <wp:docPr id="216" name="Frame216"/>
                      <a:graphic xmlns:a="http://schemas.openxmlformats.org/drawingml/2006/main">
                        <a:graphicData uri="http://schemas.microsoft.com/office/word/2010/wordprocessingShape">
                          <wps:wsp>
                            <wps:cNvSpPr txBox="1"/>
                            <wps:spPr>
                              <a:xfrm>
                                <a:off x="0" y="0"/>
                                <a:ext cx="989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March 31, 2023</w:t>
            </w:r>
          </w:p>
        </w:tc>
      </w:tr>
      <w:tr>
        <w:trPr/>
        <w:tc>
          <w:tcPr>
            <w:tcW w:w="21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30,091</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Amount Funded</w:t>
            </w:r>
          </w:p>
        </w:tc>
        <w:tc>
          <w:tcPr>
            <w:tcW w:w="109" w:type="dxa"/>
            <w:tcBorders/>
            <w:shd w:fill="auto" w:val="clear"/>
            <w:vAlign w:val="center"/>
          </w:tcPr>
          <w:p>
            <w:pPr>
              <w:pStyle w:val="TableContents"/>
              <w:spacing w:before="0" w:after="0"/>
              <w:ind w:left="0" w:right="0" w:hanging="0"/>
              <w:rPr/>
            </w:pPr>
            <w:r>
              <w:rPr/>
              <w:t>​</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(10,821)</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spacing w:before="0" w:after="0"/>
              <w:ind w:left="0" w:right="0" w:hanging="0"/>
              <w:rPr/>
            </w:pPr>
            <w:r>
              <w:rPr/>
              <w:t>​</w:t>
            </w:r>
          </w:p>
        </w:tc>
        <w:tc>
          <w:tcPr>
            <w:tcW w:w="39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19,270</w:t>
            </w:r>
          </w:p>
        </w:tc>
      </w:tr>
    </w:tbl>
    <w:p>
      <w:pPr>
        <w:pStyle w:val="TextBody"/>
        <w:pBdr/>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pBdr/>
        <w:spacing w:before="0" w:after="0"/>
        <w:ind w:left="0" w:right="0" w:hanging="360"/>
        <w:jc w:val="both"/>
        <w:rPr/>
      </w:pPr>
      <w:r>
        <w:rPr/>
        <w:t>​</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In addition, the Company is committed to one construction loan as described in Note 4, “Commercial Loans and Investments”. The unfunded portion of the construction loan totaled $4.3 million as of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1389" w:name="Tc_wSUN6tZcBUShPms-wCe0gA_26_5"/>
      <w:bookmarkStart w:id="1390" w:name="Tc_e4IL-oNUfEOzw6h--4bI7g_26_2"/>
      <w:bookmarkStart w:id="1391" w:name="Tc_GxRlX_2OAEyCT-GAqhoTjg_26_0"/>
      <w:bookmarkStart w:id="1392" w:name="Tc_P47vWD1uPUSkQZe_p5WaKA_25_0"/>
      <w:bookmarkStart w:id="1393" w:name="Tc_9xXKBOmJcEaq0YW9tbqn6A_24_6"/>
      <w:bookmarkStart w:id="1394" w:name="Tc_9-2qKB36CkOdQHHcpb-GPA_24_0"/>
      <w:bookmarkStart w:id="1395" w:name="Tc_OZLvKMJJfUKiRE-gANbpPA_23_5"/>
      <w:bookmarkStart w:id="1396" w:name="Tc_PQknIS4leUuZJBmJWqDShw_23_2"/>
      <w:bookmarkStart w:id="1397" w:name="Tc_NUdrB97IkUSd4gv3OpyYlA_23_0"/>
      <w:bookmarkStart w:id="1398" w:name="Tc_nCamNlEYuky9YTPly_siEw_22_0"/>
      <w:bookmarkStart w:id="1399" w:name="Tc_0k64E_fLb0u41z4Log5h9g_21_5"/>
      <w:bookmarkStart w:id="1400" w:name="Tc_I1oTj9Ovd0u-zKVW8HpaOw_21_2"/>
      <w:bookmarkStart w:id="1401" w:name="Tc_0IodEv36NEyD_7RLwQWyDg_21_0"/>
      <w:bookmarkStart w:id="1402" w:name="Tc_wMFeCrbzg0amOoFpCv1vHw_20_0"/>
      <w:bookmarkStart w:id="1403" w:name="Tc_vNs5RYtMPEOMkXbJmPv7OA_19_5"/>
      <w:bookmarkStart w:id="1404" w:name="Tc_zs2M04oJ6k23v5np3E0_uQ_19_2"/>
      <w:bookmarkStart w:id="1405" w:name="Tc_Q5ceEee8p0y10BmEzpkm1w_19_0"/>
      <w:bookmarkStart w:id="1406" w:name="Tc_de4dOnMQe0WCmrogTqny7g_18_0"/>
      <w:bookmarkStart w:id="1407" w:name="Tc_J4Hf6l2Pj0GfAGG66gpNbA_17_5"/>
      <w:bookmarkStart w:id="1408" w:name="Tc_43qp_1JPikKHYubYKNcDxQ_17_2"/>
      <w:bookmarkStart w:id="1409" w:name="Tc_NYHcGsc3g0CcQ3Hn3YIK3Q_17_0"/>
      <w:bookmarkStart w:id="1410" w:name="Tc_DGgTpyV6-UqAjbU7v467gQ_16_3"/>
      <w:bookmarkStart w:id="1411" w:name="Tc_pj-mpeksBUmRmD-ZbfmCug_16_0"/>
      <w:bookmarkStart w:id="1412" w:name="Tc_o6Edd888QU28gWfn-JS9NA_15_6"/>
      <w:bookmarkStart w:id="1413" w:name="Tc_6tt0PZiuVUGFHt8TgB2ZRQ_15_0"/>
      <w:bookmarkStart w:id="1414" w:name="Tc_t5_yIXRXFEuhd5TSh6xZXg_14_0"/>
      <w:bookmarkStart w:id="1415" w:name="Tc_6NH_0jQ0WUaxGeLgW9EeEA_13_0"/>
      <w:bookmarkStart w:id="1416" w:name="Tc_ua5FC29HDEyc9DZ_IQ4hPQ_12_0"/>
      <w:bookmarkStart w:id="1417" w:name="Tc_47quZPzrRE2AZNsp9tN2mw_11_0"/>
      <w:bookmarkStart w:id="1418" w:name="Tc_1iU-CHGiAUm_oq4shjsRTg_10_5"/>
      <w:bookmarkStart w:id="1419" w:name="Tc_ZC_rJ609r0q1i3_oM7HoEg_10_2"/>
      <w:bookmarkStart w:id="1420" w:name="Tc_nk4MjY_SDESNo0RHf7cdXg_10_0"/>
      <w:bookmarkStart w:id="1421" w:name="Tc_lO_3dDm0CUWkr6TGD54r3A_9_0"/>
      <w:bookmarkStart w:id="1422" w:name="Tc_A-K4-HOXHkG7f2vjEWxFaw_8_5"/>
      <w:bookmarkStart w:id="1423" w:name="Tc_sTofndXg7Eq-15ZEcPKCuA_8_2"/>
      <w:bookmarkStart w:id="1424" w:name="Tc_IDNexu4p00mPHMsea-POLw_8_0"/>
      <w:bookmarkStart w:id="1425" w:name="Tc_TMMPdxk5T0W3RuZO3UYBUA_7_0"/>
      <w:bookmarkStart w:id="1426" w:name="Tc_FMNvpIUmY0G6BGwg7-_y7Q_6_0"/>
      <w:bookmarkStart w:id="1427" w:name="Tc_BjBccaOHjUSJJLKWoAFAmQ_5_0"/>
      <w:bookmarkStart w:id="1428" w:name="Tc_za9a8uHxIUWbA3gZo44vOA_4_5"/>
      <w:bookmarkStart w:id="1429" w:name="Tc_Iwa8r0-t60K0L54hasaslQ_4_2"/>
      <w:bookmarkStart w:id="1430" w:name="Tc_srKVw7EAL0is7DH8ghSTUw_4_0"/>
      <w:bookmarkStart w:id="1431" w:name="Tc_8SzmNHFQo0CP93fLrIIKXg_3_0"/>
      <w:bookmarkStart w:id="1432" w:name="Tc_dbdnNyYuvk-KvDXEwz_hPw_2_5"/>
      <w:bookmarkStart w:id="1433" w:name="Tc_FDpOKFxElEWGikjzHj-ctQ_2_2"/>
      <w:bookmarkStart w:id="1434" w:name="Tc_tpwzWti14kKSxKwJlFMq3Q_1_2"/>
      <w:bookmarkStart w:id="1435" w:name="_b6dc095b_555f_4ca1_8b50_b13ec6dc258a"/>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Times New Roman;Times;serif" w:hAnsi="Times New Roman;Times;serif"/>
          <w:b/>
          <w:sz w:val="20"/>
        </w:rPr>
        <w:t>NOTE 22. BUSINESS SEGMENT DATA</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91% of our identifiable assets as of March 31, 2023 and December 31, 2022, and 90.8% and 88.1% of our consolidated revenues for the three months ended March 31, 2023 and 2022, respectively. The management services segment consists of the revenue generated from managing PINE. As of March 31, 2023, our commercial loans and investments portfolio consisted of three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sale of mitigation credits. </w:t>
      </w:r>
    </w:p>
    <w:p>
      <w:pPr>
        <w:pStyle w:val="TextBody"/>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evaluates segment performance based on operating income. The Company’s reportable segments are strategic business units that offer different products. They are managed separately because each segment requires different management techniques, knowledge, and skills. </w:t>
      </w:r>
    </w:p>
    <w:p>
      <w:pPr>
        <w:pStyle w:val="TextBody"/>
        <w:spacing w:lineRule="auto" w:line="273"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Information about the Company’s operations in different segments for the three months ended March 31, 2023 and 2022 is as follows (in thousands): </w:t>
      </w:r>
    </w:p>
    <w:tbl>
      <w:tblPr>
        <w:tblW w:w="8348" w:type="dxa"/>
        <w:jc w:val="left"/>
        <w:tblInd w:w="0" w:type="dxa"/>
        <w:tblCellMar>
          <w:top w:w="0" w:type="dxa"/>
          <w:left w:w="0" w:type="dxa"/>
          <w:bottom w:w="0" w:type="dxa"/>
          <w:right w:w="0" w:type="dxa"/>
        </w:tblCellMar>
      </w:tblPr>
      <w:tblGrid>
        <w:gridCol w:w="4771"/>
        <w:gridCol w:w="326"/>
        <w:gridCol w:w="301"/>
        <w:gridCol w:w="1139"/>
        <w:gridCol w:w="326"/>
        <w:gridCol w:w="311"/>
        <w:gridCol w:w="1174"/>
      </w:tblGrid>
      <w:tr>
        <w:trPr/>
        <w:tc>
          <w:tcPr>
            <w:tcW w:w="4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rPr/>
            </w:pPr>
            <w:r>
              <w:rPr/>
              <w:t>​</w: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25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jc w:val="center"/>
              <w:rPr/>
            </w:pPr>
            <w:r>
              <w:rPr/>
              <w:t>    </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pPr>
            <w:r>
              <w:rPr/>
              <w:t>​</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15,168</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17,210</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pPr>
            <w:r>
              <w:rPr/>
              <w:t>​</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15,279</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Corporate Expense</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(14,043)</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(9,412)</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Impairment</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pPr>
            <w:r>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jc w:val="right"/>
              <w:rPr/>
            </w:pPr>
            <w:r>
              <w:rPr/>
              <w:t>—</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Disposition of Assets</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Income</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pPr>
            <w:r>
              <w:rPr/>
              <w:t>​</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10,302</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6,356</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Depreciation and Amortization</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10,316</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Capital Expenditures: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pPr>
            <w:r>
              <w:rPr/>
              <w:t>​</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spacing w:before="0" w:after="0"/>
              <w:ind w:left="0" w:right="0" w:hanging="0"/>
              <w:rPr/>
            </w:pPr>
            <w:r>
              <w:rPr/>
              <w:t>​</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7,773</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40,499</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auto" w:val="clear"/>
            <w:vAlign w:val="center"/>
          </w:tcPr>
          <w:p>
            <w:pPr>
              <w:pStyle w:val="TableContents"/>
              <w:spacing w:before="0" w:after="0"/>
              <w:ind w:left="0" w:right="0" w:hanging="0"/>
              <w:rPr/>
            </w:pPr>
            <w:r>
              <w:rPr/>
              <w:t>​</w:t>
            </w:r>
          </w:p>
        </w:tc>
        <w:tc>
          <w:tcPr>
            <w:tcW w:w="301" w:type="dxa"/>
            <w:tcBorders/>
            <w:shd w:fill="auto" w:val="clear"/>
            <w:vAlign w:val="center"/>
          </w:tcPr>
          <w:p>
            <w:pPr>
              <w:pStyle w:val="TableContents"/>
              <w:spacing w:before="0" w:after="0"/>
              <w:ind w:left="0" w:right="0" w:hanging="0"/>
              <w:rPr/>
            </w:pPr>
            <w:r>
              <w:rPr/>
              <w:t>​</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16,061</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174" w:type="dxa"/>
            <w:tcBorders/>
            <w:shd w:fill="auto" w:val="clear"/>
            <w:vAlign w:val="center"/>
          </w:tcPr>
          <w:p>
            <w:pPr>
              <w:pStyle w:val="TableContents"/>
              <w:spacing w:before="0" w:after="0"/>
              <w:ind w:left="0" w:right="0" w:hanging="0"/>
              <w:jc w:val="right"/>
              <w:rPr/>
            </w:pPr>
            <w:r>
              <w:rPr/>
              <w:t>—</w:t>
            </w:r>
          </w:p>
        </w:tc>
      </w:tr>
      <w:tr>
        <w:trPr/>
        <w:tc>
          <w:tcPr>
            <w:tcW w:w="4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spacing w:before="0" w:after="0"/>
              <w:ind w:left="0" w:right="0" w:hanging="0"/>
              <w:rPr/>
            </w:pPr>
            <w:r>
              <w:rPr/>
              <w:t>​</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w:t>
            </w:r>
          </w:p>
        </w:tc>
        <w:tc>
          <w:tcPr>
            <w:tcW w:w="3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7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Capital Expenditures</w:t>
            </w:r>
          </w:p>
        </w:tc>
        <w:tc>
          <w:tcPr>
            <w:tcW w:w="326" w:type="dxa"/>
            <w:tcBorders/>
            <w:shd w:fill="auto" w:val="clear"/>
            <w:vAlign w:val="center"/>
          </w:tcPr>
          <w:p>
            <w:pPr>
              <w:pStyle w:val="TableContents"/>
              <w:spacing w:before="0" w:after="0"/>
              <w:ind w:left="0" w:right="0" w:hanging="0"/>
              <w:rPr/>
            </w:pPr>
            <w:r>
              <w:rPr/>
              <w:t>​</w:t>
            </w:r>
          </w:p>
        </w:tc>
        <w:tc>
          <w:tcPr>
            <w:tcW w:w="30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23,859</w:t>
            </w:r>
          </w:p>
        </w:tc>
        <w:tc>
          <w:tcPr>
            <w:tcW w:w="326" w:type="dxa"/>
            <w:tcBorders/>
            <w:shd w:fill="auto" w:val="clear"/>
            <w:vAlign w:val="center"/>
          </w:tcPr>
          <w:p>
            <w:pPr>
              <w:pStyle w:val="TableContents"/>
              <w:spacing w:before="0" w:after="0"/>
              <w:ind w:left="0" w:right="0" w:hanging="0"/>
              <w:rPr/>
            </w:pPr>
            <w:r>
              <w:rPr/>
              <w:t>​</w:t>
            </w:r>
          </w:p>
        </w:tc>
        <w:tc>
          <w:tcPr>
            <w:tcW w:w="3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40,515</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firstLine="547"/>
        <w:jc w:val="both"/>
        <w:rPr>
          <w:rFonts w:ascii="Times New Roman;Times;serif" w:hAnsi="Times New Roman;Times;serif"/>
          <w:sz w:val="20"/>
        </w:rPr>
      </w:pPr>
      <w:bookmarkStart w:id="1436" w:name="_d2652404_3000_4811_8652_29f93debc3ce_3"/>
      <w:bookmarkStart w:id="1437" w:name="_d2652404_3000_4811_8652_29f93debc3ce_2"/>
      <w:bookmarkStart w:id="1438" w:name="_d2652404_3000_4811_8652_29f93debc3ce"/>
      <w:bookmarkStart w:id="1439" w:name="Tc_UKL9fKt9Ekq72w7NOirOVQ_9_5"/>
      <w:bookmarkStart w:id="1440" w:name="Tc_JZaxeJbIx0yuQP6WpHr0Rw_9_2"/>
      <w:bookmarkStart w:id="1441" w:name="Tc_N_fQfOmG-06F4Zb3zr_cGg_9_0"/>
      <w:bookmarkStart w:id="1442" w:name="Tc_eduZWt24UkKnE3wgrf-Pug_8_0"/>
      <w:bookmarkStart w:id="1443" w:name="Tc_Yfj7B0pZv0ST329upXK9VQ_7_0"/>
      <w:bookmarkStart w:id="1444" w:name="Tc_BOsPSZzfwUaPzxkDTWrBCA_6_0"/>
      <w:bookmarkStart w:id="1445" w:name="Tc_7xKu_bam0k-FOyfwPe_zbg_5_0"/>
      <w:bookmarkStart w:id="1446" w:name="Tc_5byxtF_FhkyV1UlbOPZLNw_4_5"/>
      <w:bookmarkStart w:id="1447" w:name="Tc_pvmvXs9WUkaXm7WQd14EpA_4_2"/>
      <w:bookmarkStart w:id="1448" w:name="Tc_ArkK0ypjJUScU6oCCfjulg_4_0"/>
      <w:bookmarkStart w:id="1449" w:name="Tc_haIeBeJmB0GBkTzV82AZ_w_3_0"/>
      <w:bookmarkStart w:id="1450" w:name="Tc_p_ptJtcJ00SkkUR6DCyBvQ_2_5"/>
      <w:bookmarkStart w:id="1451" w:name="Tc_Trr_Mnnx3k-ufcNW5FyBqg_2_2"/>
      <w:bookmarkStart w:id="1452" w:name="Tc_7jmEu4rZjE6feQT9Rpif_g_1_2"/>
      <w:bookmarkStart w:id="1453" w:name="_84abec3d_a62a_47d2_9c19_c55ceccfdc2e"/>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sz w:val="20"/>
        </w:rPr>
        <w:t>Identifiable assets of each segment as of March 31, 2023 and December 31, 2022 are as follows (in thousands):</w:t>
      </w:r>
    </w:p>
    <w:p>
      <w:pPr>
        <w:pStyle w:val="TextBody"/>
        <w:spacing w:before="0" w:after="0"/>
        <w:ind w:left="0" w:right="0" w:hanging="0"/>
        <w:rPr/>
      </w:pPr>
      <w:r>
        <w:rPr/>
        <w:t>​</w:t>
      </w:r>
    </w:p>
    <w:tbl>
      <w:tblPr>
        <w:tblW w:w="6878" w:type="dxa"/>
        <w:jc w:val="left"/>
        <w:tblInd w:w="0" w:type="dxa"/>
        <w:tblCellMar>
          <w:top w:w="0" w:type="dxa"/>
          <w:left w:w="0" w:type="dxa"/>
          <w:bottom w:w="0" w:type="dxa"/>
          <w:right w:w="0" w:type="dxa"/>
        </w:tblCellMar>
      </w:tblPr>
      <w:tblGrid>
        <w:gridCol w:w="3016"/>
        <w:gridCol w:w="326"/>
        <w:gridCol w:w="306"/>
        <w:gridCol w:w="1134"/>
        <w:gridCol w:w="326"/>
        <w:gridCol w:w="336"/>
        <w:gridCol w:w="1434"/>
      </w:tblGrid>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94310" cy="175260"/>
                      <wp:effectExtent l="0" t="0" r="0" b="0"/>
                      <wp:wrapNone/>
                      <wp:docPr id="218" name="Frame218"/>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20090" cy="175260"/>
                      <wp:effectExtent l="0" t="0" r="0" b="0"/>
                      <wp:wrapNone/>
                      <wp:docPr id="219" name="Frame219"/>
                      <a:graphic xmlns:a="http://schemas.openxmlformats.org/drawingml/2006/main">
                        <a:graphicData uri="http://schemas.microsoft.com/office/word/2010/wordprocessingShape">
                          <wps:wsp>
                            <wps:cNvSpPr txBox="1"/>
                            <wps:spPr>
                              <a:xfrm>
                                <a:off x="0" y="0"/>
                                <a:ext cx="720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3360" cy="175260"/>
                      <wp:effectExtent l="0" t="0" r="0" b="0"/>
                      <wp:wrapNone/>
                      <wp:docPr id="221" name="Frame221"/>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10590" cy="175260"/>
                      <wp:effectExtent l="0" t="0" r="0" b="0"/>
                      <wp:wrapNone/>
                      <wp:docPr id="222" name="Frame222"/>
                      <a:graphic xmlns:a="http://schemas.openxmlformats.org/drawingml/2006/main">
                        <a:graphicData uri="http://schemas.microsoft.com/office/word/2010/wordprocessingShape">
                          <wps:wsp>
                            <wps:cNvSpPr txBox="1"/>
                            <wps:spPr>
                              <a:xfrm>
                                <a:off x="0" y="0"/>
                                <a:ext cx="910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53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auto" w:val="clear"/>
            <w:vAlign w:val="center"/>
          </w:tcPr>
          <w:p>
            <w:pPr>
              <w:pStyle w:val="TableContents"/>
              <w:spacing w:before="0" w:after="0"/>
              <w:ind w:left="0" w:right="0" w:hanging="0"/>
              <w:rPr/>
            </w:pPr>
            <w:r>
              <w:rPr/>
              <w:t>    </w:t>
            </w:r>
          </w:p>
        </w:tc>
        <w:tc>
          <w:tcPr>
            <w:tcW w:w="1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Identifiable Assets:</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434" w:type="dxa"/>
            <w:tcBorders/>
            <w:shd w:fill="CCEEFF" w:val="clear"/>
            <w:vAlign w:val="center"/>
          </w:tcPr>
          <w:p>
            <w:pPr>
              <w:pStyle w:val="TableContents"/>
              <w:spacing w:before="0" w:after="0"/>
              <w:ind w:left="0" w:right="0" w:hanging="0"/>
              <w:jc w:val="right"/>
              <w:rPr/>
            </w:pPr>
            <w:r>
              <w:rPr/>
              <w:t>​</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896,537</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902,427</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47,368</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4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32,269</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3,992</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pPr>
            <w:r>
              <w:rPr/>
              <w:t>​</w:t>
            </w:r>
          </w:p>
        </w:tc>
        <w:tc>
          <w:tcPr>
            <w:tcW w:w="14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4,041</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3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31,852</w:t>
            </w:r>
          </w:p>
        </w:tc>
        <w:tc>
          <w:tcPr>
            <w:tcW w:w="326" w:type="dxa"/>
            <w:tcBorders/>
            <w:shd w:fill="auto" w:val="clear"/>
            <w:vAlign w:val="center"/>
          </w:tcPr>
          <w:p>
            <w:pPr>
              <w:pStyle w:val="TableContents"/>
              <w:spacing w:before="0" w:after="0"/>
              <w:ind w:left="0" w:right="0" w:hanging="0"/>
              <w:rPr/>
            </w:pPr>
            <w:r>
              <w:rPr/>
              <w:t>​</w:t>
            </w:r>
          </w:p>
        </w:tc>
        <w:tc>
          <w:tcPr>
            <w:tcW w:w="3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4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46,438</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981,254</w:t>
            </w:r>
          </w:p>
        </w:tc>
        <w:tc>
          <w:tcPr>
            <w:tcW w:w="326" w:type="dxa"/>
            <w:tcBorders/>
            <w:shd w:fill="CCEEFF" w:val="clear"/>
            <w:vAlign w:val="center"/>
          </w:tcPr>
          <w:p>
            <w:pPr>
              <w:pStyle w:val="TableContents"/>
              <w:spacing w:before="0" w:after="0"/>
              <w:ind w:left="0" w:right="0" w:hanging="0"/>
              <w:rPr/>
            </w:pPr>
            <w:r>
              <w:rPr/>
              <w:t>​</w:t>
            </w:r>
          </w:p>
        </w:tc>
        <w:tc>
          <w:tcPr>
            <w:tcW w:w="3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986,545</w:t>
            </w:r>
          </w:p>
        </w:tc>
      </w:tr>
    </w:tbl>
    <w:p>
      <w:pPr>
        <w:pStyle w:val="TextBody"/>
        <w:spacing w:before="0" w:after="0"/>
        <w:ind w:left="0" w:right="0" w:hanging="0"/>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three months ended March 31, 2023 or 2022.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454" w:name="Tc_LGENKCfheEqg9q72yOXIJA_5_2"/>
      <w:bookmarkStart w:id="1455" w:name="Tc_qqTErc6NY0miFWf36a1cWA_5_0"/>
      <w:bookmarkStart w:id="1456" w:name="Tc_ALGHt4FyFEWdmsztr-CZNA_4_0"/>
      <w:bookmarkStart w:id="1457" w:name="Tc_VhWetLrfvkmBMdVJqXLhnQ_3_2"/>
      <w:bookmarkStart w:id="1458" w:name="Tc_acVgA2kQa0GOmA7VEy3mEw_3_0"/>
      <w:bookmarkStart w:id="1459" w:name="Tc_HhF5rav6uUe9sjTeydtIwQ_2_2"/>
      <w:bookmarkEnd w:id="1454"/>
      <w:bookmarkEnd w:id="1455"/>
      <w:bookmarkEnd w:id="1456"/>
      <w:bookmarkEnd w:id="1457"/>
      <w:bookmarkEnd w:id="1458"/>
      <w:bookmarkEnd w:id="1459"/>
      <w:r>
        <w:rPr>
          <w:rFonts w:ascii="Times New Roman;Times;serif" w:hAnsi="Times New Roman;Times;serif"/>
          <w:b/>
          <w:sz w:val="20"/>
        </w:rPr>
        <w:t xml:space="preserve">NOTE 23. ASSETS HELD FOR SALE </w:t>
      </w:r>
    </w:p>
    <w:p>
      <w:pPr>
        <w:pStyle w:val="TextBody"/>
        <w:spacing w:before="0" w:after="0"/>
        <w:ind w:left="0" w:right="0" w:hanging="0"/>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Assets held for sale as of March 31, 2023 are summarized below (in thousands). There were no assets held for sale as of December 31, 2022. </w:t>
      </w:r>
    </w:p>
    <w:p>
      <w:pPr>
        <w:pStyle w:val="TextBody"/>
        <w:spacing w:before="0" w:after="0"/>
        <w:ind w:left="0" w:right="0" w:hanging="0"/>
        <w:jc w:val="both"/>
        <w:rPr/>
      </w:pPr>
      <w:r>
        <w:rPr/>
        <w:t>​</w:t>
      </w:r>
    </w:p>
    <w:tbl>
      <w:tblPr>
        <w:tblW w:w="5195" w:type="dxa"/>
        <w:jc w:val="left"/>
        <w:tblInd w:w="0" w:type="dxa"/>
        <w:tblCellMar>
          <w:top w:w="0" w:type="dxa"/>
          <w:left w:w="0" w:type="dxa"/>
          <w:bottom w:w="0" w:type="dxa"/>
          <w:right w:w="0" w:type="dxa"/>
        </w:tblCellMar>
      </w:tblPr>
      <w:tblGrid>
        <w:gridCol w:w="3136"/>
        <w:gridCol w:w="109"/>
        <w:gridCol w:w="456"/>
        <w:gridCol w:w="1494"/>
      </w:tblGrid>
      <w:tr>
        <w:trPr/>
        <w:tc>
          <w:tcPr>
            <w:tcW w:w="3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991360" cy="175260"/>
                      <wp:effectExtent l="0" t="0" r="0" b="0"/>
                      <wp:wrapNone/>
                      <wp:docPr id="223" name="Frame223"/>
                      <a:graphic xmlns:a="http://schemas.openxmlformats.org/drawingml/2006/main">
                        <a:graphicData uri="http://schemas.microsoft.com/office/word/2010/wordprocessingShape">
                          <wps:wsp>
                            <wps:cNvSpPr txBox="1"/>
                            <wps:spPr>
                              <a:xfrm>
                                <a:off x="0" y="0"/>
                                <a:ext cx="1991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89560" cy="175260"/>
                      <wp:effectExtent l="0" t="0" r="0" b="0"/>
                      <wp:wrapNone/>
                      <wp:docPr id="225" name="Frame225"/>
                      <a:graphic xmlns:a="http://schemas.openxmlformats.org/drawingml/2006/main">
                        <a:graphicData uri="http://schemas.microsoft.com/office/word/2010/wordprocessingShape">
                          <wps:wsp>
                            <wps:cNvSpPr txBox="1"/>
                            <wps:spPr>
                              <a:xfrm>
                                <a:off x="0" y="0"/>
                                <a:ext cx="28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48690" cy="175260"/>
                      <wp:effectExtent l="0" t="0" r="0" b="0"/>
                      <wp:wrapNone/>
                      <wp:docPr id="226" name="Frame226"/>
                      <a:graphic xmlns:a="http://schemas.openxmlformats.org/drawingml/2006/main">
                        <a:graphicData uri="http://schemas.microsoft.com/office/word/2010/wordprocessingShape">
                          <wps:wsp>
                            <wps:cNvSpPr txBox="1"/>
                            <wps:spPr>
                              <a:xfrm>
                                <a:off x="0" y="0"/>
                                <a:ext cx="948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45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9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313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March 31, 2023</w:t>
            </w:r>
          </w:p>
        </w:tc>
      </w:tr>
      <w:tr>
        <w:trPr/>
        <w:tc>
          <w:tcPr>
            <w:tcW w:w="3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Plant, Property, and Equipment—Net</w:t>
            </w:r>
          </w:p>
        </w:tc>
        <w:tc>
          <w:tcPr>
            <w:tcW w:w="109" w:type="dxa"/>
            <w:tcBorders/>
            <w:shd w:fill="CCEEFF" w:val="clear"/>
            <w:vAlign w:val="center"/>
          </w:tcPr>
          <w:p>
            <w:pPr>
              <w:pStyle w:val="TableContents"/>
              <w:spacing w:before="0" w:after="0"/>
              <w:ind w:left="0" w:right="0" w:hanging="0"/>
              <w:rPr/>
            </w:pPr>
            <w:r>
              <w:rPr/>
              <w:t>​</w:t>
            </w:r>
          </w:p>
        </w:tc>
        <w:tc>
          <w:tcPr>
            <w:tcW w:w="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31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Lease Assets—Net</w:t>
            </w:r>
          </w:p>
        </w:tc>
        <w:tc>
          <w:tcPr>
            <w:tcW w:w="109" w:type="dxa"/>
            <w:tcBorders/>
            <w:shd w:fill="auto" w:val="clear"/>
            <w:vAlign w:val="center"/>
          </w:tcPr>
          <w:p>
            <w:pPr>
              <w:pStyle w:val="TableContents"/>
              <w:spacing w:before="0" w:after="0"/>
              <w:ind w:left="0" w:right="0" w:hanging="0"/>
              <w:rPr/>
            </w:pPr>
            <w:r>
              <w:rPr/>
              <w:t>​</w:t>
            </w:r>
          </w:p>
        </w:tc>
        <w:tc>
          <w:tcPr>
            <w:tcW w:w="4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4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31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Held for Sale</w:t>
            </w:r>
          </w:p>
        </w:tc>
        <w:tc>
          <w:tcPr>
            <w:tcW w:w="109" w:type="dxa"/>
            <w:tcBorders/>
            <w:shd w:fill="CCEEFF" w:val="clear"/>
            <w:vAlign w:val="center"/>
          </w:tcPr>
          <w:p>
            <w:pPr>
              <w:pStyle w:val="TableContents"/>
              <w:spacing w:before="0" w:after="0"/>
              <w:ind w:left="0" w:right="0" w:hanging="0"/>
              <w:rPr/>
            </w:pPr>
            <w:r>
              <w:rPr/>
              <w:t>​</w:t>
            </w:r>
          </w:p>
        </w:tc>
        <w:tc>
          <w:tcPr>
            <w:tcW w:w="4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94"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1,115</w:t>
            </w:r>
          </w:p>
        </w:tc>
      </w:tr>
    </w:tbl>
    <w:p>
      <w:pPr>
        <w:pStyle w:val="TextBody"/>
        <w:spacing w:before="0" w:after="0"/>
        <w:ind w:left="0" w:right="0" w:firstLine="360"/>
        <w:jc w:val="both"/>
        <w:rPr/>
      </w:pPr>
      <w:r>
        <w:rPr/>
        <w:t>​</w:t>
      </w:r>
    </w:p>
    <w:p>
      <w:pPr>
        <w:pStyle w:val="TextBody"/>
        <w:spacing w:before="0" w:after="0"/>
        <w:ind w:left="0" w:right="0" w:firstLine="360"/>
        <w:jc w:val="both"/>
        <w:rPr/>
      </w:pPr>
      <w:r>
        <w:rPr/>
        <w:t>​</w:t>
      </w:r>
    </w:p>
    <w:p>
      <w:pPr>
        <w:pStyle w:val="TextBody"/>
        <w:spacing w:lineRule="auto" w:line="256" w:before="0" w:after="0"/>
        <w:ind w:left="0" w:right="0" w:firstLine="547"/>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24. SUBSEQUENT EVENTS</w:t>
      </w:r>
    </w:p>
    <w:p>
      <w:pPr>
        <w:pStyle w:val="TextBody"/>
        <w:spacing w:before="0" w:after="0"/>
        <w:ind w:left="0" w:right="0" w:hanging="0"/>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Subsequent events and transactions were evaluated through April 27, 2023, the date the consolidated financial statements were issued. There were no reportable subsequent events or transactions.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460" w:name="ITEM2MANAGEMENTSDISCUSSIONANDANALYSIS_90"/>
      <w:bookmarkStart w:id="1461" w:name="_abfd3687_e21e_44c8_b130_c852f9bb59ea"/>
      <w:bookmarkEnd w:id="1460"/>
      <w:bookmarkEnd w:id="1461"/>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spacing w:before="0" w:after="0"/>
        <w:ind w:left="0" w:right="0" w:hanging="0"/>
        <w:jc w:val="both"/>
        <w:rPr/>
      </w:pPr>
      <w:r>
        <w:rPr/>
        <w:t>​</w:t>
      </w:r>
    </w:p>
    <w:p>
      <w:pPr>
        <w:pStyle w:val="TextBody"/>
        <w:spacing w:before="0" w:after="0"/>
        <w:ind w:left="0" w:right="0" w:firstLine="547"/>
        <w:jc w:val="both"/>
        <w:rPr>
          <w:rFonts w:ascii="Times New Roman;Times;serif" w:hAnsi="Times New Roman;Times;serif"/>
          <w:i/>
          <w:sz w:val="20"/>
          <w:highlight w:val="white"/>
        </w:rPr>
      </w:pPr>
      <w:r>
        <w:rPr>
          <w:rFonts w:ascii="Times New Roman;Times;serif" w:hAnsi="Times New Roman;Times;serif"/>
          <w:i/>
          <w:sz w:val="20"/>
          <w:highlight w:val="white"/>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0"/>
        <w:ind w:left="0" w:right="0" w:hanging="0"/>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market for the acquisition of income properties and more established entities or other investors may be able to compete more effectively for acquisition opportunities than we can;</w:t>
            </w:r>
          </w:p>
        </w:tc>
      </w:tr>
    </w:tbl>
    <w:tbl>
      <w:tblPr>
        <w:tblW w:w="6936" w:type="dxa"/>
        <w:jc w:val="left"/>
        <w:tblInd w:w="0" w:type="dxa"/>
        <w:tblCellMar>
          <w:top w:w="28" w:type="dxa"/>
          <w:left w:w="28" w:type="dxa"/>
          <w:bottom w:w="28" w:type="dxa"/>
          <w:right w:w="28" w:type="dxa"/>
        </w:tblCellMar>
      </w:tblPr>
      <w:tblGrid>
        <w:gridCol w:w="124"/>
        <w:gridCol w:w="25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asset acquisitions or dispositions;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revenues from our income property portfolio or certain tenants would adversely impact our results of operations and cash flows;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real estate investments are generally illiquid;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our debt requires a significant amount of cash, and we may not have sufficient cash flow from our business to service or pay our debt;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operations and properties could be adversely affected in the event of natural disasters, pandemics, or other significant disruptions;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environmental problems which require remediation or the incurrence of significant costs to resolve, which could adversely impact our financial condition, results of operations, and cash flows;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tbl>
      <w:tblPr>
        <w:tblW w:w="6321" w:type="dxa"/>
        <w:jc w:val="left"/>
        <w:tblInd w:w="0" w:type="dxa"/>
        <w:tblCellMar>
          <w:top w:w="28" w:type="dxa"/>
          <w:left w:w="28" w:type="dxa"/>
          <w:bottom w:w="28" w:type="dxa"/>
          <w:right w:w="28" w:type="dxa"/>
        </w:tblCellMar>
      </w:tblPr>
      <w:tblGrid>
        <w:gridCol w:w="124"/>
        <w:gridCol w:w="25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REIT requirements could limit our financial flexibility;</w:t>
            </w:r>
          </w:p>
        </w:tc>
      </w:tr>
    </w:tbl>
    <w:tbl>
      <w:tblPr>
        <w:tblW w:w="4071" w:type="dxa"/>
        <w:jc w:val="left"/>
        <w:tblInd w:w="0" w:type="dxa"/>
        <w:tblCellMar>
          <w:top w:w="28" w:type="dxa"/>
          <w:left w:w="28" w:type="dxa"/>
          <w:bottom w:w="28" w:type="dxa"/>
          <w:right w:w="28" w:type="dxa"/>
        </w:tblCellMar>
      </w:tblPr>
      <w:tblGrid>
        <w:gridCol w:w="124"/>
        <w:gridCol w:w="256"/>
        <w:gridCol w:w="3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experience operating as a REIT;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pay dividends consistent with the REIT requirements, and expectations as to timing and amounts of such dividends; </w:t>
            </w:r>
          </w:p>
        </w:tc>
      </w:tr>
    </w:tbl>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(the “Board”) to revoke our REIT status without stockholder approval;</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changes in U.S. federal and state income tax laws, including changes to the REIT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business and economic conditions, including unstable macroeconomic conditions due to, among other things, the war in Ukraine, the COVID-19 pandemic, inflation and rising interest rates;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tc>
      </w:tr>
    </w:tbl>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describes the risks and uncertainties that could cause actual results and events to differ materially in “Risk Factors” (Part II, Item 1A of this Quarterly Report on Form 10-Q and Part I, Item 1A of our Annual Report on Form 10-K for the year ended December 31, 2022), “Quantitative and Qualitative Disclosures about Market Risk” (Part I, Item 3 of this Quarterly Report on Form 10-Q), and “Management’s Discussion and Analysis of Financial Conditions and Results of Operations” (Part I, Item 2 of this Quarterly Report on Form 10-Q).</w:t>
      </w:r>
    </w:p>
    <w:p>
      <w:pPr>
        <w:pStyle w:val="TextBody"/>
        <w:spacing w:before="100" w:after="100"/>
        <w:ind w:left="0" w:right="0" w:firstLine="36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firstLine="360"/>
        <w:jc w:val="both"/>
        <w:rPr/>
      </w:pPr>
      <w:r>
        <w:rPr/>
        <w: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retail demand that exceeds supply. We have pursued our investment strategy by investing primarily through fee simple ownership of our properties, commercial loans and preferred equity.</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own and manage, sometimes utilizing third-party property management companies, 23 commercial real estate properties in 9 states in the United States. As of March 31, 2023, we owned 8 single-tenant and 15 multi-tenant income-producing properties comprising 3.7 million square feet of gross leasable space. </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addition to our income property portfolio, as of March 31, 2023, our business included the following: </w:t>
      </w:r>
    </w:p>
    <w:p>
      <w:pPr>
        <w:pStyle w:val="TextBody"/>
        <w:spacing w:before="0" w:after="12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fee-based management business that is engaged in managing PINE, see Note 5, “Related Party Management Services Business”. </w:t>
            </w:r>
          </w:p>
        </w:tc>
      </w:tr>
    </w:tbl>
    <w:p>
      <w:pPr>
        <w:pStyle w:val="TextBody"/>
        <w:shd w:fill="FFFFFF" w:val="clear"/>
        <w:spacing w:before="180" w:after="120"/>
        <w:ind w:left="0" w:right="0" w:firstLine="490"/>
        <w:jc w:val="both"/>
        <w:rPr>
          <w:rFonts w:ascii="Times New Roman;Times;serif" w:hAnsi="Times New Roman;Times;serif"/>
          <w:sz w:val="20"/>
        </w:rPr>
      </w:pPr>
      <w:r>
        <w:rPr>
          <w:rFonts w:ascii="Times New Roman;Times;serif" w:hAnsi="Times New Roman;Times;serif"/>
          <w:sz w:val="20"/>
        </w:rPr>
        <w:t xml:space="preserve">Commercial Loans and Investments: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portfolio of three commercial loan investments and one preferred equity investment which is classified as a commercial loan investment.</w:t>
            </w:r>
          </w:p>
        </w:tc>
      </w:tr>
    </w:tbl>
    <w:p>
      <w:pPr>
        <w:pStyle w:val="TextBody"/>
        <w:shd w:fill="FFFFFF" w:val="clear"/>
        <w:spacing w:before="180" w:after="120"/>
        <w:ind w:left="0" w:right="0" w:firstLine="490"/>
        <w:jc w:val="both"/>
        <w:rPr>
          <w:rFonts w:ascii="Times New Roman;Times;serif" w:hAnsi="Times New Roman;Times;serif"/>
          <w:sz w:val="20"/>
        </w:rPr>
      </w:pPr>
      <w:r>
        <w:rPr>
          <w:rFonts w:ascii="Times New Roman;Times;serif" w:hAnsi="Times New Roman;Times;serif"/>
          <w:sz w:val="20"/>
        </w:rPr>
        <w:t xml:space="preserve">Real Estate Operations: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portfolio of subsurface mineral interests associated with approximately 353,000 surface acres in 19 counties in the State of Florida (“Subsurface Interests”); and</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inventory of mitigation credits produced by the Company’s formerly owned mitigation bank.</w:t>
            </w:r>
          </w:p>
        </w:tc>
      </w:tr>
    </w:tbl>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March 31, 2023, the fair value of our investment totaled $39.3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amount by which our investment will increase in value, or the timing thereof. Any dividends received from PINE are included in investment and other income (loss) on the accompanying consolidated statements of operations. </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No income properties were sold during the three months ended March 31, 2023.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pStyle w:val="TextBody"/>
        <w:spacing w:before="0" w:after="240"/>
        <w:ind w:left="0" w:right="0" w:firstLine="490"/>
        <w:jc w:val="both"/>
        <w:rPr>
          <w:rFonts w:ascii="Times New Roman;Times;serif" w:hAnsi="Times New Roman;Times;serif"/>
          <w:sz w:val="20"/>
        </w:rPr>
      </w:pPr>
      <w:r>
        <w:rPr>
          <w:rFonts w:ascii="Times New Roman;Times;serif" w:hAnsi="Times New Roman;Times;serif"/>
          <w:sz w:val="20"/>
        </w:rPr>
        <w:t>Our current portfolio of 15 multi-tenant properties generates $67.0 million of revenue from annualized straight-line base lease payments and had a weighted average remaining lease term of 4.7 years as of March 31, 2023. Our current portfolio of 8 single-tenant income properties generates $8.6 million of revenues from annualized straight-line base lease payments and had a weighted average remaining lease term of 5.4 years as of March 31, 2023.</w:t>
      </w:r>
    </w:p>
    <w:p>
      <w:pPr>
        <w:pStyle w:val="TextBody"/>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MARCH 31, 2023 AND 2022</w:t>
      </w:r>
    </w:p>
    <w:p>
      <w:pPr>
        <w:pStyle w:val="TextBody"/>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spacing w:before="100" w:after="10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March 31, 2023 is presented in the following summary and indicates the changes as compared to the three months March 31, 2022 (in thousands): </w:t>
      </w:r>
    </w:p>
    <w:p>
      <w:pPr>
        <w:pStyle w:val="TextBody"/>
        <w:spacing w:before="0" w:after="0"/>
        <w:ind w:left="0" w:right="0" w:firstLine="360"/>
        <w:jc w:val="both"/>
        <w:rPr>
          <w:highlight w:val="yellow"/>
        </w:rPr>
      </w:pPr>
      <w:r>
        <w:rPr>
          <w:highlight w:val="yellow"/>
        </w:rPr>
        <w:t>​</w:t>
      </w:r>
    </w:p>
    <w:tbl>
      <w:tblPr>
        <w:tblW w:w="8756" w:type="dxa"/>
        <w:jc w:val="left"/>
        <w:tblInd w:w="0" w:type="dxa"/>
        <w:tblCellMar>
          <w:top w:w="0" w:type="dxa"/>
          <w:left w:w="0" w:type="dxa"/>
          <w:bottom w:w="0" w:type="dxa"/>
          <w:right w:w="0" w:type="dxa"/>
        </w:tblCellMar>
      </w:tblPr>
      <w:tblGrid>
        <w:gridCol w:w="3016"/>
        <w:gridCol w:w="326"/>
        <w:gridCol w:w="342"/>
        <w:gridCol w:w="1098"/>
        <w:gridCol w:w="109"/>
        <w:gridCol w:w="342"/>
        <w:gridCol w:w="1098"/>
        <w:gridCol w:w="109"/>
        <w:gridCol w:w="279"/>
        <w:gridCol w:w="757"/>
        <w:gridCol w:w="109"/>
        <w:gridCol w:w="1171"/>
      </w:tblGrid>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7170" cy="175260"/>
                      <wp:effectExtent l="0" t="0" r="0" b="0"/>
                      <wp:wrapNone/>
                      <wp:docPr id="228" name="Frame228"/>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7230" cy="175260"/>
                      <wp:effectExtent l="0" t="0" r="0" b="0"/>
                      <wp:wrapNone/>
                      <wp:docPr id="229" name="Frame229"/>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7170" cy="175260"/>
                      <wp:effectExtent l="0" t="0" r="0" b="0"/>
                      <wp:wrapNone/>
                      <wp:docPr id="231" name="Frame231"/>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7230" cy="175260"/>
                      <wp:effectExtent l="0" t="0" r="0" b="0"/>
                      <wp:wrapNone/>
                      <wp:docPr id="232" name="Frame232"/>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7165" cy="175260"/>
                      <wp:effectExtent l="0" t="0" r="0" b="0"/>
                      <wp:wrapNone/>
                      <wp:docPr id="234" name="Frame234"/>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80695" cy="175260"/>
                      <wp:effectExtent l="0" t="0" r="0" b="0"/>
                      <wp:wrapNone/>
                      <wp:docPr id="235" name="Frame235"/>
                      <a:graphic xmlns:a="http://schemas.openxmlformats.org/drawingml/2006/main">
                        <a:graphicData uri="http://schemas.microsoft.com/office/word/2010/wordprocessingShape">
                          <wps:wsp>
                            <wps:cNvSpPr txBox="1"/>
                            <wps:spPr>
                              <a:xfrm>
                                <a:off x="0" y="0"/>
                                <a:ext cx="480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43585" cy="175260"/>
                      <wp:effectExtent l="0" t="0" r="0" b="0"/>
                      <wp:wrapNone/>
                      <wp:docPr id="237" name="Frame237"/>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rPr/>
            </w:pPr>
            <w:r>
              <w:rPr/>
              <w:t>​</w:t>
            </w:r>
          </w:p>
        </w:tc>
      </w:tr>
      <w:tr>
        <w:trPr/>
        <w:tc>
          <w:tcPr>
            <w:tcW w:w="30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Segment</w:t>
            </w:r>
          </w:p>
        </w:tc>
        <w:tc>
          <w:tcPr>
            <w:tcW w:w="326" w:type="dxa"/>
            <w:tcBorders/>
            <w:shd w:fill="auto" w:val="clear"/>
            <w:vAlign w:val="center"/>
          </w:tcPr>
          <w:p>
            <w:pPr>
              <w:pStyle w:val="TableContents"/>
              <w:spacing w:before="0" w:after="0"/>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shd w:fill="auto" w:val="clear"/>
            <w:vAlign w:val="center"/>
          </w:tcPr>
          <w:p>
            <w:pPr>
              <w:pStyle w:val="TableContents"/>
              <w:spacing w:before="0" w:after="0"/>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c>
          <w:tcPr>
            <w:tcW w:w="109" w:type="dxa"/>
            <w:tcBorders/>
            <w:shd w:fill="auto" w:val="clear"/>
            <w:vAlign w:val="center"/>
          </w:tcPr>
          <w:p>
            <w:pPr>
              <w:pStyle w:val="TableContents"/>
              <w:spacing w:before="0" w:after="0"/>
              <w:ind w:left="0" w:right="0" w:hanging="0"/>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shd w:fill="auto" w:val="clear"/>
            <w:vAlign w:val="center"/>
          </w:tcPr>
          <w:p>
            <w:pPr>
              <w:pStyle w:val="TableContents"/>
              <w:spacing w:before="0" w:after="0"/>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15,168</w:t>
            </w:r>
          </w:p>
        </w:tc>
        <w:tc>
          <w:tcPr>
            <w:tcW w:w="109" w:type="dxa"/>
            <w:tcBorders/>
            <w:shd w:fill="CCEEFF" w:val="clear"/>
            <w:vAlign w:val="center"/>
          </w:tcPr>
          <w:p>
            <w:pPr>
              <w:pStyle w:val="TableContents"/>
              <w:spacing w:before="0" w:after="0"/>
              <w:ind w:left="0" w:right="0" w:hanging="0"/>
              <w:rPr/>
            </w:pPr>
            <w:r>
              <w:rPr/>
              <w:t>​</w:t>
            </w:r>
          </w:p>
        </w:tc>
        <w:tc>
          <w:tcPr>
            <w:tcW w:w="2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7,264</w:t>
            </w:r>
          </w:p>
        </w:tc>
        <w:tc>
          <w:tcPr>
            <w:tcW w:w="109"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0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109" w:type="dxa"/>
            <w:tcBorders/>
            <w:shd w:fill="auto" w:val="clear"/>
            <w:vAlign w:val="center"/>
          </w:tcPr>
          <w:p>
            <w:pPr>
              <w:pStyle w:val="TableContents"/>
              <w:spacing w:before="0" w:after="0"/>
              <w:ind w:left="0" w:right="0" w:hanging="0"/>
              <w:rPr/>
            </w:pPr>
            <w:r>
              <w:rPr/>
              <w:t>​</w:t>
            </w:r>
          </w:p>
        </w:tc>
        <w:tc>
          <w:tcPr>
            <w:tcW w:w="279" w:type="dxa"/>
            <w:tcBorders/>
            <w:shd w:fill="auto" w:val="clear"/>
            <w:vAlign w:val="center"/>
          </w:tcPr>
          <w:p>
            <w:pPr>
              <w:pStyle w:val="TableContents"/>
              <w:spacing w:before="0" w:after="0"/>
              <w:ind w:left="0" w:right="0" w:hanging="0"/>
              <w:rPr/>
            </w:pPr>
            <w:r>
              <w:rPr/>
              <w:t>​</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10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109" w:type="dxa"/>
            <w:tcBorders/>
            <w:shd w:fill="CCEEFF" w:val="clear"/>
            <w:vAlign w:val="center"/>
          </w:tcPr>
          <w:p>
            <w:pPr>
              <w:pStyle w:val="TableContents"/>
              <w:spacing w:before="0" w:after="0"/>
              <w:ind w:left="0" w:right="0" w:hanging="0"/>
              <w:rPr/>
            </w:pPr>
            <w:r>
              <w:rPr/>
              <w:t>​</w:t>
            </w:r>
          </w:p>
        </w:tc>
        <w:tc>
          <w:tcPr>
            <w:tcW w:w="279" w:type="dxa"/>
            <w:tcBorders/>
            <w:shd w:fill="CCEEFF" w:val="clear"/>
            <w:vAlign w:val="center"/>
          </w:tcPr>
          <w:p>
            <w:pPr>
              <w:pStyle w:val="TableContents"/>
              <w:spacing w:before="0" w:after="0"/>
              <w:ind w:left="0" w:right="0" w:hanging="0"/>
              <w:rPr/>
            </w:pPr>
            <w:r>
              <w:rPr/>
              <w:t>​</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auto" w:val="clear"/>
            <w:vAlign w:val="center"/>
          </w:tcPr>
          <w:p>
            <w:pPr>
              <w:pStyle w:val="TableContents"/>
              <w:spacing w:before="0" w:after="0"/>
              <w:ind w:left="0" w:right="0" w:hanging="0"/>
              <w:rPr/>
            </w:pPr>
            <w:r>
              <w:rPr/>
              <w:t>​</w:t>
            </w:r>
          </w:p>
        </w:tc>
        <w:tc>
          <w:tcPr>
            <w:tcW w:w="3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09" w:type="dxa"/>
            <w:tcBorders/>
            <w:shd w:fill="auto" w:val="clear"/>
            <w:vAlign w:val="center"/>
          </w:tcPr>
          <w:p>
            <w:pPr>
              <w:pStyle w:val="TableContents"/>
              <w:spacing w:before="0" w:after="0"/>
              <w:ind w:left="0" w:right="0" w:hanging="0"/>
              <w:rPr/>
            </w:pPr>
            <w:r>
              <w:rPr/>
              <w:t>​</w:t>
            </w:r>
          </w:p>
        </w:tc>
        <w:tc>
          <w:tcPr>
            <w:tcW w:w="3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shd w:fill="auto" w:val="clear"/>
            <w:vAlign w:val="center"/>
          </w:tcPr>
          <w:p>
            <w:pPr>
              <w:pStyle w:val="TableContents"/>
              <w:spacing w:before="0" w:after="0"/>
              <w:ind w:left="0" w:right="0" w:hanging="0"/>
              <w:rPr/>
            </w:pPr>
            <w:r>
              <w:rPr/>
              <w:t>​</w:t>
            </w:r>
          </w:p>
        </w:tc>
        <w:tc>
          <w:tcPr>
            <w:tcW w:w="27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auto" w:val="clear"/>
            <w:vAlign w:val="center"/>
          </w:tcPr>
          <w:p>
            <w:pPr>
              <w:pStyle w:val="TableContents"/>
              <w:spacing w:before="0" w:after="0"/>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3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c>
          <w:tcPr>
            <w:tcW w:w="109" w:type="dxa"/>
            <w:tcBorders/>
            <w:shd w:fill="CCEEFF" w:val="clear"/>
            <w:vAlign w:val="center"/>
          </w:tcPr>
          <w:p>
            <w:pPr>
              <w:pStyle w:val="TableContents"/>
              <w:spacing w:before="0" w:after="0"/>
              <w:ind w:left="0" w:right="0" w:hanging="0"/>
              <w:rPr/>
            </w:pPr>
            <w:r>
              <w:rPr/>
              <w:t>​</w:t>
            </w:r>
          </w:p>
        </w:tc>
        <w:tc>
          <w:tcPr>
            <w:tcW w:w="3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17,210</w:t>
            </w:r>
          </w:p>
        </w:tc>
        <w:tc>
          <w:tcPr>
            <w:tcW w:w="109" w:type="dxa"/>
            <w:tcBorders/>
            <w:shd w:fill="CCEEFF" w:val="clear"/>
            <w:vAlign w:val="center"/>
          </w:tcPr>
          <w:p>
            <w:pPr>
              <w:pStyle w:val="TableContents"/>
              <w:spacing w:before="0" w:after="0"/>
              <w:ind w:left="0" w:right="0" w:hanging="0"/>
              <w:rPr/>
            </w:pPr>
            <w:r>
              <w:rPr/>
              <w:t>​</w:t>
            </w:r>
          </w:p>
        </w:tc>
        <w:tc>
          <w:tcPr>
            <w:tcW w:w="27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109" w:type="dxa"/>
            <w:tcBorders/>
            <w:shd w:fill="CCEEFF" w:val="clear"/>
            <w:vAlign w:val="center"/>
          </w:tcPr>
          <w:p>
            <w:pPr>
              <w:pStyle w:val="TableContents"/>
              <w:spacing w:before="0" w:after="0"/>
              <w:ind w:left="0" w:right="0" w:hanging="0"/>
              <w:rPr/>
            </w:pPr>
            <w:r>
              <w:rPr/>
              <w:t>​</w:t>
            </w:r>
          </w:p>
        </w:tc>
        <w:tc>
          <w:tcPr>
            <w:tcW w:w="1171"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43.6%</w:t>
            </w:r>
          </w:p>
        </w:tc>
      </w:tr>
    </w:tbl>
    <w:p>
      <w:pPr>
        <w:pStyle w:val="TextBody"/>
        <w:spacing w:before="0" w:after="0"/>
        <w:ind w:left="0" w:right="0" w:firstLine="490"/>
        <w:jc w:val="both"/>
        <w:rPr>
          <w:highlight w:val="yellow"/>
        </w:rPr>
      </w:pPr>
      <w:r>
        <w:rPr>
          <w:highlight w:val="yellow"/>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March 31, 2023 increased to $24.7 million, compared to $17.2 million during the three months ended March 31, 2022. The increase in total revenue is primarily attributable to increased income produced by the Company’s recent income property acquisitions versus that of properties disposed of by the Company during the comparative period, in addition to increases in management fee income and income from commercial loans and investments. </w:t>
      </w:r>
    </w:p>
    <w:p>
      <w:pPr>
        <w:pStyle w:val="TextBody"/>
        <w:spacing w:before="0" w:after="0"/>
        <w:ind w:left="0" w:right="0" w:hanging="0"/>
        <w:rPr>
          <w:highlight w:val="yellow"/>
        </w:rPr>
      </w:pPr>
      <w:r>
        <w:rPr>
          <w:highlight w:val="yellow"/>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Income Properties</w:t>
      </w:r>
    </w:p>
    <w:p>
      <w:pPr>
        <w:pStyle w:val="TextBody"/>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$22.4 million and $15.3 million, respectively, during the three months ended March 31, 2023, compared to total revenue and operating income of $15.2 million and $11.2 million, respectively, for the three months ended March 31, 2022. The direct costs of revenues for our income property operations totaled $7.1 million and $4.0 million for the three months ended March 31, 2023 and 2022, respectively. The increase in revenues of $7.3 million, or 47.9%, during the three months ended March 31, 2023 is primarily related to the overall growth of the Company’s income property portfolio, as well as the timing of acquisitions versus dispositions. The increase in operating income of $4.1 million from our income property operations reflects increased rent revenues, offset by an increase of $3.1 million in our direct costs of revenues which is also related to the overall growth of the Company’s income property portfolio.</w:t>
      </w:r>
    </w:p>
    <w:p>
      <w:pPr>
        <w:pStyle w:val="TextBody"/>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$1.1 million and $0.9 million during the three months ended March 31, 2023 and 2022, respectively, due to the increase in PINE’s total equity.</w:t>
      </w:r>
    </w:p>
    <w:p>
      <w:pPr>
        <w:pStyle w:val="TextBody"/>
        <w:spacing w:before="0" w:after="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$0.8 million and $0.7 million during the three months ended March 31, 2023 and 2022, respectively. The increase is primarily due to increased income from the investments made during the previous fiscal year ended December 31, 2022, including two construction loans and the Watters Creek Investment, as defined in Note 4, “Commercial Loans and Investments”, as well as the $15.0 million Founders Square loan origination during the three months ended March 31, 2023, which were partially offset by commercial loans for which principal was repaid prior to March 31, 2023.</w:t>
      </w:r>
    </w:p>
    <w:p>
      <w:pPr>
        <w:pStyle w:val="TextBody"/>
        <w:spacing w:before="0" w:after="0"/>
        <w:ind w:left="0" w:right="0" w:firstLine="490"/>
        <w:jc w:val="both"/>
        <w:rPr>
          <w:highlight w:val="yellow"/>
        </w:rPr>
      </w:pPr>
      <w:r>
        <w:rPr>
          <w:highlight w:val="yellow"/>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each of three months ended March 31, 2023 and 2022, operating income from real estate operations was $0.3 million on revenues totaling $0.4 million. Overall results were consistent although mitigation credit sales were higher during the three months ended March 31, 2023 which were offset by lower Subsurface Interest sales as compared to the same period in 2022.</w:t>
      </w:r>
    </w:p>
    <w:p>
      <w:pPr>
        <w:pStyle w:val="TextBody"/>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three months ended March 31, 2023 is presented in the following summary and indicates the changes as compared to the three months ended March 31, 2022 (in thousands):</w:t>
      </w:r>
    </w:p>
    <w:tbl>
      <w:tblPr>
        <w:tblW w:w="9774" w:type="dxa"/>
        <w:jc w:val="left"/>
        <w:tblInd w:w="0" w:type="dxa"/>
        <w:tblCellMar>
          <w:top w:w="0" w:type="dxa"/>
          <w:left w:w="0" w:type="dxa"/>
          <w:bottom w:w="0" w:type="dxa"/>
          <w:right w:w="0" w:type="dxa"/>
        </w:tblCellMar>
      </w:tblPr>
      <w:tblGrid>
        <w:gridCol w:w="4021"/>
        <w:gridCol w:w="326"/>
        <w:gridCol w:w="388"/>
        <w:gridCol w:w="1052"/>
        <w:gridCol w:w="122"/>
        <w:gridCol w:w="388"/>
        <w:gridCol w:w="1052"/>
        <w:gridCol w:w="109"/>
        <w:gridCol w:w="345"/>
        <w:gridCol w:w="691"/>
        <w:gridCol w:w="109"/>
        <w:gridCol w:w="1171"/>
      </w:tblGrid>
      <w:tr>
        <w:trPr/>
        <w:tc>
          <w:tcPr>
            <w:tcW w:w="4021" w:type="dxa"/>
            <w:tcBorders/>
            <w:shd w:fill="auto" w:val="clear"/>
            <w:vAlign w:val="center"/>
          </w:tcPr>
          <w:p>
            <w:pPr>
              <w:pStyle w:val="TableContents"/>
              <w:spacing w:before="1"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895"/>
                      <wp:effectExtent l="0" t="0" r="0" b="0"/>
                      <wp:wrapNone/>
                      <wp:docPr id="238" name="Frame238"/>
                      <a:graphic xmlns:a="http://schemas.openxmlformats.org/drawingml/2006/main">
                        <a:graphicData uri="http://schemas.microsoft.com/office/word/2010/wordprocessingShape">
                          <wps:wsp>
                            <wps:cNvSpPr txBox="1"/>
                            <wps:spPr>
                              <a:xfrm>
                                <a:off x="0" y="0"/>
                                <a:ext cx="20701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46380" cy="175895"/>
                      <wp:effectExtent l="0" t="0" r="0" b="0"/>
                      <wp:wrapNone/>
                      <wp:docPr id="239" name="Frame239"/>
                      <a:graphic xmlns:a="http://schemas.openxmlformats.org/drawingml/2006/main">
                        <a:graphicData uri="http://schemas.microsoft.com/office/word/2010/wordprocessingShape">
                          <wps:wsp>
                            <wps:cNvSpPr txBox="1"/>
                            <wps:spPr>
                              <a:xfrm>
                                <a:off x="0" y="0"/>
                                <a:ext cx="24638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8020" cy="175895"/>
                      <wp:effectExtent l="0" t="0" r="0" b="0"/>
                      <wp:wrapNone/>
                      <wp:docPr id="240" name="Frame240"/>
                      <a:graphic xmlns:a="http://schemas.openxmlformats.org/drawingml/2006/main">
                        <a:graphicData uri="http://schemas.microsoft.com/office/word/2010/wordprocessingShape">
                          <wps:wsp>
                            <wps:cNvSpPr txBox="1"/>
                            <wps:spPr>
                              <a:xfrm>
                                <a:off x="0" y="0"/>
                                <a:ext cx="66802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7470" cy="175895"/>
                      <wp:effectExtent l="0" t="0" r="0" b="0"/>
                      <wp:wrapNone/>
                      <wp:docPr id="241" name="Frame241"/>
                      <a:graphic xmlns:a="http://schemas.openxmlformats.org/drawingml/2006/main">
                        <a:graphicData uri="http://schemas.microsoft.com/office/word/2010/wordprocessingShape">
                          <wps:wsp>
                            <wps:cNvSpPr txBox="1"/>
                            <wps:spPr>
                              <a:xfrm>
                                <a:off x="0" y="0"/>
                                <a:ext cx="7747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46380" cy="175895"/>
                      <wp:effectExtent l="0" t="0" r="0" b="0"/>
                      <wp:wrapNone/>
                      <wp:docPr id="242" name="Frame242"/>
                      <a:graphic xmlns:a="http://schemas.openxmlformats.org/drawingml/2006/main">
                        <a:graphicData uri="http://schemas.microsoft.com/office/word/2010/wordprocessingShape">
                          <wps:wsp>
                            <wps:cNvSpPr txBox="1"/>
                            <wps:spPr>
                              <a:xfrm>
                                <a:off x="0" y="0"/>
                                <a:ext cx="24638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68020" cy="175895"/>
                      <wp:effectExtent l="0" t="0" r="0" b="0"/>
                      <wp:wrapNone/>
                      <wp:docPr id="243" name="Frame243"/>
                      <a:graphic xmlns:a="http://schemas.openxmlformats.org/drawingml/2006/main">
                        <a:graphicData uri="http://schemas.microsoft.com/office/word/2010/wordprocessingShape">
                          <wps:wsp>
                            <wps:cNvSpPr txBox="1"/>
                            <wps:spPr>
                              <a:xfrm>
                                <a:off x="0" y="0"/>
                                <a:ext cx="668020"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895"/>
                      <wp:effectExtent l="0" t="0" r="0" b="0"/>
                      <wp:wrapNone/>
                      <wp:docPr id="244" name="Frame244"/>
                      <a:graphic xmlns:a="http://schemas.openxmlformats.org/drawingml/2006/main">
                        <a:graphicData uri="http://schemas.microsoft.com/office/word/2010/wordprocessingShape">
                          <wps:wsp>
                            <wps:cNvSpPr txBox="1"/>
                            <wps:spPr>
                              <a:xfrm>
                                <a:off x="0" y="0"/>
                                <a:ext cx="69215"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3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075" cy="175895"/>
                      <wp:effectExtent l="0" t="0" r="0" b="0"/>
                      <wp:wrapNone/>
                      <wp:docPr id="245" name="Frame245"/>
                      <a:graphic xmlns:a="http://schemas.openxmlformats.org/drawingml/2006/main">
                        <a:graphicData uri="http://schemas.microsoft.com/office/word/2010/wordprocessingShape">
                          <wps:wsp>
                            <wps:cNvSpPr txBox="1"/>
                            <wps:spPr>
                              <a:xfrm>
                                <a:off x="0" y="0"/>
                                <a:ext cx="219075"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895"/>
                      <wp:effectExtent l="0" t="0" r="0" b="0"/>
                      <wp:wrapNone/>
                      <wp:docPr id="246" name="Frame246"/>
                      <a:graphic xmlns:a="http://schemas.openxmlformats.org/drawingml/2006/main">
                        <a:graphicData uri="http://schemas.microsoft.com/office/word/2010/wordprocessingShape">
                          <wps:wsp>
                            <wps:cNvSpPr txBox="1"/>
                            <wps:spPr>
                              <a:xfrm>
                                <a:off x="0" y="0"/>
                                <a:ext cx="438785"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895"/>
                      <wp:effectExtent l="0" t="0" r="0" b="0"/>
                      <wp:wrapNone/>
                      <wp:docPr id="247" name="Frame247"/>
                      <a:graphic xmlns:a="http://schemas.openxmlformats.org/drawingml/2006/main">
                        <a:graphicData uri="http://schemas.microsoft.com/office/word/2010/wordprocessingShape">
                          <wps:wsp>
                            <wps:cNvSpPr txBox="1"/>
                            <wps:spPr>
                              <a:xfrm>
                                <a:off x="0" y="0"/>
                                <a:ext cx="69215"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43585" cy="175895"/>
                      <wp:effectExtent l="0" t="0" r="0" b="0"/>
                      <wp:wrapNone/>
                      <wp:docPr id="248" name="Frame248"/>
                      <a:graphic xmlns:a="http://schemas.openxmlformats.org/drawingml/2006/main">
                        <a:graphicData uri="http://schemas.microsoft.com/office/word/2010/wordprocessingShape">
                          <wps:wsp>
                            <wps:cNvSpPr txBox="1"/>
                            <wps:spPr>
                              <a:xfrm>
                                <a:off x="0" y="0"/>
                                <a:ext cx="743585" cy="175895"/>
                              </a:xfrm>
                              <a:prstGeom prst="rect"/>
                            </wps:spPr>
                            <wps:txbx>
                              <w:txbxContent>
                                <w:p>
                                  <w:pPr>
                                    <w:pStyle w:val="TableContents"/>
                                    <w:spacing w:before="1"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 w:after="1"/>
                              <w:ind w:left="0" w:right="0" w:hanging="0"/>
                              <w:rPr/>
                            </w:pPr>
                            <w:r>
                              <w:rPr/>
                              <w:t>​</w:t>
                            </w:r>
                          </w:p>
                        </w:txbxContent>
                      </v:textbox>
                    </v:rect>
                  </w:pict>
                </mc:Fallback>
              </mc:AlternateContent>
            </w:r>
          </w:p>
        </w:tc>
      </w:tr>
      <w:tr>
        <w:trPr/>
        <w:tc>
          <w:tcPr>
            <w:tcW w:w="4021" w:type="dxa"/>
            <w:tcBorders/>
            <w:shd w:fill="auto" w:val="clear"/>
            <w:vAlign w:val="center"/>
          </w:tcPr>
          <w:p>
            <w:pPr>
              <w:pStyle w:val="TableContents"/>
              <w:spacing w:before="1" w:after="1"/>
              <w:ind w:left="0" w:right="0" w:hanging="0"/>
              <w:rPr/>
            </w:pPr>
            <w:r>
              <w:rPr/>
              <w:t>​</w:t>
            </w:r>
          </w:p>
        </w:tc>
        <w:tc>
          <w:tcPr>
            <w:tcW w:w="326" w:type="dxa"/>
            <w:tcBorders/>
            <w:shd w:fill="auto" w:val="clear"/>
            <w:vAlign w:val="center"/>
          </w:tcPr>
          <w:p>
            <w:pPr>
              <w:pStyle w:val="TableContents"/>
              <w:spacing w:before="1" w:after="1"/>
              <w:ind w:left="0" w:right="0" w:hanging="0"/>
              <w:rPr/>
            </w:pPr>
            <w:r>
              <w:rPr/>
              <w:t>​</w:t>
            </w:r>
          </w:p>
        </w:tc>
        <w:tc>
          <w:tcPr>
            <w:tcW w:w="3002" w:type="dxa"/>
            <w:gridSpan w:val="5"/>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shd w:fill="auto" w:val="clear"/>
            <w:vAlign w:val="center"/>
          </w:tcPr>
          <w:p>
            <w:pPr>
              <w:pStyle w:val="TableContents"/>
              <w:spacing w:before="1" w:after="1"/>
              <w:ind w:left="0" w:right="0" w:hanging="0"/>
              <w:rPr/>
            </w:pPr>
            <w:r>
              <w:rPr/>
              <w:t>​</w:t>
            </w:r>
          </w:p>
        </w:tc>
        <w:tc>
          <w:tcPr>
            <w:tcW w:w="1036" w:type="dxa"/>
            <w:gridSpan w:val="2"/>
            <w:tcBorders/>
            <w:shd w:fill="auto" w:val="clear"/>
            <w:vAlign w:val="center"/>
          </w:tcPr>
          <w:p>
            <w:pPr>
              <w:pStyle w:val="TableContents"/>
              <w:spacing w:before="1" w:after="1"/>
              <w:ind w:left="0" w:right="0" w:hanging="0"/>
              <w:jc w:val="center"/>
              <w:rPr/>
            </w:pPr>
            <w:r>
              <w:rPr/>
              <w:t>​</w:t>
            </w:r>
          </w:p>
        </w:tc>
        <w:tc>
          <w:tcPr>
            <w:tcW w:w="109" w:type="dxa"/>
            <w:tcBorders/>
            <w:shd w:fill="auto" w:val="clear"/>
            <w:vAlign w:val="center"/>
          </w:tcPr>
          <w:p>
            <w:pPr>
              <w:pStyle w:val="TableContents"/>
              <w:spacing w:before="1" w:after="1"/>
              <w:ind w:left="0" w:right="0" w:hanging="0"/>
              <w:rPr/>
            </w:pPr>
            <w:r>
              <w:rPr/>
              <w:t>​</w:t>
            </w:r>
          </w:p>
        </w:tc>
        <w:tc>
          <w:tcPr>
            <w:tcW w:w="1171" w:type="dxa"/>
            <w:tcBorders/>
            <w:shd w:fill="auto" w:val="clear"/>
            <w:vAlign w:val="center"/>
          </w:tcPr>
          <w:p>
            <w:pPr>
              <w:pStyle w:val="TableContents"/>
              <w:spacing w:before="1" w:after="1"/>
              <w:ind w:left="0" w:right="0" w:hanging="0"/>
              <w:rPr/>
            </w:pPr>
            <w:r>
              <w:rPr/>
              <w:t>​</w:t>
            </w:r>
          </w:p>
        </w:tc>
      </w:tr>
      <w:tr>
        <w:trPr/>
        <w:tc>
          <w:tcPr>
            <w:tcW w:w="4021" w:type="dxa"/>
            <w:tcBorders>
              <w:bottom w:val="single" w:sz="2" w:space="0" w:color="000000"/>
            </w:tcBorders>
            <w:shd w:fill="auto" w:val="clear"/>
            <w:tcMar>
              <w:bottom w:w="28" w:type="dxa"/>
            </w:tcMar>
            <w:vAlign w:val="center"/>
          </w:tcPr>
          <w:p>
            <w:pPr>
              <w:pStyle w:val="TableContents"/>
              <w:spacing w:before="1" w:after="1"/>
              <w:ind w:left="0" w:right="0" w:hanging="0"/>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shd w:fill="auto" w:val="clear"/>
            <w:vAlign w:val="center"/>
          </w:tcPr>
          <w:p>
            <w:pPr>
              <w:pStyle w:val="TableContents"/>
              <w:spacing w:before="1" w:after="1"/>
              <w:ind w:left="0" w:right="0" w:hanging="0"/>
              <w:rPr/>
            </w:pPr>
            <w:r>
              <w:rPr/>
              <w:t>    </w:t>
            </w:r>
          </w:p>
        </w:tc>
        <w:tc>
          <w:tcPr>
            <w:tcW w:w="1440" w:type="dxa"/>
            <w:gridSpan w:val="2"/>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22" w:type="dxa"/>
            <w:tcBorders/>
            <w:shd w:fill="auto" w:val="clear"/>
            <w:vAlign w:val="center"/>
          </w:tcPr>
          <w:p>
            <w:pPr>
              <w:pStyle w:val="TableContents"/>
              <w:spacing w:before="1" w:after="1"/>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March 31, 2022</w:t>
            </w:r>
          </w:p>
        </w:tc>
        <w:tc>
          <w:tcPr>
            <w:tcW w:w="109" w:type="dxa"/>
            <w:tcBorders/>
            <w:shd w:fill="auto" w:val="clear"/>
            <w:vAlign w:val="center"/>
          </w:tcPr>
          <w:p>
            <w:pPr>
              <w:pStyle w:val="TableContents"/>
              <w:spacing w:before="1" w:after="1"/>
              <w:ind w:left="0" w:right="0" w:hanging="0"/>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shd w:fill="auto" w:val="clear"/>
            <w:vAlign w:val="center"/>
          </w:tcPr>
          <w:p>
            <w:pPr>
              <w:pStyle w:val="TableContents"/>
              <w:spacing w:before="1" w:after="1"/>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1"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spacing w:before="1" w:after="1"/>
              <w:ind w:left="0" w:right="0" w:hanging="0"/>
              <w:rPr/>
            </w:pPr>
            <w:r>
              <w:rPr/>
              <w:t>​</w:t>
            </w:r>
          </w:p>
        </w:tc>
        <w:tc>
          <w:tcPr>
            <w:tcW w:w="388"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2,655</w:t>
            </w:r>
          </w:p>
        </w:tc>
        <w:tc>
          <w:tcPr>
            <w:tcW w:w="122" w:type="dxa"/>
            <w:tcBorders/>
            <w:shd w:fill="CCEEFF" w:val="clear"/>
            <w:vAlign w:val="center"/>
          </w:tcPr>
          <w:p>
            <w:pPr>
              <w:pStyle w:val="TableContents"/>
              <w:spacing w:before="1" w:after="1"/>
              <w:ind w:left="0" w:right="0" w:hanging="0"/>
              <w:rPr/>
            </w:pPr>
            <w:r>
              <w:rPr/>
              <w:t>​</w:t>
            </w:r>
          </w:p>
        </w:tc>
        <w:tc>
          <w:tcPr>
            <w:tcW w:w="388"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shd w:fill="CCEEFF" w:val="clear"/>
            <w:vAlign w:val="center"/>
          </w:tcPr>
          <w:p>
            <w:pPr>
              <w:pStyle w:val="TableContents"/>
              <w:spacing w:before="1" w:after="1"/>
              <w:ind w:left="0" w:right="0" w:hanging="0"/>
              <w:rPr/>
            </w:pPr>
            <w:r>
              <w:rPr/>
              <w:t>​</w:t>
            </w:r>
          </w:p>
        </w:tc>
        <w:tc>
          <w:tcPr>
            <w:tcW w:w="345"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09" w:type="dxa"/>
            <w:tcBorders/>
            <w:shd w:fill="CCEEFF" w:val="clear"/>
            <w:vAlign w:val="center"/>
          </w:tcPr>
          <w:p>
            <w:pPr>
              <w:pStyle w:val="TableContents"/>
              <w:spacing w:before="1" w:after="1"/>
              <w:ind w:left="0" w:right="0" w:hanging="0"/>
              <w:rPr/>
            </w:pPr>
            <w:r>
              <w:rPr/>
              <w:t>​</w:t>
            </w:r>
          </w:p>
        </w:tc>
        <w:tc>
          <w:tcPr>
            <w:tcW w:w="1171" w:type="dxa"/>
            <w:tcBorders/>
            <w:shd w:fill="CCEEFF" w:val="cle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4021" w:type="dxa"/>
            <w:tcBorders/>
            <w:shd w:fill="auto"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shd w:fill="auto" w:val="clear"/>
            <w:vAlign w:val="center"/>
          </w:tcPr>
          <w:p>
            <w:pPr>
              <w:pStyle w:val="TableContents"/>
              <w:spacing w:before="1" w:after="1"/>
              <w:ind w:left="0" w:right="0" w:hanging="0"/>
              <w:rPr/>
            </w:pPr>
            <w:r>
              <w:rPr/>
              <w:t>​</w:t>
            </w:r>
          </w:p>
        </w:tc>
        <w:tc>
          <w:tcPr>
            <w:tcW w:w="388" w:type="dxa"/>
            <w:tcBorders>
              <w:bottom w:val="single" w:sz="2" w:space="0" w:color="000000"/>
            </w:tcBorders>
            <w:shd w:fill="auto" w:val="clear"/>
            <w:tcMar>
              <w:bottom w:w="28" w:type="dxa"/>
            </w:tcMar>
            <w:vAlign w:val="center"/>
          </w:tcPr>
          <w:p>
            <w:pPr>
              <w:pStyle w:val="TableContents"/>
              <w:spacing w:before="1" w:after="1"/>
              <w:ind w:left="0" w:right="0" w:hanging="0"/>
              <w:rPr/>
            </w:pPr>
            <w:r>
              <w:rPr/>
              <w:t>​</w:t>
            </w:r>
          </w:p>
        </w:tc>
        <w:tc>
          <w:tcPr>
            <w:tcW w:w="1052" w:type="dxa"/>
            <w:tcBorders>
              <w:bottom w:val="single" w:sz="2" w:space="0" w:color="000000"/>
            </w:tcBorders>
            <w:shd w:fill="auto"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122" w:type="dxa"/>
            <w:tcBorders/>
            <w:shd w:fill="auto" w:val="clear"/>
            <w:vAlign w:val="center"/>
          </w:tcPr>
          <w:p>
            <w:pPr>
              <w:pStyle w:val="TableContents"/>
              <w:spacing w:before="1" w:after="1"/>
              <w:ind w:left="0" w:right="0" w:hanging="0"/>
              <w:rPr/>
            </w:pPr>
            <w:r>
              <w:rPr/>
              <w:t>​</w:t>
            </w:r>
          </w:p>
        </w:tc>
        <w:tc>
          <w:tcPr>
            <w:tcW w:w="388" w:type="dxa"/>
            <w:tcBorders>
              <w:bottom w:val="single" w:sz="2" w:space="0" w:color="000000"/>
            </w:tcBorders>
            <w:shd w:fill="auto" w:val="clear"/>
            <w:tcMar>
              <w:bottom w:w="28" w:type="dxa"/>
            </w:tcMar>
            <w:vAlign w:val="center"/>
          </w:tcPr>
          <w:p>
            <w:pPr>
              <w:pStyle w:val="TableContents"/>
              <w:spacing w:before="1" w:after="1"/>
              <w:ind w:left="0" w:right="0" w:hanging="0"/>
              <w:rPr/>
            </w:pPr>
            <w:r>
              <w:rPr/>
              <w:t>​</w:t>
            </w:r>
          </w:p>
        </w:tc>
        <w:tc>
          <w:tcPr>
            <w:tcW w:w="1052" w:type="dxa"/>
            <w:tcBorders>
              <w:bottom w:val="single" w:sz="2" w:space="0" w:color="000000"/>
            </w:tcBorders>
            <w:shd w:fill="auto"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109" w:type="dxa"/>
            <w:tcBorders/>
            <w:shd w:fill="auto" w:val="clear"/>
            <w:vAlign w:val="center"/>
          </w:tcPr>
          <w:p>
            <w:pPr>
              <w:pStyle w:val="TableContents"/>
              <w:spacing w:before="1" w:after="1"/>
              <w:ind w:left="0" w:right="0" w:hanging="0"/>
              <w:rPr/>
            </w:pPr>
            <w:r>
              <w:rPr/>
              <w:t>​</w:t>
            </w:r>
          </w:p>
        </w:tc>
        <w:tc>
          <w:tcPr>
            <w:tcW w:w="345" w:type="dxa"/>
            <w:tcBorders>
              <w:bottom w:val="single" w:sz="2" w:space="0" w:color="000000"/>
            </w:tcBorders>
            <w:shd w:fill="auto" w:val="clear"/>
            <w:tcMar>
              <w:bottom w:w="28" w:type="dxa"/>
            </w:tcMar>
            <w:vAlign w:val="center"/>
          </w:tcPr>
          <w:p>
            <w:pPr>
              <w:pStyle w:val="TableContents"/>
              <w:spacing w:before="1"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shd w:fill="auto" w:val="clear"/>
            <w:vAlign w:val="center"/>
          </w:tcPr>
          <w:p>
            <w:pPr>
              <w:pStyle w:val="TableContents"/>
              <w:spacing w:before="1"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021" w:type="dxa"/>
            <w:tcBorders/>
            <w:shd w:fill="CCEEFF" w:val="cle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spacing w:before="1" w:after="1"/>
              <w:ind w:left="0" w:right="0" w:hanging="0"/>
              <w:rPr/>
            </w:pPr>
            <w:r>
              <w:rPr/>
              <w:t>​</w:t>
            </w:r>
          </w:p>
        </w:tc>
        <w:tc>
          <w:tcPr>
            <w:tcW w:w="388" w:type="dxa"/>
            <w:tcBorders>
              <w:bottom w:val="double" w:sz="6" w:space="0" w:color="000000"/>
            </w:tcBorders>
            <w:shd w:fill="CCEEFF" w:val="clear"/>
            <w:tcMar>
              <w:bottom w:w="28" w:type="dxa"/>
            </w:tcM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3,727</w:t>
            </w:r>
          </w:p>
        </w:tc>
        <w:tc>
          <w:tcPr>
            <w:tcW w:w="122" w:type="dxa"/>
            <w:tcBorders/>
            <w:shd w:fill="CCEEFF" w:val="clear"/>
            <w:vAlign w:val="center"/>
          </w:tcPr>
          <w:p>
            <w:pPr>
              <w:pStyle w:val="TableContents"/>
              <w:spacing w:before="1" w:after="1"/>
              <w:ind w:left="0" w:right="0" w:hanging="0"/>
              <w:rPr/>
            </w:pPr>
            <w:r>
              <w:rPr/>
              <w:t>​</w:t>
            </w:r>
          </w:p>
        </w:tc>
        <w:tc>
          <w:tcPr>
            <w:tcW w:w="388" w:type="dxa"/>
            <w:tcBorders>
              <w:bottom w:val="double" w:sz="6" w:space="0" w:color="000000"/>
            </w:tcBorders>
            <w:shd w:fill="CCEEFF" w:val="clear"/>
            <w:tcMar>
              <w:bottom w:w="28" w:type="dxa"/>
            </w:tcM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3,043</w:t>
            </w:r>
          </w:p>
        </w:tc>
        <w:tc>
          <w:tcPr>
            <w:tcW w:w="109" w:type="dxa"/>
            <w:tcBorders/>
            <w:shd w:fill="CCEEFF" w:val="clear"/>
            <w:vAlign w:val="center"/>
          </w:tcPr>
          <w:p>
            <w:pPr>
              <w:pStyle w:val="TableContents"/>
              <w:spacing w:before="1" w:after="1"/>
              <w:ind w:left="0" w:right="0" w:hanging="0"/>
              <w:rPr/>
            </w:pPr>
            <w:r>
              <w:rPr/>
              <w:t>​</w:t>
            </w:r>
          </w:p>
        </w:tc>
        <w:tc>
          <w:tcPr>
            <w:tcW w:w="345" w:type="dxa"/>
            <w:tcBorders>
              <w:bottom w:val="double" w:sz="6" w:space="0" w:color="000000"/>
            </w:tcBorders>
            <w:shd w:fill="CCEEFF" w:val="clear"/>
            <w:tcMar>
              <w:bottom w:w="28" w:type="dxa"/>
            </w:tcMar>
            <w:vAlign w:val="center"/>
          </w:tcPr>
          <w:p>
            <w:pPr>
              <w:pStyle w:val="TableContents"/>
              <w:spacing w:before="1"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1"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109" w:type="dxa"/>
            <w:tcBorders/>
            <w:shd w:fill="CCEEFF" w:val="clear"/>
            <w:vAlign w:val="center"/>
          </w:tcPr>
          <w:p>
            <w:pPr>
              <w:pStyle w:val="TableContents"/>
              <w:spacing w:before="1" w:after="1"/>
              <w:ind w:left="0" w:right="0" w:hanging="0"/>
              <w:rPr/>
            </w:pPr>
            <w:r>
              <w:rPr/>
              <w:t>​</w:t>
            </w:r>
          </w:p>
        </w:tc>
        <w:tc>
          <w:tcPr>
            <w:tcW w:w="1171" w:type="dxa"/>
            <w:tcBorders>
              <w:bottom w:val="double" w:sz="6" w:space="0" w:color="000000"/>
            </w:tcBorders>
            <w:shd w:fill="CCEEFF" w:val="clear"/>
            <w:tcMar>
              <w:bottom w:w="28" w:type="dxa"/>
            </w:tcMar>
            <w:vAlign w:val="center"/>
          </w:tcPr>
          <w:p>
            <w:pPr>
              <w:pStyle w:val="TableContents"/>
              <w:spacing w:before="1" w:after="1"/>
              <w:ind w:left="0" w:right="72" w:hanging="0"/>
              <w:jc w:val="right"/>
              <w:rPr>
                <w:rFonts w:ascii="Times New Roman;Times;serif" w:hAnsi="Times New Roman;Times;serif"/>
                <w:sz w:val="20"/>
              </w:rPr>
            </w:pPr>
            <w:r>
              <w:rPr>
                <w:rFonts w:ascii="Times New Roman;Times;serif" w:hAnsi="Times New Roman;Times;serif"/>
                <w:sz w:val="20"/>
              </w:rPr>
              <w:t>22.5%</w:t>
            </w:r>
          </w:p>
        </w:tc>
      </w:tr>
    </w:tbl>
    <w:p>
      <w:pPr>
        <w:pStyle w:val="TextBody"/>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The overall reason for the increase in total general and administrative expenses is the overall higher employee count as a result of the increased operating activity from the significant increase in managed income property assets.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spacing w:before="100" w:after="100"/>
        <w:ind w:left="0" w:right="0" w:firstLine="36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$10.3 million and $6.4 million during the three months ended March 31, 2023  and 2022, respectively. The increase of $3.9 million is due to the overall growth in the Company’s income property portfolio.</w:t>
      </w:r>
    </w:p>
    <w:p>
      <w:pPr>
        <w:pStyle w:val="TextBody"/>
        <w:spacing w:before="100" w:after="10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Loss on Disposition of Assets and Provision for Impairment </w:t>
      </w:r>
    </w:p>
    <w:p>
      <w:pPr>
        <w:pStyle w:val="TextBody"/>
        <w:shd w:fill="FFFFFF" w:val="clear"/>
        <w:spacing w:before="0" w:after="0"/>
        <w:ind w:left="0" w:right="0" w:firstLine="49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There were no income property dispositions during the three months ended March 31, 2023</w:t>
      </w:r>
      <w:r>
        <w:rPr>
          <w:rFonts w:ascii="Times New Roman;Times;serif" w:hAnsi="Times New Roman;Times;serif"/>
          <w:i/>
          <w:sz w:val="20"/>
        </w:rPr>
        <w:t>.</w:t>
      </w:r>
      <w:r>
        <w:rPr>
          <w:rFonts w:ascii="Times New Roman;Times;serif" w:hAnsi="Times New Roman;Times;serif"/>
          <w:sz w:val="20"/>
        </w:rPr>
        <w:t xml:space="preserve"> During the three months ended March 31, 2022, the Company sold two income properties, including (i) Party City, a single-tenant income property located in Oceanside, New York for $6.9 million resulting in a $0.06 million loss and (ii) the Carpenter Hotel ground lease, a single-tenant income property located in Austin, Texas for $17.1 million resulting in a $0.2 million loss. The lease with Carpenter Hotel included two tenant repurchase options. Pursuant to FASB ASC Topic 842, Leases, the $16.25 million investment was recorded in the accompanying consolidated balance sheets as a commercial loan and investment prior to its disposition during the three months ended March 31, 2022. The sale of the properties reflect a total disposition volume of $24.0 million, resulting in aggregate losses of $0.2 million.</w:t>
      </w:r>
    </w:p>
    <w:p>
      <w:pPr>
        <w:pStyle w:val="TextBody"/>
        <w:spacing w:before="0" w:after="0"/>
        <w:ind w:left="0" w:right="0" w:hanging="0"/>
        <w:rPr>
          <w:highlight w:val="yellow"/>
        </w:rPr>
      </w:pPr>
      <w:r>
        <w:rPr>
          <w:highlight w:val="yellow"/>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highlight w:val="white"/>
        </w:rPr>
        <w:t xml:space="preserve"> There were no impairment charges on the Company’s income property portfolio during the three months ended </w:t>
      </w:r>
      <w:r>
        <w:rPr>
          <w:rFonts w:ascii="Times New Roman;Times;serif" w:hAnsi="Times New Roman;Times;serif"/>
          <w:sz w:val="20"/>
        </w:rPr>
        <w:t xml:space="preserve">March 31, 2023 </w:t>
      </w:r>
      <w:r>
        <w:rPr>
          <w:rFonts w:ascii="Times New Roman;Times;serif" w:hAnsi="Times New Roman;Times;serif"/>
          <w:sz w:val="20"/>
          <w:highlight w:val="white"/>
        </w:rPr>
        <w:t xml:space="preserve">and 2022. The Company </w:t>
      </w:r>
      <w:r>
        <w:rPr>
          <w:rFonts w:ascii="Times New Roman;Times;serif" w:hAnsi="Times New Roman;Times;serif"/>
          <w:sz w:val="20"/>
        </w:rPr>
        <w:t xml:space="preserve">recorded </w:t>
      </w:r>
      <w:r>
        <w:rPr>
          <w:rFonts w:ascii="Times New Roman;Times;serif" w:hAnsi="Times New Roman;Times;serif"/>
          <w:sz w:val="20"/>
          <w:highlight w:val="white"/>
        </w:rPr>
        <w:t xml:space="preserve">a $0.5 million impairment charge representing the provision for credit losses related to our commercial loans and investments, </w:t>
      </w:r>
      <w:r>
        <w:rPr>
          <w:rFonts w:ascii="Times New Roman;Times;serif" w:hAnsi="Times New Roman;Times;serif"/>
          <w:sz w:val="20"/>
        </w:rPr>
        <w:t>during the three months ended March 31, 2023</w:t>
      </w:r>
      <w:r>
        <w:rPr>
          <w:rFonts w:ascii="Times New Roman;Times;serif" w:hAnsi="Times New Roman;Times;serif"/>
          <w:sz w:val="20"/>
          <w:highlight w:val="white"/>
        </w:rPr>
        <w:t>, with no such impairment charges during the three months ended March 31, 2022.</w:t>
      </w:r>
    </w:p>
    <w:p>
      <w:pPr>
        <w:pStyle w:val="TextBody"/>
        <w:spacing w:before="0" w:after="0"/>
        <w:ind w:left="0" w:right="0" w:firstLine="490"/>
        <w:jc w:val="both"/>
        <w:rPr>
          <w:highlight w:val="yellow"/>
        </w:rPr>
      </w:pPr>
      <w:r>
        <w:rPr>
          <w:highlight w:val="yellow"/>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Loss</w:t>
      </w:r>
    </w:p>
    <w:p>
      <w:pPr>
        <w:pStyle w:val="TextBody"/>
        <w:spacing w:before="100" w:after="10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2023, the closing stock price of PINE decreased by $2.25 per share, with a closing price of $16.83 on March 31, 2023. </w:t>
      </w:r>
      <w:r>
        <w:rPr>
          <w:rFonts w:ascii="Times New Roman;Times;serif" w:hAnsi="Times New Roman;Times;serif"/>
          <w:sz w:val="20"/>
          <w:highlight w:val="white"/>
        </w:rPr>
        <w:t xml:space="preserve">During the three months ended </w:t>
      </w:r>
      <w:r>
        <w:rPr>
          <w:rFonts w:ascii="Times New Roman;Times;serif" w:hAnsi="Times New Roman;Times;serif"/>
          <w:sz w:val="20"/>
        </w:rPr>
        <w:t>March 31, 2022</w:t>
      </w:r>
      <w:r>
        <w:rPr>
          <w:rFonts w:ascii="Times New Roman;Times;serif" w:hAnsi="Times New Roman;Times;serif"/>
          <w:sz w:val="20"/>
          <w:highlight w:val="white"/>
        </w:rPr>
        <w:t xml:space="preserve">, the closing stock price of PINE decreased by $1.24 per share, with a closing price of $18.80 on </w:t>
      </w:r>
      <w:r>
        <w:rPr>
          <w:rFonts w:ascii="Times New Roman;Times;serif" w:hAnsi="Times New Roman;Times;serif"/>
          <w:sz w:val="20"/>
        </w:rPr>
        <w:t>March 31, 2022</w:t>
      </w:r>
      <w:r>
        <w:rPr>
          <w:rFonts w:ascii="Times New Roman;Times;serif" w:hAnsi="Times New Roman;Times;serif"/>
          <w:sz w:val="20"/>
          <w:highlight w:val="white"/>
        </w:rPr>
        <w:t xml:space="preserve">. </w:t>
      </w:r>
      <w:r>
        <w:rPr>
          <w:rFonts w:ascii="Times New Roman;Times;serif" w:hAnsi="Times New Roman;Times;serif"/>
          <w:sz w:val="20"/>
        </w:rPr>
        <w:t>The change in stock price resulted in unrealized, non-cash losses on the Company’s investment in PINE of $4.9 million and $2.5 million which is included in investment and other loss in the consolidated statements of operations for the three months ended March 31, 2023 and 2022, respectively.</w:t>
      </w:r>
    </w:p>
    <w:p>
      <w:pPr>
        <w:pStyle w:val="TextBody"/>
        <w:spacing w:before="0" w:after="0"/>
        <w:ind w:left="0" w:right="0" w:firstLine="490"/>
        <w:jc w:val="both"/>
        <w:rPr>
          <w:highlight w:val="yellow"/>
        </w:rPr>
      </w:pPr>
      <w:r>
        <w:rPr>
          <w:highlight w:val="yellow"/>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$0.6 million during each of the three months ended March 31, 2023 and 2022, respectively.</w:t>
      </w:r>
    </w:p>
    <w:p>
      <w:pPr>
        <w:pStyle w:val="TextBody"/>
        <w:spacing w:before="0" w:after="0"/>
        <w:ind w:left="0" w:right="0" w:firstLine="490"/>
        <w:jc w:val="both"/>
        <w:rPr>
          <w:highlight w:val="yellow"/>
        </w:rPr>
      </w:pPr>
      <w:r>
        <w:rPr>
          <w:highlight w:val="yellow"/>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spacing w:before="100" w:after="100"/>
        <w:ind w:left="0" w:right="0" w:hanging="0"/>
        <w:jc w:val="both"/>
        <w:rPr>
          <w:highlight w:val="yellow"/>
        </w:rPr>
      </w:pPr>
      <w:r>
        <w:rPr>
          <w:highlight w:val="yellow"/>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expense totaled $4.6 million and $1.9 million for the three months ended March 31, 2023 and 2022, respectively. The increase of $2.7 million resulted primarily from (i) the higher balance outstanding on the Company’s Credit Facility as well as the </w:t>
      </w:r>
      <w:r>
        <w:rPr>
          <w:rFonts w:ascii="Times New Roman;Times;serif" w:hAnsi="Times New Roman;Times;serif"/>
          <w:sz w:val="20"/>
          <w:highlight w:val="white"/>
        </w:rPr>
        <w:t xml:space="preserve">increase in the variable interest rate under the Credit Facility during the three months ended </w:t>
      </w:r>
      <w:r>
        <w:rPr>
          <w:rFonts w:ascii="Times New Roman;Times;serif" w:hAnsi="Times New Roman;Times;serif"/>
          <w:sz w:val="20"/>
        </w:rPr>
        <w:t xml:space="preserve">March 31, 2023 </w:t>
      </w:r>
      <w:r>
        <w:rPr>
          <w:rFonts w:ascii="Times New Roman;Times;serif" w:hAnsi="Times New Roman;Times;serif"/>
          <w:sz w:val="20"/>
          <w:highlight w:val="white"/>
        </w:rPr>
        <w:t xml:space="preserve">prior to fixing the rate on $100.0 million of outstanding principal effective January 31, 2023, </w:t>
      </w:r>
      <w:r>
        <w:rPr>
          <w:rFonts w:ascii="Times New Roman;Times;serif" w:hAnsi="Times New Roman;Times;serif"/>
          <w:sz w:val="20"/>
        </w:rPr>
        <w:t>(ii) the increase in debt related to the $17.8 million mortgage loan assumed in connection with the acquisition of Price Plaza, and (iii) the increase in debt related to the $100.0 million 2028 Term Loan.</w:t>
      </w:r>
    </w:p>
    <w:p>
      <w:pPr>
        <w:pStyle w:val="TextBody"/>
        <w:spacing w:before="0" w:after="0"/>
        <w:ind w:left="0" w:right="0" w:firstLine="490"/>
        <w:jc w:val="both"/>
        <w:rPr>
          <w:highlight w:val="yellow"/>
        </w:rPr>
      </w:pPr>
      <w:r>
        <w:rPr>
          <w:highlight w:val="yellow"/>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Net loss attributable to the Company totaled $6.0 million during the three months ended March 31, 2023 as compared to $0.2 million of net income during the three months ended March 31, 2022. The $6.2 million decrease in net income is attributable to the factors described above, and most notably the increases in non-cash depreciation and amortization, non-cash unrealized loss on the investment PINE, and interest expense, which are partially offset by increases in the operating income generated by the income property portfolio operations.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100" w:after="10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totaled $7.0 million at March 31, 2023, while restricted cash totaled $1.6 million, see Note 2, “Summary of Significant Accounting Policies” under the heading Restricted Cash for the Company’s disclosure related to its restricted cash balance at March 31, 2023.</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operating activities totaled $9.3 million during the three months ended March 31, 2023, as compared to $11.4 million during the three months ended March 31, 2022, a decrease of $2.1 million. The primary reason for the decrease is related to the $3.2 million increase in cash paid for interest expense as the result of higher overall debt balances and rising variable interest rates on the un-hedged portion of debt. The increase in interest expense was partially offset by the increase in the cash flows </w:t>
      </w:r>
      <w:r>
        <w:rPr>
          <w:rFonts w:ascii="Times New Roman;Times;serif" w:hAnsi="Times New Roman;Times;serif"/>
          <w:sz w:val="20"/>
          <w:highlight w:val="white"/>
        </w:rPr>
        <w:t xml:space="preserve">provided by income properties, which is the result of the </w:t>
      </w:r>
      <w:r>
        <w:rPr>
          <w:rFonts w:ascii="Times New Roman;Times;serif" w:hAnsi="Times New Roman;Times;serif"/>
          <w:sz w:val="20"/>
        </w:rPr>
        <w:t>overall growth of the Company’s income property portfolio.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used in investing activities totaled $25.6 million during the three months ended March 31, 2023, compared to no net cash outflows during the three months ended March 31, 2022, an increase in cash outflows of $25.6 million. The increase in cash used in investing activities </w:t>
      </w:r>
      <w:r>
        <w:rPr>
          <w:rFonts w:ascii="Times New Roman;Times;serif" w:hAnsi="Times New Roman;Times;serif"/>
          <w:sz w:val="20"/>
          <w:highlight w:val="white"/>
        </w:rPr>
        <w:t xml:space="preserve">is primarily the result of $23.5 million less in proceeds from income property dispositions and principal payments received on commercial loan investments during the three months ended </w:t>
      </w:r>
      <w:r>
        <w:rPr>
          <w:rFonts w:ascii="Times New Roman;Times;serif" w:hAnsi="Times New Roman;Times;serif"/>
          <w:sz w:val="20"/>
        </w:rPr>
        <w:t xml:space="preserve">March 31, 2023 </w:t>
      </w:r>
      <w:r>
        <w:rPr>
          <w:rFonts w:ascii="Times New Roman;Times;serif" w:hAnsi="Times New Roman;Times;serif"/>
          <w:sz w:val="20"/>
          <w:highlight w:val="white"/>
        </w:rPr>
        <w:t xml:space="preserve">as compared to the same period in 2022. </w:t>
      </w:r>
    </w:p>
    <w:p>
      <w:pPr>
        <w:pStyle w:val="TextBody"/>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financing activities totaled $3.7 million for the three months ended March 31, 2023, compared to cash flows used in financing activities of $6.9 million for the three months ended March 31, 2022, an increase in cash inflows of $10.6 million. The increase is primarily related to a $20.4 million increase in cash inflows provided by net debt activity offset by (i) an increase in cash outflows of $5.0 million related to repurchases of the Company’s common stock, (ii) a decrease in cash inflows </w:t>
      </w:r>
      <w:r>
        <w:rPr>
          <w:rFonts w:ascii="Times New Roman;Times;serif" w:hAnsi="Times New Roman;Times;serif"/>
          <w:sz w:val="20"/>
          <w:highlight w:val="white"/>
        </w:rPr>
        <w:t>of $2.9 million due to proceeds from the sale of shares of Company common stock during the three months ended March 31, 2022 with no such activity during the three months ended March 31, 2023, and (iii) an increase in cash outflows of $2.2 million related to the dividend paid on common stock as a result of the increased common stock outstanding as well as the increased dividend per share.</w:t>
      </w:r>
    </w:p>
    <w:p>
      <w:pPr>
        <w:pStyle w:val="TextBody"/>
        <w:spacing w:before="0" w:after="0"/>
        <w:ind w:left="0" w:right="0" w:firstLine="547"/>
        <w:jc w:val="both"/>
        <w:rPr>
          <w:highlight w:val="yellow"/>
        </w:rPr>
      </w:pPr>
      <w:r>
        <w:rPr>
          <w:highlight w:val="yellow"/>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At March 31, 2023, the current commitment level under the Credit Facility was $300.0 million. The undrawn commitment under the Credit Facility totaled $166.8 million. As of March 31, 2023, the Credit Facility had a $133.2 million balance outstanding. See Note 15, “Long-Term Debt” for the Company’s disclosure related to its long-term debt balance at March 31, 2023.</w:t>
      </w:r>
    </w:p>
    <w:p>
      <w:pPr>
        <w:pStyle w:val="TextBody"/>
        <w:spacing w:before="0" w:after="0"/>
        <w:ind w:left="0" w:right="0" w:firstLine="547"/>
        <w:jc w:val="both"/>
        <w:rPr>
          <w:highlight w:val="yellow"/>
        </w:rPr>
      </w:pPr>
      <w:r>
        <w:rPr>
          <w:highlight w:val="yellow"/>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On February 24, 2023, the Company acquired one 6,000 square foot property within the 28,100 square foot retail portion of Phase II of The Exchange at Gwinnett located in Buford, Georgia (the “Gwinnett Property”), for a purchase price of $3.3 million. The 6,000 square foot building is leased to one tenant with 9.8 years remaining on the lease at acquisition. The Company is under contract to acquire the remaining properties that make up the retail portion of Phase II of The Exchange at Gwinnett for a purchase price of $13.8 million. The Company previously purchased the Sprouts-anchored Phase I portion of The Exchange at Gwinnett in December 2021. The Company also originated one structured investment to provide $15.0 million of funding towards the acquisition of Founders Square</w:t>
      </w:r>
      <w:r>
        <w:rPr>
          <w:rFonts w:ascii="Times New Roman;Times;serif" w:hAnsi="Times New Roman;Times;serif"/>
          <w:color w:val="707070"/>
          <w:sz w:val="20"/>
          <w:highlight w:val="white"/>
        </w:rPr>
        <w:t xml:space="preserve"> </w:t>
      </w:r>
      <w:r>
        <w:rPr>
          <w:rFonts w:ascii="Times New Roman;Times;serif" w:hAnsi="Times New Roman;Times;serif"/>
          <w:sz w:val="20"/>
        </w:rPr>
        <w:t>in Dallas, Texas.</w:t>
      </w:r>
    </w:p>
    <w:p>
      <w:pPr>
        <w:pStyle w:val="TextBody"/>
        <w:spacing w:before="0" w:after="0"/>
        <w:ind w:left="0" w:right="0" w:firstLine="547"/>
        <w:jc w:val="both"/>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Company’s guidance for 2023 investments in income-producing properties, including structured investments, ranges from $100.0 million to $200.0 million. </w:t>
      </w:r>
      <w:r>
        <w:rPr>
          <w:rFonts w:ascii="Times New Roman;Times;serif" w:hAnsi="Times New Roman;Times;serif"/>
          <w:sz w:val="20"/>
          <w:highlight w:val="white"/>
        </w:rPr>
        <w:t>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pStyle w:val="TextBody"/>
        <w:spacing w:before="0" w:after="0"/>
        <w:ind w:left="0" w:right="0" w:firstLine="547"/>
        <w:jc w:val="both"/>
        <w:rPr/>
      </w:pPr>
      <w:r>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There were no income property dispositions during the three months ended March 31, 2023. </w:t>
      </w:r>
    </w:p>
    <w:p>
      <w:pPr>
        <w:pStyle w:val="TextBody"/>
        <w:spacing w:before="0" w:after="0"/>
        <w:ind w:left="0" w:right="0" w:firstLine="547"/>
        <w:jc w:val="both"/>
        <w:rPr>
          <w:highlight w:val="yellow"/>
        </w:rPr>
      </w:pPr>
      <w:r>
        <w:rPr>
          <w:highlight w:val="yellow"/>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i/>
          <w:sz w:val="20"/>
        </w:rPr>
        <w:t>ATM Program</w:t>
      </w:r>
      <w:r>
        <w:rPr>
          <w:rFonts w:ascii="Times New Roman;Times;serif" w:hAnsi="Times New Roman;Times;serif"/>
          <w:sz w:val="20"/>
        </w:rPr>
        <w:t>.  The Company was not active under the 2022 ATM Program during the three months ended March 31, 2023.</w:t>
      </w:r>
    </w:p>
    <w:p>
      <w:pPr>
        <w:pStyle w:val="TextBody"/>
        <w:spacing w:before="0" w:after="0"/>
        <w:ind w:left="0" w:right="0" w:firstLine="547"/>
        <w:jc w:val="both"/>
        <w:rPr>
          <w:highlight w:val="yellow"/>
        </w:rPr>
      </w:pPr>
      <w:r>
        <w:rPr>
          <w:highlight w:val="yellow"/>
        </w:rPr>
        <w:t>​</w:t>
      </w:r>
    </w:p>
    <w:p>
      <w:pPr>
        <w:pStyle w:val="TextBody"/>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Contractual Commitments – Expenditures. </w:t>
      </w: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March 31, 2023, are as follows (in thousands): </w:t>
      </w:r>
    </w:p>
    <w:p>
      <w:pPr>
        <w:pStyle w:val="TextBody"/>
        <w:spacing w:lineRule="auto" w:line="273" w:before="0" w:after="0"/>
        <w:ind w:left="0" w:right="0" w:firstLine="547"/>
        <w:jc w:val="both"/>
        <w:rPr>
          <w:highlight w:val="yellow"/>
        </w:rPr>
      </w:pPr>
      <w:r>
        <w:rPr>
          <w:highlight w:val="yellow"/>
        </w:rPr>
        <w:t>​</w:t>
      </w:r>
    </w:p>
    <w:tbl>
      <w:tblPr>
        <w:tblW w:w="4190" w:type="dxa"/>
        <w:jc w:val="left"/>
        <w:tblInd w:w="0" w:type="dxa"/>
        <w:tblCellMar>
          <w:top w:w="0" w:type="dxa"/>
          <w:left w:w="0" w:type="dxa"/>
          <w:bottom w:w="0" w:type="dxa"/>
          <w:right w:w="0" w:type="dxa"/>
        </w:tblCellMar>
      </w:tblPr>
      <w:tblGrid>
        <w:gridCol w:w="2131"/>
        <w:gridCol w:w="109"/>
        <w:gridCol w:w="391"/>
        <w:gridCol w:w="1559"/>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53185" cy="175260"/>
                      <wp:effectExtent l="0" t="0" r="0" b="0"/>
                      <wp:wrapNone/>
                      <wp:docPr id="249" name="Frame249"/>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8285" cy="175260"/>
                      <wp:effectExtent l="0" t="0" r="0" b="0"/>
                      <wp:wrapNone/>
                      <wp:docPr id="251" name="Frame251"/>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89965" cy="175260"/>
                      <wp:effectExtent l="0" t="0" r="0" b="0"/>
                      <wp:wrapNone/>
                      <wp:docPr id="252" name="Frame252"/>
                      <a:graphic xmlns:a="http://schemas.openxmlformats.org/drawingml/2006/main">
                        <a:graphicData uri="http://schemas.microsoft.com/office/word/2010/wordprocessingShape">
                          <wps:wsp>
                            <wps:cNvSpPr txBox="1"/>
                            <wps:spPr>
                              <a:xfrm>
                                <a:off x="0" y="0"/>
                                <a:ext cx="989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March 31, 2023</w:t>
            </w:r>
          </w:p>
        </w:tc>
      </w:tr>
      <w:tr>
        <w:trPr/>
        <w:tc>
          <w:tcPr>
            <w:tcW w:w="21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30,091</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Amount Funded</w:t>
            </w:r>
          </w:p>
        </w:tc>
        <w:tc>
          <w:tcPr>
            <w:tcW w:w="109" w:type="dxa"/>
            <w:tcBorders/>
            <w:shd w:fill="auto" w:val="clear"/>
            <w:vAlign w:val="center"/>
          </w:tcPr>
          <w:p>
            <w:pPr>
              <w:pStyle w:val="TableContents"/>
              <w:spacing w:before="0" w:after="0"/>
              <w:ind w:left="0" w:right="0" w:hanging="0"/>
              <w:rPr/>
            </w:pPr>
            <w:r>
              <w:rPr/>
              <w:t>​</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(10,821)</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spacing w:before="0" w:after="0"/>
              <w:ind w:left="0" w:right="0" w:hanging="0"/>
              <w:rPr/>
            </w:pPr>
            <w:r>
              <w:rPr/>
              <w:t>​</w:t>
            </w:r>
          </w:p>
        </w:tc>
        <w:tc>
          <w:tcPr>
            <w:tcW w:w="39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19,270</w:t>
            </w:r>
          </w:p>
        </w:tc>
      </w:tr>
    </w:tbl>
    <w:p>
      <w:pPr>
        <w:pStyle w:val="TextBody"/>
        <w:pBdr/>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spacing w:lineRule="auto" w:line="273" w:before="0" w:after="0"/>
        <w:ind w:left="0" w:right="0" w:firstLine="547"/>
        <w:jc w:val="both"/>
        <w:rPr/>
      </w:pPr>
      <w:r>
        <w:rPr/>
        <w:t>​</w:t>
      </w:r>
    </w:p>
    <w:p>
      <w:pPr>
        <w:pStyle w:val="TextBody"/>
        <w:spacing w:lineRule="auto" w:line="273" w:before="0" w:after="0"/>
        <w:ind w:left="0" w:right="0" w:firstLine="547"/>
        <w:jc w:val="both"/>
        <w:rPr>
          <w:rFonts w:ascii="Times New Roman;Times;serif" w:hAnsi="Times New Roman;Times;serif"/>
          <w:sz w:val="20"/>
        </w:rPr>
      </w:pPr>
      <w:r>
        <w:rPr>
          <w:rFonts w:ascii="Times New Roman;Times;serif" w:hAnsi="Times New Roman;Times;serif"/>
          <w:sz w:val="20"/>
        </w:rPr>
        <w:t>In addition, the Company is committed to fund the three construction loans as described in Note 4, “Commercial Loans and Investments”. The unfunded portion of the construction loan totaled $4.3 million as of March 31, 2023.</w:t>
      </w:r>
    </w:p>
    <w:p>
      <w:pPr>
        <w:pStyle w:val="TextBody"/>
        <w:spacing w:lineRule="auto" w:line="273" w:before="0" w:after="0"/>
        <w:ind w:left="0" w:right="0" w:firstLine="547"/>
        <w:jc w:val="both"/>
        <w:rPr>
          <w:highlight w:val="yellow"/>
        </w:rPr>
      </w:pPr>
      <w:r>
        <w:rPr>
          <w:highlight w:val="yellow"/>
        </w:rPr>
        <w:t>​</w:t>
      </w:r>
    </w:p>
    <w:p>
      <w:pPr>
        <w:pStyle w:val="TextBody"/>
        <w:spacing w:lineRule="auto" w:line="273" w:before="0" w:after="0"/>
        <w:ind w:left="0" w:right="0" w:firstLine="547"/>
        <w:jc w:val="both"/>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None.</w:t>
      </w:r>
    </w:p>
    <w:p>
      <w:pPr>
        <w:pStyle w:val="TextBody"/>
        <w:spacing w:before="0" w:after="0"/>
        <w:ind w:left="0" w:right="0" w:firstLine="49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$137.7 million of availability remaining under the ATM Program, and $166.8 million undrawn commitment under the existing $300.0 million Credit Facility as of March 31, 2023.</w:t>
      </w:r>
    </w:p>
    <w:p>
      <w:pPr>
        <w:pStyle w:val="TextBody"/>
        <w:spacing w:before="0" w:after="0"/>
        <w:ind w:left="0" w:right="0" w:firstLine="490"/>
        <w:jc w:val="both"/>
        <w:rPr>
          <w:highlight w:val="yellow"/>
        </w:rPr>
      </w:pPr>
      <w:r>
        <w:rPr>
          <w:highlight w:val="yellow"/>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spacing w:before="0" w:after="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tbl>
      <w:tblPr>
        <w:tblW w:w="10131" w:type="dxa"/>
        <w:jc w:val="left"/>
        <w:tblInd w:w="0" w:type="dxa"/>
        <w:tblCellMar>
          <w:top w:w="28" w:type="dxa"/>
          <w:left w:w="28" w:type="dxa"/>
          <w:bottom w:w="28" w:type="dxa"/>
          <w:right w:w="28" w:type="dxa"/>
        </w:tblCellMar>
      </w:tblPr>
      <w:tblGrid>
        <w:gridCol w:w="124"/>
        <w:gridCol w:w="256"/>
        <w:gridCol w:w="9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Multi-tenant, primarily retail-oriented, properties in major metropolitan areas and growth markets, typically stabilized;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Single-tenant retail or other commercial, double or triple net leased, properties in major metropolitan areas and growth markets that are compliant with our commitments under the PINE ROFO Agreement;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CellMar>
          <w:top w:w="28" w:type="dxa"/>
          <w:left w:w="28" w:type="dxa"/>
          <w:bottom w:w="28" w:type="dxa"/>
          <w:right w:w="28" w:type="dxa"/>
        </w:tblCellMar>
      </w:tblPr>
      <w:tblGrid>
        <w:gridCol w:w="124"/>
        <w:gridCol w:w="256"/>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 and master lease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market knowledge and expertise to earn strong risk-adjusted yields;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spacing w:before="0" w:after="0"/>
        <w:ind w:left="85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spacing w:before="0" w:after="0"/>
        <w:ind w:left="0" w:right="0" w:firstLine="49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shd w:fill="FFFFFF" w:val="clear"/>
        <w:spacing w:before="240" w:after="0"/>
        <w:ind w:left="0" w:right="0" w:firstLine="490"/>
        <w:jc w:val="both"/>
        <w:rPr>
          <w:rFonts w:ascii="Times New Roman;Times;serif" w:hAnsi="Times New Roman;Times;serif"/>
          <w:sz w:val="20"/>
        </w:rPr>
      </w:pPr>
      <w:r>
        <w:rPr>
          <w:rFonts w:ascii="Times New Roman;Times;serif" w:hAnsi="Times New Roman;Times;serif"/>
          <w:sz w:val="20"/>
        </w:rPr>
        <w:t>Our reported results are presented in accordance with accounting principles generally accepted in the United States of America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pStyle w:val="TextBody"/>
        <w:shd w:fill="FFFFFF" w:val="clear"/>
        <w:spacing w:before="100" w:after="100"/>
        <w:ind w:left="0" w:right="0" w:firstLine="490"/>
        <w:jc w:val="both"/>
        <w:rPr/>
      </w:pPr>
      <w:r>
        <w:rPr/>
        <w:t>​</w:t>
      </w:r>
    </w:p>
    <w:p>
      <w:pPr>
        <w:pStyle w:val="TextBody"/>
        <w:shd w:fill="FFFFFF" w:val="clear"/>
        <w:spacing w:lineRule="auto" w:line="280" w:before="0" w:after="0"/>
        <w:ind w:left="0" w:right="0" w:firstLine="490"/>
        <w:jc w:val="both"/>
        <w:rPr>
          <w:rFonts w:ascii="Times New Roman;Times;serif" w:hAnsi="Times New Roman;Times;serif"/>
          <w:sz w:val="20"/>
        </w:rPr>
      </w:pPr>
      <w:r>
        <w:rPr>
          <w:rFonts w:ascii="Times New Roman;Times;serif" w:hAnsi="Times New Roman;Times;serif"/>
          <w:sz w:val="20"/>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pStyle w:val="TextBody"/>
        <w:shd w:fill="FFFFFF" w:val="clear"/>
        <w:spacing w:lineRule="auto" w:line="280"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pStyle w:val="TextBody"/>
        <w:shd w:fill="FFFFFF" w:val="clear"/>
        <w:spacing w:before="100" w:after="100"/>
        <w:ind w:left="0" w:right="0" w:firstLine="490"/>
        <w:jc w:val="both"/>
        <w:rPr/>
      </w:pPr>
      <w:r>
        <w:rPr/>
        <w:t>​</w:t>
      </w:r>
    </w:p>
    <w:p>
      <w:pPr>
        <w:pStyle w:val="TextBody"/>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Non-U.S. GAAP Measures (in thousands, except share and dividend data):</w:t>
      </w:r>
    </w:p>
    <w:tbl>
      <w:tblPr>
        <w:tblW w:w="10074" w:type="dxa"/>
        <w:jc w:val="left"/>
        <w:tblInd w:w="0" w:type="dxa"/>
        <w:tblCellMar>
          <w:top w:w="0" w:type="dxa"/>
          <w:left w:w="0" w:type="dxa"/>
          <w:bottom w:w="0" w:type="dxa"/>
          <w:right w:w="0" w:type="dxa"/>
        </w:tblCellMar>
      </w:tblPr>
      <w:tblGrid>
        <w:gridCol w:w="6931"/>
        <w:gridCol w:w="109"/>
        <w:gridCol w:w="243"/>
        <w:gridCol w:w="1197"/>
        <w:gridCol w:w="109"/>
        <w:gridCol w:w="242"/>
        <w:gridCol w:w="1243"/>
      </w:tblGrid>
      <w:tr>
        <w:trPr/>
        <w:tc>
          <w:tcPr>
            <w:tcW w:w="69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4305" cy="175260"/>
                      <wp:effectExtent l="0" t="0" r="0" b="0"/>
                      <wp:wrapNone/>
                      <wp:docPr id="254" name="Frame254"/>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60095" cy="175260"/>
                      <wp:effectExtent l="0" t="0" r="0" b="0"/>
                      <wp:wrapNone/>
                      <wp:docPr id="255" name="Frame255"/>
                      <a:graphic xmlns:a="http://schemas.openxmlformats.org/drawingml/2006/main">
                        <a:graphicData uri="http://schemas.microsoft.com/office/word/2010/wordprocessingShape">
                          <wps:wsp>
                            <wps:cNvSpPr txBox="1"/>
                            <wps:spPr>
                              <a:xfrm>
                                <a:off x="0" y="0"/>
                                <a:ext cx="760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3670" cy="175260"/>
                      <wp:effectExtent l="0" t="0" r="0" b="0"/>
                      <wp:wrapNone/>
                      <wp:docPr id="257" name="Frame257"/>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89305" cy="175260"/>
                      <wp:effectExtent l="0" t="0" r="0" b="0"/>
                      <wp:wrapNone/>
                      <wp:docPr id="258" name="Frame258"/>
                      <a:graphic xmlns:a="http://schemas.openxmlformats.org/drawingml/2006/main">
                        <a:graphicData uri="http://schemas.microsoft.com/office/word/2010/wordprocessingShape">
                          <wps:wsp>
                            <wps:cNvSpPr txBox="1"/>
                            <wps:spPr>
                              <a:xfrm>
                                <a:off x="0" y="0"/>
                                <a:ext cx="789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9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693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693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shd w:fill="auto" w:val="clear"/>
            <w:vAlign w:val="center"/>
          </w:tcPr>
          <w:p>
            <w:pPr>
              <w:pStyle w:val="TableContents"/>
              <w:spacing w:before="0" w:after="0"/>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the Company, If-Converted</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10,302</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Disposition of Assets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pPr>
            <w:r>
              <w:rPr/>
              <w:t>—</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on Investment Securities</w:t>
            </w:r>
          </w:p>
        </w:tc>
        <w:tc>
          <w:tcPr>
            <w:tcW w:w="109" w:type="dxa"/>
            <w:tcBorders/>
            <w:shd w:fill="auto" w:val="clear"/>
            <w:vAlign w:val="center"/>
          </w:tcPr>
          <w:p>
            <w:pPr>
              <w:pStyle w:val="TableContents"/>
              <w:spacing w:before="0" w:after="0"/>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4,918</w:t>
            </w:r>
          </w:p>
        </w:tc>
        <w:tc>
          <w:tcPr>
            <w:tcW w:w="109"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2,457</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9,383</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shd w:fill="auto" w:val="clear"/>
            <w:vAlign w:val="center"/>
          </w:tcPr>
          <w:p>
            <w:pPr>
              <w:pStyle w:val="TableContents"/>
              <w:spacing w:before="0" w:after="0"/>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109"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7,746</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69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Less: Effect of Dilutive Interest Related to 2025 Notes </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24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9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8,867</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8,227</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pPr>
            <w:r>
              <w:rPr/>
              <w:t>​</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COVID-19 Rent Repayments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auto" w:val="clear"/>
            <w:vAlign w:val="center"/>
          </w:tcPr>
          <w:p>
            <w:pPr>
              <w:pStyle w:val="TableContents"/>
              <w:spacing w:before="0" w:after="0"/>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109"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spacing w:before="0" w:after="0"/>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9,863</w:t>
            </w:r>
          </w:p>
        </w:tc>
        <w:tc>
          <w:tcPr>
            <w:tcW w:w="109" w:type="dxa"/>
            <w:tcBorders/>
            <w:shd w:fill="CCEEFF" w:val="clear"/>
            <w:vAlign w:val="center"/>
          </w:tcPr>
          <w:p>
            <w:pPr>
              <w:pStyle w:val="TableContents"/>
              <w:spacing w:before="0" w:after="0"/>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8,717</w:t>
            </w:r>
          </w:p>
        </w:tc>
      </w:tr>
      <w:tr>
        <w:trPr/>
        <w:tc>
          <w:tcPr>
            <w:tcW w:w="69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pPr>
            <w:r>
              <w:rPr/>
              <w:t>​</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pPr>
            <w:r>
              <w:rPr/>
              <w:t>​</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17,726,677</w:t>
            </w:r>
          </w:p>
        </w:tc>
      </w:tr>
      <w:tr>
        <w:trPr/>
        <w:tc>
          <w:tcPr>
            <w:tcW w:w="69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pPr>
            <w:r>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17,726,677</w:t>
            </w:r>
          </w:p>
        </w:tc>
      </w:tr>
      <w:tr>
        <w:trPr/>
        <w:tc>
          <w:tcPr>
            <w:tcW w:w="69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pPr>
            <w:r>
              <w:rPr/>
              <w:t>​</w:t>
            </w:r>
          </w:p>
        </w:tc>
        <w:tc>
          <w:tcPr>
            <w:tcW w:w="119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right"/>
              <w:rPr/>
            </w:pPr>
            <w:r>
              <w:rPr/>
              <w:t>​</w:t>
            </w:r>
          </w:p>
        </w:tc>
      </w:tr>
      <w:tr>
        <w:trPr/>
        <w:tc>
          <w:tcPr>
            <w:tcW w:w="69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69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3"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0.36</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lineRule="auto" w:line="240" w:before="0" w:after="0"/>
              <w:jc w:val="both"/>
              <w:rPr>
                <w:rFonts w:ascii="Times New Roman;Times;serif" w:hAnsi="Times New Roman;Times;serif"/>
                <w:sz w:val="20"/>
              </w:rPr>
            </w:pPr>
            <w:r>
              <w:rPr>
                <w:rFonts w:ascii="Times New Roman;Times;serif" w:hAnsi="Times New Roman;Times;serif"/>
                <w:sz w:val="11"/>
              </w:rPr>
              <w:t>(1)</w:t>
            </w:r>
            <w:r>
              <w:rPr>
                <w:rFonts w:ascii="Times New Roman;Times;serif" w:hAnsi="Times New Roman;Times;serif"/>
                <w:sz w:val="20"/>
              </w:rPr>
              <w:t xml:space="preserve"> </w:t>
            </w:r>
          </w:p>
        </w:tc>
        <w:tc>
          <w:tcPr>
            <w:tcW w:w="9979" w:type="dxa"/>
            <w:tcBorders/>
            <w:shd w:fill="auto" w:val="clear"/>
            <w:vAlign w:val="center"/>
          </w:tcPr>
          <w:p>
            <w:pPr>
              <w:pStyle w:val="TableContents"/>
              <w:spacing w:before="0" w:after="0"/>
              <w:jc w:val="both"/>
              <w:rPr>
                <w:rFonts w:ascii="Times New Roman;Times;serif" w:hAnsi="Times New Roman;Times;serif"/>
                <w:sz w:val="16"/>
              </w:rPr>
            </w:pPr>
            <w:r>
              <w:rPr>
                <w:rFonts w:ascii="Times New Roman;Times;serif" w:hAnsi="Times New Roman;Times;serif"/>
                <w:sz w:val="16"/>
              </w:rPr>
              <w:t>As applicable, includes interest expense, amortization of discount, amortization of fees, and other changes in net income or loss that would result from the assumed conversion of the 2025 Notes to derive FFO effective January 1, 2022 due to the implementation of ASU 2020-06 which requires presentation on an if-converted basis. For the three months ended March 31, 2023 and 2022, a total of $0.5 million and $0.6 million of interest was not included, respectively, as the impact of the 2025 Notes, if-converted, would be antidilutive to the net loss attributable to common stockholders of $7.2 million and $1.0 million, respectively.</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lineRule="auto" w:line="240" w:before="0" w:after="0"/>
              <w:jc w:val="both"/>
              <w:rPr>
                <w:rFonts w:ascii="Times New Roman;Times;serif" w:hAnsi="Times New Roman;Times;serif"/>
                <w:sz w:val="11"/>
              </w:rPr>
            </w:pPr>
            <w:r>
              <w:rPr>
                <w:rFonts w:ascii="Times New Roman;Times;serif" w:hAnsi="Times New Roman;Times;serif"/>
                <w:sz w:val="11"/>
              </w:rPr>
              <w:t>(2)</w:t>
            </w:r>
          </w:p>
        </w:tc>
        <w:tc>
          <w:tcPr>
            <w:tcW w:w="998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16"/>
              </w:rPr>
              <w:t>A total o</w:t>
            </w:r>
            <w:r>
              <w:rPr>
                <w:rFonts w:ascii="Times New Roman;Times;serif" w:hAnsi="Times New Roman;Times;serif"/>
                <w:sz w:val="16"/>
                <w:highlight w:val="white"/>
              </w:rPr>
              <w:t xml:space="preserve">f 3.2 million and 3.0 million shares, representing the dilutive impact of the 2025 Notes, upon adoption of ASU 2020-06 effective January 1, 2022, were not included in the computation of diluted net loss attributable to common stockholders for the </w:t>
            </w:r>
            <w:r>
              <w:rPr>
                <w:rFonts w:ascii="Times New Roman;Times;serif" w:hAnsi="Times New Roman;Times;serif"/>
                <w:sz w:val="16"/>
              </w:rPr>
              <w:t xml:space="preserve">three months ended March 31, 2023 and 2022, respectively, </w:t>
            </w:r>
            <w:r>
              <w:rPr>
                <w:rFonts w:ascii="Times New Roman;Times;serif" w:hAnsi="Times New Roman;Times;serif"/>
                <w:sz w:val="16"/>
                <w:highlight w:val="white"/>
              </w:rPr>
              <w:t>because they were antidilutive to the net loss attributable to common stockholders of </w:t>
            </w:r>
            <w:r>
              <w:rPr>
                <w:rFonts w:ascii="Times New Roman;Times;serif" w:hAnsi="Times New Roman;Times;serif"/>
                <w:sz w:val="16"/>
              </w:rPr>
              <w:t xml:space="preserve">$7.2 million and $1.0 million, respectively.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Other Data (in thousands, except per share data):</w:t>
      </w:r>
    </w:p>
    <w:p>
      <w:pPr>
        <w:pStyle w:val="TextBody"/>
        <w:spacing w:before="0" w:after="0"/>
        <w:ind w:left="0" w:right="0" w:hanging="0"/>
        <w:rPr/>
      </w:pPr>
      <w:r>
        <w:rPr/>
        <w:t>​</w:t>
      </w:r>
    </w:p>
    <w:tbl>
      <w:tblPr>
        <w:tblW w:w="9774" w:type="dxa"/>
        <w:jc w:val="left"/>
        <w:tblInd w:w="0" w:type="dxa"/>
        <w:tblCellMar>
          <w:top w:w="0" w:type="dxa"/>
          <w:left w:w="0" w:type="dxa"/>
          <w:bottom w:w="0" w:type="dxa"/>
          <w:right w:w="0" w:type="dxa"/>
        </w:tblCellMar>
      </w:tblPr>
      <w:tblGrid>
        <w:gridCol w:w="6616"/>
        <w:gridCol w:w="109"/>
        <w:gridCol w:w="388"/>
        <w:gridCol w:w="1052"/>
        <w:gridCol w:w="124"/>
        <w:gridCol w:w="378"/>
        <w:gridCol w:w="1107"/>
      </w:tblGrid>
      <w:tr>
        <w:trPr/>
        <w:tc>
          <w:tcPr>
            <w:tcW w:w="66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68020" cy="175260"/>
                      <wp:effectExtent l="0" t="0" r="0" b="0"/>
                      <wp:wrapNone/>
                      <wp:docPr id="259" name="Frame259"/>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1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02945" cy="175260"/>
                      <wp:effectExtent l="0" t="0" r="0" b="0"/>
                      <wp:wrapNone/>
                      <wp:docPr id="260" name="Frame260"/>
                      <a:graphic xmlns:a="http://schemas.openxmlformats.org/drawingml/2006/main">
                        <a:graphicData uri="http://schemas.microsoft.com/office/word/2010/wordprocessingShape">
                          <wps:wsp>
                            <wps:cNvSpPr txBox="1"/>
                            <wps:spPr>
                              <a:xfrm>
                                <a:off x="0" y="0"/>
                                <a:ext cx="702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1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0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661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24" w:type="dxa"/>
            <w:tcBorders/>
            <w:shd w:fill="auto" w:val="clear"/>
            <w:vAlign w:val="center"/>
          </w:tcPr>
          <w:p>
            <w:pPr>
              <w:pStyle w:val="TableContents"/>
              <w:spacing w:before="0" w:after="0"/>
              <w:ind w:left="0" w:right="0" w:hanging="0"/>
              <w:jc w:val="center"/>
              <w:rPr/>
            </w:pPr>
            <w:r>
              <w:rPr/>
              <w:t>​</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tc>
      </w:tr>
      <w:tr>
        <w:trPr/>
        <w:tc>
          <w:tcPr>
            <w:tcW w:w="6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c>
          <w:tcPr>
            <w:tcW w:w="124"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7,746</w:t>
            </w:r>
          </w:p>
        </w:tc>
      </w:tr>
      <w:tr>
        <w:trPr/>
        <w:tc>
          <w:tcPr>
            <w:tcW w:w="6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FFO Attributable to Common Stockholders per Common Share - Diluted</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124"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r>
      <w:tr>
        <w:trPr/>
        <w:tc>
          <w:tcPr>
            <w:tcW w:w="661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rPr/>
            </w:pPr>
            <w:r>
              <w:rPr/>
              <w:t>​</w:t>
            </w:r>
          </w:p>
        </w:tc>
        <w:tc>
          <w:tcPr>
            <w:tcW w:w="124"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pPr>
            <w:r>
              <w:rPr/>
              <w:t>​</w:t>
            </w:r>
          </w:p>
        </w:tc>
        <w:tc>
          <w:tcPr>
            <w:tcW w:w="1107" w:type="dxa"/>
            <w:tcBorders/>
            <w:shd w:fill="CCEEFF" w:val="clear"/>
            <w:vAlign w:val="center"/>
          </w:tcPr>
          <w:p>
            <w:pPr>
              <w:pStyle w:val="TableContents"/>
              <w:spacing w:before="0" w:after="0"/>
              <w:ind w:left="0" w:right="0" w:hanging="0"/>
              <w:jc w:val="right"/>
              <w:rPr/>
            </w:pPr>
            <w:r>
              <w:rPr/>
              <w:t>​</w:t>
            </w:r>
          </w:p>
        </w:tc>
      </w:tr>
      <w:tr>
        <w:trPr/>
        <w:tc>
          <w:tcPr>
            <w:tcW w:w="6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8,867</w:t>
            </w:r>
          </w:p>
        </w:tc>
        <w:tc>
          <w:tcPr>
            <w:tcW w:w="124"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8,227</w:t>
            </w:r>
          </w:p>
        </w:tc>
      </w:tr>
      <w:tr>
        <w:trPr/>
        <w:tc>
          <w:tcPr>
            <w:tcW w:w="66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124"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r>
      <w:tr>
        <w:trPr/>
        <w:tc>
          <w:tcPr>
            <w:tcW w:w="66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rPr/>
            </w:pPr>
            <w:r>
              <w:rPr/>
              <w:t>​</w:t>
            </w:r>
          </w:p>
        </w:tc>
        <w:tc>
          <w:tcPr>
            <w:tcW w:w="124"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107" w:type="dxa"/>
            <w:tcBorders/>
            <w:shd w:fill="auto" w:val="clear"/>
            <w:vAlign w:val="center"/>
          </w:tcPr>
          <w:p>
            <w:pPr>
              <w:pStyle w:val="TableContents"/>
              <w:spacing w:before="0" w:after="0"/>
              <w:ind w:left="0" w:right="0" w:hanging="0"/>
              <w:jc w:val="right"/>
              <w:rPr/>
            </w:pPr>
            <w:r>
              <w:rPr/>
              <w:t>​</w:t>
            </w:r>
          </w:p>
        </w:tc>
      </w:tr>
      <w:tr>
        <w:trPr/>
        <w:tc>
          <w:tcPr>
            <w:tcW w:w="6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9,863</w:t>
            </w:r>
          </w:p>
        </w:tc>
        <w:tc>
          <w:tcPr>
            <w:tcW w:w="124" w:type="dxa"/>
            <w:tcBorders/>
            <w:shd w:fill="CCEEFF" w:val="clear"/>
            <w:vAlign w:val="center"/>
          </w:tcPr>
          <w:p>
            <w:pPr>
              <w:pStyle w:val="TableContents"/>
              <w:spacing w:before="0" w:after="0"/>
              <w:ind w:left="0" w:right="0" w:hanging="0"/>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8,717</w:t>
            </w:r>
          </w:p>
        </w:tc>
      </w:tr>
      <w:tr>
        <w:trPr/>
        <w:tc>
          <w:tcPr>
            <w:tcW w:w="661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124"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7"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0.49</w:t>
            </w:r>
          </w:p>
        </w:tc>
      </w:tr>
    </w:tbl>
    <w:p>
      <w:pPr>
        <w:pStyle w:val="TextBody"/>
        <w:pBdr/>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A total o</w:t>
      </w:r>
      <w:r>
        <w:rPr>
          <w:rFonts w:ascii="Times New Roman;Times;serif" w:hAnsi="Times New Roman;Times;serif"/>
          <w:sz w:val="16"/>
          <w:highlight w:val="white"/>
        </w:rPr>
        <w:t xml:space="preserve">f 3.2 million and 3.0 million shares, representing the dilutive impact of the 2025 Notes, upon adoption of ASU 2020-06 effective January 1, 2022, were not included in the computation of diluted net loss attributable to common stockholders for the </w:t>
      </w:r>
      <w:r>
        <w:rPr>
          <w:rFonts w:ascii="Times New Roman;Times;serif" w:hAnsi="Times New Roman;Times;serif"/>
          <w:sz w:val="16"/>
        </w:rPr>
        <w:t xml:space="preserve">three months ended March 31, 2023 and 2022, respectively, </w:t>
      </w:r>
      <w:r>
        <w:rPr>
          <w:rFonts w:ascii="Times New Roman;Times;serif" w:hAnsi="Times New Roman;Times;serif"/>
          <w:sz w:val="16"/>
          <w:highlight w:val="white"/>
        </w:rPr>
        <w:t>because they were antidilutive to the net loss attributable to common stockholders of </w:t>
      </w:r>
      <w:r>
        <w:rPr>
          <w:rFonts w:ascii="Times New Roman;Times;serif" w:hAnsi="Times New Roman;Times;serif"/>
          <w:sz w:val="16"/>
        </w:rPr>
        <w:t>$7.2 million and $1.0 million, respectively.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0"/>
        <w:ind w:left="0" w:right="0" w:hanging="0"/>
        <w:jc w:val="both"/>
        <w:rPr/>
      </w:pPr>
      <w:r>
        <w:rPr/>
        <w:t>​</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building within an existing multi-tenant income property for a purchase price of $3.3 million for the three months ended March 31, 2023 and one multi-tenant income property for a purchase price of $39.1 million for the three months ended March 31, 2022.</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spacing w:before="280" w:after="0"/>
        <w:ind w:left="0" w:right="0" w:hanging="0"/>
        <w:jc w:val="both"/>
        <w:rPr/>
      </w:pPr>
      <w:bookmarkStart w:id="1462" w:name="_a91b6cc3_15d0_4298_9f57_c1f4998849f7"/>
      <w:bookmarkEnd w:id="1462"/>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1463" w:name="ITEM3QUANTITATIVEANDQUALITATIVE_871147"/>
      <w:bookmarkEnd w:id="1463"/>
      <w:r>
        <w:rPr>
          <w:rFonts w:ascii="Times New Roman;Times;serif" w:hAnsi="Times New Roman;Times;serif"/>
          <w:b/>
          <w:sz w:val="20"/>
        </w:rPr>
        <w:t>ITEM 3. QUANTITATIVE AND QUALITATIVE DISCLOSURES ABOUT MARKET RISK</w:t>
      </w:r>
    </w:p>
    <w:p>
      <w:pPr>
        <w:pStyle w:val="TextBody"/>
        <w:spacing w:before="0" w:after="0"/>
        <w:ind w:left="0" w:right="0" w:hanging="0"/>
        <w:jc w:val="both"/>
        <w:rPr/>
      </w:pPr>
      <w:r>
        <w:rPr/>
        <w:t>​</w:t>
      </w:r>
    </w:p>
    <w:p>
      <w:pPr>
        <w:pStyle w:val="TextBody"/>
        <w:pBdr/>
        <w:shd w:fill="FFFFFF" w:val="clear"/>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pStyle w:val="TextBody"/>
        <w:shd w:fill="FFFFFF" w:val="clear"/>
        <w:spacing w:before="0" w:after="24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Credit Facility, as this facility carries a variable rate of interest. Our borrowings on the un-hedged portion of our $300.0 million revolving Credit Facility bear a variable rate of interest based on SOFR plus a rate of between 125 basis points and 220 basis points plus a 0.10% SOFR adjustment based on our level of borrowing as a percentage of our total asset value. Effective January 31, 2023, the interest rate on $100.0 million of the Credit Facility balance was fixed by virtue of three interest rate swaps. As of March 31, 2023 and 2022, the outstanding balance on our Credit Facility totaled $133.2 million and $66.0 million, of which $33.2 million and $66.0 million, respectively, were not fixed by virtue of an interest rate swap agreement. A hypothetical change in the interest rate of 100 basis points (i.e., 1%) would affect our financial position, results of operations, and cash flows by $0.3 million and $0.7 million as of March 31, 2023 and 2022, respectively. The Company entered into interest rate swap agreements to hedge against changes in future cash flows resulting from fluctuating interest rates related to certain of its debt borrowings, see Note 16, “Interest Rate Swaps.”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spacing w:before="0" w:after="0"/>
        <w:ind w:left="0" w:right="0" w:hanging="0"/>
        <w:jc w:val="both"/>
        <w:rPr>
          <w:rFonts w:ascii="Times New Roman;Times;serif" w:hAnsi="Times New Roman;Times;serif"/>
          <w:b/>
          <w:sz w:val="20"/>
        </w:rPr>
      </w:pPr>
      <w:bookmarkStart w:id="1464" w:name="ITEM4CONTROLSANDPROCEDURES_992496"/>
      <w:bookmarkStart w:id="1465" w:name="_481f84df_439d_412b_9fa6_683a10abd5bc"/>
      <w:bookmarkEnd w:id="1464"/>
      <w:bookmarkEnd w:id="1465"/>
      <w:r>
        <w:rPr>
          <w:rFonts w:ascii="Times New Roman;Times;serif" w:hAnsi="Times New Roman;Times;serif"/>
          <w:b/>
          <w:sz w:val="20"/>
        </w:rPr>
        <w:t>ITEM 4. CONTROLS AND PROCEDURES</w:t>
      </w:r>
    </w:p>
    <w:p>
      <w:pPr>
        <w:pStyle w:val="TextBody"/>
        <w:spacing w:before="0" w:after="0"/>
        <w:ind w:left="0" w:right="0" w:hanging="0"/>
        <w:jc w:val="both"/>
        <w:rPr/>
      </w:pPr>
      <w:r>
        <w:rPr/>
        <w:t>​</w:t>
      </w:r>
    </w:p>
    <w:p>
      <w:pPr>
        <w:pStyle w:val="TextBody"/>
        <w:shd w:fill="FFFFFF" w:val="clear"/>
        <w:spacing w:before="0" w:after="24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2023, that have materially affected, or are reasonably likely to materially affect, the Company’s internal control over financial reporting.</w:t>
      </w:r>
    </w:p>
    <w:p>
      <w:pPr>
        <w:pStyle w:val="TextBody"/>
        <w:spacing w:before="0" w:after="0"/>
        <w:ind w:left="0" w:right="0" w:hanging="0"/>
        <w:jc w:val="both"/>
        <w:rPr>
          <w:rFonts w:ascii="Times New Roman;Times;serif" w:hAnsi="Times New Roman;Times;serif"/>
          <w:b/>
          <w:sz w:val="20"/>
        </w:rPr>
      </w:pPr>
      <w:bookmarkStart w:id="1466" w:name="PARTIIOTHERINFORMATION_47745"/>
      <w:bookmarkStart w:id="1467" w:name="_007e3c6d_c1af_4daf_8c06_2c8ef74701a7"/>
      <w:bookmarkEnd w:id="1466"/>
      <w:bookmarkEnd w:id="1467"/>
      <w:r>
        <w:rPr>
          <w:rFonts w:ascii="Times New Roman;Times;serif" w:hAnsi="Times New Roman;Times;serif"/>
          <w:b/>
          <w:sz w:val="20"/>
        </w:rPr>
        <w:t>PART II—OTHER INFORMATION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bookmarkStart w:id="1468" w:name="ITEM1LEGALPROCEEDINGS_995157"/>
      <w:bookmarkEnd w:id="1468"/>
      <w:r>
        <w:rPr>
          <w:rFonts w:ascii="Times New Roman;Times;serif" w:hAnsi="Times New Roman;Times;serif"/>
          <w:b/>
          <w:sz w:val="20"/>
        </w:rPr>
        <w:t>ITEM 1. LEGAL PROCEEDINGS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spacing w:before="100" w:after="100"/>
        <w:ind w:left="0" w:right="0" w:firstLine="490"/>
        <w:jc w:val="both"/>
        <w:rPr/>
      </w:pPr>
      <w:r>
        <w:rPr/>
        <w:t>​</w:t>
      </w:r>
    </w:p>
    <w:p>
      <w:pPr>
        <w:pStyle w:val="TextBody"/>
        <w:spacing w:before="0" w:after="0"/>
        <w:ind w:left="0" w:right="0" w:hanging="0"/>
        <w:jc w:val="both"/>
        <w:rPr>
          <w:rFonts w:ascii="Times New Roman;Times;serif" w:hAnsi="Times New Roman;Times;serif"/>
          <w:b/>
          <w:sz w:val="20"/>
        </w:rPr>
      </w:pPr>
      <w:bookmarkStart w:id="1469" w:name="ITEM1ARISKFACTORS_785246"/>
      <w:bookmarkStart w:id="1470" w:name="_41464a38_9275_4776_aea7_85e330a21b5e"/>
      <w:bookmarkEnd w:id="1469"/>
      <w:bookmarkEnd w:id="1470"/>
      <w:r>
        <w:rPr>
          <w:rFonts w:ascii="Times New Roman;Times;serif" w:hAnsi="Times New Roman;Times;serif"/>
          <w:b/>
          <w:sz w:val="20"/>
        </w:rPr>
        <w:t>ITEM 1A. RISK FACTORS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under the heading Part I, “Item 1A. Risk Factors” in the Company’s Annual Report on Form 10-K for the year ended December 31, 2022. The risks described in the Form 10-K are not the only risks facing the Company. Additional risks and uncertainties not currently known to the Company or that the Company currently deems to be immaterial also may materially adversely affect the Company. As of March 31, 2023, there have been no material changes in our risk factors from those set forth within the Company’s Annual Report on Form 10-K for the year ended December 31, 2022.</w:t>
      </w:r>
    </w:p>
    <w:p>
      <w:pPr>
        <w:pStyle w:val="TextBody"/>
        <w:spacing w:before="0" w:after="0"/>
        <w:ind w:left="0" w:right="0" w:hanging="0"/>
        <w:rPr/>
      </w:pPr>
      <w:bookmarkStart w:id="1471" w:name="_365e162d_15f6_4228_84c2_dd315e9643f0"/>
      <w:bookmarkEnd w:id="1471"/>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472" w:name="ITEM2UNREGISTEREDSALESOFEQUITY_229264"/>
      <w:bookmarkEnd w:id="1472"/>
      <w:r>
        <w:rPr>
          <w:rFonts w:ascii="Times New Roman;Times;serif" w:hAnsi="Times New Roman;Times;serif"/>
          <w:b/>
          <w:sz w:val="20"/>
        </w:rPr>
        <w:t>ITEM 2. UNREGISTERED SALES OF EQUITY SECURITIES AND USE OF PROCEEDS</w:t>
      </w:r>
    </w:p>
    <w:p>
      <w:pPr>
        <w:pStyle w:val="TextBody"/>
        <w:spacing w:before="0" w:after="0"/>
        <w:ind w:left="0" w:right="0" w:hanging="0"/>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repurchases of shares of the Company’s common stock were made during the three months ended March 31, 2023:</w:t>
      </w:r>
    </w:p>
    <w:tbl>
      <w:tblPr>
        <w:tblW w:w="10205" w:type="dxa"/>
        <w:jc w:val="left"/>
        <w:tblInd w:w="0" w:type="dxa"/>
        <w:tblCellMar>
          <w:top w:w="0" w:type="dxa"/>
          <w:left w:w="0" w:type="dxa"/>
          <w:bottom w:w="0" w:type="dxa"/>
          <w:right w:w="0" w:type="dxa"/>
        </w:tblCellMar>
      </w:tblPr>
      <w:tblGrid>
        <w:gridCol w:w="1450"/>
        <w:gridCol w:w="326"/>
        <w:gridCol w:w="1306"/>
        <w:gridCol w:w="326"/>
        <w:gridCol w:w="368"/>
        <w:gridCol w:w="998"/>
        <w:gridCol w:w="326"/>
        <w:gridCol w:w="2707"/>
        <w:gridCol w:w="326"/>
        <w:gridCol w:w="311"/>
        <w:gridCol w:w="1761"/>
      </w:tblGrid>
      <w:tr>
        <w:trPr/>
        <w:tc>
          <w:tcPr>
            <w:tcW w:w="14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29310" cy="175260"/>
                      <wp:effectExtent l="0" t="0" r="0" b="0"/>
                      <wp:wrapNone/>
                      <wp:docPr id="262" name="Frame262"/>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3680" cy="175260"/>
                      <wp:effectExtent l="0" t="0" r="0" b="0"/>
                      <wp:wrapNone/>
                      <wp:docPr id="264" name="Frame264"/>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33730" cy="175260"/>
                      <wp:effectExtent l="0" t="0" r="0" b="0"/>
                      <wp:wrapNone/>
                      <wp:docPr id="265" name="Frame265"/>
                      <a:graphic xmlns:a="http://schemas.openxmlformats.org/drawingml/2006/main">
                        <a:graphicData uri="http://schemas.microsoft.com/office/word/2010/wordprocessingShape">
                          <wps:wsp>
                            <wps:cNvSpPr txBox="1"/>
                            <wps:spPr>
                              <a:xfrm>
                                <a:off x="0" y="0"/>
                                <a:ext cx="633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18945" cy="175260"/>
                      <wp:effectExtent l="0" t="0" r="0" b="0"/>
                      <wp:wrapNone/>
                      <wp:docPr id="267" name="Frame267"/>
                      <a:graphic xmlns:a="http://schemas.openxmlformats.org/drawingml/2006/main">
                        <a:graphicData uri="http://schemas.microsoft.com/office/word/2010/wordprocessingShape">
                          <wps:wsp>
                            <wps:cNvSpPr txBox="1"/>
                            <wps:spPr>
                              <a:xfrm>
                                <a:off x="0" y="0"/>
                                <a:ext cx="1718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97485" cy="175260"/>
                      <wp:effectExtent l="0" t="0" r="0" b="0"/>
                      <wp:wrapNone/>
                      <wp:docPr id="269" name="Frame269"/>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118235" cy="175260"/>
                      <wp:effectExtent l="0" t="0" r="0" b="0"/>
                      <wp:wrapNone/>
                      <wp:docPr id="270" name="Frame270"/>
                      <a:graphic xmlns:a="http://schemas.openxmlformats.org/drawingml/2006/main">
                        <a:graphicData uri="http://schemas.microsoft.com/office/word/2010/wordprocessingShape">
                          <wps:wsp>
                            <wps:cNvSpPr txBox="1"/>
                            <wps:spPr>
                              <a:xfrm>
                                <a:off x="0" y="0"/>
                                <a:ext cx="1118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shd w:fill="auto" w:val="cle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shd w:fill="auto" w:val="clear"/>
            <w:vAlign w:val="center"/>
          </w:tcPr>
          <w:p>
            <w:pPr>
              <w:pStyle w:val="TableContents"/>
              <w:spacing w:before="0" w:after="0"/>
              <w:ind w:left="0" w:right="0" w:hanging="0"/>
              <w:rPr/>
            </w:pPr>
            <w:r>
              <w:rPr/>
              <w:t>    </w:t>
            </w:r>
          </w:p>
        </w:tc>
        <w:tc>
          <w:tcPr>
            <w:tcW w:w="2707"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Total Number of</w:t>
              <w:br/>
              <w:t>Shares Purchased as a Part of Publicly</w:t>
              <w:br/>
              <w:t>Announced Plans</w:t>
              <w:br/>
              <w:t xml:space="preserve">or Programs </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    </w:t>
            </w:r>
          </w:p>
        </w:tc>
        <w:tc>
          <w:tcPr>
            <w:tcW w:w="207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Programs</w:t>
              <w:br/>
              <w:t xml:space="preserve">($000's) </w:t>
            </w:r>
            <w:r>
              <w:rPr>
                <w:rFonts w:ascii="Times New Roman;Times;serif" w:hAnsi="Times New Roman;Times;serif"/>
                <w:b/>
                <w:sz w:val="15"/>
              </w:rPr>
              <w:t>(1)</w:t>
            </w:r>
          </w:p>
        </w:tc>
      </w:tr>
      <w:tr>
        <w:trPr/>
        <w:tc>
          <w:tcPr>
            <w:tcW w:w="14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1/01/2023 - 1/31/2023</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68" w:type="dxa"/>
            <w:tcBorders/>
            <w:shd w:fill="CCEEFF" w:val="clear"/>
            <w:vAlign w:val="center"/>
          </w:tcPr>
          <w:p>
            <w:pPr>
              <w:pStyle w:val="TableContents"/>
              <w:spacing w:before="0" w:after="0"/>
              <w:ind w:left="0" w:right="0" w:hanging="0"/>
              <w:rPr/>
            </w:pPr>
            <w:r>
              <w:rPr/>
              <w:t>​</w:t>
            </w:r>
          </w:p>
        </w:tc>
        <w:tc>
          <w:tcPr>
            <w:tcW w:w="99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7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145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2/01/2023 - 2/28/2023</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68" w:type="dxa"/>
            <w:tcBorders/>
            <w:shd w:fill="auto" w:val="clear"/>
            <w:vAlign w:val="center"/>
          </w:tcPr>
          <w:p>
            <w:pPr>
              <w:pStyle w:val="TableContents"/>
              <w:spacing w:before="0" w:after="0"/>
              <w:ind w:left="0" w:right="0" w:hanging="0"/>
              <w:rPr/>
            </w:pPr>
            <w:r>
              <w:rPr/>
              <w:t>​</w:t>
            </w:r>
          </w:p>
        </w:tc>
        <w:tc>
          <w:tcPr>
            <w:tcW w:w="99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7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3/01/2023 - 3/31/2023</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303,354</w:t>
            </w:r>
          </w:p>
        </w:tc>
        <w:tc>
          <w:tcPr>
            <w:tcW w:w="326" w:type="dxa"/>
            <w:tcBorders/>
            <w:shd w:fill="CCEEFF" w:val="clear"/>
            <w:vAlign w:val="center"/>
          </w:tcPr>
          <w:p>
            <w:pPr>
              <w:pStyle w:val="TableContents"/>
              <w:spacing w:before="0" w:after="0"/>
              <w:ind w:left="0" w:right="0" w:hanging="0"/>
              <w:rPr/>
            </w:pPr>
            <w:r>
              <w:rPr/>
              <w:t>​</w:t>
            </w:r>
          </w:p>
        </w:tc>
        <w:tc>
          <w:tcPr>
            <w:tcW w:w="3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7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303,354</w:t>
            </w:r>
          </w:p>
        </w:tc>
        <w:tc>
          <w:tcPr>
            <w:tcW w:w="326"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1761" w:type="dxa"/>
            <w:tcBorders/>
            <w:shd w:fill="CCEEFF" w:val="clear"/>
            <w:vAlign w:val="center"/>
          </w:tcPr>
          <w:p>
            <w:pPr>
              <w:pStyle w:val="TableContents"/>
              <w:spacing w:before="0" w:after="0"/>
              <w:ind w:left="0" w:right="0" w:hanging="0"/>
              <w:jc w:val="right"/>
              <w:rPr/>
            </w:pPr>
            <w:r>
              <w:rPr/>
              <w:t>—</w:t>
            </w:r>
          </w:p>
        </w:tc>
      </w:tr>
      <w:tr>
        <w:trPr/>
        <w:tc>
          <w:tcPr>
            <w:tcW w:w="145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13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303,354</w:t>
            </w:r>
          </w:p>
        </w:tc>
        <w:tc>
          <w:tcPr>
            <w:tcW w:w="326" w:type="dxa"/>
            <w:tcBorders/>
            <w:shd w:fill="auto" w:val="clear"/>
            <w:vAlign w:val="center"/>
          </w:tcPr>
          <w:p>
            <w:pPr>
              <w:pStyle w:val="TableContents"/>
              <w:spacing w:before="0" w:after="0"/>
              <w:ind w:left="0" w:right="0" w:hanging="0"/>
              <w:rPr/>
            </w:pPr>
            <w:r>
              <w:rPr/>
              <w:t>​</w:t>
            </w:r>
          </w:p>
        </w:tc>
        <w:tc>
          <w:tcPr>
            <w:tcW w:w="3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shd w:fill="auto" w:val="clear"/>
            <w:vAlign w:val="center"/>
          </w:tcPr>
          <w:p>
            <w:pPr>
              <w:pStyle w:val="TableContents"/>
              <w:spacing w:before="0" w:after="0"/>
              <w:ind w:left="0" w:right="0" w:hanging="0"/>
              <w:rPr/>
            </w:pPr>
            <w:r>
              <w:rPr/>
              <w:t>​</w:t>
            </w:r>
          </w:p>
        </w:tc>
        <w:tc>
          <w:tcPr>
            <w:tcW w:w="2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303,354</w:t>
            </w:r>
          </w:p>
        </w:tc>
        <w:tc>
          <w:tcPr>
            <w:tcW w:w="326"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1761" w:type="dxa"/>
            <w:tcBorders/>
            <w:shd w:fill="auto" w:val="clear"/>
            <w:vAlign w:val="center"/>
          </w:tcPr>
          <w:p>
            <w:pPr>
              <w:pStyle w:val="TableContents"/>
              <w:spacing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lineRule="auto" w:line="240" w:before="0" w:after="0"/>
              <w:jc w:val="both"/>
              <w:rPr>
                <w:rFonts w:ascii="Times New Roman;Times;serif" w:hAnsi="Times New Roman;Times;serif"/>
                <w:sz w:val="11"/>
              </w:rPr>
            </w:pPr>
            <w:r>
              <w:rPr>
                <w:rFonts w:ascii="Times New Roman;Times;serif" w:hAnsi="Times New Roman;Times;serif"/>
                <w:sz w:val="11"/>
              </w:rPr>
              <w:t>(1)</w:t>
            </w:r>
          </w:p>
        </w:tc>
        <w:tc>
          <w:tcPr>
            <w:tcW w:w="9984" w:type="dxa"/>
            <w:tcBorders/>
            <w:shd w:fill="auto" w:val="clear"/>
            <w:vAlign w:val="center"/>
          </w:tcPr>
          <w:p>
            <w:pPr>
              <w:pStyle w:val="TableContents"/>
              <w:spacing w:before="0" w:after="0"/>
              <w:jc w:val="both"/>
              <w:rPr>
                <w:rFonts w:ascii="Times New Roman;Times;serif" w:hAnsi="Times New Roman;Times;serif"/>
                <w:sz w:val="16"/>
              </w:rPr>
            </w:pPr>
            <w:r>
              <w:rPr>
                <w:rFonts w:ascii="Times New Roman;Times;serif" w:hAnsi="Times New Roman;Times;serif"/>
                <w:sz w:val="16"/>
              </w:rPr>
              <w:t>In February 2020, the Board approved a $10.0 million common stock repurchase program, which was announced on February 12, 2020, of which $0.9 million remained available as of December 31, 2022. In February 2023, the Board approved a $5.0 million common stock repurchase program which eliminated the unutilized portion of the February 2020 repurchase program.</w:t>
            </w:r>
          </w:p>
        </w:tc>
      </w:tr>
    </w:tbl>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0" w:after="0"/>
        <w:ind w:left="0" w:right="0" w:hanging="0"/>
        <w:jc w:val="both"/>
        <w:rPr/>
      </w:pPr>
      <w:bookmarkStart w:id="1473" w:name="_8a040396_8455_4a37_9e4a_243e94ab924c"/>
      <w:bookmarkEnd w:id="1473"/>
      <w:r>
        <w:rPr/>
        <w:t>​</w:t>
      </w:r>
    </w:p>
    <w:p>
      <w:pPr>
        <w:pStyle w:val="TextBody"/>
        <w:spacing w:before="0" w:after="0"/>
        <w:ind w:left="0" w:right="0" w:hanging="0"/>
        <w:jc w:val="both"/>
        <w:rPr>
          <w:rFonts w:ascii="Times New Roman;Times;serif" w:hAnsi="Times New Roman;Times;serif"/>
          <w:b/>
          <w:sz w:val="20"/>
        </w:rPr>
      </w:pPr>
      <w:bookmarkStart w:id="1474" w:name="ITEM3DEFAULTSUPONSENIORSECURITIES_987801"/>
      <w:bookmarkEnd w:id="1474"/>
      <w:r>
        <w:rPr>
          <w:rFonts w:ascii="Times New Roman;Times;serif" w:hAnsi="Times New Roman;Times;serif"/>
          <w:b/>
          <w:sz w:val="20"/>
        </w:rPr>
        <w:t>ITEM 3. DEFAULTS UPON SENIOR SECURITIES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spacing w:before="100" w:after="100"/>
        <w:ind w:left="0" w:right="0" w:firstLine="490"/>
        <w:jc w:val="both"/>
        <w:rPr/>
      </w:pPr>
      <w:r>
        <w:rPr/>
        <w:t>​</w:t>
      </w:r>
    </w:p>
    <w:p>
      <w:pPr>
        <w:pStyle w:val="TextBody"/>
        <w:spacing w:before="0" w:after="0"/>
        <w:ind w:left="0" w:right="0" w:hanging="0"/>
        <w:jc w:val="both"/>
        <w:rPr>
          <w:rFonts w:ascii="Times New Roman;Times;serif" w:hAnsi="Times New Roman;Times;serif"/>
          <w:b/>
          <w:sz w:val="20"/>
        </w:rPr>
      </w:pPr>
      <w:bookmarkStart w:id="1475" w:name="ITEM4MINESAFETYDISCLOSURES_773804"/>
      <w:bookmarkStart w:id="1476" w:name="_4f75e434_de63_427d_a2a5_dd53b2180efc"/>
      <w:bookmarkEnd w:id="1475"/>
      <w:bookmarkEnd w:id="1476"/>
      <w:r>
        <w:rPr>
          <w:rFonts w:ascii="Times New Roman;Times;serif" w:hAnsi="Times New Roman;Times;serif"/>
          <w:b/>
          <w:sz w:val="20"/>
        </w:rPr>
        <w:t>ITEM 4. MINE SAFETY DISCLOSURES</w:t>
      </w:r>
    </w:p>
    <w:p>
      <w:pPr>
        <w:pStyle w:val="TextBody"/>
        <w:spacing w:before="100" w:after="100"/>
        <w:ind w:left="0" w:right="0" w:firstLine="49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spacing w:before="100" w:after="100"/>
        <w:ind w:left="0" w:right="0" w:firstLine="490"/>
        <w:jc w:val="both"/>
        <w:rPr/>
      </w:pPr>
      <w:r>
        <w:rPr/>
        <w:t>​</w:t>
      </w:r>
    </w:p>
    <w:p>
      <w:pPr>
        <w:pStyle w:val="TextBody"/>
        <w:spacing w:before="0" w:after="0"/>
        <w:ind w:left="0" w:right="0" w:hanging="0"/>
        <w:jc w:val="both"/>
        <w:rPr>
          <w:rFonts w:ascii="Times New Roman;Times;serif" w:hAnsi="Times New Roman;Times;serif"/>
          <w:b/>
          <w:sz w:val="20"/>
        </w:rPr>
      </w:pPr>
      <w:bookmarkStart w:id="1477" w:name="ITEM5OTHERINFORMATION_783928"/>
      <w:bookmarkStart w:id="1478" w:name="_28fb9be7_1786_4b97_93fb_231cfca578f6"/>
      <w:bookmarkEnd w:id="1477"/>
      <w:bookmarkEnd w:id="1478"/>
      <w:r>
        <w:rPr>
          <w:rFonts w:ascii="Times New Roman;Times;serif" w:hAnsi="Times New Roman;Times;serif"/>
          <w:b/>
          <w:sz w:val="20"/>
        </w:rPr>
        <w:t>ITEM 5. OTHER INFORMATION</w:t>
      </w:r>
    </w:p>
    <w:p>
      <w:pPr>
        <w:pStyle w:val="TextBody"/>
        <w:spacing w:before="0" w:after="0"/>
        <w:ind w:left="0" w:right="0" w:hanging="0"/>
        <w:jc w:val="both"/>
        <w:rPr/>
      </w:pPr>
      <w:r>
        <w:rPr/>
        <w:t>​</w:t>
      </w:r>
    </w:p>
    <w:p>
      <w:pPr>
        <w:pStyle w:val="TextBody"/>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68" w:before="0" w:after="120"/>
        <w:ind w:left="0" w:right="0" w:hanging="0"/>
        <w:rPr>
          <w:rFonts w:ascii="Times New Roman;Times;serif" w:hAnsi="Times New Roman;Times;serif"/>
          <w:b/>
          <w:sz w:val="20"/>
        </w:rPr>
      </w:pPr>
      <w:bookmarkStart w:id="1479" w:name="ITEM6EXHIBITS_552522"/>
      <w:bookmarkStart w:id="1480" w:name="_5f09286b_e3db_4561_99ce_5c675f64fe1a"/>
      <w:bookmarkEnd w:id="1479"/>
      <w:bookmarkEnd w:id="1480"/>
      <w:r>
        <w:rPr>
          <w:rFonts w:ascii="Times New Roman;Times;serif" w:hAnsi="Times New Roman;Times;serif"/>
          <w:b/>
          <w:sz w:val="20"/>
        </w:rPr>
        <w:t>ITEM 6. EXHIBITS</w:t>
      </w:r>
    </w:p>
    <w:p>
      <w:pPr>
        <w:pStyle w:val="TextBody"/>
        <w:spacing w:lineRule="auto" w:line="268" w:before="120" w:after="120"/>
        <w:ind w:left="0" w:right="0" w:hanging="0"/>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CellMar>
          <w:top w:w="0" w:type="dxa"/>
          <w:left w:w="0" w:type="dxa"/>
          <w:bottom w:w="0" w:type="dxa"/>
          <w:right w:w="0" w:type="dxa"/>
        </w:tblCellMar>
      </w:tblPr>
      <w:tblGrid>
        <w:gridCol w:w="1275"/>
        <w:gridCol w:w="266"/>
        <w:gridCol w:w="8664"/>
      </w:tblGrid>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(3.1)</w:t>
            </w:r>
          </w:p>
        </w:tc>
        <w:tc>
          <w:tcPr>
            <w:tcW w:w="266" w:type="dxa"/>
            <w:tcBorders/>
            <w:shd w:fill="auto" w:val="clear"/>
            <w:vAlign w:val="center"/>
          </w:tcPr>
          <w:p>
            <w:pPr>
              <w:pStyle w:val="TableContents"/>
              <w:spacing w:lineRule="auto" w:line="268" w:before="0" w:after="0"/>
              <w:ind w:left="0" w:right="0" w:hanging="0"/>
              <w:rPr/>
            </w:pPr>
            <w:r>
              <w:rPr/>
              <w:t>   </w:t>
            </w:r>
          </w:p>
        </w:tc>
        <w:tc>
          <w:tcPr>
            <w:tcW w:w="8664" w:type="dxa"/>
            <w:tcBorders/>
            <w:shd w:fill="auto" w:val="cle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(3.2)</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r:id="rId3">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(3.3)</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r:id="rId4">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r>
              <w:rPr>
                <w:rFonts w:ascii="Times New Roman;Times;serif" w:hAnsi="Times New Roman;Times;serif"/>
                <w:sz w:val="20"/>
              </w:rPr>
              <w: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(4.1)</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r:id="rId5">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1275" w:type="dxa"/>
            <w:tcBorders/>
            <w:shd w:fill="auto" w:val="clear"/>
            <w:vAlign w:val="center"/>
          </w:tcPr>
          <w:p>
            <w:pPr>
              <w:pStyle w:val="TableContents"/>
              <w:spacing w:lineRule="auto" w:line="268" w:before="0" w:after="0"/>
              <w:ind w:left="0" w:right="0" w:hanging="0"/>
              <w:rPr>
                <w:highlight w:val="yellow"/>
              </w:rPr>
            </w:pPr>
            <w:r>
              <w:rPr>
                <w:highlight w:val="yellow"/>
              </w:rPr>
              <w:t>​</w:t>
            </w:r>
          </w:p>
        </w:tc>
        <w:tc>
          <w:tcPr>
            <w:tcW w:w="266" w:type="dxa"/>
            <w:tcBorders/>
            <w:shd w:fill="auto" w:val="clear"/>
            <w:vAlign w:val="center"/>
          </w:tcPr>
          <w:p>
            <w:pPr>
              <w:pStyle w:val="TableContents"/>
              <w:spacing w:lineRule="auto" w:line="268" w:before="0" w:after="0"/>
              <w:ind w:left="0" w:right="0" w:hanging="0"/>
              <w:rPr>
                <w:highlight w:val="yellow"/>
              </w:rPr>
            </w:pPr>
            <w:r>
              <w:rPr>
                <w:highlight w:val="yellow"/>
              </w:rPr>
              <w:t>​</w:t>
            </w:r>
          </w:p>
        </w:tc>
        <w:tc>
          <w:tcPr>
            <w:tcW w:w="8664" w:type="dxa"/>
            <w:tcBorders/>
            <w:shd w:fill="auto" w:val="clear"/>
            <w:vAlign w:val="center"/>
          </w:tcPr>
          <w:p>
            <w:pPr>
              <w:pStyle w:val="TableContents"/>
              <w:spacing w:lineRule="auto" w:line="268" w:before="0" w:after="0"/>
              <w:ind w:left="0" w:right="0" w:hanging="0"/>
              <w:rPr>
                <w:highlight w:val="yellow"/>
              </w:rPr>
            </w:pPr>
            <w:r>
              <w:rPr>
                <w:highlight w:val="yellow"/>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8"/>
              </w:rPr>
            </w:pPr>
            <w:r>
              <w:rPr>
                <w:rFonts w:ascii="Times New Roman;Times;serif" w:hAnsi="Times New Roman;Times;serif"/>
                <w:sz w:val="19"/>
              </w:rPr>
              <w:t>(10.1)</w:t>
            </w:r>
            <w:r>
              <w:rPr>
                <w:rFonts w:ascii="Times New Roman;Times;serif" w:hAnsi="Times New Roman;Times;serif"/>
                <w:sz w:val="18"/>
              </w:rPr>
              <w:t xml:space="preserve"> †</w:t>
            </w:r>
          </w:p>
        </w:tc>
        <w:tc>
          <w:tcPr>
            <w:tcW w:w="266" w:type="dxa"/>
            <w:tcBorders/>
            <w:shd w:fill="auto" w:val="clear"/>
            <w:vAlign w:val="center"/>
          </w:tcPr>
          <w:p>
            <w:pPr>
              <w:pStyle w:val="TableContents"/>
              <w:spacing w:lineRule="auto" w:line="268" w:before="0" w:after="0"/>
              <w:ind w:left="0" w:right="0" w:hanging="0"/>
              <w:rPr>
                <w:highlight w:val="yellow"/>
              </w:rPr>
            </w:pPr>
            <w:r>
              <w:rPr>
                <w:highlight w:val="yellow"/>
              </w:rPr>
              <w:t>​</w:t>
            </w:r>
          </w:p>
        </w:tc>
        <w:tc>
          <w:tcPr>
            <w:tcW w:w="8664" w:type="dxa"/>
            <w:tcBorders/>
            <w:shd w:fill="auto" w:val="clear"/>
            <w:vAlign w:val="center"/>
          </w:tcPr>
          <w:p>
            <w:pPr>
              <w:pStyle w:val="TableContents"/>
              <w:spacing w:lineRule="auto" w:line="268" w:before="0" w:after="0"/>
              <w:ind w:left="0" w:right="0" w:hanging="0"/>
              <w:rPr/>
            </w:pPr>
            <w:hyperlink w:anchor="cto-20230331xex10d1.htm">
              <w:r>
                <w:rPr>
                  <w:rStyle w:val="InternetLink"/>
                  <w:rFonts w:ascii="Times New Roman;Times;serif" w:hAnsi="Times New Roman;Times;serif"/>
                  <w:b w:val="false"/>
                  <w:i w:val="false"/>
                  <w:caps w:val="false"/>
                  <w:smallCaps w:val="false"/>
                  <w:sz w:val="20"/>
                </w:rPr>
                <w:t>Form of February 17, 2023 Performance Share Award Agreement.</w:t>
              </w:r>
            </w:hyperlink>
          </w:p>
        </w:tc>
      </w:tr>
      <w:tr>
        <w:trPr/>
        <w:tc>
          <w:tcPr>
            <w:tcW w:w="1275" w:type="dxa"/>
            <w:tcBorders/>
            <w:shd w:fill="auto" w:val="clear"/>
            <w:vAlign w:val="center"/>
          </w:tcPr>
          <w:p>
            <w:pPr>
              <w:pStyle w:val="TableContents"/>
              <w:spacing w:lineRule="auto" w:line="268" w:before="0" w:after="0"/>
              <w:ind w:left="0" w:right="0" w:hanging="0"/>
              <w:rPr>
                <w:highlight w:val="yellow"/>
              </w:rPr>
            </w:pPr>
            <w:r>
              <w:rPr>
                <w:highlight w:val="yellow"/>
              </w:rPr>
              <w:t>​</w:t>
            </w:r>
          </w:p>
        </w:tc>
        <w:tc>
          <w:tcPr>
            <w:tcW w:w="266" w:type="dxa"/>
            <w:tcBorders/>
            <w:shd w:fill="auto" w:val="clear"/>
            <w:vAlign w:val="center"/>
          </w:tcPr>
          <w:p>
            <w:pPr>
              <w:pStyle w:val="TableContents"/>
              <w:spacing w:lineRule="auto" w:line="268" w:before="0" w:after="0"/>
              <w:ind w:left="0" w:right="0" w:hanging="0"/>
              <w:rPr>
                <w:highlight w:val="yellow"/>
              </w:rPr>
            </w:pPr>
            <w:r>
              <w:rPr>
                <w:highlight w:val="yellow"/>
              </w:rPr>
              <w:t>​</w:t>
            </w:r>
          </w:p>
        </w:tc>
        <w:tc>
          <w:tcPr>
            <w:tcW w:w="8664" w:type="dxa"/>
            <w:tcBorders/>
            <w:shd w:fill="auto" w:val="clear"/>
            <w:vAlign w:val="center"/>
          </w:tcPr>
          <w:p>
            <w:pPr>
              <w:pStyle w:val="TableContents"/>
              <w:spacing w:lineRule="auto" w:line="268" w:before="0" w:after="0"/>
              <w:ind w:left="0" w:right="0" w:hanging="0"/>
              <w:rPr>
                <w:highlight w:val="yellow"/>
              </w:rPr>
            </w:pPr>
            <w:r>
              <w:rPr>
                <w:highlight w:val="yellow"/>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31.1</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w:anchor="cto-20230331xex31d1.htm">
              <w:r>
                <w:rPr>
                  <w:rStyle w:val="InternetLink"/>
                  <w:rFonts w:ascii="Times New Roman;Times;serif" w:hAnsi="Times New Roman;Times;serif"/>
                  <w:b w:val="false"/>
                  <w:i w:val="false"/>
                  <w:caps w:val="false"/>
                  <w:smallCaps w:val="false"/>
                  <w:sz w:val="18"/>
                </w:rPr>
                <w:t>Certification filed pursuant to Section 302 of the Sarbanes-Oxley Act of 2002</w:t>
              </w:r>
            </w:hyperlink>
            <w:r>
              <w:rPr>
                <w:rFonts w:ascii="Times New Roman;Times;serif" w:hAnsi="Times New Roman;Times;serif"/>
                <w:sz w:val="19"/>
              </w:rPr>
              <w: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31.2</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w:anchor="cto-20230331xex31d2.htm">
              <w:r>
                <w:rPr>
                  <w:rStyle w:val="InternetLink"/>
                  <w:rFonts w:ascii="Times New Roman;Times;serif" w:hAnsi="Times New Roman;Times;serif"/>
                  <w:b w:val="false"/>
                  <w:i w:val="false"/>
                  <w:caps w:val="false"/>
                  <w:smallCaps w:val="false"/>
                  <w:sz w:val="18"/>
                </w:rPr>
                <w:t>Certification filed pursuant to Section 302 of the Sarbanes-Oxley Act of 2002</w:t>
              </w:r>
            </w:hyperlink>
            <w:r>
              <w:rPr>
                <w:rFonts w:ascii="Times New Roman;Times;serif" w:hAnsi="Times New Roman;Times;serif"/>
                <w:sz w:val="19"/>
              </w:rPr>
              <w: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32.1</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w:anchor="cto-20230331xex32d1.htm">
              <w:r>
                <w:rPr>
                  <w:rStyle w:val="InternetLink"/>
                  <w:rFonts w:ascii="Times New Roman;Times;serif" w:hAnsi="Times New Roman;Times;serif"/>
                  <w:b w:val="false"/>
                  <w:i w:val="false"/>
                  <w:caps w:val="false"/>
                  <w:smallCaps w:val="false"/>
                  <w:sz w:val="18"/>
                </w:rPr>
                <w:t>Certification furnished pursuant to 18 U.S.C. Section 1350, as Adopted pursuant to Section 906 of the Sarbanes-Oxley Act of 2002</w:t>
              </w:r>
            </w:hyperlink>
            <w:r>
              <w:rPr>
                <w:rFonts w:ascii="Times New Roman;Times;serif" w:hAnsi="Times New Roman;Times;serif"/>
                <w:sz w:val="19"/>
              </w:rPr>
              <w: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32.2</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hyperlink w:anchor="cto-20230331xex32d2.htm">
              <w:r>
                <w:rPr>
                  <w:rStyle w:val="InternetLink"/>
                  <w:rFonts w:ascii="Times New Roman;Times;serif" w:hAnsi="Times New Roman;Times;serif"/>
                  <w:b w:val="false"/>
                  <w:i w:val="false"/>
                  <w:caps w:val="false"/>
                  <w:smallCaps w:val="false"/>
                  <w:sz w:val="18"/>
                </w:rPr>
                <w:t>Certification furnished pursuant to 18 U.S.C. Section 1350, as Adopted pursuant to Section 906 of the Sarbanes-Oxley Act of 2002</w:t>
              </w:r>
            </w:hyperlink>
            <w:r>
              <w:rPr>
                <w:rFonts w:ascii="Times New Roman;Times;serif" w:hAnsi="Times New Roman;Times;serif"/>
                <w:sz w:val="19"/>
              </w:rPr>
              <w: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101.INS</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Instance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101.SCH</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101.CAL</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101.DEF</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101.LAB</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101.PRE</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75" w:type="dxa"/>
            <w:tcBorders/>
            <w:shd w:fill="auto" w:val="clear"/>
            <w:vAlign w:val="center"/>
          </w:tcPr>
          <w:p>
            <w:pPr>
              <w:pStyle w:val="TableContents"/>
              <w:spacing w:lineRule="auto" w:line="268" w:before="0" w:after="0"/>
              <w:ind w:left="0" w:right="0" w:hanging="0"/>
              <w:rPr/>
            </w:pPr>
            <w:r>
              <w:rPr/>
              <w:t>​</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pPr>
            <w:r>
              <w:rPr/>
              <w:t>​</w:t>
            </w:r>
          </w:p>
        </w:tc>
      </w:tr>
      <w:tr>
        <w:trPr/>
        <w:tc>
          <w:tcPr>
            <w:tcW w:w="1275"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Exhibit 104</w:t>
            </w:r>
          </w:p>
        </w:tc>
        <w:tc>
          <w:tcPr>
            <w:tcW w:w="266" w:type="dxa"/>
            <w:tcBorders/>
            <w:shd w:fill="auto" w:val="clear"/>
            <w:vAlign w:val="center"/>
          </w:tcPr>
          <w:p>
            <w:pPr>
              <w:pStyle w:val="TableContents"/>
              <w:spacing w:lineRule="auto" w:line="268" w:before="0" w:after="0"/>
              <w:ind w:left="0" w:right="0" w:hanging="0"/>
              <w:rPr/>
            </w:pPr>
            <w:r>
              <w:rPr/>
              <w:t>​</w:t>
            </w:r>
          </w:p>
        </w:tc>
        <w:tc>
          <w:tcPr>
            <w:tcW w:w="8664" w:type="dxa"/>
            <w:tcBorders/>
            <w:shd w:fill="auto" w:val="clear"/>
            <w:vAlign w:val="center"/>
          </w:tcPr>
          <w:p>
            <w:pPr>
              <w:pStyle w:val="TableContents"/>
              <w:spacing w:lineRule="auto" w:line="268" w:before="0" w:after="0"/>
              <w:ind w:left="0" w:right="0" w:hanging="0"/>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p>
            <w:pPr>
              <w:pStyle w:val="TableContents"/>
              <w:spacing w:lineRule="auto" w:line="268"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99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spacing w:before="0" w:after="0"/>
              <w:ind w:left="0" w:right="0" w:hanging="0"/>
              <w:jc w:val="both"/>
              <w:rPr/>
            </w:pPr>
            <w:r>
              <w:rPr/>
              <w:t>​</w:t>
            </w:r>
          </w:p>
        </w:tc>
      </w:tr>
    </w:tbl>
    <w:tbl>
      <w:tblPr>
        <w:tblW w:w="387" w:type="dxa"/>
        <w:jc w:val="left"/>
        <w:tblInd w:w="0" w:type="dxa"/>
        <w:tblCellMar>
          <w:top w:w="0" w:type="dxa"/>
          <w:left w:w="0" w:type="dxa"/>
          <w:bottom w:w="0" w:type="dxa"/>
          <w:right w:w="0" w:type="dxa"/>
        </w:tblCellMar>
      </w:tblPr>
      <w:tblGrid>
        <w:gridCol w:w="124"/>
        <w:gridCol w:w="109"/>
        <w:gridCol w:w="154"/>
      </w:tblGrid>
      <w:tr>
        <w:trPr/>
        <w:tc>
          <w:tcPr>
            <w:tcW w:w="124" w:type="dxa"/>
            <w:tcBorders/>
            <w:shd w:fill="auto" w:val="clear"/>
            <w:vAlign w:val="center"/>
          </w:tcPr>
          <w:p>
            <w:pPr>
              <w:pStyle w:val="TableContents"/>
              <w:spacing w:lineRule="auto" w:line="268" w:before="0" w:after="0"/>
              <w:ind w:left="0" w:right="0" w:hanging="0"/>
              <w:rPr/>
            </w:pPr>
            <w:r>
              <w:rPr/>
              <w:t>​</w:t>
            </w:r>
          </w:p>
        </w:tc>
        <w:tc>
          <w:tcPr>
            <w:tcW w:w="109" w:type="dxa"/>
            <w:tcBorders/>
            <w:shd w:fill="auto" w:val="clear"/>
            <w:vAlign w:val="center"/>
          </w:tcPr>
          <w:p>
            <w:pPr>
              <w:pStyle w:val="TableContents"/>
              <w:spacing w:lineRule="auto" w:line="268" w:before="0" w:after="0"/>
              <w:ind w:left="0" w:right="0" w:hanging="0"/>
              <w:rPr/>
            </w:pPr>
            <w:r>
              <w:rPr/>
              <w:t>​</w:t>
            </w:r>
          </w:p>
        </w:tc>
        <w:tc>
          <w:tcPr>
            <w:tcW w:w="154" w:type="dxa"/>
            <w:tcBorders/>
            <w:shd w:fill="auto" w:val="clear"/>
            <w:vAlign w:val="center"/>
          </w:tcPr>
          <w:p>
            <w:pPr>
              <w:pStyle w:val="TableContents"/>
              <w:spacing w:lineRule="auto" w:line="268" w:before="0" w:after="0"/>
              <w:ind w:left="0" w:right="0" w:hanging="0"/>
              <w:rPr/>
            </w:pPr>
            <w:r>
              <w:rPr/>
              <w:t>​</w:t>
            </w:r>
          </w:p>
        </w:tc>
      </w:tr>
    </w:tbl>
    <w:tbl>
      <w:tblPr>
        <w:tblW w:w="5267" w:type="dxa"/>
        <w:jc w:val="left"/>
        <w:tblInd w:w="0" w:type="dxa"/>
        <w:tblCellMar>
          <w:top w:w="0" w:type="dxa"/>
          <w:left w:w="0" w:type="dxa"/>
          <w:bottom w:w="0" w:type="dxa"/>
          <w:right w:w="0" w:type="dxa"/>
        </w:tblCellMar>
      </w:tblPr>
      <w:tblGrid>
        <w:gridCol w:w="241"/>
        <w:gridCol w:w="5026"/>
      </w:tblGrid>
      <w:tr>
        <w:trPr/>
        <w:tc>
          <w:tcPr>
            <w:tcW w:w="241" w:type="dxa"/>
            <w:tcBorders/>
            <w:shd w:fill="auto" w:val="clear"/>
            <w:vAlign w:val="center"/>
          </w:tcPr>
          <w:p>
            <w:pPr>
              <w:pStyle w:val="TableContents"/>
              <w:spacing w:before="0" w:after="0"/>
              <w:ind w:left="0" w:right="0" w:hanging="0"/>
              <w:rPr/>
            </w:pPr>
            <w:r>
              <w:rPr/>
              <w:t>†</w:t>
            </w:r>
          </w:p>
        </w:tc>
        <w:tc>
          <w:tcPr>
            <w:tcW w:w="50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p>
      <w:pPr>
        <w:pStyle w:val="TextBody"/>
        <w:spacing w:before="0" w:after="0"/>
        <w:ind w:left="0" w:right="0" w:hanging="0"/>
        <w:rPr/>
      </w:pPr>
      <w:r>
        <w:rPr/>
        <w:t>​</w:t>
      </w:r>
    </w:p>
    <w:p>
      <w:pPr>
        <w:pStyle w:val="TextBody"/>
        <w:spacing w:before="0" w:after="0"/>
        <w:ind w:left="0" w:right="0" w:hanging="0"/>
        <w:jc w:val="center"/>
        <w:rPr/>
      </w:pPr>
      <w:bookmarkStart w:id="1481" w:name="_574086d5_254c_4e47_9776_25891983038a"/>
      <w:bookmarkEnd w:id="1481"/>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482" w:name="Signatures_930257"/>
      <w:bookmarkEnd w:id="1482"/>
      <w:r>
        <w:rPr>
          <w:rFonts w:ascii="Times New Roman;Times;serif" w:hAnsi="Times New Roman;Times;serif"/>
          <w:b/>
          <w:sz w:val="20"/>
        </w:rPr>
        <w:t>SIGNATURES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9213" w:type="dxa"/>
        <w:jc w:val="left"/>
        <w:tblInd w:w="0" w:type="dxa"/>
        <w:tblCellMar>
          <w:top w:w="0" w:type="dxa"/>
          <w:left w:w="0" w:type="dxa"/>
          <w:bottom w:w="0" w:type="dxa"/>
          <w:right w:w="0" w:type="dxa"/>
        </w:tblCellMar>
      </w:tblPr>
      <w:tblGrid>
        <w:gridCol w:w="1306"/>
        <w:gridCol w:w="146"/>
        <w:gridCol w:w="406"/>
        <w:gridCol w:w="109"/>
        <w:gridCol w:w="7246"/>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29310" cy="175260"/>
                      <wp:effectExtent l="0" t="0" r="0" b="0"/>
                      <wp:wrapNone/>
                      <wp:docPr id="271" name="Frame271"/>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2710" cy="175260"/>
                      <wp:effectExtent l="0" t="0" r="0" b="0"/>
                      <wp:wrapNone/>
                      <wp:docPr id="272" name="Frame27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57810" cy="175260"/>
                      <wp:effectExtent l="0" t="0" r="0" b="0"/>
                      <wp:wrapNone/>
                      <wp:docPr id="273" name="Frame273"/>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601210" cy="175260"/>
                      <wp:effectExtent l="0" t="0" r="0" b="0"/>
                      <wp:wrapNone/>
                      <wp:docPr id="275" name="Frame275"/>
                      <a:graphic xmlns:a="http://schemas.openxmlformats.org/drawingml/2006/main">
                        <a:graphicData uri="http://schemas.microsoft.com/office/word/2010/wordprocessingShape">
                          <wps:wsp>
                            <wps:cNvSpPr txBox="1"/>
                            <wps:spPr>
                              <a:xfrm>
                                <a:off x="0" y="0"/>
                                <a:ext cx="460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7761"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CTO REALTY GROWTH, INC.</w: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7761"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(Registrant)</w:t>
            </w:r>
          </w:p>
        </w:tc>
      </w:tr>
      <w:tr>
        <w:trPr/>
        <w:tc>
          <w:tcPr>
            <w:tcW w:w="1306" w:type="dxa"/>
            <w:tcBorders/>
            <w:shd w:fill="auto" w:val="clear"/>
            <w:vAlign w:val="center"/>
          </w:tcPr>
          <w:p>
            <w:pPr>
              <w:pStyle w:val="TableContents"/>
              <w:spacing w:before="0" w:after="0"/>
              <w:ind w:left="0" w:right="0" w:hanging="0"/>
              <w:rPr/>
            </w:pPr>
            <w:r>
              <w:rPr/>
              <w:t>​</w:t>
            </w:r>
          </w:p>
        </w:tc>
        <w:tc>
          <w:tcPr>
            <w:tcW w:w="552" w:type="dxa"/>
            <w:gridSpan w:val="2"/>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4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27, 2023</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72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P. Albright</w: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46" w:type="dxa"/>
            <w:tcBorders>
              <w:top w:val="single" w:sz="2" w:space="0" w:color="000000"/>
            </w:tcBorders>
            <w:shd w:fill="auto" w:val="clear"/>
            <w:tcMar>
              <w:top w:w="28" w:type="dxa"/>
            </w:tcMar>
            <w:vAlign w:val="center"/>
          </w:tcPr>
          <w:p>
            <w:pPr>
              <w:pStyle w:val="TableContents"/>
              <w:spacing w:before="0" w:after="0"/>
              <w:ind w:left="0" w:right="16" w:hanging="0"/>
              <w:rPr>
                <w:rFonts w:ascii="Times New Roman;Times;serif" w:hAnsi="Times New Roman;Times;serif"/>
                <w:b/>
                <w:sz w:val="20"/>
              </w:rPr>
            </w:pPr>
            <w:r>
              <w:rPr>
                <w:rFonts w:ascii="Times New Roman;Times;serif" w:hAnsi="Times New Roman;Times;serif"/>
                <w:b/>
                <w:sz w:val="20"/>
              </w:rPr>
              <w:t>John P. Albright</w:t>
            </w:r>
          </w:p>
          <w:p>
            <w:pPr>
              <w:pStyle w:val="TableContents"/>
              <w:spacing w:before="0" w:after="0"/>
              <w:ind w:left="0" w:right="16" w:hanging="0"/>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Executive Officer)</w:t>
            </w:r>
          </w:p>
        </w:tc>
      </w:tr>
      <w:tr>
        <w:trPr/>
        <w:tc>
          <w:tcPr>
            <w:tcW w:w="1306" w:type="dxa"/>
            <w:tcBorders/>
            <w:shd w:fill="auto" w:val="clear"/>
            <w:vAlign w:val="center"/>
          </w:tcPr>
          <w:p>
            <w:pPr>
              <w:pStyle w:val="TableContents"/>
              <w:spacing w:before="0" w:after="0"/>
              <w:ind w:left="0" w:right="0" w:hanging="0"/>
              <w:rPr/>
            </w:pPr>
            <w:r>
              <w:rPr/>
              <w:t>​</w:t>
            </w:r>
          </w:p>
        </w:tc>
        <w:tc>
          <w:tcPr>
            <w:tcW w:w="552" w:type="dxa"/>
            <w:gridSpan w:val="2"/>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4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27, 2023</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72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Matthew M. Partridge</w: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Matthew M. Partridge, Senior Vice President, Chief Financial Officer and Treasurer</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Financial Officer)</w:t>
            </w:r>
          </w:p>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27, 2023</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before="0" w:after="0"/>
              <w:ind w:left="0" w:right="0" w:hanging="0"/>
              <w:rPr/>
            </w:pPr>
            <w:r>
              <w:rPr/>
              <w:t>​</w:t>
            </w:r>
          </w:p>
        </w:tc>
        <w:tc>
          <w:tcPr>
            <w:tcW w:w="72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Lisa M. Vorakoun</w: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Lisa M. Vorakoun, Vice President and</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Chief Accounting Officer </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Accounting Officer)</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r>
        <w:br w:type="page"/>
      </w:r>
    </w:p>
    <w:p>
      <w:pPr>
        <w:pStyle w:val="TextBody"/>
        <w:spacing w:before="0" w:after="120"/>
        <w:ind w:left="0" w:right="0" w:hanging="0"/>
        <w:jc w:val="right"/>
        <w:rPr>
          <w:rFonts w:ascii="Times New Roman;Times;serif" w:hAnsi="Times New Roman;Times;serif"/>
          <w:b/>
          <w:sz w:val="24"/>
        </w:rPr>
      </w:pPr>
      <w:bookmarkStart w:id="1483" w:name="cto-20230331xex10d1.htm"/>
      <w:bookmarkStart w:id="1484" w:name="kscto20230331xex10d1"/>
      <w:bookmarkEnd w:id="1483"/>
      <w:bookmarkEnd w:id="1484"/>
      <w:r>
        <w:rPr>
          <w:rFonts w:ascii="Times New Roman;Times;serif" w:hAnsi="Times New Roman;Times;serif"/>
          <w:b/>
          <w:sz w:val="24"/>
        </w:rPr>
        <w:t>Exhibit 10.1</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CTO REALTY GROWTH, INC.</w:t>
        <w:br/>
        <w:t>PERFORMANCE SHARE AWARD AGREEMENT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caps/>
          <w:sz w:val="24"/>
        </w:rPr>
        <w:t>Performance Share Award Agreement</w:t>
      </w:r>
      <w:r>
        <w:rPr>
          <w:rFonts w:ascii="Times New Roman;Times;serif" w:hAnsi="Times New Roman;Times;serif"/>
          <w:sz w:val="24"/>
        </w:rPr>
        <w:t xml:space="preserve"> (this “Agreement”) is made as of the 17</w:t>
      </w:r>
      <w:r>
        <w:rPr>
          <w:rFonts w:ascii="Times New Roman;Times;serif" w:hAnsi="Times New Roman;Times;serif"/>
          <w:sz w:val="18"/>
        </w:rPr>
        <w:t xml:space="preserve">th </w:t>
      </w:r>
      <w:r>
        <w:rPr>
          <w:rFonts w:ascii="Times New Roman;Times;serif" w:hAnsi="Times New Roman;Times;serif"/>
          <w:sz w:val="24"/>
        </w:rPr>
        <w:t>day of February, 2023 (the “Grant Date”), by and between CTO REALTY GROWTH, INC., a Maryland corporation (the “Company”), and __________________ (“Grantee”).</w:t>
      </w:r>
    </w:p>
    <w:p>
      <w:pPr>
        <w:pStyle w:val="TextBody"/>
        <w:spacing w:before="0" w:after="240"/>
        <w:ind w:left="0" w:right="0" w:hanging="0"/>
        <w:jc w:val="center"/>
        <w:rPr>
          <w:rFonts w:ascii="Times New Roman Bold" w:hAnsi="Times New Roman Bold"/>
          <w:b/>
          <w:caps/>
          <w:sz w:val="24"/>
        </w:rPr>
      </w:pPr>
      <w:r>
        <w:rPr>
          <w:rFonts w:ascii="Times New Roman Bold" w:hAnsi="Times New Roman Bold"/>
          <w:b/>
          <w:caps/>
          <w:sz w:val="24"/>
        </w:rPr>
        <w:t>Background</w:t>
      </w:r>
    </w:p>
    <w:p>
      <w:pPr>
        <w:pStyle w:val="TextBody"/>
        <w:spacing w:before="0" w:after="240"/>
        <w:ind w:left="0" w:right="0" w:firstLine="720"/>
        <w:jc w:val="both"/>
        <w:rPr>
          <w:rFonts w:ascii="Times New Roman;Times;serif" w:hAnsi="Times New Roman;Times;serif"/>
          <w:sz w:val="24"/>
        </w:rPr>
      </w:pPr>
      <w:bookmarkStart w:id="1485" w:name="_Hlk63258333"/>
      <w:bookmarkEnd w:id="1485"/>
      <w:r>
        <w:rPr>
          <w:rFonts w:ascii="Times New Roman;Times;serif" w:hAnsi="Times New Roman;Times;serif"/>
          <w:sz w:val="24"/>
        </w:rPr>
        <w:t>The Company has adopted the Fourth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has granted Performance Shares to Grantee as of the Grant Date pursuant to the terms of the Plan and this Agreement. Grantee desires to accept the grant of Performance Shares and agrees to be bound by the terms and conditions of the Plan and this Agreement. Unless otherwise defined herein, capitalized terms used herein shall have the meaning ascribed to such terms in the Plan.</w:t>
      </w:r>
    </w:p>
    <w:p>
      <w:pPr>
        <w:pStyle w:val="TextBody"/>
        <w:spacing w:before="0" w:after="240"/>
        <w:ind w:left="0" w:right="0" w:hanging="0"/>
        <w:jc w:val="center"/>
        <w:rPr>
          <w:rFonts w:ascii="Times New Roman Bold" w:hAnsi="Times New Roman Bold"/>
          <w:b/>
          <w:caps/>
          <w:sz w:val="24"/>
        </w:rPr>
      </w:pPr>
      <w:r>
        <w:rPr>
          <w:rFonts w:ascii="Times New Roman Bold" w:hAnsi="Times New Roman Bold"/>
          <w:b/>
          <w:caps/>
          <w:sz w:val="24"/>
        </w:rPr>
        <w:t>Agreement</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1.</w:t>
      </w:r>
      <w:r>
        <w:rPr>
          <w:rFonts w:ascii="Times New Roman;Times;serif" w:hAnsi="Times New Roman;Times;serif"/>
          <w:sz w:val="24"/>
          <w:u w:val="single"/>
        </w:rPr>
        <w:t>Award of Performance Shares</w:t>
      </w:r>
      <w:r>
        <w:rPr>
          <w:rFonts w:ascii="Times New Roman;Times;serif" w:hAnsi="Times New Roman;Times;serif"/>
          <w:sz w:val="24"/>
        </w:rPr>
        <w:t>. Subject to the terms and conditions provided in this Agreement and the Plan, the Company hereby grants to Grantee _______________________ ___________________ (_______) Performance Shares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2.</w:t>
      </w:r>
      <w:r>
        <w:rPr>
          <w:rFonts w:ascii="Times New Roman;Times;serif" w:hAnsi="Times New Roman;Times;serif"/>
          <w:sz w:val="24"/>
          <w:u w:val="single"/>
        </w:rPr>
        <w:t>Performance Vesting</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(a)</w:t>
      </w:r>
      <w:r>
        <w:rPr>
          <w:rFonts w:ascii="Times New Roman;Times;serif" w:hAnsi="Times New Roman;Times;serif"/>
          <w:sz w:val="24"/>
        </w:rPr>
        <w:t xml:space="preserve">The vesting of Grantee’s rights and interest in the Performance Shares shall be determined in accordance with the performance vesting criteria set forth in </w:t>
      </w:r>
      <w:r>
        <w:rPr>
          <w:rFonts w:ascii="Times New Roman;Times;serif" w:hAnsi="Times New Roman;Times;serif"/>
          <w:b/>
          <w:sz w:val="24"/>
        </w:rPr>
        <w:t>Exhibit A</w:t>
      </w:r>
      <w:r>
        <w:rPr>
          <w:rFonts w:ascii="Times New Roman;Times;serif" w:hAnsi="Times New Roman;Times;serif"/>
          <w:sz w:val="24"/>
        </w:rPr>
        <w:t xml:space="preserve"> hereto. In addition to such vesting criteria, Grantee must remain in continuous employment with the Company or one of its Subsidiaries from the Grant Date through either (i) the date of a “Qualifying Termination” (as defined below), (ii) the date of a “Qualifying CIC Termination” (as defined below) or (iii) the end of the Performance Period, as applicable, in order to have a vested and nonforfeitable right to the Performance Shares. Any termination of employment, other than a Qualifying Termination or a Qualifying CIC Termination, prior to the end of the Performance Period shall result in the forfeiture of the Performance Shares. The Performance Shares shall be settled in shares of the Company’s Common Stock, par value $0.01 per share, within sixty (60) days following either the end of the Performance Period or the date of the Qualifying Termination or the Qualifying CIC Termination, as applicable.</w:t>
      </w:r>
    </w:p>
    <w:p>
      <w:pPr>
        <w:pStyle w:val="TextBody"/>
        <w:spacing w:before="0" w:after="240"/>
        <w:ind w:left="720" w:right="0" w:firstLine="72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(b)</w:t>
      </w:r>
      <w:r>
        <w:rPr>
          <w:rFonts w:ascii="Times New Roman;Times;serif" w:hAnsi="Times New Roman;Times;serif"/>
          <w:sz w:val="24"/>
        </w:rPr>
        <w:t>“</w:t>
      </w:r>
      <w:r>
        <w:rPr>
          <w:rFonts w:ascii="Times New Roman;Times;serif" w:hAnsi="Times New Roman;Times;serif"/>
          <w:sz w:val="24"/>
          <w:u w:val="single"/>
        </w:rPr>
        <w:t>Cause</w:t>
      </w:r>
      <w:r>
        <w:rPr>
          <w:rFonts w:ascii="Times New Roman;Times;serif" w:hAnsi="Times New Roman;Times;serif"/>
          <w:sz w:val="24"/>
        </w:rPr>
        <w:t xml:space="preserve">” shall have the meaning ascribed to such term in Grantee’s employment or similar agreement with the Company; provided, that if Grantee is not a </w:t>
        <w:b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party to such an agreement with the Company, then “Cause” shall mean (i) Grantee’s arrest or conviction for, plea of </w:t>
      </w:r>
      <w:r>
        <w:rPr>
          <w:rFonts w:ascii="Times New Roman;Times;serif" w:hAnsi="Times New Roman;Times;serif"/>
          <w:i/>
          <w:sz w:val="24"/>
        </w:rPr>
        <w:t>nolo contendere</w:t>
      </w:r>
      <w:r>
        <w:rPr>
          <w:rFonts w:ascii="Times New Roman;Times;serif" w:hAnsi="Times New Roman;Times;serif"/>
          <w:sz w:val="24"/>
        </w:rPr>
        <w:t xml:space="preserve"> to, or admission of the commission of, any act of fraud, misappropriation, or embezzlement, or a criminal felony involving dishonesty or moral turpitude; (ii) 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 (iv) 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(c)</w:t>
      </w:r>
      <w:r>
        <w:rPr>
          <w:rFonts w:ascii="Times New Roman;Times;serif" w:hAnsi="Times New Roman;Times;serif"/>
          <w:sz w:val="24"/>
        </w:rPr>
        <w:t>“</w:t>
      </w:r>
      <w:r>
        <w:rPr>
          <w:rFonts w:ascii="Times New Roman;Times;serif" w:hAnsi="Times New Roman;Times;serif"/>
          <w:sz w:val="24"/>
          <w:u w:val="single"/>
        </w:rPr>
        <w:t>Change in Control</w:t>
      </w:r>
      <w:r>
        <w:rPr>
          <w:rFonts w:ascii="Times New Roman;Times;serif" w:hAnsi="Times New Roman;Times;serif"/>
          <w:sz w:val="24"/>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pStyle w:val="TextBody"/>
        <w:spacing w:before="0" w:after="0"/>
        <w:ind w:left="720" w:right="0" w:firstLine="72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(d)</w:t>
      </w:r>
      <w:r>
        <w:rPr>
          <w:rFonts w:ascii="Times New Roman;Times;serif" w:hAnsi="Times New Roman;Times;serif"/>
          <w:sz w:val="24"/>
        </w:rPr>
        <w:t>“</w:t>
      </w:r>
      <w:r>
        <w:rPr>
          <w:rFonts w:ascii="Times New Roman;Times;serif" w:hAnsi="Times New Roman;Times;serif"/>
          <w:sz w:val="24"/>
          <w:u w:val="single"/>
        </w:rPr>
        <w:t>Good Reason</w:t>
      </w:r>
      <w:r>
        <w:rPr>
          <w:rFonts w:ascii="Times New Roman;Times;serif" w:hAnsi="Times New Roman;Times;serif"/>
          <w:sz w:val="24"/>
        </w:rPr>
        <w:t xml:space="preserve">”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 </w:t>
        <w:b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(60) days following the effective date of the occurrence of the Good Reason, and the Good Reason remains uncorrected by the Company for more than thirty (30) days following such written notice of the Good Reason from Grantee to the Company, and the effective date of Grantee’s termination of employment is within one (1) year following the effective date of the occurrence of the Good Reason.</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(e)</w:t>
      </w:r>
      <w:r>
        <w:rPr>
          <w:rFonts w:ascii="Times New Roman;Times;serif" w:hAnsi="Times New Roman;Times;serif"/>
          <w:sz w:val="24"/>
        </w:rPr>
        <w:t>“</w:t>
      </w:r>
      <w:r>
        <w:rPr>
          <w:rFonts w:ascii="Times New Roman;Times;serif" w:hAnsi="Times New Roman;Times;serif"/>
          <w:sz w:val="24"/>
          <w:u w:val="single"/>
        </w:rPr>
        <w:t>Qualifying Termination</w:t>
      </w:r>
      <w:r>
        <w:rPr>
          <w:rFonts w:ascii="Times New Roman;Times;serif" w:hAnsi="Times New Roman;Times;serif"/>
          <w:sz w:val="24"/>
        </w:rPr>
        <w:t xml:space="preserve">” means, during the Performance Period, (i) the termination of Grantee’s employment by the Company or one of its Subsidiaries without “Cause” (as defined above) or (ii) Grantee </w:t>
      </w:r>
      <w:bookmarkStart w:id="1486" w:name="_Hlk106783269"/>
      <w:bookmarkEnd w:id="1486"/>
      <w:r>
        <w:rPr>
          <w:rFonts w:ascii="Times New Roman;Times;serif" w:hAnsi="Times New Roman;Times;serif"/>
          <w:sz w:val="24"/>
        </w:rPr>
        <w:t>voluntarily terminates employment for “Good Reason” (as defined above). The date of a Qualifying Termination will be the date that a “separation from service” occurs as such term is defined in Treasury Regulation 1.409A-1(h).</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(f)</w:t>
      </w:r>
      <w:r>
        <w:rPr>
          <w:rFonts w:ascii="Times New Roman;Times;serif" w:hAnsi="Times New Roman;Times;serif"/>
          <w:sz w:val="24"/>
        </w:rPr>
        <w:t>“</w:t>
      </w:r>
      <w:r>
        <w:rPr>
          <w:rFonts w:ascii="Times New Roman;Times;serif" w:hAnsi="Times New Roman;Times;serif"/>
          <w:sz w:val="24"/>
          <w:u w:val="single"/>
        </w:rPr>
        <w:t>Qualifying CIC Termination</w:t>
      </w:r>
      <w:r>
        <w:rPr>
          <w:rFonts w:ascii="Times New Roman;Times;serif" w:hAnsi="Times New Roman;Times;serif"/>
          <w:sz w:val="24"/>
        </w:rPr>
        <w:t>” means, during the Performance Period, (i) the termination of Grantee’s employment by the Company or one of its Subsidiaries without “Cause” (as defined above) or (ii) Grantee voluntarily terminates employment for “Good Reason” (as defined above), in each case, at any time during the 24-month period following a Change in Control (as defined above).</w:t>
      </w:r>
    </w:p>
    <w:p>
      <w:pPr>
        <w:pStyle w:val="TextBody"/>
        <w:spacing w:before="0" w:after="240"/>
        <w:ind w:left="0" w:right="0" w:hanging="0"/>
        <w:rPr>
          <w:rFonts w:ascii="Times New Roman;Times;serif" w:hAnsi="Times New Roman;Times;serif"/>
          <w:sz w:val="24"/>
        </w:rPr>
      </w:pPr>
      <w:r>
        <w:rPr>
          <w:rFonts w:ascii="Times New Roman;Times;serif" w:hAnsi="Times New Roman;Times;serif"/>
          <w:b w:val="false"/>
          <w:i w:val="false"/>
          <w:caps w:val="false"/>
          <w:smallCaps w:val="false"/>
          <w:color w:val="010000"/>
          <w:sz w:val="24"/>
        </w:rPr>
        <w:t>3.</w:t>
      </w:r>
      <w:r>
        <w:rPr>
          <w:rFonts w:ascii="Times New Roman;Times;serif" w:hAnsi="Times New Roman;Times;serif"/>
          <w:sz w:val="24"/>
          <w:u w:val="single"/>
        </w:rPr>
        <w:t>Shareholder Rights; Restrictions on Transfer</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(a)</w:t>
      </w:r>
      <w:r>
        <w:rPr>
          <w:rFonts w:ascii="Times New Roman;Times;serif" w:hAnsi="Times New Roman;Times;serif"/>
          <w:sz w:val="24"/>
        </w:rPr>
        <w:t>Grantee shall not have any right to vote any Performance Shares and shall not receive any dividends with respect to any unvested Performance Shares. 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(b)</w:t>
      </w:r>
      <w:r>
        <w:rPr>
          <w:rFonts w:ascii="Times New Roman;Times;serif" w:hAnsi="Times New Roman;Times;serif"/>
          <w:sz w:val="24"/>
        </w:rPr>
        <w:t>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4.</w:t>
      </w:r>
      <w:r>
        <w:rPr>
          <w:rFonts w:ascii="Times New Roman;Times;serif" w:hAnsi="Times New Roman;Times;serif"/>
          <w:sz w:val="24"/>
          <w:u w:val="single"/>
        </w:rPr>
        <w:t>Taxes</w:t>
      </w:r>
      <w:r>
        <w:rPr>
          <w:rFonts w:ascii="Times New Roman;Times;serif" w:hAnsi="Times New Roman;Times;serif"/>
          <w:sz w:val="24"/>
        </w:rPr>
        <w:t>. Grantee shall pay to the Company all applicable federal, state and local income and employment taxes (including taxes of any foreign jurisdiction) which the Company is required to withhold at any time with respect to the Performance Shares. Such payment shall be 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5.</w:t>
      </w:r>
      <w:r>
        <w:rPr>
          <w:rFonts w:ascii="Times New Roman;Times;serif" w:hAnsi="Times New Roman;Times;serif"/>
          <w:sz w:val="24"/>
          <w:u w:val="single"/>
        </w:rPr>
        <w:t>No Effect on Employment or Rights under Plan</w:t>
      </w:r>
      <w:r>
        <w:rPr>
          <w:rFonts w:ascii="Times New Roman;Times;serif" w:hAnsi="Times New Roman;Times;serif"/>
          <w:sz w:val="24"/>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pStyle w:val="TextBody"/>
        <w:spacing w:before="0" w:after="240"/>
        <w:ind w:left="0" w:right="0" w:hanging="0"/>
        <w:rPr>
          <w:rFonts w:ascii="Times New Roman;Times;serif" w:hAnsi="Times New Roman;Times;serif"/>
          <w:sz w:val="24"/>
        </w:rPr>
      </w:pPr>
      <w:r>
        <w:rPr>
          <w:rFonts w:ascii="Times New Roman;Times;serif" w:hAnsi="Times New Roman;Times;serif"/>
          <w:b w:val="false"/>
          <w:i w:val="false"/>
          <w:caps w:val="false"/>
          <w:smallCaps w:val="false"/>
          <w:color w:val="010000"/>
          <w:sz w:val="24"/>
        </w:rPr>
        <w:t>6.</w:t>
      </w:r>
      <w:r>
        <w:rPr>
          <w:rFonts w:ascii="Times New Roman;Times;serif" w:hAnsi="Times New Roman;Times;serif"/>
          <w:sz w:val="24"/>
          <w:u w:val="single"/>
        </w:rPr>
        <w:t>Governing Law; Compliance with Law</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(a)</w:t>
      </w:r>
      <w:r>
        <w:rPr>
          <w:rFonts w:ascii="Times New Roman;Times;serif" w:hAnsi="Times New Roman;Times;serif"/>
          <w:sz w:val="24"/>
        </w:rPr>
        <w:t>This Agreement shall be construed and enforced in accordance with the laws of the State of Florida without regard to conflict of law principles.</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(b)</w:t>
      </w:r>
      <w:r>
        <w:rPr>
          <w:rFonts w:ascii="Times New Roman;Times;serif" w:hAnsi="Times New Roman;Times;serif"/>
          <w:sz w:val="24"/>
        </w:rPr>
        <w:t>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pStyle w:val="TextBody"/>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(c)</w:t>
      </w:r>
      <w:r>
        <w:rPr>
          <w:rFonts w:ascii="Times New Roman;Times;serif" w:hAnsi="Times New Roman;Times;serif"/>
          <w:sz w:val="24"/>
        </w:rPr>
        <w:t>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7.</w:t>
      </w:r>
      <w:r>
        <w:rPr>
          <w:rFonts w:ascii="Times New Roman;Times;serif" w:hAnsi="Times New Roman;Times;serif"/>
          <w:sz w:val="24"/>
          <w:u w:val="single"/>
        </w:rPr>
        <w:t>Successors</w:t>
      </w:r>
      <w:r>
        <w:rPr>
          <w:rFonts w:ascii="Times New Roman;Times;serif" w:hAnsi="Times New Roman;Times;serif"/>
          <w:sz w:val="24"/>
        </w:rPr>
        <w:t>. This Agreement shall inure to the benefit of, and be binding upon, the Company and Grantee and their heirs, legal representatives, successors and permitted assigns.</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8.</w:t>
      </w:r>
      <w:r>
        <w:rPr>
          <w:rFonts w:ascii="Times New Roman;Times;serif" w:hAnsi="Times New Roman;Times;serif"/>
          <w:sz w:val="24"/>
          <w:u w:val="single"/>
        </w:rPr>
        <w:t>Severability</w:t>
      </w:r>
      <w:r>
        <w:rPr>
          <w:rFonts w:ascii="Times New Roman;Times;serif" w:hAnsi="Times New Roman;Times;serif"/>
          <w:sz w:val="24"/>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9.</w:t>
      </w:r>
      <w:r>
        <w:rPr>
          <w:rFonts w:ascii="Times New Roman;Times;serif" w:hAnsi="Times New Roman;Times;serif"/>
          <w:sz w:val="24"/>
          <w:u w:val="single"/>
        </w:rPr>
        <w:t>Entire Agreement</w:t>
      </w:r>
      <w:r>
        <w:rPr>
          <w:rFonts w:ascii="Times New Roman;Times;serif" w:hAnsi="Times New Roman;Times;serif"/>
          <w:sz w:val="24"/>
        </w:rPr>
        <w:t>. Subject to the terms and conditions of the Plan, which are incorporated herein by reference, this Agreement expresses the entire understanding and agreement of the parties hereto with respect to such terms, restrictions and limitations.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10.</w:t>
      </w:r>
      <w:r>
        <w:rPr>
          <w:rFonts w:ascii="Times New Roman;Times;serif" w:hAnsi="Times New Roman;Times;serif"/>
          <w:sz w:val="24"/>
          <w:u w:val="single"/>
        </w:rPr>
        <w:t>Headings</w:t>
      </w:r>
      <w:r>
        <w:rPr>
          <w:rFonts w:ascii="Times New Roman;Times;serif" w:hAnsi="Times New Roman;Times;serif"/>
          <w:sz w:val="24"/>
        </w:rPr>
        <w:t>. Section headings used herein are for convenience of reference only and shall not be considered in construing this Agreement.</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11.</w:t>
      </w:r>
      <w:r>
        <w:rPr>
          <w:rFonts w:ascii="Times New Roman;Times;serif" w:hAnsi="Times New Roman;Times;serif"/>
          <w:sz w:val="24"/>
          <w:u w:val="single"/>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12.</w:t>
      </w:r>
      <w:r>
        <w:rPr>
          <w:rFonts w:ascii="Times New Roman;Times;serif" w:hAnsi="Times New Roman;Times;serif"/>
          <w:sz w:val="24"/>
          <w:u w:val="single"/>
        </w:rPr>
        <w:t>No Impact on Other Benefits</w:t>
      </w:r>
      <w:r>
        <w:rPr>
          <w:rFonts w:ascii="Times New Roman;Times;serif" w:hAnsi="Times New Roman;Times;serif"/>
          <w:sz w:val="24"/>
        </w:rPr>
        <w:t>. The value of the Performance Shares is not part of Grantee’s normal or expected compensation for purposes of calculating any severance, retirement, welfare, insurance or similar employee benefit.</w:t>
      </w:r>
    </w:p>
    <w:p>
      <w:pPr>
        <w:pStyle w:val="TextBody"/>
        <w:spacing w:before="0" w:after="48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13.</w:t>
      </w:r>
      <w:r>
        <w:rPr>
          <w:rFonts w:ascii="Times New Roman;Times;serif" w:hAnsi="Times New Roman;Times;serif"/>
          <w:sz w:val="24"/>
          <w:u w:val="single"/>
        </w:rPr>
        <w:t>Additional Acknowledgements</w:t>
      </w:r>
      <w:r>
        <w:rPr>
          <w:rFonts w:ascii="Times New Roman;Times;serif" w:hAnsi="Times New Roman;Times;serif"/>
          <w:sz w:val="24"/>
        </w:rPr>
        <w:t>. By their signatures below, Grantee and the Company agree that the Performance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[The balance of this page is intentionally blank.]</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480"/>
        <w:ind w:left="0" w:right="0" w:firstLine="720"/>
        <w:jc w:val="both"/>
        <w:rPr>
          <w:rFonts w:ascii="Times New Roman;Times;serif" w:hAnsi="Times New Roman;Times;serif"/>
          <w:sz w:val="24"/>
        </w:rPr>
      </w:pPr>
      <w:r>
        <w:rPr>
          <w:rFonts w:ascii="Times New Roman;Times;serif" w:hAnsi="Times New Roman;Times;serif"/>
          <w:sz w:val="24"/>
        </w:rPr>
        <w:t>IN WITNESS WHEREOF, the Company and Grantee have executed this Agreement as of the Grant Date set forth above.</w:t>
      </w:r>
    </w:p>
    <w:tbl>
      <w:tblPr>
        <w:tblW w:w="3544" w:type="dxa"/>
        <w:jc w:val="left"/>
        <w:tblInd w:w="0" w:type="dxa"/>
        <w:tblCellMar>
          <w:top w:w="0" w:type="dxa"/>
          <w:left w:w="0" w:type="dxa"/>
          <w:bottom w:w="0" w:type="dxa"/>
          <w:right w:w="0" w:type="dxa"/>
        </w:tblCellMar>
      </w:tblPr>
      <w:tblGrid>
        <w:gridCol w:w="124"/>
        <w:gridCol w:w="1284"/>
        <w:gridCol w:w="1790"/>
        <w:gridCol w:w="346"/>
      </w:tblGrid>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pPr>
            <w:r>
              <w:rPr/>
              <w:t>​</w:t>
            </w:r>
          </w:p>
        </w:tc>
        <w:tc>
          <w:tcPr>
            <w:tcW w:w="1790"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420"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CTO REALTY GROWTH, INC.</w:t>
            </w:r>
          </w:p>
        </w:tc>
      </w:tr>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pPr>
            <w:r>
              <w:rPr/>
              <w:t>​</w:t>
            </w:r>
          </w:p>
        </w:tc>
        <w:tc>
          <w:tcPr>
            <w:tcW w:w="1790"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pPr>
            <w:r>
              <w:rPr/>
              <w:t>​</w:t>
            </w:r>
          </w:p>
        </w:tc>
        <w:tc>
          <w:tcPr>
            <w:tcW w:w="1790"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 </w:t>
            </w:r>
          </w:p>
        </w:tc>
        <w:tc>
          <w:tcPr>
            <w:tcW w:w="2136"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pPr>
            <w:r>
              <w:rPr/>
              <w:t>​</w:t>
            </w:r>
          </w:p>
        </w:tc>
        <w:tc>
          <w:tcPr>
            <w:tcW w:w="1790"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 </w:t>
            </w:r>
          </w:p>
        </w:tc>
        <w:tc>
          <w:tcPr>
            <w:tcW w:w="3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284" w:type="dxa"/>
            <w:tcBorders/>
            <w:shd w:fill="auto" w:val="clear"/>
            <w:vAlign w:val="center"/>
          </w:tcPr>
          <w:p>
            <w:pPr>
              <w:pStyle w:val="TableContents"/>
              <w:spacing w:before="0" w:after="0"/>
              <w:ind w:left="0" w:right="0" w:hanging="0"/>
              <w:rPr/>
            </w:pPr>
            <w:r>
              <w:rPr/>
              <w:t>​</w:t>
            </w:r>
          </w:p>
        </w:tc>
        <w:tc>
          <w:tcPr>
            <w:tcW w:w="179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46" w:type="dxa"/>
            <w:tcBorders/>
            <w:shd w:fill="auto" w:val="clear"/>
            <w:vAlign w:val="center"/>
          </w:tcPr>
          <w:p>
            <w:pPr>
              <w:pStyle w:val="TableContents"/>
              <w:spacing w:before="0" w:after="0"/>
              <w:ind w:left="0" w:right="0" w:hanging="0"/>
              <w:rPr/>
            </w:pPr>
            <w:r>
              <w:rPr/>
              <w:t>​</w:t>
            </w:r>
          </w:p>
        </w:tc>
      </w:tr>
    </w:tbl>
    <w:p>
      <w:pPr>
        <w:pStyle w:val="TextBody"/>
        <w:spacing w:before="480" w:after="480"/>
        <w:ind w:left="0" w:right="0" w:firstLine="720"/>
        <w:jc w:val="both"/>
        <w:rPr>
          <w:rFonts w:ascii="Times New Roman;Times;serif" w:hAnsi="Times New Roman;Times;serif"/>
          <w:sz w:val="24"/>
        </w:rPr>
      </w:pPr>
      <w:r>
        <w:rPr>
          <w:rFonts w:ascii="Times New Roman;Times;serif" w:hAnsi="Times New Roman;Times;serif"/>
          <w:sz w:val="24"/>
        </w:rPr>
        <w:t>I have read the Fourth Amended and Restated CTO Realty Growth, Inc. 2010 Equity Incentive Plan originally adopted by the Company’s stockholders on April 28, 2010, last amended, amended February 16, 2023, and by my signature I agree to be bound by the terms and conditions of said Plan and this Agreement.</w:t>
      </w:r>
    </w:p>
    <w:tbl>
      <w:tblPr>
        <w:tblW w:w="1690" w:type="dxa"/>
        <w:jc w:val="left"/>
        <w:tblInd w:w="0" w:type="dxa"/>
        <w:tblCellMar>
          <w:top w:w="0" w:type="dxa"/>
          <w:left w:w="0" w:type="dxa"/>
          <w:bottom w:w="0" w:type="dxa"/>
          <w:right w:w="0" w:type="dxa"/>
        </w:tblCellMar>
      </w:tblPr>
      <w:tblGrid>
        <w:gridCol w:w="691"/>
        <w:gridCol w:w="109"/>
        <w:gridCol w:w="109"/>
        <w:gridCol w:w="781"/>
      </w:tblGrid>
      <w:tr>
        <w:trPr/>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6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691"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VESTING OF PERFORMANCE SHARES (3-YEAR PERFORMANCE)</w:t>
      </w:r>
    </w:p>
    <w:p>
      <w:pPr>
        <w:pStyle w:val="TextBody"/>
        <w:spacing w:before="0" w:after="240"/>
        <w:ind w:left="0" w:right="0" w:hanging="0"/>
        <w:rPr>
          <w:rFonts w:ascii="Times New Roman;Times;serif" w:hAnsi="Times New Roman;Times;serif"/>
          <w:sz w:val="24"/>
        </w:rPr>
      </w:pPr>
      <w:r>
        <w:rPr>
          <w:rFonts w:ascii="Times New Roman;Times;serif" w:hAnsi="Times New Roman;Times;serif"/>
          <w:b w:val="false"/>
          <w:i w:val="false"/>
          <w:caps w:val="false"/>
          <w:smallCaps w:val="false"/>
          <w:color w:val="010000"/>
          <w:sz w:val="24"/>
        </w:rPr>
        <w:t>1.</w:t>
      </w:r>
      <w:r>
        <w:rPr>
          <w:rFonts w:ascii="Times New Roman;Times;serif" w:hAnsi="Times New Roman;Times;serif"/>
          <w:sz w:val="24"/>
          <w:u w:val="single"/>
        </w:rPr>
        <w:t>Vesting of Performance Shares</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Except in the event of a Qualifying Termination or a Qualifying CIC Termination (each as defined in the Agreement), 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Notwithstanding the foregoing, (a) in the case of a Qualifying Termination prior to the expiration of the Performance Period, the percentage of Performance Shares that vest pursuant to the Agreement shall be the greater of (i) the percentage of Performance Shares that would vest based on the Total Shareholder Return achieved by the Company as if the Performance Period had ended on the date of the Qualifying Termination, as determined and certified by the Committee, </w:t>
      </w:r>
      <w:r>
        <w:rPr>
          <w:rFonts w:ascii="Times New Roman;Times;serif" w:hAnsi="Times New Roman;Times;serif"/>
          <w:i/>
          <w:sz w:val="24"/>
        </w:rPr>
        <w:t>multiplied by</w:t>
      </w:r>
      <w:r>
        <w:rPr>
          <w:rFonts w:ascii="Times New Roman;Times;serif" w:hAnsi="Times New Roman;Times;serif"/>
          <w:sz w:val="24"/>
        </w:rPr>
        <w:t xml:space="preserve"> a fraction, the denominator of which is the total number of days in the original Performance Period and the numerator of which is the number of days from the beginning of the Performance Period to the date of the Qualifying Termination or (ii) 100% of the Performance Shares; and (b) in the case of a Qualifying CIC Termination prior to the expiration of the Performance Period, the number of Performance Shares that vest pursuant to the Agreement shall be 150% of the Performance Shares.</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2.</w:t>
      </w:r>
      <w:r>
        <w:rPr>
          <w:rFonts w:ascii="Times New Roman;Times;serif" w:hAnsi="Times New Roman;Times;serif"/>
          <w:sz w:val="24"/>
          <w:u w:val="single"/>
        </w:rPr>
        <w:t>Determination of Comparison Group</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sz w:val="24"/>
          <w:u w:val="single"/>
        </w:rPr>
        <w:t>Comparison Group</w:t>
      </w:r>
      <w:r>
        <w:rPr>
          <w:rFonts w:ascii="Times New Roman;Times;serif" w:hAnsi="Times New Roman;Times;serif"/>
          <w:sz w:val="24"/>
        </w:rPr>
        <w:t xml:space="preserve">” used for purposes of this </w:t>
      </w:r>
      <w:r>
        <w:rPr>
          <w:rFonts w:ascii="Times New Roman;Times;serif" w:hAnsi="Times New Roman;Times;serif"/>
          <w:b/>
          <w:sz w:val="24"/>
        </w:rPr>
        <w:t>Exhibit A</w:t>
      </w:r>
      <w:r>
        <w:rPr>
          <w:rFonts w:ascii="Times New Roman;Times;serif" w:hAnsi="Times New Roman;Times;serif"/>
          <w:sz w:val="24"/>
        </w:rPr>
        <w:t xml:space="preserve"> shall consist of the companies comprising the MSCI US REIT Index as of the date of this Agreement, which companies are listed on the attached </w:t>
      </w:r>
      <w:r>
        <w:rPr>
          <w:rFonts w:ascii="Times New Roman;Times;serif" w:hAnsi="Times New Roman;Times;serif"/>
          <w:b/>
          <w:sz w:val="24"/>
        </w:rPr>
        <w:t>Schedule A-1</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is acquired by another company in the Comparison Group, the acquired company will be removed from the Comparison Group and the surviving company will remain in the Comparison Group.</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If a company in the Comparison Group is acquired by a company not in the Comparison Group, the acquired company will remain in the Comparison Group, and its Ending Stock Price </w:t>
        <w:b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p>
      <w:pPr>
        <w:pStyle w:val="HorizontalLine"/>
        <w:rPr/>
      </w:pPr>
      <w:r>
        <w:rPr/>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will be equal to the value per share of the consideration paid to the shareholders of the acquired company in the transaction. The surviving company in such transaction will not be added to the Comparison Group.</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pStyle w:val="TextBody"/>
        <w:spacing w:before="0" w:after="240"/>
        <w:ind w:left="0" w:right="0" w:hanging="0"/>
        <w:rPr>
          <w:rFonts w:ascii="Times New Roman;Times;serif" w:hAnsi="Times New Roman;Times;serif"/>
          <w:sz w:val="24"/>
        </w:rPr>
      </w:pPr>
      <w:r>
        <w:rPr>
          <w:rFonts w:ascii="Times New Roman;Times;serif" w:hAnsi="Times New Roman;Times;serif"/>
          <w:b w:val="false"/>
          <w:i w:val="false"/>
          <w:caps w:val="false"/>
          <w:smallCaps w:val="false"/>
          <w:color w:val="010000"/>
          <w:sz w:val="24"/>
        </w:rPr>
        <w:t>3.</w:t>
      </w:r>
      <w:r>
        <w:rPr>
          <w:rFonts w:ascii="Times New Roman;Times;serif" w:hAnsi="Times New Roman;Times;serif"/>
          <w:sz w:val="24"/>
          <w:u w:val="single"/>
        </w:rPr>
        <w:t>Calculation of Total Shareholder Return</w:t>
      </w:r>
      <w:r>
        <w:rPr>
          <w:rFonts w:ascii="Times New Roman;Times;serif" w:hAnsi="Times New Roman;Times;serif"/>
          <w:sz w:val="24"/>
        </w:rPr>
        <w:t>:</w:t>
      </w:r>
    </w:p>
    <w:p>
      <w:pPr>
        <w:pStyle w:val="TextBody"/>
        <w:spacing w:before="0" w:after="240"/>
        <w:ind w:left="0" w:right="0" w:firstLine="720"/>
        <w:jc w:val="both"/>
        <w:rPr/>
      </w:pPr>
      <w:r>
        <w:rPr/>
        <w:t>“</w:t>
      </w:r>
      <w:r>
        <w:rPr>
          <w:rFonts w:ascii="Times New Roman;Times;serif" w:hAnsi="Times New Roman;Times;serif"/>
          <w:sz w:val="24"/>
        </w:rPr>
        <w:t>Total Shareholder Return” for the Company and each company in the Comparison Group shall include dividends paid and shall be determined as follows:</w:t>
      </w:r>
    </w:p>
    <w:tbl>
      <w:tblPr>
        <w:tblW w:w="9083" w:type="dxa"/>
        <w:jc w:val="center"/>
        <w:tblInd w:w="0" w:type="dxa"/>
        <w:tblCellMar>
          <w:top w:w="0" w:type="dxa"/>
          <w:left w:w="0" w:type="dxa"/>
          <w:bottom w:w="0" w:type="dxa"/>
          <w:right w:w="0" w:type="dxa"/>
        </w:tblCellMar>
      </w:tblPr>
      <w:tblGrid>
        <w:gridCol w:w="2521"/>
        <w:gridCol w:w="241"/>
        <w:gridCol w:w="3931"/>
        <w:gridCol w:w="109"/>
        <w:gridCol w:w="2281"/>
      </w:tblGrid>
      <w:tr>
        <w:trPr/>
        <w:tc>
          <w:tcPr>
            <w:tcW w:w="2521" w:type="dxa"/>
            <w:vMerge w:val="restart"/>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Total Shareholder Return</w:t>
            </w:r>
          </w:p>
        </w:tc>
        <w:tc>
          <w:tcPr>
            <w:tcW w:w="241" w:type="dxa"/>
            <w:vMerge w:val="restart"/>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w:t>
            </w:r>
          </w:p>
        </w:tc>
        <w:tc>
          <w:tcPr>
            <w:tcW w:w="3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Change in Stock Price + Dividends Paid</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22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521" w:type="dxa"/>
            <w:vMerge w:val="continue"/>
            <w:tcBorders/>
            <w:shd w:fill="auto" w:val="clear"/>
            <w:vAlign w:val="center"/>
          </w:tcPr>
          <w:p>
            <w:pPr>
              <w:pStyle w:val="Normal"/>
              <w:rPr/>
            </w:pPr>
            <w:r>
              <w:rPr/>
            </w:r>
          </w:p>
        </w:tc>
        <w:tc>
          <w:tcPr>
            <w:tcW w:w="241" w:type="dxa"/>
            <w:vMerge w:val="continue"/>
            <w:tcBorders/>
            <w:shd w:fill="auto" w:val="clear"/>
            <w:vAlign w:val="center"/>
          </w:tcPr>
          <w:p>
            <w:pPr>
              <w:pStyle w:val="Normal"/>
              <w:rPr/>
            </w:pPr>
            <w:r>
              <w:rPr/>
            </w:r>
          </w:p>
        </w:tc>
        <w:tc>
          <w:tcPr>
            <w:tcW w:w="393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28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Beginning Stock Price</w:t>
            </w:r>
          </w:p>
        </w:tc>
      </w:tr>
    </w:tbl>
    <w:p>
      <w:pPr>
        <w:pStyle w:val="TextBody"/>
        <w:spacing w:before="240" w:after="240"/>
        <w:ind w:left="0" w:right="0" w:firstLine="720"/>
        <w:jc w:val="both"/>
        <w:rPr/>
      </w:pPr>
      <w:r>
        <w:rPr/>
        <w:t>“</w:t>
      </w:r>
      <w:r>
        <w:rPr>
          <w:rFonts w:ascii="Times New Roman;Times;serif" w:hAnsi="Times New Roman;Times;serif"/>
          <w:sz w:val="24"/>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pStyle w:val="TextBody"/>
        <w:spacing w:before="0" w:after="240"/>
        <w:ind w:left="0" w:right="0" w:firstLine="720"/>
        <w:jc w:val="both"/>
        <w:rPr/>
      </w:pPr>
      <w:r>
        <w:rPr/>
        <w:t>“</w:t>
      </w:r>
      <w:r>
        <w:rPr>
          <w:rFonts w:ascii="Times New Roman;Times;serif" w:hAnsi="Times New Roman;Times;serif"/>
          <w:sz w:val="24"/>
        </w:rPr>
        <w:t>Change in Stock Price” shall mean the difference between the Ending Stock Price and the Beginning Stock Price.</w:t>
      </w:r>
    </w:p>
    <w:p>
      <w:pPr>
        <w:pStyle w:val="TextBody"/>
        <w:spacing w:before="0" w:after="240"/>
        <w:ind w:left="0" w:right="0" w:firstLine="720"/>
        <w:jc w:val="both"/>
        <w:rPr/>
      </w:pPr>
      <w:r>
        <w:rPr/>
        <w:t>“</w:t>
      </w:r>
      <w:r>
        <w:rPr>
          <w:rFonts w:ascii="Times New Roman;Times;serif" w:hAnsi="Times New Roman;Times;serif"/>
          <w:sz w:val="24"/>
        </w:rPr>
        <w:t>Dividends Paid” shall mean the total of all cash and in-kind dividends paid on (1) share of stock during the Performance Period.</w:t>
      </w:r>
    </w:p>
    <w:p>
      <w:pPr>
        <w:pStyle w:val="TextBody"/>
        <w:spacing w:before="0" w:after="240"/>
        <w:ind w:left="0" w:right="0" w:firstLine="720"/>
        <w:jc w:val="both"/>
        <w:rPr/>
      </w:pPr>
      <w:r>
        <w:rPr/>
        <w:t>“</w:t>
      </w:r>
      <w:r>
        <w:rPr>
          <w:rFonts w:ascii="Times New Roman;Times;serif" w:hAnsi="Times New Roman;Times;serif"/>
          <w:sz w:val="24"/>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pStyle w:val="TextBody"/>
        <w:spacing w:before="0" w:after="240"/>
        <w:ind w:left="0" w:right="0" w:firstLine="720"/>
        <w:jc w:val="both"/>
        <w:rPr/>
      </w:pPr>
      <w:r>
        <w:rPr/>
        <w:t>“</w:t>
      </w:r>
      <w:r>
        <w:rPr>
          <w:rFonts w:ascii="Times New Roman;Times;serif" w:hAnsi="Times New Roman;Times;serif"/>
          <w:sz w:val="24"/>
        </w:rPr>
        <w:t>Performance Period” shall mean the period commencing on January 1, 2023 and ending on December 31, 2025.</w:t>
      </w:r>
    </w:p>
    <w:p>
      <w:pPr>
        <w:pStyle w:val="TextBody"/>
        <w:spacing w:before="0" w:after="240"/>
        <w:ind w:left="0" w:right="0" w:hanging="0"/>
        <w:rPr>
          <w:rFonts w:ascii="Times New Roman;Times;serif" w:hAnsi="Times New Roman;Times;serif"/>
          <w:sz w:val="24"/>
        </w:rPr>
      </w:pPr>
      <w:r>
        <w:rPr>
          <w:rFonts w:ascii="Times New Roman;Times;serif" w:hAnsi="Times New Roman;Times;serif"/>
          <w:b w:val="false"/>
          <w:i w:val="false"/>
          <w:caps w:val="false"/>
          <w:smallCaps w:val="false"/>
          <w:color w:val="010000"/>
          <w:sz w:val="24"/>
        </w:rPr>
        <w:t>4.</w:t>
      </w:r>
      <w:r>
        <w:rPr>
          <w:rFonts w:ascii="Times New Roman;Times;serif" w:hAnsi="Times New Roman;Times;serif"/>
          <w:sz w:val="24"/>
          <w:u w:val="single"/>
        </w:rPr>
        <w:t>Calculation of Percentile Rank</w:t>
      </w:r>
      <w:r>
        <w:rPr>
          <w:rFonts w:ascii="Times New Roman;Times;serif" w:hAnsi="Times New Roman;Times;serif"/>
          <w:sz w:val="24"/>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Following the Total Shareholder Return determination for the Company and the companies in the Comparison Group, the “Company Rank” within the Comparison Group shall be determined by listing each company in the Comparison Group (including the Company) from the highest Total </w:t>
        <w:b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p>
      <w:pPr>
        <w:pStyle w:val="HorizontalLine"/>
        <w:rPr/>
      </w:pPr>
      <w:r>
        <w:rPr/>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Shareholder Return to lowest Total Shareholder Return and counting up to the Company from the company with the lowest Total Shareholder Return.</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Company’s “Percentile Rank” shall then be determined as follows:</w:t>
      </w:r>
    </w:p>
    <w:tbl>
      <w:tblPr>
        <w:tblW w:w="10205" w:type="dxa"/>
        <w:jc w:val="center"/>
        <w:tblInd w:w="0" w:type="dxa"/>
        <w:tblCellMar>
          <w:top w:w="0" w:type="dxa"/>
          <w:left w:w="0" w:type="dxa"/>
          <w:bottom w:w="0" w:type="dxa"/>
          <w:right w:w="0" w:type="dxa"/>
        </w:tblCellMar>
      </w:tblPr>
      <w:tblGrid>
        <w:gridCol w:w="2632"/>
        <w:gridCol w:w="241"/>
        <w:gridCol w:w="2569"/>
        <w:gridCol w:w="109"/>
        <w:gridCol w:w="4654"/>
      </w:tblGrid>
      <w:tr>
        <w:trPr/>
        <w:tc>
          <w:tcPr>
            <w:tcW w:w="2632" w:type="dxa"/>
            <w:vMerge w:val="restart"/>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Percentile Rank for Comparison Group</w:t>
            </w:r>
          </w:p>
        </w:tc>
        <w:tc>
          <w:tcPr>
            <w:tcW w:w="241" w:type="dxa"/>
            <w:vMerge w:val="restart"/>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w:t>
            </w:r>
          </w:p>
        </w:tc>
        <w:tc>
          <w:tcPr>
            <w:tcW w:w="256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Company Rank in Comparison Group</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46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632" w:type="dxa"/>
            <w:vMerge w:val="continue"/>
            <w:tcBorders/>
            <w:shd w:fill="auto" w:val="clear"/>
            <w:vAlign w:val="center"/>
          </w:tcPr>
          <w:p>
            <w:pPr>
              <w:pStyle w:val="Normal"/>
              <w:rPr/>
            </w:pPr>
            <w:r>
              <w:rPr/>
            </w:r>
          </w:p>
        </w:tc>
        <w:tc>
          <w:tcPr>
            <w:tcW w:w="241" w:type="dxa"/>
            <w:vMerge w:val="continue"/>
            <w:tcBorders/>
            <w:shd w:fill="auto" w:val="clear"/>
            <w:vAlign w:val="center"/>
          </w:tcPr>
          <w:p>
            <w:pPr>
              <w:pStyle w:val="Normal"/>
              <w:rPr/>
            </w:pPr>
            <w:r>
              <w:rPr/>
            </w:r>
          </w:p>
        </w:tc>
        <w:tc>
          <w:tcPr>
            <w:tcW w:w="256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654"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Total Number of Companies in the Comparison Group Including the Company</w:t>
            </w:r>
          </w:p>
        </w:tc>
      </w:tr>
    </w:tbl>
    <w:p>
      <w:pPr>
        <w:pStyle w:val="TextBody"/>
        <w:spacing w:before="240" w:after="240"/>
        <w:ind w:left="0" w:right="0" w:firstLine="720"/>
        <w:jc w:val="both"/>
        <w:rPr>
          <w:rFonts w:ascii="Times New Roman;Times;serif" w:hAnsi="Times New Roman;Times;serif"/>
          <w:sz w:val="24"/>
        </w:rPr>
      </w:pPr>
      <w:bookmarkStart w:id="1487" w:name="_Hlk29569813"/>
      <w:bookmarkEnd w:id="1487"/>
      <w:r>
        <w:rPr>
          <w:rFonts w:ascii="Times New Roman;Times;serif" w:hAnsi="Times New Roman;Times;serif"/>
          <w:sz w:val="24"/>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10000"/>
          <w:sz w:val="24"/>
        </w:rPr>
        <w:t>5.</w:t>
      </w:r>
      <w:r>
        <w:rPr>
          <w:rFonts w:ascii="Times New Roman;Times;serif" w:hAnsi="Times New Roman;Times;serif"/>
          <w:sz w:val="24"/>
          <w:u w:val="single"/>
        </w:rPr>
        <w:t>Calculation of Number of Vested Performance Shares</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percent of Performance Shares that vest shall then be determined based on the following chart:</w:t>
      </w:r>
    </w:p>
    <w:tbl>
      <w:tblPr>
        <w:tblW w:w="6681" w:type="dxa"/>
        <w:jc w:val="center"/>
        <w:tblInd w:w="0" w:type="dxa"/>
        <w:tblCellMar>
          <w:top w:w="0" w:type="dxa"/>
          <w:left w:w="0" w:type="dxa"/>
          <w:bottom w:w="0" w:type="dxa"/>
          <w:right w:w="0" w:type="dxa"/>
        </w:tblCellMar>
      </w:tblPr>
      <w:tblGrid>
        <w:gridCol w:w="2776"/>
        <w:gridCol w:w="109"/>
        <w:gridCol w:w="3796"/>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3796" w:type="dxa"/>
            <w:tcBorders/>
            <w:shd w:fill="auto" w:val="clear"/>
            <w:vAlign w:val="center"/>
          </w:tcPr>
          <w:p>
            <w:pPr>
              <w:pStyle w:val="TableContents"/>
              <w:spacing w:before="0" w:after="283"/>
              <w:ind w:left="0" w:right="0" w:hanging="0"/>
              <w:rPr>
                <w:sz w:val="4"/>
                <w:szCs w:val="4"/>
              </w:rPr>
            </w:pPr>
            <w:r>
              <w:rPr>
                <w:sz w:val="4"/>
                <w:szCs w:val="4"/>
              </w:rPr>
            </w:r>
          </w:p>
        </w:tc>
      </w:tr>
      <w:tr>
        <w:trPr/>
        <w:tc>
          <w:tcPr>
            <w:tcW w:w="27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Company’s Percentile Rank</w:t>
            </w:r>
          </w:p>
        </w:tc>
        <w:tc>
          <w:tcPr>
            <w:tcW w:w="109" w:type="dxa"/>
            <w:tcBorders/>
            <w:shd w:fill="auto" w:val="clear"/>
            <w:vAlign w:val="center"/>
          </w:tcPr>
          <w:p>
            <w:pPr>
              <w:pStyle w:val="TableContents"/>
              <w:spacing w:before="0" w:after="0"/>
              <w:ind w:left="0" w:right="0" w:hanging="0"/>
              <w:jc w:val="center"/>
              <w:rPr/>
            </w:pPr>
            <w:r>
              <w:rPr/>
              <w:t>​</w:t>
            </w:r>
          </w:p>
        </w:tc>
        <w:tc>
          <w:tcPr>
            <w:tcW w:w="3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Percent of Performance Shares to Vest</w:t>
            </w:r>
          </w:p>
        </w:tc>
      </w:tr>
      <w:tr>
        <w:trPr/>
        <w:tc>
          <w:tcPr>
            <w:tcW w:w="27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67</w:t>
            </w:r>
            <w:r>
              <w:rPr>
                <w:rFonts w:ascii="Times New Roman;Times;serif" w:hAnsi="Times New Roman;Times;serif"/>
                <w:sz w:val="18"/>
              </w:rPr>
              <w:t>th</w:t>
            </w:r>
            <w:r>
              <w:rPr>
                <w:rFonts w:ascii="Times New Roman;Times;serif" w:hAnsi="Times New Roman;Times;serif"/>
                <w:sz w:val="24"/>
              </w:rPr>
              <w:t xml:space="preserve"> and above</w:t>
            </w:r>
          </w:p>
        </w:tc>
        <w:tc>
          <w:tcPr>
            <w:tcW w:w="109" w:type="dxa"/>
            <w:tcBorders/>
            <w:shd w:fill="auto" w:val="clear"/>
            <w:vAlign w:val="center"/>
          </w:tcPr>
          <w:p>
            <w:pPr>
              <w:pStyle w:val="TableContents"/>
              <w:spacing w:before="0" w:after="0"/>
              <w:ind w:left="0" w:right="0" w:hanging="0"/>
              <w:jc w:val="center"/>
              <w:rPr/>
            </w:pPr>
            <w:r>
              <w:rPr/>
              <w:t>​</w:t>
            </w:r>
          </w:p>
        </w:tc>
        <w:tc>
          <w:tcPr>
            <w:tcW w:w="379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150%</w:t>
            </w:r>
          </w:p>
        </w:tc>
      </w:tr>
      <w:tr>
        <w:trPr/>
        <w:tc>
          <w:tcPr>
            <w:tcW w:w="27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51</w:t>
            </w:r>
            <w:r>
              <w:rPr>
                <w:rFonts w:ascii="Times New Roman;Times;serif" w:hAnsi="Times New Roman;Times;serif"/>
                <w:sz w:val="18"/>
              </w:rPr>
              <w:t>st</w:t>
            </w:r>
          </w:p>
        </w:tc>
        <w:tc>
          <w:tcPr>
            <w:tcW w:w="109" w:type="dxa"/>
            <w:tcBorders/>
            <w:shd w:fill="auto" w:val="clear"/>
            <w:vAlign w:val="center"/>
          </w:tcPr>
          <w:p>
            <w:pPr>
              <w:pStyle w:val="TableContents"/>
              <w:spacing w:before="0" w:after="0"/>
              <w:ind w:left="0" w:right="0" w:hanging="0"/>
              <w:jc w:val="center"/>
              <w:rPr/>
            </w:pPr>
            <w:r>
              <w:rPr/>
              <w:t>​</w:t>
            </w:r>
          </w:p>
        </w:tc>
        <w:tc>
          <w:tcPr>
            <w:tcW w:w="379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100%</w:t>
            </w:r>
          </w:p>
        </w:tc>
      </w:tr>
      <w:tr>
        <w:trPr/>
        <w:tc>
          <w:tcPr>
            <w:tcW w:w="27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18"/>
              </w:rPr>
              <w:t>th</w:t>
            </w:r>
          </w:p>
        </w:tc>
        <w:tc>
          <w:tcPr>
            <w:tcW w:w="109" w:type="dxa"/>
            <w:tcBorders/>
            <w:shd w:fill="auto" w:val="clear"/>
            <w:vAlign w:val="center"/>
          </w:tcPr>
          <w:p>
            <w:pPr>
              <w:pStyle w:val="TableContents"/>
              <w:spacing w:before="0" w:after="0"/>
              <w:ind w:left="0" w:right="0" w:hanging="0"/>
              <w:jc w:val="center"/>
              <w:rPr/>
            </w:pPr>
            <w:r>
              <w:rPr/>
              <w:t>​</w:t>
            </w:r>
          </w:p>
        </w:tc>
        <w:tc>
          <w:tcPr>
            <w:tcW w:w="379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50%</w:t>
            </w:r>
          </w:p>
        </w:tc>
      </w:tr>
      <w:tr>
        <w:trPr/>
        <w:tc>
          <w:tcPr>
            <w:tcW w:w="27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Below 34</w:t>
            </w:r>
            <w:r>
              <w:rPr>
                <w:rFonts w:ascii="Times New Roman;Times;serif" w:hAnsi="Times New Roman;Times;serif"/>
                <w:sz w:val="18"/>
              </w:rPr>
              <w:t>th</w:t>
            </w:r>
          </w:p>
        </w:tc>
        <w:tc>
          <w:tcPr>
            <w:tcW w:w="109" w:type="dxa"/>
            <w:tcBorders/>
            <w:shd w:fill="auto" w:val="clear"/>
            <w:vAlign w:val="center"/>
          </w:tcPr>
          <w:p>
            <w:pPr>
              <w:pStyle w:val="TableContents"/>
              <w:spacing w:before="0" w:after="0"/>
              <w:ind w:left="0" w:right="0" w:hanging="0"/>
              <w:jc w:val="center"/>
              <w:rPr/>
            </w:pPr>
            <w:r>
              <w:rPr/>
              <w:t>​</w:t>
            </w:r>
          </w:p>
        </w:tc>
        <w:tc>
          <w:tcPr>
            <w:tcW w:w="379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spacing w:before="240" w:after="240"/>
        <w:ind w:left="0" w:right="0" w:firstLine="720"/>
        <w:jc w:val="both"/>
        <w:rPr>
          <w:rFonts w:ascii="Times New Roman;Times;serif" w:hAnsi="Times New Roman;Times;serif"/>
          <w:sz w:val="24"/>
        </w:rPr>
      </w:pPr>
      <w:r>
        <w:rPr>
          <w:rFonts w:ascii="Times New Roman;Times;serif" w:hAnsi="Times New Roman;Times;serif"/>
          <w:sz w:val="24"/>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Times New Roman;Times;serif" w:hAnsi="Times New Roman;Times;serif"/>
          <w:b/>
          <w:sz w:val="24"/>
        </w:rPr>
        <w:t>Exhibit A</w:t>
      </w:r>
      <w:r>
        <w:rPr>
          <w:rFonts w:ascii="Times New Roman;Times;serif" w:hAnsi="Times New Roman;Times;serif"/>
          <w:sz w:val="24"/>
        </w:rPr>
        <w:t xml:space="preserve"> shall be automatically forfeited and canceled.</w:t>
      </w:r>
    </w:p>
    <w:p>
      <w:pPr>
        <w:pStyle w:val="TextBody"/>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Absolute TSR Governor</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100% of the number of Performance Shares granted.</w:t>
      </w:r>
    </w:p>
    <w:p>
      <w:pPr>
        <w:pStyle w:val="TextBody"/>
        <w:spacing w:before="0" w:after="240"/>
        <w:ind w:left="0" w:right="0" w:hanging="0"/>
        <w:rPr/>
      </w:pPr>
      <w:r>
        <w:rPr/>
        <w:t>​</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A-3</w:t>
      </w:r>
    </w:p>
    <w:p>
      <w:pPr>
        <w:pStyle w:val="HorizontalLine"/>
        <w:rPr/>
      </w:pPr>
      <w:r>
        <w:rPr/>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SCHEDULE A-1</w:t>
      </w:r>
    </w:p>
    <w:tbl>
      <w:tblPr>
        <w:tblW w:w="4967" w:type="dxa"/>
        <w:jc w:val="center"/>
        <w:tblInd w:w="0" w:type="dxa"/>
        <w:tblCellMar>
          <w:top w:w="0" w:type="dxa"/>
          <w:left w:w="0" w:type="dxa"/>
          <w:bottom w:w="0" w:type="dxa"/>
          <w:right w:w="0" w:type="dxa"/>
        </w:tblCellMar>
      </w:tblPr>
      <w:tblGrid>
        <w:gridCol w:w="796"/>
        <w:gridCol w:w="4171"/>
      </w:tblGrid>
      <w:tr>
        <w:trPr/>
        <w:tc>
          <w:tcPr>
            <w:tcW w:w="796" w:type="dxa"/>
            <w:tcBorders/>
            <w:shd w:fill="auto" w:val="clear"/>
            <w:vAlign w:val="center"/>
          </w:tcPr>
          <w:p>
            <w:pPr>
              <w:pStyle w:val="TableContents"/>
              <w:spacing w:before="0" w:after="0"/>
              <w:ind w:left="0" w:right="0" w:hanging="0"/>
              <w:rPr/>
            </w:pPr>
            <w:r>
              <w:rPr/>
              <w:t>​</w:t>
            </w:r>
          </w:p>
        </w:tc>
        <w:tc>
          <w:tcPr>
            <w:tcW w:w="4171" w:type="dxa"/>
            <w:tcBorders/>
            <w:shd w:fill="auto"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Ticker</w:t>
            </w:r>
          </w:p>
        </w:tc>
        <w:tc>
          <w:tcPr>
            <w:tcW w:w="4171"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Company Name</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PLD</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Prologis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EQIX</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Equinix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PSA</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Public Storage</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Realty Income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SPG</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Simon Property Group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WELL</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Welltower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VICI</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VICI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DLR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Digital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AVB</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AvalonBay Communities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ARE</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Alexandria Real Estate Equities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Equity Residential</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EXR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Extra Space Storage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VTR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Ventas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MAA</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Mid-America Apartment Communities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INVH</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Invitation Homes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SUI</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Sun Communities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WPC</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WP Carey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IRM</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Iron Mountain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ESS</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Essex Property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PEAK</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Healthpeak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GLPI</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Gaming and Leisure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KIM</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Kimco Realty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UDR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UDR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HST</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Host Hotels &amp; Resorts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ELS</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Equity LifeStyle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CPT</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Camden Property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BXP</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Boston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REG</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Regency Centers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AMH</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American Homes 4 Rent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REXR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Rexford Industrial Realty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CUBE</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CubeSmart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STOR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STORE Capital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NNN</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National Retail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LSI</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Life Storage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COLD</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Americold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Healthcare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FRT</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Federal Realty Investment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MPW</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Medical Properties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BRX</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Brixmor Property Group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OHI</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Omega Healthcare Investors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EGP</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EastGroup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FR</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First Industrial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STAG</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STAG Industrial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ADC</w:t>
            </w:r>
          </w:p>
        </w:tc>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Agree Realty Corp</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i/>
          <w:sz w:val="20"/>
        </w:rPr>
        <w:t>Page 1</w:t>
      </w:r>
      <w:r>
        <w:rPr>
          <w:rFonts w:ascii="Times New Roman;Times;serif" w:hAnsi="Times New Roman;Times;serif"/>
          <w:sz w:val="20"/>
        </w:rPr>
        <w:t xml:space="preserve"> </w:t>
      </w:r>
      <w:r>
        <w:rPr>
          <w:rFonts w:ascii="Times New Roman;Times;serif" w:hAnsi="Times New Roman;Times;serif"/>
          <w:i/>
          <w:sz w:val="20"/>
        </w:rPr>
        <w:t>of 3</w:t>
      </w:r>
    </w:p>
    <w:p>
      <w:pPr>
        <w:pStyle w:val="HorizontalLine"/>
        <w:rPr/>
      </w:pPr>
      <w:r>
        <w:rPr/>
      </w:r>
    </w:p>
    <w:tbl>
      <w:tblPr>
        <w:tblW w:w="4442" w:type="dxa"/>
        <w:jc w:val="center"/>
        <w:tblInd w:w="0" w:type="dxa"/>
        <w:tblCellMar>
          <w:top w:w="0" w:type="dxa"/>
          <w:left w:w="0" w:type="dxa"/>
          <w:bottom w:w="0" w:type="dxa"/>
          <w:right w:w="0" w:type="dxa"/>
        </w:tblCellMar>
      </w:tblPr>
      <w:tblGrid>
        <w:gridCol w:w="796"/>
        <w:gridCol w:w="3646"/>
      </w:tblGrid>
      <w:tr>
        <w:trPr/>
        <w:tc>
          <w:tcPr>
            <w:tcW w:w="796" w:type="dxa"/>
            <w:tcBorders/>
            <w:shd w:fill="auto" w:val="clear"/>
            <w:vAlign w:val="center"/>
          </w:tcPr>
          <w:p>
            <w:pPr>
              <w:pStyle w:val="TableContents"/>
              <w:spacing w:before="0" w:after="0"/>
              <w:ind w:left="0" w:right="0" w:hanging="0"/>
              <w:rPr/>
            </w:pPr>
            <w:r>
              <w:rPr/>
              <w:t>​</w:t>
            </w:r>
          </w:p>
        </w:tc>
        <w:tc>
          <w:tcPr>
            <w:tcW w:w="3646" w:type="dxa"/>
            <w:tcBorders/>
            <w:shd w:fill="auto"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SRC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Spirit Realty Capital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AIRC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Apartment Income REIT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KRG</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Kite Realty Group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TRNO</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Terreno Realty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RHP</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Ryman Hospitality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KRC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Kilroy Realty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CUZ</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Cousins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PECO</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Phillips Edison &amp; Co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Independence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VNO</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Vornado Realty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APLE</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Apple Hospitality REIT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Physicians Realty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EPRT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Essential Properties Realty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NSA</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National Storage Affiliates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HIW</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Highwoods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SBRA</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Sabra Health Care REIT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OFC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Corporate Office Properties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LXP</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LXP Industrial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Equity Commonwealth</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BNL</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Broadstone Net Lease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EPR</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EPR Properties</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IIPR</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Innovative Industrial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DEI</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Douglas Emmett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SITC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SITE Centers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PK</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Park Hotels &amp; Resorts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Macerich Co/The</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NHI</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National Health Investors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SLG</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SL Green Realty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FCPT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Four Corners Property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SHO</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Sunstone Hotel Investors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JBGS</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JBG SMITH Properties</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ROIC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Retail Opportunity Investments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SKT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Tanger Factory Outlet Centers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CTRE</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CareTrust REIT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RLJ</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RLJ Lodging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PEB</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Pebblebrook Hotel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DRH</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DiamondRock Hospitality Co</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UE</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Urban Edge Properties</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IVT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InvenTrust Properties Corp</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ELME</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Elme Communities</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XHR</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Xenia Hotels &amp; Resorts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LTC</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LTC Properties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AKR</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Acadia Realty Trust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ALEX</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Alexander &amp; Baldwin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AAT</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American Assets Trust Inc</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GTY</w:t>
            </w:r>
          </w:p>
        </w:tc>
        <w:tc>
          <w:tcPr>
            <w:tcW w:w="364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Getty Realty Corp</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i/>
          <w:sz w:val="20"/>
        </w:rPr>
        <w:t>Page 2</w:t>
      </w:r>
      <w:r>
        <w:rPr>
          <w:rFonts w:ascii="Times New Roman;Times;serif" w:hAnsi="Times New Roman;Times;serif"/>
          <w:sz w:val="20"/>
        </w:rPr>
        <w:t xml:space="preserve"> </w:t>
      </w:r>
      <w:r>
        <w:rPr>
          <w:rFonts w:ascii="Times New Roman;Times;serif" w:hAnsi="Times New Roman;Times;serif"/>
          <w:i/>
          <w:sz w:val="20"/>
        </w:rPr>
        <w:t>of 3</w:t>
      </w:r>
    </w:p>
    <w:p>
      <w:pPr>
        <w:pStyle w:val="HorizontalLine"/>
        <w:rPr/>
      </w:pPr>
      <w:r>
        <w:rPr/>
      </w:r>
    </w:p>
    <w:tbl>
      <w:tblPr>
        <w:tblW w:w="5132" w:type="dxa"/>
        <w:jc w:val="center"/>
        <w:tblInd w:w="0" w:type="dxa"/>
        <w:tblCellMar>
          <w:top w:w="0" w:type="dxa"/>
          <w:left w:w="0" w:type="dxa"/>
          <w:bottom w:w="0" w:type="dxa"/>
          <w:right w:w="0" w:type="dxa"/>
        </w:tblCellMar>
      </w:tblPr>
      <w:tblGrid>
        <w:gridCol w:w="841"/>
        <w:gridCol w:w="4291"/>
      </w:tblGrid>
      <w:tr>
        <w:trPr/>
        <w:tc>
          <w:tcPr>
            <w:tcW w:w="841" w:type="dxa"/>
            <w:tcBorders/>
            <w:shd w:fill="auto" w:val="clear"/>
            <w:vAlign w:val="center"/>
          </w:tcPr>
          <w:p>
            <w:pPr>
              <w:pStyle w:val="TableContents"/>
              <w:spacing w:before="0" w:after="0"/>
              <w:ind w:left="0" w:right="0" w:hanging="0"/>
              <w:rPr/>
            </w:pPr>
            <w:r>
              <w:rPr/>
              <w:t>​</w:t>
            </w:r>
          </w:p>
        </w:tc>
        <w:tc>
          <w:tcPr>
            <w:tcW w:w="4291" w:type="dxa"/>
            <w:tcBorders/>
            <w:shd w:fill="auto" w:val="clear"/>
            <w:vAlign w:val="center"/>
          </w:tcPr>
          <w:p>
            <w:pPr>
              <w:pStyle w:val="TableContents"/>
              <w:spacing w:before="0" w:after="0"/>
              <w:ind w:left="0" w:right="0" w:hanging="0"/>
              <w:rPr/>
            </w:pPr>
            <w:r>
              <w:rPr/>
              <w: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HPP</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Hudson Pacific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GNL</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Global Net Lease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DEA</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Easterly Government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VRE</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Veris Residential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SVC</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Service Properties Trust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PDM</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Piedmont Office Realty Trust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AIV</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Apartment Investment and Management Co</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BDN</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Brandywine Realty Trust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PGRE</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Paramount Group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NXRT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NexPoint Residential Trust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NTST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NETSTREIT Corp</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ESRT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Empire State Realty Trust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CSR</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Centerspace</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CHCT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Community Healthcare Trust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RPT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RPT Realty</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UMH</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UMH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RTL</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Necessity Retail REIT Inc/The</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AHH</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Armada Hoffler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PLYM</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Plymouth Industrial REIT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INN</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Summit Hotel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GOOD</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Gladstone Commercial Corp</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SAFE</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Safehold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OPI</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Office Properties Income Trust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STAR</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iStar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FPI</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Farmland Partners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UHT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Universal Health Realty Income Trust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LAND</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Gladstone Land Corp</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GMRE</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Global Medical REIT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BFS</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Saul Centers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UBA</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Urstadt Biddle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CLDT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Chatham Lodging Trust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ALX</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Alexander's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ONL</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Orion Office REIT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WSR</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Whitestone REIT</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OLP</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One Liberty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CIO</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City Office REIT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CBL</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CBL &amp; Associates Properties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Indus Realty Trust Inc</w:t>
            </w:r>
          </w:p>
        </w:tc>
      </w:tr>
      <w:tr>
        <w:trPr/>
        <w:tc>
          <w:tcPr>
            <w:tcW w:w="84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ILPT</w:t>
            </w:r>
          </w:p>
        </w:tc>
        <w:tc>
          <w:tcPr>
            <w:tcW w:w="429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Industrial Logistics Properties Trust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i/>
          <w:sz w:val="20"/>
        </w:rPr>
        <w:t>Page 3</w:t>
      </w:r>
      <w:r>
        <w:rPr>
          <w:rFonts w:ascii="Times New Roman;Times;serif" w:hAnsi="Times New Roman;Times;serif"/>
          <w:sz w:val="20"/>
        </w:rPr>
        <w:t xml:space="preserve"> </w:t>
      </w:r>
      <w:r>
        <w:rPr>
          <w:rFonts w:ascii="Times New Roman;Times;serif" w:hAnsi="Times New Roman;Times;serif"/>
          <w:i/>
          <w:sz w:val="20"/>
        </w:rPr>
        <w:t>of 3</w:t>
      </w:r>
    </w:p>
    <w:p>
      <w:pPr>
        <w:pStyle w:val="HorizontalLine"/>
        <w:rPr/>
      </w:pPr>
      <w:r>
        <w:rPr/>
      </w:r>
      <w:r>
        <w:br w:type="page"/>
      </w:r>
    </w:p>
    <w:p>
      <w:pPr>
        <w:pStyle w:val="TextBody"/>
        <w:spacing w:lineRule="atLeast" w:line="141" w:before="0" w:after="0"/>
        <w:ind w:left="0" w:right="0" w:hanging="0"/>
        <w:rPr/>
      </w:pPr>
      <w:bookmarkStart w:id="1488" w:name="cto-20230331xex31d1.htm"/>
      <w:bookmarkStart w:id="1489" w:name="kscto20230331xex31d1"/>
      <w:bookmarkEnd w:id="1488"/>
      <w:bookmarkEnd w:id="1489"/>
      <w:r>
        <w:rPr/>
        <w:t>​</w:t>
      </w:r>
    </w:p>
    <w:p>
      <w:pPr>
        <w:pStyle w:val="TextBody"/>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 John P. Albright, certify that:</w:t>
      </w:r>
    </w:p>
    <w:tbl>
      <w:tblPr>
        <w:tblW w:w="6715" w:type="dxa"/>
        <w:jc w:val="left"/>
        <w:tblInd w:w="0" w:type="dxa"/>
        <w:tblCellMar>
          <w:top w:w="0" w:type="dxa"/>
          <w:left w:w="0" w:type="dxa"/>
          <w:bottom w:w="0" w:type="dxa"/>
          <w:right w:w="0" w:type="dxa"/>
        </w:tblCellMar>
      </w:tblPr>
      <w:tblGrid>
        <w:gridCol w:w="170"/>
        <w:gridCol w:w="654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Date: April 27, 2023</w:t>
      </w:r>
    </w:p>
    <w:tbl>
      <w:tblPr>
        <w:tblW w:w="3886" w:type="dxa"/>
        <w:jc w:val="left"/>
        <w:tblInd w:w="0" w:type="dxa"/>
        <w:tblCellMar>
          <w:top w:w="0" w:type="dxa"/>
          <w:left w:w="0" w:type="dxa"/>
          <w:bottom w:w="0" w:type="dxa"/>
          <w:right w:w="0" w:type="dxa"/>
        </w:tblCellMar>
      </w:tblPr>
      <w:tblGrid>
        <w:gridCol w:w="421"/>
        <w:gridCol w:w="146"/>
        <w:gridCol w:w="2614"/>
        <w:gridCol w:w="551"/>
        <w:gridCol w:w="154"/>
      </w:tblGrid>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4" w:type="dxa"/>
            <w:tcBorders/>
            <w:shd w:fill="auto" w:val="clear"/>
            <w:vAlign w:val="center"/>
          </w:tcPr>
          <w:p>
            <w:pPr>
              <w:pStyle w:val="TableContents"/>
              <w:spacing w:before="0" w:after="0"/>
              <w:ind w:left="0" w:right="0" w:hanging="0"/>
              <w:rPr/>
            </w:pPr>
            <w:r>
              <w:rPr/>
              <w:t>​</w:t>
            </w:r>
          </w:p>
        </w:tc>
        <w:tc>
          <w:tcPr>
            <w:tcW w:w="705" w:type="dxa"/>
            <w:gridSpan w:val="2"/>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P. Albright</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P. Albright</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00"/>
        <w:ind w:left="0" w:right="0" w:hanging="0"/>
        <w:jc w:val="right"/>
        <w:rPr>
          <w:rFonts w:ascii="Times New Roman;Times;serif" w:hAnsi="Times New Roman;Times;serif"/>
          <w:b/>
          <w:sz w:val="20"/>
        </w:rPr>
      </w:pPr>
      <w:bookmarkStart w:id="1490" w:name="cto-20230331xex31d2.htm"/>
      <w:bookmarkStart w:id="1491" w:name="kscto20230331xex31d2"/>
      <w:bookmarkEnd w:id="1490"/>
      <w:bookmarkEnd w:id="1491"/>
      <w:r>
        <w:rPr>
          <w:rFonts w:ascii="Times New Roman;Times;serif" w:hAnsi="Times New Roman;Times;serif"/>
          <w:b/>
          <w:sz w:val="20"/>
        </w:rPr>
        <w:t>Exhibit 31.2</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 Matthew M. Partridge, certify that:</w:t>
      </w:r>
    </w:p>
    <w:tbl>
      <w:tblPr>
        <w:tblW w:w="6715" w:type="dxa"/>
        <w:jc w:val="left"/>
        <w:tblInd w:w="0" w:type="dxa"/>
        <w:tblCellMar>
          <w:top w:w="0" w:type="dxa"/>
          <w:left w:w="0" w:type="dxa"/>
          <w:bottom w:w="0" w:type="dxa"/>
          <w:right w:w="0" w:type="dxa"/>
        </w:tblCellMar>
      </w:tblPr>
      <w:tblGrid>
        <w:gridCol w:w="170"/>
        <w:gridCol w:w="654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Date: April 27, 2023</w:t>
      </w:r>
    </w:p>
    <w:tbl>
      <w:tblPr>
        <w:tblW w:w="4771" w:type="dxa"/>
        <w:jc w:val="left"/>
        <w:tblInd w:w="0" w:type="dxa"/>
        <w:tblCellMar>
          <w:top w:w="0" w:type="dxa"/>
          <w:left w:w="0" w:type="dxa"/>
          <w:bottom w:w="0" w:type="dxa"/>
          <w:right w:w="0" w:type="dxa"/>
        </w:tblCellMar>
      </w:tblPr>
      <w:tblGrid>
        <w:gridCol w:w="421"/>
        <w:gridCol w:w="146"/>
        <w:gridCol w:w="3344"/>
        <w:gridCol w:w="706"/>
        <w:gridCol w:w="154"/>
      </w:tblGrid>
      <w:tr>
        <w:trPr/>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67335" cy="175260"/>
                      <wp:effectExtent l="0" t="0" r="0" b="0"/>
                      <wp:wrapNone/>
                      <wp:docPr id="277" name="Frame27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23440" cy="175260"/>
                      <wp:effectExtent l="0" t="0" r="0" b="0"/>
                      <wp:wrapNone/>
                      <wp:docPr id="279" name="Frame279"/>
                      <a:graphic xmlns:a="http://schemas.openxmlformats.org/drawingml/2006/main">
                        <a:graphicData uri="http://schemas.microsoft.com/office/word/2010/wordprocessingShape">
                          <wps:wsp>
                            <wps:cNvSpPr txBox="1"/>
                            <wps:spPr>
                              <a:xfrm>
                                <a:off x="0" y="0"/>
                                <a:ext cx="2123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0"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46100" cy="175260"/>
                      <wp:effectExtent l="0" t="0" r="0" b="0"/>
                      <wp:wrapNone/>
                      <wp:docPr id="280" name="Frame280"/>
                      <a:graphic xmlns:a="http://schemas.openxmlformats.org/drawingml/2006/main">
                        <a:graphicData uri="http://schemas.microsoft.com/office/word/2010/wordprocessingShape">
                          <wps:wsp>
                            <wps:cNvSpPr txBox="1"/>
                            <wps:spPr>
                              <a:xfrm>
                                <a:off x="0" y="0"/>
                                <a:ext cx="546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before="0" w:after="0"/>
              <w:ind w:left="0" w:right="0" w:hanging="0"/>
              <w:rPr/>
            </w:pPr>
            <w:r>
              <w:rPr/>
              <w:t> </w:t>
            </w:r>
          </w:p>
        </w:tc>
        <w:tc>
          <w:tcPr>
            <w:tcW w:w="405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Matthew M. Partridge</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405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Matthew M. Partridge, Senior Vice President and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Treasurer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492" w:name="cto-20230331xex32d1.htm"/>
      <w:bookmarkStart w:id="1493" w:name="kscto20230331xex32d1"/>
      <w:bookmarkEnd w:id="1492"/>
      <w:bookmarkEnd w:id="1493"/>
      <w:r>
        <w:rPr>
          <w:rFonts w:ascii="Times New Roman;Times;serif" w:hAnsi="Times New Roman;Times;serif"/>
          <w:b/>
          <w:sz w:val="20"/>
        </w:rPr>
        <w:t>Exhibit 32.1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March 31,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Date: April 27, 2023</w:t>
      </w:r>
    </w:p>
    <w:tbl>
      <w:tblPr>
        <w:tblW w:w="3886" w:type="dxa"/>
        <w:jc w:val="center"/>
        <w:tblInd w:w="0" w:type="dxa"/>
        <w:tblCellMar>
          <w:top w:w="0" w:type="dxa"/>
          <w:left w:w="0" w:type="dxa"/>
          <w:bottom w:w="0" w:type="dxa"/>
          <w:right w:w="0" w:type="dxa"/>
        </w:tblCellMar>
      </w:tblPr>
      <w:tblGrid>
        <w:gridCol w:w="421"/>
        <w:gridCol w:w="146"/>
        <w:gridCol w:w="2614"/>
        <w:gridCol w:w="551"/>
        <w:gridCol w:w="154"/>
      </w:tblGrid>
      <w:tr>
        <w:trPr/>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7335" cy="175260"/>
                      <wp:effectExtent l="0" t="0" r="0" b="0"/>
                      <wp:wrapNone/>
                      <wp:docPr id="281" name="Frame281"/>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2710" cy="175260"/>
                      <wp:effectExtent l="0" t="0" r="0" b="0"/>
                      <wp:wrapNone/>
                      <wp:docPr id="282" name="Frame28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59890" cy="175260"/>
                      <wp:effectExtent l="0" t="0" r="0" b="0"/>
                      <wp:wrapNone/>
                      <wp:docPr id="283" name="Frame283"/>
                      <a:graphic xmlns:a="http://schemas.openxmlformats.org/drawingml/2006/main">
                        <a:graphicData uri="http://schemas.microsoft.com/office/word/2010/wordprocessingShape">
                          <wps:wsp>
                            <wps:cNvSpPr txBox="1"/>
                            <wps:spPr>
                              <a:xfrm>
                                <a:off x="0" y="0"/>
                                <a:ext cx="1659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8310" cy="175260"/>
                      <wp:effectExtent l="0" t="0" r="0" b="0"/>
                      <wp:wrapNone/>
                      <wp:docPr id="284" name="Frame284"/>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P. Albright</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316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494" w:name="cto-20230331xex32d2.htm"/>
      <w:bookmarkStart w:id="1495" w:name="kscto20230331xex32d2"/>
      <w:bookmarkEnd w:id="1494"/>
      <w:bookmarkEnd w:id="1495"/>
      <w:r>
        <w:rPr>
          <w:rFonts w:ascii="Times New Roman;Times;serif" w:hAnsi="Times New Roman;Times;serif"/>
          <w:b/>
          <w:sz w:val="20"/>
        </w:rPr>
        <w:t>Exhibit 32.2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March 31,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Date: April 27, 2023</w:t>
      </w:r>
    </w:p>
    <w:tbl>
      <w:tblPr>
        <w:tblW w:w="4771" w:type="dxa"/>
        <w:jc w:val="left"/>
        <w:tblInd w:w="0" w:type="dxa"/>
        <w:tblCellMar>
          <w:top w:w="0" w:type="dxa"/>
          <w:left w:w="0" w:type="dxa"/>
          <w:bottom w:w="0" w:type="dxa"/>
          <w:right w:w="0" w:type="dxa"/>
        </w:tblCellMar>
      </w:tblPr>
      <w:tblGrid>
        <w:gridCol w:w="421"/>
        <w:gridCol w:w="146"/>
        <w:gridCol w:w="3344"/>
        <w:gridCol w:w="706"/>
        <w:gridCol w:w="154"/>
      </w:tblGrid>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2710" cy="175260"/>
                      <wp:effectExtent l="0" t="0" r="0" b="0"/>
                      <wp:wrapNone/>
                      <wp:docPr id="285" name="Frame28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4" w:type="dxa"/>
            <w:tcBorders/>
            <w:shd w:fill="auto" w:val="clear"/>
            <w:vAlign w:val="center"/>
          </w:tcPr>
          <w:p>
            <w:pPr>
              <w:pStyle w:val="TableContents"/>
              <w:spacing w:before="0" w:after="0"/>
              <w:ind w:left="0" w:right="0" w:hanging="0"/>
              <w:rPr/>
            </w:pPr>
            <w:r>
              <w:rPr/>
              <w:t>​</w:t>
            </w:r>
          </w:p>
        </w:tc>
        <w:tc>
          <w:tcPr>
            <w:tcW w:w="860" w:type="dxa"/>
            <w:gridSpan w:val="2"/>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before="0" w:after="0"/>
              <w:ind w:left="0" w:right="0" w:hanging="0"/>
              <w:rPr/>
            </w:pPr>
            <w:r>
              <w:rPr/>
              <w:t> </w:t>
            </w:r>
          </w:p>
        </w:tc>
        <w:tc>
          <w:tcPr>
            <w:tcW w:w="405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Matthew M. Partridge</w:t>
            </w:r>
          </w:p>
        </w:tc>
        <w:tc>
          <w:tcPr>
            <w:tcW w:w="154"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405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Matthew M. Partridge, Senior Vice President and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Treasurer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NewRomanPSMT">
    <w:charset w:val="00"/>
    <w:family w:val="auto"/>
    <w:pitch w:val="default"/>
  </w:font>
  <w:font w:name="Times New Roman Bold">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3795/000119312521023648/d113606dex31.htm" TargetMode="External"/><Relationship Id="rId3" Type="http://schemas.openxmlformats.org/officeDocument/2006/relationships/hyperlink" Target="https://www.sec.gov/Archives/edgar/data/23795/000119312521206336/d124719dex32.htm" TargetMode="External"/><Relationship Id="rId4" Type="http://schemas.openxmlformats.org/officeDocument/2006/relationships/hyperlink" Target="https://www.sec.gov/Archives/edgar/data/23795/000155837023001536/cto-20230216xex3d1.htm" TargetMode="External"/><Relationship Id="rId5" Type="http://schemas.openxmlformats.org/officeDocument/2006/relationships/hyperlink" Target="https://www.sec.gov/Archives/edgar/data/0000023795/000119312521023648/d113606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29992</Words>
  <CharactersWithSpaces>193403</CharactersWithSpaces>
  <Paragraphs>6325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