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cto-20260929x8k.htm"/>
      <w:bookmarkStart w:id="1" w:name="kscto20260929x8k"/>
      <w:bookmarkEnd w:id="0"/>
      <w:bookmarkEnd w:id="1"/>
      <w:r>
        <w:rPr/>
        <w:t>​</w:t>
      </w:r>
    </w:p>
    <w:p>
      <w:pPr>
        <w:pStyle w:val="TextBody"/>
        <w:bidi w:val="0"/>
        <w:spacing w:before="0" w:after="0"/>
        <w:ind w:left="0" w:right="0" w:hanging="0"/>
        <w:jc w:val="center"/>
        <w:rPr>
          <w:rFonts w:ascii="Times New Roman;Times;serif" w:hAnsi="Times New Roman;Times;serif"/>
          <w:sz w:val="20"/>
        </w:rPr>
      </w:pPr>
      <w:bookmarkStart w:id="2" w:name="_9eeaceea_9c0d_4cfb_8bb2_4e35c183df6c"/>
      <w:bookmarkEnd w:id="2"/>
      <w:r>
        <w:rPr>
          <w:rFonts w:ascii="Times New Roman;Times;serif" w:hAnsi="Times New Roman;Times;serif"/>
          <w:b/>
          <w:sz w:val="20"/>
        </w:rPr>
        <w:t>UNITED STATES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SECURITIES AND EXCHANGE COMMISSION</w:t>
      </w:r>
      <w:r>
        <w:rPr>
          <w:rFonts w:ascii="Times New Roman;Times;serif" w:hAnsi="Times New Roman;Times;serif"/>
          <w:sz w:val="20"/>
        </w:rPr>
        <w:t xml:space="preserve"> </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FORM 8-K</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Pursuant to Section 13 or 15(d) of</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The Securities Exchange Act of 1934</w:t>
      </w:r>
      <w:r>
        <w:rPr>
          <w:rFonts w:ascii="Times New Roman;Times;serif" w:hAnsi="Times New Roman;Times;serif"/>
          <w:sz w:val="20"/>
        </w:rPr>
        <w:t xml:space="preserve"> </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September 29, 2026 </w:t>
      </w:r>
    </w:p>
    <w:p>
      <w:pPr>
        <w:pStyle w:val="TextBody"/>
        <w:bidi w:val="0"/>
        <w:spacing w:before="0" w:after="0"/>
        <w:ind w:left="0" w:right="0" w:hanging="0"/>
        <w:jc w:val="center"/>
        <w:rPr>
          <w:rFonts w:ascii="Times New Roman;Times;serif" w:hAnsi="Times New Roman;Times;serif"/>
          <w:sz w:val="32"/>
        </w:rPr>
      </w:pPr>
      <w:r>
        <w:rPr>
          <w:rFonts w:ascii="Times New Roman;Times;serif" w:hAnsi="Times New Roman;Times;serif"/>
          <w:b/>
          <w:sz w:val="32"/>
        </w:rPr>
        <w:t>CTO Realty Growth, Inc.</w:t>
      </w:r>
      <w:r>
        <w:rPr>
          <w:rFonts w:ascii="Times New Roman;Times;serif" w:hAnsi="Times New Roman;Times;serif"/>
          <w:sz w:val="32"/>
        </w:rPr>
        <w:t xml:space="preserve"> </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(Exact name of registrant as specified in its charter) </w:t>
      </w:r>
    </w:p>
    <w:tbl>
      <w:tblPr>
        <w:tblW w:w="9858" w:type="dxa"/>
        <w:jc w:val="left"/>
        <w:tblInd w:w="0" w:type="dxa"/>
        <w:tblLayout w:type="fixed"/>
        <w:tblCellMar>
          <w:top w:w="0" w:type="dxa"/>
          <w:left w:w="0" w:type="dxa"/>
          <w:bottom w:w="0" w:type="dxa"/>
          <w:right w:w="0" w:type="dxa"/>
        </w:tblCellMar>
      </w:tblPr>
      <w:tblGrid>
        <w:gridCol w:w="3676"/>
        <w:gridCol w:w="3286"/>
        <w:gridCol w:w="2896"/>
      </w:tblGrid>
      <w:tr>
        <w:trPr/>
        <w:tc>
          <w:tcPr>
            <w:tcW w:w="367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left"/>
              <w:rPr/>
            </w:pPr>
            <w:r>
              <w:rPr/>
              <w:t> </w:t>
            </w:r>
          </w:p>
        </w:tc>
        <w:tc>
          <w:tcPr>
            <w:tcW w:w="3286"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left"/>
              <w:rPr/>
            </w:pPr>
            <w:r>
              <w:rPr/>
              <w:t> </w:t>
            </w:r>
          </w:p>
        </w:tc>
        <w:tc>
          <w:tcPr>
            <w:tcW w:w="2896"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328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001-11350</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96" w:type="dxa"/>
            <w:tcBorders/>
            <w:vAlign w:val="center"/>
          </w:tcPr>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59-0483700</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676" w:type="dxa"/>
            <w:tcBorders/>
            <w:vAlign w:val="center"/>
          </w:tcPr>
          <w:p>
            <w:pPr>
              <w:pStyle w:val="TableContents"/>
              <w:bidi w:val="0"/>
              <w:spacing w:lineRule="auto" w:line="266" w:before="240" w:after="0"/>
              <w:ind w:left="0" w:right="0" w:hanging="0"/>
              <w:jc w:val="left"/>
              <w:rPr/>
            </w:pPr>
            <w:r>
              <w:rPr/>
              <w:t> </w:t>
            </w:r>
          </w:p>
        </w:tc>
        <w:tc>
          <w:tcPr>
            <w:tcW w:w="3286" w:type="dxa"/>
            <w:tcBorders/>
            <w:vAlign w:val="center"/>
          </w:tcPr>
          <w:p>
            <w:pPr>
              <w:pStyle w:val="TableContents"/>
              <w:bidi w:val="0"/>
              <w:spacing w:lineRule="auto" w:line="266" w:before="200" w:after="0"/>
              <w:ind w:left="0" w:right="0" w:hanging="0"/>
              <w:jc w:val="center"/>
              <w:rPr>
                <w:rFonts w:ascii="Times New Roman;Times;serif" w:hAnsi="Times New Roman;Times;serif"/>
                <w:b/>
                <w:sz w:val="20"/>
              </w:rPr>
            </w:pPr>
            <w:r>
              <w:rPr>
                <w:rFonts w:ascii="Times New Roman;Times;serif" w:hAnsi="Times New Roman;Times;serif"/>
                <w:b/>
                <w:sz w:val="20"/>
              </w:rPr>
              <w:t>369 N. New York Avenue,</w:t>
            </w:r>
          </w:p>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Suite 201</w:t>
            </w:r>
          </w:p>
          <w:p>
            <w:pPr>
              <w:pStyle w:val="TableContents"/>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Winter Park, Florida</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896" w:type="dxa"/>
            <w:tcBorders/>
            <w:vAlign w:val="center"/>
          </w:tcPr>
          <w:p>
            <w:pPr>
              <w:pStyle w:val="TableContents"/>
              <w:bidi w:val="0"/>
              <w:spacing w:lineRule="auto" w:line="266" w:before="240" w:after="0"/>
              <w:ind w:left="0" w:right="0" w:hanging="0"/>
              <w:jc w:val="center"/>
              <w:rPr>
                <w:rFonts w:ascii="Times New Roman;Times;serif" w:hAnsi="Times New Roman;Times;serif"/>
                <w:b/>
                <w:sz w:val="20"/>
              </w:rPr>
            </w:pPr>
            <w:r>
              <w:rPr>
                <w:rFonts w:ascii="Times New Roman;Times;serif" w:hAnsi="Times New Roman;Times;serif"/>
                <w:b/>
                <w:sz w:val="20"/>
              </w:rPr>
              <w:t>32789</w:t>
            </w:r>
          </w:p>
          <w:p>
            <w:pPr>
              <w:pStyle w:val="TableContents"/>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66" w:before="0" w:after="0"/>
        <w:ind w:left="0" w:right="0" w:hanging="0"/>
        <w:jc w:val="left"/>
        <w:rPr/>
      </w:pPr>
      <w:r>
        <w:rPr/>
        <w:t xml:space="preserve">  </w:t>
      </w:r>
    </w:p>
    <w:p>
      <w:pPr>
        <w:pStyle w:val="TextBody"/>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w:t>
      </w:r>
      <w:r>
        <w:rPr>
          <w:rFonts w:ascii="Times New Roman;Times;serif" w:hAnsi="Times New Roman;Times;serif"/>
          <w:b/>
          <w:sz w:val="20"/>
        </w:rPr>
        <w:t>(407) 904-3324</w:t>
      </w:r>
      <w:r>
        <w:rPr>
          <w:rFonts w:ascii="Times New Roman;Times;serif" w:hAnsi="Times New Roman;Times;serif"/>
          <w:sz w:val="20"/>
        </w:rPr>
        <w:t xml:space="preserve"> </w:t>
      </w:r>
    </w:p>
    <w:p>
      <w:pPr>
        <w:pStyle w:val="TextBody"/>
        <w:bidi w:val="0"/>
        <w:spacing w:lineRule="auto" w:line="266" w:before="0" w:after="0"/>
        <w:ind w:left="0" w:right="0" w:hanging="0"/>
        <w:jc w:val="center"/>
        <w:rPr/>
      </w:pPr>
      <w:r>
        <w:rPr/>
        <w:t xml:space="preserve">  </w:t>
      </w:r>
    </w:p>
    <w:p>
      <w:pPr>
        <w:pStyle w:val="TextBody"/>
        <w:bidi w:val="0"/>
        <w:spacing w:lineRule="auto" w:line="266"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266"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(Former name or former address, if changed since last report.) </w:t>
      </w:r>
    </w:p>
    <w:p>
      <w:pPr>
        <w:pStyle w:val="TextBody"/>
        <w:bidi w:val="0"/>
        <w:spacing w:lineRule="auto" w:line="266" w:before="0" w:after="0"/>
        <w:ind w:left="0" w:right="0" w:hanging="0"/>
        <w:jc w:val="left"/>
        <w:rPr/>
      </w:pPr>
      <w:r>
        <w:rPr/>
        <w:t xml:space="preserve">  </w:t>
      </w:r>
    </w:p>
    <w:p>
      <w:pPr>
        <w:pStyle w:val="TextBody"/>
        <w:bidi w:val="0"/>
        <w:spacing w:lineRule="auto" w:line="266" w:before="0" w:after="120"/>
        <w:ind w:left="0" w:right="0" w:hanging="0"/>
        <w:jc w:val="left"/>
        <w:rPr>
          <w:rFonts w:ascii="Times New Roman;Times;serif" w:hAnsi="Times New Roman;Times;serif"/>
          <w:sz w:val="20"/>
        </w:rPr>
      </w:pPr>
      <w:r>
        <w:rPr>
          <w:rFonts w:ascii="Times New Roman;Times;serif" w:hAnsi="Times New Roman;Times;serif"/>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Written communications pursuant to Rule 425 under the Securities Act (17 CFR 230.425)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Soliciting material pursuant to Rule 14a-12 under the Exchange Act (17 CFR 240.14a-12) </w:t>
      </w:r>
    </w:p>
    <w:p>
      <w:pPr>
        <w:pStyle w:val="TextBody"/>
        <w:bidi w:val="0"/>
        <w:spacing w:lineRule="auto" w:line="266" w:before="0" w:after="0"/>
        <w:ind w:left="0" w:right="0" w:hanging="0"/>
        <w:jc w:val="left"/>
        <w:rPr/>
      </w:pPr>
      <w:r>
        <w:rPr/>
        <w:t xml:space="preserve">☐ </w:t>
      </w:r>
      <w:r>
        <w:rPr>
          <w:rFonts w:ascii="Times New Roman;Times;serif" w:hAnsi="Times New Roman;Times;serif"/>
          <w:sz w:val="20"/>
        </w:rPr>
        <w:t xml:space="preserve">Pre-commencement communications pursuant to Rule 14d-2(b) under the Exchange Act (17 CFR 240.14d-2(b)) </w:t>
      </w:r>
    </w:p>
    <w:p>
      <w:pPr>
        <w:pStyle w:val="TextBody"/>
        <w:bidi w:val="0"/>
        <w:spacing w:lineRule="auto" w:line="266" w:before="0" w:after="200"/>
        <w:ind w:left="0" w:right="0" w:hanging="0"/>
        <w:jc w:val="left"/>
        <w:rPr/>
      </w:pPr>
      <w:r>
        <w:rPr/>
        <w:t xml:space="preserve">☐ </w:t>
      </w:r>
      <w:r>
        <w:rPr>
          <w:rFonts w:ascii="Times New Roman;Times;serif" w:hAnsi="Times New Roman;Times;serif"/>
          <w:sz w:val="20"/>
        </w:rPr>
        <w:t xml:space="preserve">Pre-commencement communications pursuant to Rule 13e-4(c) under the Exchange Act (17 CFR 240.13e-4(c)) </w:t>
      </w:r>
    </w:p>
    <w:p>
      <w:pPr>
        <w:pStyle w:val="TextBody"/>
        <w:bidi w:val="0"/>
        <w:spacing w:lineRule="auto" w:line="266" w:before="0" w:after="0"/>
        <w:ind w:left="0" w:right="0" w:hanging="0"/>
        <w:jc w:val="left"/>
        <w:rPr>
          <w:rFonts w:ascii="Times New Roman;Times;serif" w:hAnsi="Times New Roman;Times;serif"/>
          <w:sz w:val="20"/>
        </w:rPr>
      </w:pPr>
      <w:r>
        <w:rPr>
          <w:rFonts w:ascii="Times New Roman;Times;serif" w:hAnsi="Times New Roman;Times;serif"/>
          <w:sz w:val="20"/>
        </w:rPr>
        <w:t xml:space="preserve">Securities registered pursuant to Section 12(b) of the Act: </w:t>
      </w:r>
    </w:p>
    <w:p>
      <w:pPr>
        <w:pStyle w:val="TextBody"/>
        <w:bidi w:val="0"/>
        <w:spacing w:before="10" w:after="10"/>
        <w:ind w:left="0" w:right="0" w:hanging="0"/>
        <w:jc w:val="left"/>
        <w:rPr/>
      </w:pPr>
      <w:r>
        <w:rPr/>
        <w:t> </w:t>
      </w:r>
    </w:p>
    <w:p>
      <w:pPr>
        <w:pStyle w:val="Normal"/>
        <w:bidi w:val="0"/>
        <w:spacing w:before="0" w:after="0"/>
        <w:jc w:val="left"/>
        <w:rPr>
          <w:sz w:val="4"/>
          <w:szCs w:val="4"/>
        </w:rPr>
      </w:pPr>
      <w:r>
        <w:rPr>
          <w:sz w:val="4"/>
          <w:szCs w:val="4"/>
        </w:rPr>
      </w:r>
      <w:bookmarkStart w:id="3" w:name="Tc_XkylDxa10UipKLtATtWgzg_2_4"/>
      <w:bookmarkStart w:id="4" w:name="Tc_AsBBezTf3EejhF5VFaZ3Nw_2_2"/>
      <w:bookmarkStart w:id="5" w:name="Tc_kY9ab21zN0ud7UimxSjAmw_2_0"/>
      <w:bookmarkStart w:id="6" w:name="Tc_6S0BKX9aX0O_utD8I-3MwA_0_0"/>
      <w:bookmarkStart w:id="7" w:name="_af1ec796_eb10_48d6_ba67_562dfe5b1f10"/>
      <w:bookmarkStart w:id="8" w:name="Tc_XkylDxa10UipKLtATtWgzg_2_4"/>
      <w:bookmarkStart w:id="9" w:name="Tc_AsBBezTf3EejhF5VFaZ3Nw_2_2"/>
      <w:bookmarkStart w:id="10" w:name="Tc_kY9ab21zN0ud7UimxSjAmw_2_0"/>
      <w:bookmarkStart w:id="11" w:name="Tc_6S0BKX9aX0O_utD8I-3MwA_0_0"/>
      <w:bookmarkStart w:id="12" w:name="_af1ec796_eb10_48d6_ba67_562dfe5b1f10"/>
      <w:bookmarkEnd w:id="8"/>
      <w:bookmarkEnd w:id="9"/>
      <w:bookmarkEnd w:id="10"/>
      <w:bookmarkEnd w:id="11"/>
      <w:bookmarkEnd w:id="12"/>
    </w:p>
    <w:tbl>
      <w:tblPr>
        <w:tblW w:w="10205" w:type="dxa"/>
        <w:jc w:val="left"/>
        <w:tblInd w:w="0" w:type="dxa"/>
        <w:tblLayout w:type="fixed"/>
        <w:tblCellMar>
          <w:top w:w="0" w:type="dxa"/>
          <w:left w:w="0" w:type="dxa"/>
          <w:bottom w:w="0" w:type="dxa"/>
          <w:right w:w="0" w:type="dxa"/>
        </w:tblCellMar>
      </w:tblPr>
      <w:tblGrid>
        <w:gridCol w:w="4447"/>
        <w:gridCol w:w="346"/>
        <w:gridCol w:w="1209"/>
        <w:gridCol w:w="346"/>
        <w:gridCol w:w="3857"/>
      </w:tblGrid>
      <w:tr>
        <w:trPr/>
        <w:tc>
          <w:tcPr>
            <w:tcW w:w="4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823845" cy="146685"/>
                      <wp:effectExtent l="0" t="0" r="0" b="0"/>
                      <wp:wrapNone/>
                      <wp:docPr id="1" name="Frame1"/>
                      <a:graphic xmlns:a="http://schemas.openxmlformats.org/drawingml/2006/main">
                        <a:graphicData uri="http://schemas.microsoft.com/office/word/2010/wordprocessingShape">
                          <wps:wsp>
                            <wps:cNvSpPr txBox="1"/>
                            <wps:spPr>
                              <a:xfrm>
                                <a:off x="0" y="0"/>
                                <a:ext cx="282384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3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.01</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2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49195" cy="29210"/>
                      <wp:effectExtent l="0" t="0" r="0" b="0"/>
                      <wp:wrapNone/>
                      <wp:docPr id="3" name="Frame3"/>
                      <a:graphic xmlns:a="http://schemas.openxmlformats.org/drawingml/2006/main">
                        <a:graphicData uri="http://schemas.microsoft.com/office/word/2010/wordprocessingShape">
                          <wps:wsp>
                            <wps:cNvSpPr txBox="1"/>
                            <wps:spPr>
                              <a:xfrm>
                                <a:off x="0" y="0"/>
                                <a:ext cx="24491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447"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0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857" w:type="dxa"/>
            <w:tcBorders/>
            <w:vAlign w:val="center"/>
          </w:tcPr>
          <w:p>
            <w:pPr>
              <w:pStyle w:val="TableContents"/>
              <w:bidi w:val="0"/>
              <w:spacing w:before="0" w:after="0"/>
              <w:ind w:left="0" w:right="0" w:hanging="0"/>
              <w:jc w:val="left"/>
              <w:rPr/>
            </w:pPr>
            <w:r>
              <w:rPr/>
              <w:t> </w:t>
            </w:r>
          </w:p>
        </w:tc>
      </w:tr>
      <w:tr>
        <w:trPr/>
        <w:tc>
          <w:tcPr>
            <w:tcW w:w="444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center"/>
              <w:rPr/>
            </w:pPr>
            <w:r>
              <w:rPr/>
              <w:t>  ​ ​ ​</w:t>
            </w:r>
          </w:p>
        </w:tc>
        <w:tc>
          <w:tcPr>
            <w:tcW w:w="1209"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center"/>
              <w:rPr/>
            </w:pPr>
            <w:r>
              <w:rPr/>
              <w:t>  ​ ​ ​</w:t>
            </w:r>
          </w:p>
        </w:tc>
        <w:tc>
          <w:tcPr>
            <w:tcW w:w="385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447"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 per share</w:t>
            </w:r>
          </w:p>
        </w:tc>
        <w:tc>
          <w:tcPr>
            <w:tcW w:w="346" w:type="dxa"/>
            <w:tcBorders/>
            <w:vAlign w:val="center"/>
          </w:tcPr>
          <w:p>
            <w:pPr>
              <w:pStyle w:val="TableContents"/>
              <w:bidi w:val="0"/>
              <w:spacing w:before="0" w:after="0"/>
              <w:ind w:left="0" w:right="0" w:hanging="0"/>
              <w:jc w:val="left"/>
              <w:rPr/>
            </w:pPr>
            <w:r>
              <w:rPr/>
              <w:t> </w:t>
            </w:r>
          </w:p>
        </w:tc>
        <w:tc>
          <w:tcPr>
            <w:tcW w:w="1209"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CTO</w:t>
            </w:r>
          </w:p>
        </w:tc>
        <w:tc>
          <w:tcPr>
            <w:tcW w:w="346" w:type="dxa"/>
            <w:tcBorders/>
            <w:vAlign w:val="center"/>
          </w:tcPr>
          <w:p>
            <w:pPr>
              <w:pStyle w:val="TableContents"/>
              <w:bidi w:val="0"/>
              <w:spacing w:before="0" w:after="0"/>
              <w:ind w:left="0" w:right="0" w:hanging="0"/>
              <w:jc w:val="left"/>
              <w:rPr/>
            </w:pPr>
            <w:r>
              <w:rPr/>
              <w:t> </w:t>
            </w:r>
          </w:p>
        </w:tc>
        <w:tc>
          <w:tcPr>
            <w:tcW w:w="3857"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NYSE </w:t>
            </w:r>
          </w:p>
          <w:p>
            <w:pPr>
              <w:pStyle w:val="TableContents"/>
              <w:bidi w:val="0"/>
              <w:spacing w:before="0" w:after="0"/>
              <w:ind w:left="0" w:right="0" w:hanging="0"/>
              <w:jc w:val="center"/>
              <w:rPr/>
            </w:pPr>
            <w:r>
              <w:rPr/>
              <w:t>​</w:t>
            </w:r>
          </w:p>
        </w:tc>
      </w:tr>
      <w:tr>
        <w:trPr/>
        <w:tc>
          <w:tcPr>
            <w:tcW w:w="444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6.375% Series A Cumulative Redeemable Preferred Stock, $0.01 par value per share</w:t>
            </w:r>
          </w:p>
        </w:tc>
        <w:tc>
          <w:tcPr>
            <w:tcW w:w="346" w:type="dxa"/>
            <w:tcBorders/>
            <w:vAlign w:val="center"/>
          </w:tcPr>
          <w:p>
            <w:pPr>
              <w:pStyle w:val="TableContents"/>
              <w:bidi w:val="0"/>
              <w:spacing w:before="0" w:after="0"/>
              <w:ind w:left="0" w:right="0" w:hanging="0"/>
              <w:jc w:val="left"/>
              <w:rPr/>
            </w:pPr>
            <w:r>
              <w:rPr/>
              <w:t>​</w:t>
            </w:r>
          </w:p>
        </w:tc>
        <w:tc>
          <w:tcPr>
            <w:tcW w:w="1209"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CTO-PA</w:t>
            </w:r>
          </w:p>
        </w:tc>
        <w:tc>
          <w:tcPr>
            <w:tcW w:w="346" w:type="dxa"/>
            <w:tcBorders/>
            <w:vAlign w:val="center"/>
          </w:tcPr>
          <w:p>
            <w:pPr>
              <w:pStyle w:val="TableContents"/>
              <w:bidi w:val="0"/>
              <w:spacing w:before="0" w:after="0"/>
              <w:ind w:left="0" w:right="0" w:hanging="0"/>
              <w:jc w:val="left"/>
              <w:rPr/>
            </w:pPr>
            <w:r>
              <w:rPr/>
              <w:t>​</w:t>
            </w:r>
          </w:p>
        </w:tc>
        <w:tc>
          <w:tcPr>
            <w:tcW w:w="3857"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bl>
    <w:p>
      <w:pPr>
        <w:pStyle w:val="TextBody"/>
        <w:bidi w:val="0"/>
        <w:spacing w:before="0" w:after="0"/>
        <w:ind w:left="0" w:right="0" w:hanging="0"/>
        <w:jc w:val="left"/>
        <w:rPr/>
      </w:pPr>
      <w:r>
        <w:rPr/>
        <w:t xml:space="preserv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Emerging growth company ☐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 xml:space="preserve">  </w:t>
      </w:r>
    </w:p>
    <w:p>
      <w:pPr>
        <w:pStyle w:val="TextBody"/>
        <w:pBdr/>
        <w:bidi w:val="0"/>
        <w:spacing w:before="0" w:after="200"/>
        <w:ind w:left="0" w:right="0" w:hanging="1080"/>
        <w:jc w:val="left"/>
        <w:rPr>
          <w:rFonts w:ascii="Times New Roman;Times;serif" w:hAnsi="Times New Roman;Times;serif"/>
          <w:b/>
          <w:sz w:val="20"/>
        </w:rPr>
      </w:pPr>
      <w:bookmarkStart w:id="13" w:name="_fae50cb4_b2a7_46e6_a6a7_1bf772b3f5c1"/>
      <w:bookmarkEnd w:id="13"/>
      <w:r>
        <w:rPr>
          <w:rFonts w:ascii="Times New Roman;Times;serif" w:hAnsi="Times New Roman;Times;serif"/>
          <w:b/>
          <w:sz w:val="20"/>
        </w:rPr>
        <w:t>Item 1.01. Entry into a Material Definitive Agreement.</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As previously disclosed by CTO Realty Growth, Inc., a Maryland corporation (the ”Company”), the Company and certain subsidiaries of the Company previously entered into a Credit Agreement, dated as of September 30, 2024, with KeyBank National Association, as administrative agent (“KeyBank”), and certain other lenders named therein (as amended prior to September 29, 2026, the “Original KeyBank Credit Agreement”).</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 xml:space="preserve">On September 29, 2026, the Company and certain subsidiaries of the Company entered into an Amended and Restated Credit Agreement with KeyBank and certain other lenders named therein to amend and restate the Original KeyBank Credit Agreement in its entirety (the “Amended and Restated Credit Agreement”). The Amended and Restated Credit Agreement provides for: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$400,000,000 senior unsecured revolving credit facility maturing in September 2030, with two six-month extension options (the “Revolving Facility”);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$150,000,000 senior unsecured term loan credit facility maturing in September 2029 (the “2029 Term Loan Facility”);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$150,000,000 senior unsecured term loan credit facility maturing in September 2030 (the “2030 Term Loan Facility”);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$150,000,000 senior unsecured term loan credit facility maturing in September 2031 (the “2031 Term Loan Facility”);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$150,000,000 senior unsecured term loan credit facility maturing in March 2032 (the “2032 Term Loan Facility” and, together with the Revolving Facility, the 2029 Term Loan Facility, the 2030 Term Loan Facility, and the 2031 Term Loan Facility, the “Facilities”), </w:t>
            </w:r>
          </w:p>
        </w:tc>
      </w:tr>
    </w:tbl>
    <w:p>
      <w:pPr>
        <w:pStyle w:val="TextBody"/>
        <w:bidi w:val="0"/>
        <w:spacing w:before="200" w:after="200"/>
        <w:ind w:left="360" w:right="0" w:hanging="0"/>
        <w:jc w:val="both"/>
        <w:rPr>
          <w:rFonts w:ascii="Times New Roman;Times;serif" w:hAnsi="Times New Roman;Times;serif"/>
          <w:sz w:val="20"/>
        </w:rPr>
      </w:pPr>
      <w:r>
        <w:rPr>
          <w:rFonts w:ascii="Times New Roman;Times;serif" w:hAnsi="Times New Roman;Times;serif"/>
          <w:sz w:val="20"/>
        </w:rPr>
        <w:t>subject to an increase in the aggregate amount of the Facilities up to an aggregate commitment of $1,500,000,000 in accordance with the terms of the Amended and Restated Credit Agreement.</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The Facilities were provided by a syndicate of banks led by KeyBank as administrative agent. Co-syndication agents included Bank of America, N.A., The Huntington National Bank, PNC Bank, National Association, Regions Bank, Truist Bank, and Wells Fargo Bank, N.A. Additional participating banks included Associated Bank, National Association, Pinnacle Bank, Raymond James Bank, and Santander.</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Borrowings under the Amended and Restated Credit Agreement bear interest at a rate equal to either (i) the Applicable Margin plus the Base Rate (each as defined in the Amended and Restated Credit Agreement), (ii) the Applicable Margin plus Daily Simple SOFR (as defined in the Amended and Restated Credit Agreement) or (iii) the Applicable Margin plus Term SOFR (as defined in the Amended and Restated Credit Agreement).</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The Company is subject to customary restrictive covenants under the Amended and Restated Credit Agreement, including, but not limited to, limitations on the Company’s ability to: (i) incur indebtedness; (ii) make certain investments; (iii) incur certain liens; (iv) engage in certain affiliate transactions; and (v) engage in certain major transactions such as mergers. In addition, the Company is subject to various financial maintenance covenants as described in the Amended and Restated Credit Agreement.</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The foregoing description of the Amended and Restated Credit Agreement does not purport to be complete and is qualified in its entirety by reference to the text of the Amended and Restated Credit Amendment, a copy of which is filed as Exhibit 10.1 to this Current Report on Form 8-K.</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On September 29, 2026, in connection with the Company’s entry into the Amended and Restated Credit Agreement, the Company repaid all obligations outstanding under that certain Second Amended and Restated Credit Agreement, dated as of September 7, 2017, among the Company, certain subsidiaries of the Company, Bank of Montreal, as administrative agent, and certain other lenders named therein (as amended, the “BMO Credit Agreement”). As a result, the BMO Credit Agreement was terminated and the obligations thereunder were discharged.</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The information provided in Item 1.01 of this Current Report on Form 8-K is incorporated herein by reference.</w:t>
      </w:r>
    </w:p>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Item 7.01. Regulation FD Disclosure.</w:t>
      </w:r>
    </w:p>
    <w:p>
      <w:pPr>
        <w:pStyle w:val="TextBody"/>
        <w:bidi w:val="0"/>
        <w:spacing w:before="200" w:after="200"/>
        <w:ind w:left="0" w:right="0" w:firstLine="360"/>
        <w:jc w:val="both"/>
        <w:rPr>
          <w:rFonts w:ascii="Times New Roman;Times;serif" w:hAnsi="Times New Roman;Times;serif"/>
          <w:sz w:val="20"/>
        </w:rPr>
      </w:pPr>
      <w:r>
        <w:rPr>
          <w:rFonts w:ascii="Times New Roman;Times;serif" w:hAnsi="Times New Roman;Times;serif"/>
          <w:sz w:val="20"/>
        </w:rPr>
        <w:t>On September 30, 2026, the Company issued a press release (the “press release”) announcing the Company’s entry into the Amended and Restated Credit Agreement. A copy of the press release is furnished as Exhibit 99.1 to this Current Report on Form 8-K. The information contained in Item 7.01 of this Current Report on Form 8-K, including Exhibit 99.1, is being furnished and shall not be deemed “filed” for any purpose, including for purposes of Section 18 of the Securities Exchange Act of 1934, as amended, or otherwise subject to the liabilities of that section. Such information shall not be incorporated by reference into any filing of the Company, whether made before or after the date hereof, unless it is specifically incorporated by reference therein.</w:t>
      </w:r>
    </w:p>
    <w:p>
      <w:pPr>
        <w:pStyle w:val="TextBody"/>
        <w:pBdr/>
        <w:bidi w:val="0"/>
        <w:spacing w:before="200" w:after="0"/>
        <w:ind w:left="0" w:right="0" w:firstLine="360"/>
        <w:jc w:val="both"/>
        <w:rPr>
          <w:rFonts w:ascii="Times New Roman;Times;serif" w:hAnsi="Times New Roman;Times;serif"/>
          <w:sz w:val="20"/>
        </w:rPr>
      </w:pPr>
      <w:r>
        <w:rPr>
          <w:rFonts w:ascii="Times New Roman;Times;serif" w:hAnsi="Times New Roman;Times;serif"/>
          <w:sz w:val="20"/>
        </w:rPr>
        <w:t>The furnishing of the press release is not intended to constitute a representation that such furnishing is required by Regulation FD or other securities laws, or that the press release includes material investor information that is not otherwise publicly available. In addition, the Company does not assume any obligation to update such information in the future.</w:t>
      </w:r>
    </w:p>
    <w:p>
      <w:pPr>
        <w:pStyle w:val="TextBody"/>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 Exhibits</w:t>
      </w:r>
    </w:p>
    <w:tbl>
      <w:tblPr>
        <w:tblW w:w="10205" w:type="dxa"/>
        <w:jc w:val="left"/>
        <w:tblInd w:w="0" w:type="dxa"/>
        <w:tblLayout w:type="fixed"/>
        <w:tblCellMar>
          <w:top w:w="0" w:type="dxa"/>
          <w:left w:w="0" w:type="dxa"/>
          <w:bottom w:w="0" w:type="dxa"/>
          <w:right w:w="0" w:type="dxa"/>
        </w:tblCellMar>
      </w:tblPr>
      <w:tblGrid>
        <w:gridCol w:w="900"/>
        <w:gridCol w:w="346"/>
        <w:gridCol w:w="8959"/>
      </w:tblGrid>
      <w:tr>
        <w:trPr/>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71500" cy="29210"/>
                      <wp:effectExtent l="0" t="0" r="0" b="0"/>
                      <wp:wrapNone/>
                      <wp:docPr id="4" name="Frame4"/>
                      <a:graphic xmlns:a="http://schemas.openxmlformats.org/drawingml/2006/main">
                        <a:graphicData uri="http://schemas.microsoft.com/office/word/2010/wordprocessingShape">
                          <wps:wsp>
                            <wps:cNvSpPr txBox="1"/>
                            <wps:spPr>
                              <a:xfrm>
                                <a:off x="0" y="0"/>
                                <a:ext cx="5715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29210"/>
                      <wp:effectExtent l="0" t="0" r="0" b="0"/>
                      <wp:wrapNone/>
                      <wp:docPr id="5" name="Frame5"/>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88965" cy="29210"/>
                      <wp:effectExtent l="0" t="0" r="0" b="0"/>
                      <wp:wrapNone/>
                      <wp:docPr id="6" name="Frame6"/>
                      <a:graphic xmlns:a="http://schemas.openxmlformats.org/drawingml/2006/main">
                        <a:graphicData uri="http://schemas.microsoft.com/office/word/2010/wordprocessingShape">
                          <wps:wsp>
                            <wps:cNvSpPr txBox="1"/>
                            <wps:spPr>
                              <a:xfrm>
                                <a:off x="0" y="0"/>
                                <a:ext cx="56889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0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959" w:type="dxa"/>
            <w:tcBorders/>
            <w:vAlign w:val="center"/>
          </w:tcPr>
          <w:p>
            <w:pPr>
              <w:pStyle w:val="TableContents"/>
              <w:bidi w:val="0"/>
              <w:spacing w:before="0" w:after="283"/>
              <w:ind w:left="0" w:right="0" w:hanging="0"/>
              <w:jc w:val="left"/>
              <w:rPr>
                <w:sz w:val="4"/>
                <w:szCs w:val="4"/>
              </w:rPr>
            </w:pPr>
            <w:r>
              <w:rPr>
                <w:sz w:val="4"/>
                <w:szCs w:val="4"/>
              </w:rPr>
            </w:r>
          </w:p>
        </w:tc>
      </w:tr>
      <w:tr>
        <w:trPr/>
        <w:tc>
          <w:tcPr>
            <w:tcW w:w="900" w:type="dxa"/>
            <w:tcBorders/>
            <w:vAlign w:val="center"/>
          </w:tcPr>
          <w:p>
            <w:pPr>
              <w:pStyle w:val="TableContents"/>
              <w:bidi w:val="0"/>
              <w:spacing w:before="0" w:after="20"/>
              <w:ind w:left="0" w:right="0" w:hanging="0"/>
              <w:jc w:val="both"/>
              <w:rPr>
                <w:rFonts w:ascii="Times New Roman;Times;serif" w:hAnsi="Times New Roman;Times;serif"/>
                <w:b/>
                <w:sz w:val="20"/>
              </w:rPr>
            </w:pPr>
            <w:r>
              <w:rPr>
                <w:rFonts w:ascii="Times New Roman;Times;serif" w:hAnsi="Times New Roman;Times;serif"/>
                <w:b/>
                <w:sz w:val="20"/>
              </w:rPr>
              <w:t>Exhibit No.</w:t>
            </w:r>
          </w:p>
        </w:tc>
        <w:tc>
          <w:tcPr>
            <w:tcW w:w="346" w:type="dxa"/>
            <w:tcBorders/>
            <w:vAlign w:val="center"/>
          </w:tcPr>
          <w:p>
            <w:pPr>
              <w:pStyle w:val="TableContents"/>
              <w:bidi w:val="0"/>
              <w:spacing w:before="0" w:after="20"/>
              <w:ind w:left="0" w:right="0" w:hanging="0"/>
              <w:jc w:val="both"/>
              <w:rPr/>
            </w:pPr>
            <w:r>
              <w:rPr/>
              <w:t>  ​ ​ ​</w:t>
            </w:r>
          </w:p>
        </w:tc>
        <w:tc>
          <w:tcPr>
            <w:tcW w:w="8959" w:type="dxa"/>
            <w:tcBorders/>
            <w:vAlign w:val="center"/>
          </w:tcPr>
          <w:p>
            <w:pPr>
              <w:pStyle w:val="TableContents"/>
              <w:bidi w:val="0"/>
              <w:spacing w:before="0" w:after="2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959" w:type="dxa"/>
            <w:tcBorders/>
            <w:vAlign w:val="center"/>
          </w:tcPr>
          <w:p>
            <w:pPr>
              <w:pStyle w:val="TableContents"/>
              <w:bidi w:val="0"/>
              <w:spacing w:before="0" w:after="0"/>
              <w:ind w:left="0" w:right="0" w:hanging="0"/>
              <w:jc w:val="left"/>
              <w:rPr/>
            </w:pPr>
            <w:hyperlink w:anchor="cto-ex10d1.htm">
              <w:r>
                <w:rPr>
                  <w:rStyle w:val="InternetLink"/>
                  <w:rFonts w:ascii="Times New Roman;Times;serif" w:hAnsi="Times New Roman;Times;serif"/>
                  <w:b w:val="false"/>
                  <w:i w:val="false"/>
                  <w:caps w:val="false"/>
                  <w:smallCaps w:val="false"/>
                  <w:sz w:val="20"/>
                </w:rPr>
                <w:t>Amended and Restated Credit Agreement, dated September 29, 2026, among the Company, the Guarantors party thereto, KeyBank National Association, as Administrative Agent, and Certain Other Lenders Named Therein.</w:t>
              </w:r>
            </w:hyperlink>
          </w:p>
        </w:tc>
      </w:tr>
      <w:tr>
        <w:trPr/>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959" w:type="dxa"/>
            <w:tcBorders/>
            <w:vAlign w:val="center"/>
          </w:tcPr>
          <w:p>
            <w:pPr>
              <w:pStyle w:val="TableContents"/>
              <w:bidi w:val="0"/>
              <w:spacing w:before="0" w:after="0"/>
              <w:ind w:left="0" w:right="0" w:hanging="0"/>
              <w:jc w:val="left"/>
              <w:rPr/>
            </w:pPr>
            <w:hyperlink w:anchor="cto-ex99d1.htm">
              <w:r>
                <w:rPr>
                  <w:rStyle w:val="InternetLink"/>
                  <w:rFonts w:ascii="Times New Roman;Times;serif" w:hAnsi="Times New Roman;Times;serif"/>
                  <w:b w:val="false"/>
                  <w:i w:val="false"/>
                  <w:caps w:val="false"/>
                  <w:smallCaps w:val="false"/>
                  <w:sz w:val="20"/>
                </w:rPr>
                <w:t>Press Release issued September 30, 2026</w:t>
              </w:r>
            </w:hyperlink>
          </w:p>
        </w:tc>
      </w:tr>
      <w:tr>
        <w:trPr/>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89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200" w:after="20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Date: September 30, 2026</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CTO Realty Growth, Inc.</w:t>
      </w:r>
    </w:p>
    <w:p>
      <w:pPr>
        <w:pStyle w:val="TextBody"/>
        <w:bidi w:val="0"/>
        <w:spacing w:before="0" w:after="20"/>
        <w:ind w:left="0" w:right="0" w:hanging="0"/>
        <w:jc w:val="both"/>
        <w:rPr>
          <w:rFonts w:ascii="Times New Roman;Times;serif" w:hAnsi="Times New Roman;Times;serif"/>
          <w:sz w:val="20"/>
        </w:rPr>
      </w:pPr>
      <w:r>
        <w:rPr>
          <w:rFonts w:ascii="Times New Roman;Times;serif" w:hAnsi="Times New Roman;Times;serif"/>
          <w:sz w:val="20"/>
        </w:rPr>
        <w:t>By: /s/ Philip R. Mays</w:t>
      </w:r>
      <w:r>
        <w:rPr>
          <w:rFonts w:ascii="Times New Roman;Times;serif" w:hAnsi="Times New Roman;Times;serif"/>
          <w:sz w:val="20"/>
          <w:u w:val="single"/>
        </w:rPr>
        <w:t>​ ​</w:t>
      </w:r>
    </w:p>
    <w:p>
      <w:pPr>
        <w:pStyle w:val="TextBody"/>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Philip R. Mays, Senior Vice President, Chief Financial Officer, and Treasurer</w:t>
      </w:r>
    </w:p>
    <w:p>
      <w:pPr>
        <w:pStyle w:val="TextBody"/>
        <w:bidi w:val="0"/>
        <w:spacing w:before="0" w:after="0"/>
        <w:ind w:left="0" w:right="0" w:hanging="0"/>
        <w:jc w:val="right"/>
        <w:rPr>
          <w:rFonts w:ascii="Times New Roman;Times;serif" w:hAnsi="Times New Roman;Times;serif"/>
          <w:b/>
          <w:sz w:val="24"/>
        </w:rPr>
      </w:pPr>
      <w:bookmarkStart w:id="14" w:name="cto-ex10d1.htm"/>
      <w:bookmarkStart w:id="15" w:name="ksctoex10d1"/>
      <w:bookmarkEnd w:id="14"/>
      <w:bookmarkEnd w:id="15"/>
      <w:r>
        <w:rPr>
          <w:rFonts w:ascii="Times New Roman;Times;serif" w:hAnsi="Times New Roman;Times;serif"/>
          <w:b/>
          <w:sz w:val="24"/>
        </w:rPr>
        <w:t>Exhibit 10.1</w:t>
      </w:r>
      <w:r>
        <w:br w:type="page"/>
      </w:r>
    </w:p>
    <w:p>
      <w:pPr>
        <w:pStyle w:val="TextBody"/>
        <w:bidi w:val="0"/>
        <w:spacing w:before="0" w:after="0"/>
        <w:ind w:left="0" w:right="0" w:hanging="0"/>
        <w:jc w:val="right"/>
        <w:rPr>
          <w:rFonts w:ascii="Times New Roman;Times;serif" w:hAnsi="Times New Roman;Times;serif"/>
          <w:b/>
          <w:i/>
          <w:sz w:val="24"/>
        </w:rPr>
      </w:pPr>
      <w:r>
        <w:rPr>
          <w:rFonts w:ascii="Times New Roman;Times;serif" w:hAnsi="Times New Roman;Times;serif"/>
          <w:b/>
          <w:i/>
          <w:sz w:val="24"/>
        </w:rPr>
        <w:t>Execution Version</w:t>
      </w:r>
    </w:p>
    <w:p>
      <w:pPr>
        <w:pStyle w:val="TextBody"/>
        <w:bidi w:val="0"/>
        <w:spacing w:before="360" w:after="240"/>
        <w:ind w:left="0" w:right="0" w:hanging="0"/>
        <w:jc w:val="center"/>
        <w:rPr>
          <w:rFonts w:ascii="Times New Roman;Times;serif" w:hAnsi="Times New Roman;Times;serif"/>
          <w:b w:val="false"/>
          <w:smallCaps/>
          <w:sz w:val="24"/>
        </w:rPr>
      </w:pPr>
      <w:bookmarkStart w:id="16" w:name="_Hlk241147069"/>
      <w:bookmarkEnd w:id="16"/>
      <w:r>
        <w:rPr>
          <w:rFonts w:ascii="Times New Roman;Times;serif" w:hAnsi="Times New Roman;Times;serif"/>
          <w:b w:val="false"/>
          <w:smallCaps/>
          <w:sz w:val="24"/>
        </w:rPr>
        <w:t>Amended and Restated Credit Agreement</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Dated as of September 29, 2026</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among</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 xml:space="preserve">CTO Realty Growth, Inc., </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The Guarantors From Time to Time Parties Hereto,</w:t>
      </w:r>
    </w:p>
    <w:p>
      <w:pPr>
        <w:pStyle w:val="TextBody"/>
        <w:bidi w:val="0"/>
        <w:spacing w:before="0" w:after="24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the Lenders from time to time parties hereto,</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KeyBank National Association,</w:t>
      </w:r>
    </w:p>
    <w:p>
      <w:pPr>
        <w:pStyle w:val="TextBody"/>
        <w:bidi w:val="0"/>
        <w:spacing w:before="0" w:after="0"/>
        <w:ind w:left="0" w:right="0" w:hanging="0"/>
        <w:jc w:val="center"/>
        <w:rPr>
          <w:rFonts w:ascii="Times New Roman;Times;serif" w:hAnsi="Times New Roman;Times;serif"/>
          <w:b w:val="false"/>
          <w:smallCaps/>
          <w:sz w:val="24"/>
        </w:rPr>
      </w:pPr>
      <w:r>
        <w:rPr>
          <w:rFonts w:ascii="Times New Roman;Times;serif" w:hAnsi="Times New Roman;Times;serif"/>
          <w:b w:val="false"/>
          <w:smallCaps/>
          <w:sz w:val="24"/>
        </w:rPr>
        <w:t>as Administrative Agent,</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KeyBanc Capital Markets Inc., The Huntington National Bank, PNC Capital Markets LLC, Regions Capital Markets, Truist Securities, Inc., Raymond James Bank, Wells Fargo Bank, N.A., and BofA Securities, Inc.,</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as Joint Lead Arrangers </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The Huntington National Bank, PNC Bank, National Association, Regions Bank, Truist Bank, Wells Fargo Bank, N.A., and Bank of America, N.A.,</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 xml:space="preserve">as Co-Syndication Agents </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and</w:t>
      </w:r>
    </w:p>
    <w:p>
      <w:pPr>
        <w:pStyle w:val="TextBody"/>
        <w:bidi w:val="0"/>
        <w:spacing w:before="240" w:after="0"/>
        <w:ind w:left="0" w:right="0" w:hanging="0"/>
        <w:jc w:val="center"/>
        <w:rPr>
          <w:rFonts w:ascii="Times New Roman;Times;serif" w:hAnsi="Times New Roman;Times;serif"/>
          <w:smallCaps/>
          <w:sz w:val="24"/>
        </w:rPr>
      </w:pPr>
      <w:r>
        <w:rPr>
          <w:rFonts w:ascii="Times New Roman;Times;serif" w:hAnsi="Times New Roman;Times;serif"/>
          <w:smallCaps/>
          <w:sz w:val="24"/>
        </w:rPr>
        <w:t>KeyBanc Capital Markets Inc.,</w:t>
      </w:r>
    </w:p>
    <w:p>
      <w:pPr>
        <w:pStyle w:val="TextBody"/>
        <w:bidi w:val="0"/>
        <w:spacing w:before="0" w:after="0"/>
        <w:ind w:left="0" w:right="0" w:hanging="0"/>
        <w:jc w:val="center"/>
        <w:rPr>
          <w:rFonts w:ascii="Times New Roman;Times;serif" w:hAnsi="Times New Roman;Times;serif"/>
          <w:smallCaps/>
          <w:sz w:val="24"/>
        </w:rPr>
      </w:pPr>
      <w:r>
        <w:rPr>
          <w:rFonts w:ascii="Times New Roman;Times;serif" w:hAnsi="Times New Roman;Times;serif"/>
          <w:smallCaps/>
          <w:sz w:val="24"/>
        </w:rPr>
        <w:t>as Sole Book Runner</w:t>
      </w:r>
    </w:p>
    <w:p>
      <w:pPr>
        <w:pStyle w:val="TextBody"/>
        <w:bidi w:val="0"/>
        <w:spacing w:before="360" w:after="283"/>
        <w:ind w:left="0" w:right="0" w:hanging="0"/>
        <w:jc w:val="center"/>
        <w:rPr>
          <w:smallCaps/>
        </w:rPr>
      </w:pPr>
      <w:r>
        <w:rPr>
          <w:smallCaps/>
        </w:rPr>
        <w:t>​</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sz w:val="18"/>
        </w:rPr>
      </w:pPr>
      <w:bookmarkStart w:id="17" w:name="_iDocIDFielde3386808-95e7-4d7f-8a2a-3843"/>
      <w:bookmarkEnd w:id="17"/>
      <w:r>
        <w:rPr>
          <w:rFonts w:ascii="Times New Roman;Times;serif" w:hAnsi="Times New Roman;Times;serif"/>
          <w:sz w:val="18"/>
        </w:rPr>
        <w:t>4902411.15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Table of Contents</w:t>
      </w:r>
    </w:p>
    <w:p>
      <w:pPr>
        <w:pStyle w:val="TextBody"/>
        <w:bidi w:val="0"/>
        <w:spacing w:before="320" w:after="0"/>
        <w:ind w:left="5040" w:right="0" w:hanging="0"/>
        <w:jc w:val="left"/>
        <w:rPr>
          <w:rFonts w:ascii="Times New Roman;Times;serif" w:hAnsi="Times New Roman;Times;serif"/>
          <w:b w:val="false"/>
          <w:i w:val="false"/>
          <w:smallCaps/>
          <w:sz w:val="24"/>
          <w:shd w:fill="FFFFFF" w:val="clear"/>
        </w:rPr>
      </w:pPr>
      <w:r>
        <w:rPr>
          <w:rFonts w:ascii="Times New Roman;Times;serif" w:hAnsi="Times New Roman;Times;serif"/>
          <w:b w:val="false"/>
          <w:i w:val="false"/>
          <w:smallCaps/>
          <w:sz w:val="24"/>
          <w:shd w:fill="FFFFFF" w:val="clear"/>
        </w:rPr>
        <w:t>Page</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778">
        <w:r>
          <w:rPr>
            <w:rStyle w:val="InternetLink"/>
            <w:rFonts w:ascii="Times New Roman;Times;serif" w:hAnsi="Times New Roman;Times;serif"/>
            <w:b w:val="false"/>
            <w:i w:val="false"/>
            <w:caps w:val="false"/>
            <w:smallCaps w:val="false"/>
            <w:sz w:val="24"/>
            <w:shd w:fill="FFFFFF" w:val="clear"/>
          </w:rPr>
          <w:t>SECTION 1.</w:t>
        </w:r>
      </w:hyperlink>
      <w:r>
        <w:rPr>
          <w:rFonts w:ascii="Times New Roman;Times;serif" w:hAnsi="Times New Roman;Times;serif"/>
          <w:sz w:val="24"/>
          <w:shd w:fill="FFFFFF" w:val="clear"/>
        </w:rPr>
        <w:tab/>
      </w:r>
      <w:hyperlink w:anchor="_Toc241229778">
        <w:r>
          <w:rPr>
            <w:rStyle w:val="InternetLink"/>
            <w:rFonts w:ascii="Times New Roman;Times;serif" w:hAnsi="Times New Roman;Times;serif"/>
            <w:b w:val="false"/>
            <w:i w:val="false"/>
            <w:caps w:val="false"/>
            <w:smallCaps w:val="false"/>
            <w:sz w:val="24"/>
            <w:shd w:fill="FFFFFF" w:val="clear"/>
          </w:rPr>
          <w:t>The Credit Facility</w:t>
        </w:r>
      </w:hyperlink>
      <w:hyperlink w:anchor="_Toc241229778">
        <w:r>
          <w:rPr>
            <w:webHidden/>
          </w:rPr>
          <w:fldChar w:fldCharType="begin"/>
        </w:r>
        <w:r>
          <w:rPr>
            <w:webHidden/>
          </w:rPr>
          <w:instrText xml:space="preserve">PAGEREF _Toc241229778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10">
                <wp:simplePos x="0" y="0"/>
                <wp:positionH relativeFrom="page">
                  <wp:posOffset>0</wp:posOffset>
                </wp:positionH>
                <wp:positionV relativeFrom="line">
                  <wp:posOffset>635</wp:posOffset>
                </wp:positionV>
                <wp:extent cx="6480175" cy="175895"/>
                <wp:effectExtent l="0" t="0" r="0" b="0"/>
                <wp:wrapNone/>
                <wp:docPr id="8" name="Frame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79">
        <w:r>
          <w:rPr>
            <w:rStyle w:val="InternetLink"/>
            <w:rFonts w:ascii="Times New Roman;Times;serif" w:hAnsi="Times New Roman;Times;serif"/>
            <w:b w:val="false"/>
            <w:i w:val="false"/>
            <w:caps w:val="false"/>
            <w:smallCaps w:val="false"/>
            <w:sz w:val="24"/>
            <w:shd w:fill="FFFFFF" w:val="clear"/>
          </w:rPr>
          <w:t>Section 1.1.</w:t>
        </w:r>
      </w:hyperlink>
      <w:r>
        <w:rPr>
          <w:rFonts w:ascii="Times New Roman;Times;serif" w:hAnsi="Times New Roman;Times;serif"/>
          <w:sz w:val="24"/>
          <w:shd w:fill="FFFFFF" w:val="clear"/>
        </w:rPr>
        <w:tab/>
      </w:r>
      <w:hyperlink w:anchor="_Toc241229779">
        <w:r>
          <w:rPr>
            <w:rStyle w:val="InternetLink"/>
            <w:rFonts w:ascii="Times New Roman;Times;serif" w:hAnsi="Times New Roman;Times;serif"/>
            <w:b w:val="false"/>
            <w:i w:val="false"/>
            <w:caps w:val="false"/>
            <w:smallCaps w:val="false"/>
            <w:sz w:val="24"/>
            <w:shd w:fill="FFFFFF" w:val="clear"/>
          </w:rPr>
          <w:t>Revolving Credit Commitments</w:t>
        </w:r>
      </w:hyperlink>
      <w:hyperlink w:anchor="_Toc241229779">
        <w:r>
          <w:rPr>
            <w:webHidden/>
          </w:rPr>
          <w:fldChar w:fldCharType="begin"/>
        </w:r>
        <w:r>
          <w:rPr>
            <w:webHidden/>
          </w:rPr>
          <w:instrText xml:space="preserve">PAGEREF _Toc241229779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895"/>
                <wp:effectExtent l="0" t="0" r="0" b="0"/>
                <wp:wrapNone/>
                <wp:docPr id="9" name="Frame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0">
        <w:r>
          <w:rPr>
            <w:rStyle w:val="InternetLink"/>
            <w:rFonts w:ascii="Times New Roman;Times;serif" w:hAnsi="Times New Roman;Times;serif"/>
            <w:b w:val="false"/>
            <w:i w:val="false"/>
            <w:caps w:val="false"/>
            <w:smallCaps w:val="false"/>
            <w:sz w:val="24"/>
            <w:shd w:fill="FFFFFF" w:val="clear"/>
          </w:rPr>
          <w:t>Section 1.2.</w:t>
        </w:r>
      </w:hyperlink>
      <w:r>
        <w:rPr>
          <w:rFonts w:ascii="Times New Roman;Times;serif" w:hAnsi="Times New Roman;Times;serif"/>
          <w:sz w:val="24"/>
          <w:shd w:fill="FFFFFF" w:val="clear"/>
        </w:rPr>
        <w:tab/>
      </w:r>
      <w:hyperlink w:anchor="_Toc241229780">
        <w:r>
          <w:rPr>
            <w:rStyle w:val="InternetLink"/>
            <w:rFonts w:ascii="Times New Roman;Times;serif" w:hAnsi="Times New Roman;Times;serif"/>
            <w:b w:val="false"/>
            <w:i w:val="false"/>
            <w:caps w:val="false"/>
            <w:smallCaps w:val="false"/>
            <w:sz w:val="24"/>
            <w:shd w:fill="FFFFFF" w:val="clear"/>
          </w:rPr>
          <w:t>Term Loans</w:t>
        </w:r>
      </w:hyperlink>
      <w:hyperlink w:anchor="_Toc241229780">
        <w:r>
          <w:rPr>
            <w:webHidden/>
          </w:rPr>
          <w:fldChar w:fldCharType="begin"/>
        </w:r>
        <w:r>
          <w:rPr>
            <w:webHidden/>
          </w:rPr>
          <w:instrText xml:space="preserve">PAGEREF _Toc241229780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w:t>
        </w:r>
        <w:r>
          <w:rPr>
            <w:webHidden/>
          </w:rPr>
          <w:fldChar w:fldCharType="end"/>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895"/>
                <wp:effectExtent l="0" t="0" r="0" b="0"/>
                <wp:wrapNone/>
                <wp:docPr id="10" name="Frame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1">
        <w:r>
          <w:rPr>
            <w:rStyle w:val="InternetLink"/>
            <w:rFonts w:ascii="Times New Roman;Times;serif" w:hAnsi="Times New Roman;Times;serif"/>
            <w:b w:val="false"/>
            <w:i w:val="false"/>
            <w:caps w:val="false"/>
            <w:smallCaps w:val="false"/>
            <w:sz w:val="24"/>
            <w:shd w:fill="FFFFFF" w:val="clear"/>
          </w:rPr>
          <w:t>Section 1.3.</w:t>
        </w:r>
      </w:hyperlink>
      <w:r>
        <w:rPr>
          <w:rFonts w:ascii="Times New Roman;Times;serif" w:hAnsi="Times New Roman;Times;serif"/>
          <w:sz w:val="24"/>
          <w:shd w:fill="FFFFFF" w:val="clear"/>
        </w:rPr>
        <w:tab/>
      </w:r>
      <w:hyperlink w:anchor="_Toc241229781">
        <w:r>
          <w:rPr>
            <w:rStyle w:val="InternetLink"/>
            <w:rFonts w:ascii="Times New Roman;Times;serif" w:hAnsi="Times New Roman;Times;serif"/>
            <w:b w:val="false"/>
            <w:i w:val="false"/>
            <w:caps w:val="false"/>
            <w:smallCaps w:val="false"/>
            <w:sz w:val="24"/>
            <w:shd w:fill="FFFFFF" w:val="clear"/>
          </w:rPr>
          <w:t>Letters of Credit</w:t>
        </w:r>
      </w:hyperlink>
      <w:hyperlink w:anchor="_Toc241229781">
        <w:r>
          <w:rPr>
            <w:webHidden/>
          </w:rPr>
          <w:fldChar w:fldCharType="begin"/>
        </w:r>
        <w:r>
          <w:rPr>
            <w:webHidden/>
          </w:rPr>
          <w:instrText xml:space="preserve">PAGEREF _Toc241229781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w:t>
        </w:r>
        <w:r>
          <w:rPr>
            <w:webHidden/>
          </w:rPr>
          <w:fldChar w:fldCharType="end"/>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895"/>
                <wp:effectExtent l="0" t="0" r="0" b="0"/>
                <wp:wrapNone/>
                <wp:docPr id="11" name="Frame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2">
        <w:r>
          <w:rPr>
            <w:rStyle w:val="InternetLink"/>
            <w:rFonts w:ascii="Times New Roman;Times;serif" w:hAnsi="Times New Roman;Times;serif"/>
            <w:b w:val="false"/>
            <w:i w:val="false"/>
            <w:caps w:val="false"/>
            <w:smallCaps w:val="false"/>
            <w:sz w:val="24"/>
            <w:shd w:fill="FFFFFF" w:val="clear"/>
          </w:rPr>
          <w:t>Section 1.4.</w:t>
        </w:r>
      </w:hyperlink>
      <w:r>
        <w:rPr>
          <w:rFonts w:ascii="Times New Roman;Times;serif" w:hAnsi="Times New Roman;Times;serif"/>
          <w:sz w:val="24"/>
          <w:shd w:fill="FFFFFF" w:val="clear"/>
        </w:rPr>
        <w:tab/>
      </w:r>
      <w:hyperlink w:anchor="_Toc241229782">
        <w:r>
          <w:rPr>
            <w:rStyle w:val="InternetLink"/>
            <w:rFonts w:ascii="Times New Roman;Times;serif" w:hAnsi="Times New Roman;Times;serif"/>
            <w:b w:val="false"/>
            <w:i w:val="false"/>
            <w:caps w:val="false"/>
            <w:smallCaps w:val="false"/>
            <w:sz w:val="24"/>
            <w:shd w:fill="FFFFFF" w:val="clear"/>
          </w:rPr>
          <w:t>Applicable Interest Rates</w:t>
        </w:r>
      </w:hyperlink>
      <w:hyperlink w:anchor="_Toc241229782">
        <w:r>
          <w:rPr>
            <w:webHidden/>
          </w:rPr>
          <w:fldChar w:fldCharType="begin"/>
        </w:r>
        <w:r>
          <w:rPr>
            <w:webHidden/>
          </w:rPr>
          <w:instrText xml:space="preserve">PAGEREF _Toc241229782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w:t>
        </w:r>
        <w:r>
          <w:rPr>
            <w:webHidden/>
          </w:rPr>
          <w:fldChar w:fldCharType="end"/>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895"/>
                <wp:effectExtent l="0" t="0" r="0" b="0"/>
                <wp:wrapNone/>
                <wp:docPr id="12" name="Frame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3">
        <w:r>
          <w:rPr>
            <w:rStyle w:val="InternetLink"/>
            <w:rFonts w:ascii="Times New Roman;Times;serif" w:hAnsi="Times New Roman;Times;serif"/>
            <w:b w:val="false"/>
            <w:i w:val="false"/>
            <w:caps w:val="false"/>
            <w:smallCaps w:val="false"/>
            <w:sz w:val="24"/>
            <w:shd w:fill="FFFFFF" w:val="clear"/>
          </w:rPr>
          <w:t>Section 1.5.</w:t>
        </w:r>
      </w:hyperlink>
      <w:r>
        <w:rPr>
          <w:rFonts w:ascii="Times New Roman;Times;serif" w:hAnsi="Times New Roman;Times;serif"/>
          <w:sz w:val="24"/>
          <w:shd w:fill="FFFFFF" w:val="clear"/>
        </w:rPr>
        <w:tab/>
      </w:r>
      <w:hyperlink w:anchor="_Toc241229783">
        <w:r>
          <w:rPr>
            <w:rStyle w:val="InternetLink"/>
            <w:rFonts w:ascii="Times New Roman;Times;serif" w:hAnsi="Times New Roman;Times;serif"/>
            <w:b w:val="false"/>
            <w:i w:val="false"/>
            <w:caps w:val="false"/>
            <w:smallCaps w:val="false"/>
            <w:sz w:val="24"/>
            <w:shd w:fill="FFFFFF" w:val="clear"/>
          </w:rPr>
          <w:t>Minimum Borrowing Amounts; Maximum Term SOFR Loans</w:t>
        </w:r>
      </w:hyperlink>
      <w:hyperlink w:anchor="_Toc241229783">
        <w:r>
          <w:rPr>
            <w:webHidden/>
          </w:rPr>
          <w:fldChar w:fldCharType="begin"/>
        </w:r>
        <w:r>
          <w:rPr>
            <w:webHidden/>
          </w:rPr>
          <w:instrText xml:space="preserve">PAGEREF _Toc241229783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w:t>
        </w:r>
        <w:r>
          <w:rPr>
            <w:webHidden/>
          </w:rPr>
          <w:fldChar w:fldCharType="end"/>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895"/>
                <wp:effectExtent l="0" t="0" r="0" b="0"/>
                <wp:wrapNone/>
                <wp:docPr id="13" name="Frame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4">
        <w:r>
          <w:rPr>
            <w:rStyle w:val="InternetLink"/>
            <w:rFonts w:ascii="Times New Roman;Times;serif" w:hAnsi="Times New Roman;Times;serif"/>
            <w:b w:val="false"/>
            <w:i w:val="false"/>
            <w:caps w:val="false"/>
            <w:smallCaps w:val="false"/>
            <w:sz w:val="24"/>
            <w:shd w:fill="FFFFFF" w:val="clear"/>
          </w:rPr>
          <w:t>Section 1.6.</w:t>
        </w:r>
      </w:hyperlink>
      <w:r>
        <w:rPr>
          <w:rFonts w:ascii="Times New Roman;Times;serif" w:hAnsi="Times New Roman;Times;serif"/>
          <w:sz w:val="24"/>
          <w:shd w:fill="FFFFFF" w:val="clear"/>
        </w:rPr>
        <w:tab/>
      </w:r>
      <w:hyperlink w:anchor="_Toc241229784">
        <w:r>
          <w:rPr>
            <w:rStyle w:val="InternetLink"/>
            <w:rFonts w:ascii="Times New Roman;Times;serif" w:hAnsi="Times New Roman;Times;serif"/>
            <w:b w:val="false"/>
            <w:i w:val="false"/>
            <w:caps w:val="false"/>
            <w:smallCaps w:val="false"/>
            <w:sz w:val="24"/>
            <w:shd w:fill="FFFFFF" w:val="clear"/>
          </w:rPr>
          <w:t>Manner of Borrowing Loans and Designating Applicable Interest Rates</w:t>
        </w:r>
      </w:hyperlink>
      <w:hyperlink w:anchor="_Toc241229784">
        <w:r>
          <w:rPr>
            <w:webHidden/>
          </w:rPr>
          <w:fldChar w:fldCharType="begin"/>
        </w:r>
        <w:r>
          <w:rPr>
            <w:webHidden/>
          </w:rPr>
          <w:instrText xml:space="preserve">PAGEREF _Toc241229784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w:t>
        </w:r>
        <w:r>
          <w:rPr>
            <w:webHidden/>
          </w:rPr>
          <w:fldChar w:fldCharType="end"/>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895"/>
                <wp:effectExtent l="0" t="0" r="0" b="0"/>
                <wp:wrapNone/>
                <wp:docPr id="14" name="Frame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4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5">
        <w:r>
          <w:rPr>
            <w:rStyle w:val="InternetLink"/>
            <w:rFonts w:ascii="Times New Roman;Times;serif" w:hAnsi="Times New Roman;Times;serif"/>
            <w:b w:val="false"/>
            <w:i w:val="false"/>
            <w:caps w:val="false"/>
            <w:smallCaps w:val="false"/>
            <w:sz w:val="24"/>
            <w:shd w:fill="FFFFFF" w:val="clear"/>
          </w:rPr>
          <w:t>Section 1.7.</w:t>
        </w:r>
      </w:hyperlink>
      <w:r>
        <w:rPr>
          <w:rFonts w:ascii="Times New Roman;Times;serif" w:hAnsi="Times New Roman;Times;serif"/>
          <w:sz w:val="24"/>
          <w:shd w:fill="FFFFFF" w:val="clear"/>
        </w:rPr>
        <w:tab/>
      </w:r>
      <w:hyperlink w:anchor="_Toc241229785">
        <w:r>
          <w:rPr>
            <w:rStyle w:val="InternetLink"/>
            <w:rFonts w:ascii="Times New Roman;Times;serif" w:hAnsi="Times New Roman;Times;serif"/>
            <w:b w:val="false"/>
            <w:i w:val="false"/>
            <w:caps w:val="false"/>
            <w:smallCaps w:val="false"/>
            <w:sz w:val="24"/>
            <w:shd w:fill="FFFFFF" w:val="clear"/>
          </w:rPr>
          <w:t>Maturity of Loans</w:t>
        </w:r>
      </w:hyperlink>
      <w:hyperlink w:anchor="_Toc241229785">
        <w:r>
          <w:rPr>
            <w:webHidden/>
          </w:rPr>
          <w:fldChar w:fldCharType="begin"/>
        </w:r>
        <w:r>
          <w:rPr>
            <w:webHidden/>
          </w:rPr>
          <w:instrText xml:space="preserve">PAGEREF _Toc241229785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w:t>
        </w:r>
        <w:r>
          <w:rPr>
            <w:webHidden/>
          </w:rPr>
          <w:fldChar w:fldCharType="end"/>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895"/>
                <wp:effectExtent l="0" t="0" r="0" b="0"/>
                <wp:wrapNone/>
                <wp:docPr id="15" name="Frame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6">
        <w:r>
          <w:rPr>
            <w:rStyle w:val="InternetLink"/>
            <w:rFonts w:ascii="Times New Roman;Times;serif" w:hAnsi="Times New Roman;Times;serif"/>
            <w:b w:val="false"/>
            <w:i w:val="false"/>
            <w:caps w:val="false"/>
            <w:smallCaps w:val="false"/>
            <w:sz w:val="24"/>
            <w:shd w:fill="FFFFFF" w:val="clear"/>
          </w:rPr>
          <w:t>Section 1.8.</w:t>
        </w:r>
      </w:hyperlink>
      <w:r>
        <w:rPr>
          <w:rFonts w:ascii="Times New Roman;Times;serif" w:hAnsi="Times New Roman;Times;serif"/>
          <w:sz w:val="24"/>
          <w:shd w:fill="FFFFFF" w:val="clear"/>
        </w:rPr>
        <w:tab/>
      </w:r>
      <w:hyperlink w:anchor="_Toc241229786">
        <w:r>
          <w:rPr>
            <w:rStyle w:val="InternetLink"/>
            <w:rFonts w:ascii="Times New Roman;Times;serif" w:hAnsi="Times New Roman;Times;serif"/>
            <w:b w:val="false"/>
            <w:i w:val="false"/>
            <w:caps w:val="false"/>
            <w:smallCaps w:val="false"/>
            <w:sz w:val="24"/>
            <w:shd w:fill="FFFFFF" w:val="clear"/>
          </w:rPr>
          <w:t>Prepayments</w:t>
        </w:r>
      </w:hyperlink>
      <w:hyperlink w:anchor="_Toc241229786">
        <w:r>
          <w:rPr>
            <w:webHidden/>
          </w:rPr>
          <w:fldChar w:fldCharType="begin"/>
        </w:r>
        <w:r>
          <w:rPr>
            <w:webHidden/>
          </w:rPr>
          <w:instrText xml:space="preserve">PAGEREF _Toc241229786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w:t>
        </w:r>
        <w:r>
          <w:rPr>
            <w:webHidden/>
          </w:rPr>
          <w:fldChar w:fldCharType="end"/>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895"/>
                <wp:effectExtent l="0" t="0" r="0" b="0"/>
                <wp:wrapNone/>
                <wp:docPr id="16" name="Frame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7">
        <w:r>
          <w:rPr>
            <w:rStyle w:val="InternetLink"/>
            <w:rFonts w:ascii="Times New Roman;Times;serif" w:hAnsi="Times New Roman;Times;serif"/>
            <w:b w:val="false"/>
            <w:i w:val="false"/>
            <w:caps w:val="false"/>
            <w:smallCaps w:val="false"/>
            <w:sz w:val="24"/>
            <w:shd w:fill="FFFFFF" w:val="clear"/>
          </w:rPr>
          <w:t>Section 1.9.</w:t>
        </w:r>
      </w:hyperlink>
      <w:r>
        <w:rPr>
          <w:rFonts w:ascii="Times New Roman;Times;serif" w:hAnsi="Times New Roman;Times;serif"/>
          <w:sz w:val="24"/>
          <w:shd w:fill="FFFFFF" w:val="clear"/>
        </w:rPr>
        <w:tab/>
      </w:r>
      <w:hyperlink w:anchor="_Toc241229787">
        <w:r>
          <w:rPr>
            <w:rStyle w:val="InternetLink"/>
            <w:rFonts w:ascii="Times New Roman;Times;serif" w:hAnsi="Times New Roman;Times;serif"/>
            <w:b w:val="false"/>
            <w:i w:val="false"/>
            <w:caps w:val="false"/>
            <w:smallCaps w:val="false"/>
            <w:sz w:val="24"/>
            <w:shd w:fill="FFFFFF" w:val="clear"/>
          </w:rPr>
          <w:t>Default Rate</w:t>
        </w:r>
      </w:hyperlink>
      <w:hyperlink w:anchor="_Toc241229787">
        <w:r>
          <w:rPr>
            <w:webHidden/>
          </w:rPr>
          <w:fldChar w:fldCharType="begin"/>
        </w:r>
        <w:r>
          <w:rPr>
            <w:webHidden/>
          </w:rPr>
          <w:instrText xml:space="preserve">PAGEREF _Toc241229787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w:t>
        </w:r>
        <w:r>
          <w:rPr>
            <w:webHidden/>
          </w:rPr>
          <w:fldChar w:fldCharType="end"/>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895"/>
                <wp:effectExtent l="0" t="0" r="0" b="0"/>
                <wp:wrapNone/>
                <wp:docPr id="17" name="Frame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8">
        <w:r>
          <w:rPr>
            <w:rStyle w:val="InternetLink"/>
            <w:rFonts w:ascii="Times New Roman;Times;serif" w:hAnsi="Times New Roman;Times;serif"/>
            <w:b w:val="false"/>
            <w:i w:val="false"/>
            <w:caps w:val="false"/>
            <w:smallCaps w:val="false"/>
            <w:sz w:val="24"/>
            <w:shd w:fill="FFFFFF" w:val="clear"/>
          </w:rPr>
          <w:t>Section 1.10.</w:t>
        </w:r>
      </w:hyperlink>
      <w:r>
        <w:rPr>
          <w:rFonts w:ascii="Times New Roman;Times;serif" w:hAnsi="Times New Roman;Times;serif"/>
          <w:sz w:val="24"/>
          <w:shd w:fill="FFFFFF" w:val="clear"/>
        </w:rPr>
        <w:tab/>
      </w:r>
      <w:hyperlink w:anchor="_Toc241229788">
        <w:r>
          <w:rPr>
            <w:rStyle w:val="InternetLink"/>
            <w:rFonts w:ascii="Times New Roman;Times;serif" w:hAnsi="Times New Roman;Times;serif"/>
            <w:b w:val="false"/>
            <w:i w:val="false"/>
            <w:caps w:val="false"/>
            <w:smallCaps w:val="false"/>
            <w:sz w:val="24"/>
            <w:shd w:fill="FFFFFF" w:val="clear"/>
          </w:rPr>
          <w:t>Evidence of Indebtedness</w:t>
        </w:r>
      </w:hyperlink>
      <w:hyperlink w:anchor="_Toc241229788">
        <w:r>
          <w:rPr>
            <w:webHidden/>
          </w:rPr>
          <w:fldChar w:fldCharType="begin"/>
        </w:r>
        <w:r>
          <w:rPr>
            <w:webHidden/>
          </w:rPr>
          <w:instrText xml:space="preserve">PAGEREF _Toc241229788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13</w:t>
        </w:r>
        <w:r>
          <w:rPr>
            <w:webHidden/>
          </w:rPr>
          <w:fldChar w:fldCharType="end"/>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895"/>
                <wp:effectExtent l="0" t="0" r="0" b="0"/>
                <wp:wrapNone/>
                <wp:docPr id="18" name="Frame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89">
        <w:r>
          <w:rPr>
            <w:rStyle w:val="InternetLink"/>
            <w:rFonts w:ascii="Times New Roman;Times;serif" w:hAnsi="Times New Roman;Times;serif"/>
            <w:b w:val="false"/>
            <w:i w:val="false"/>
            <w:caps w:val="false"/>
            <w:smallCaps w:val="false"/>
            <w:sz w:val="24"/>
            <w:shd w:fill="FFFFFF" w:val="clear"/>
          </w:rPr>
          <w:t>Section 1.11.</w:t>
        </w:r>
      </w:hyperlink>
      <w:r>
        <w:rPr>
          <w:rFonts w:ascii="Times New Roman;Times;serif" w:hAnsi="Times New Roman;Times;serif"/>
          <w:sz w:val="24"/>
          <w:shd w:fill="FFFFFF" w:val="clear"/>
        </w:rPr>
        <w:tab/>
      </w:r>
      <w:hyperlink w:anchor="_Toc241229789">
        <w:r>
          <w:rPr>
            <w:rStyle w:val="InternetLink"/>
            <w:rFonts w:ascii="Times New Roman;Times;serif" w:hAnsi="Times New Roman;Times;serif"/>
            <w:b w:val="false"/>
            <w:i w:val="false"/>
            <w:caps w:val="false"/>
            <w:smallCaps w:val="false"/>
            <w:sz w:val="24"/>
            <w:shd w:fill="FFFFFF" w:val="clear"/>
          </w:rPr>
          <w:t>Funding Indemnity</w:t>
        </w:r>
      </w:hyperlink>
      <w:hyperlink w:anchor="_Toc241229789">
        <w:r>
          <w:rPr>
            <w:webHidden/>
          </w:rPr>
          <w:fldChar w:fldCharType="begin"/>
        </w:r>
        <w:r>
          <w:rPr>
            <w:webHidden/>
          </w:rPr>
          <w:instrText xml:space="preserve">PAGEREF _Toc241229789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14</w:t>
        </w:r>
        <w:r>
          <w:rPr>
            <w:webHidden/>
          </w:rPr>
          <w:fldChar w:fldCharType="end"/>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895"/>
                <wp:effectExtent l="0" t="0" r="0" b="0"/>
                <wp:wrapNone/>
                <wp:docPr id="19" name="Frame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0">
        <w:r>
          <w:rPr>
            <w:rStyle w:val="InternetLink"/>
            <w:rFonts w:ascii="Times New Roman;Times;serif" w:hAnsi="Times New Roman;Times;serif"/>
            <w:b w:val="false"/>
            <w:i w:val="false"/>
            <w:caps w:val="false"/>
            <w:smallCaps w:val="false"/>
            <w:sz w:val="24"/>
            <w:shd w:fill="FFFFFF" w:val="clear"/>
          </w:rPr>
          <w:t>Section 1.12.</w:t>
        </w:r>
      </w:hyperlink>
      <w:r>
        <w:rPr>
          <w:rFonts w:ascii="Times New Roman;Times;serif" w:hAnsi="Times New Roman;Times;serif"/>
          <w:sz w:val="24"/>
          <w:shd w:fill="FFFFFF" w:val="clear"/>
        </w:rPr>
        <w:tab/>
      </w:r>
      <w:hyperlink w:anchor="_Toc241229790">
        <w:r>
          <w:rPr>
            <w:rStyle w:val="InternetLink"/>
            <w:rFonts w:ascii="Times New Roman;Times;serif" w:hAnsi="Times New Roman;Times;serif"/>
            <w:b w:val="false"/>
            <w:i w:val="false"/>
            <w:caps w:val="false"/>
            <w:smallCaps w:val="false"/>
            <w:sz w:val="24"/>
            <w:shd w:fill="FFFFFF" w:val="clear"/>
          </w:rPr>
          <w:t>Commitment Terminations</w:t>
        </w:r>
      </w:hyperlink>
      <w:hyperlink w:anchor="_Toc241229790">
        <w:r>
          <w:rPr>
            <w:webHidden/>
          </w:rPr>
          <w:fldChar w:fldCharType="begin"/>
        </w:r>
        <w:r>
          <w:rPr>
            <w:webHidden/>
          </w:rPr>
          <w:instrText xml:space="preserve">PAGEREF _Toc241229790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14</w:t>
        </w:r>
        <w:r>
          <w:rPr>
            <w:webHidden/>
          </w:rPr>
          <w:fldChar w:fldCharType="end"/>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895"/>
                <wp:effectExtent l="0" t="0" r="0" b="0"/>
                <wp:wrapNone/>
                <wp:docPr id="20" name="Frame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1">
        <w:r>
          <w:rPr>
            <w:rStyle w:val="InternetLink"/>
            <w:rFonts w:ascii="Times New Roman;Times;serif" w:hAnsi="Times New Roman;Times;serif"/>
            <w:b w:val="false"/>
            <w:i w:val="false"/>
            <w:caps w:val="false"/>
            <w:smallCaps w:val="false"/>
            <w:sz w:val="24"/>
            <w:shd w:fill="FFFFFF" w:val="clear"/>
          </w:rPr>
          <w:t>Section 1.13.</w:t>
        </w:r>
      </w:hyperlink>
      <w:r>
        <w:rPr>
          <w:rFonts w:ascii="Times New Roman;Times;serif" w:hAnsi="Times New Roman;Times;serif"/>
          <w:sz w:val="24"/>
          <w:shd w:fill="FFFFFF" w:val="clear"/>
        </w:rPr>
        <w:tab/>
      </w:r>
      <w:hyperlink w:anchor="_Toc241229791">
        <w:r>
          <w:rPr>
            <w:rStyle w:val="InternetLink"/>
            <w:rFonts w:ascii="Times New Roman;Times;serif" w:hAnsi="Times New Roman;Times;serif"/>
            <w:b w:val="false"/>
            <w:i w:val="false"/>
            <w:caps w:val="false"/>
            <w:smallCaps w:val="false"/>
            <w:sz w:val="24"/>
            <w:shd w:fill="FFFFFF" w:val="clear"/>
          </w:rPr>
          <w:t>Substitution of Lenders</w:t>
        </w:r>
      </w:hyperlink>
      <w:hyperlink w:anchor="_Toc241229791">
        <w:r>
          <w:rPr>
            <w:webHidden/>
          </w:rPr>
          <w:fldChar w:fldCharType="begin"/>
        </w:r>
        <w:r>
          <w:rPr>
            <w:webHidden/>
          </w:rPr>
          <w:instrText xml:space="preserve">PAGEREF _Toc241229791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15</w:t>
        </w:r>
        <w:r>
          <w:rPr>
            <w:webHidden/>
          </w:rPr>
          <w:fldChar w:fldCharType="end"/>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895"/>
                <wp:effectExtent l="0" t="0" r="0" b="0"/>
                <wp:wrapNone/>
                <wp:docPr id="21" name="Frame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5.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2">
        <w:r>
          <w:rPr>
            <w:rStyle w:val="InternetLink"/>
            <w:rFonts w:ascii="Times New Roman;Times;serif" w:hAnsi="Times New Roman;Times;serif"/>
            <w:b w:val="false"/>
            <w:i w:val="false"/>
            <w:caps w:val="false"/>
            <w:smallCaps w:val="false"/>
            <w:sz w:val="24"/>
            <w:shd w:fill="FFFFFF" w:val="clear"/>
          </w:rPr>
          <w:t>Section 1.14.</w:t>
        </w:r>
      </w:hyperlink>
      <w:r>
        <w:rPr>
          <w:rFonts w:ascii="Times New Roman;Times;serif" w:hAnsi="Times New Roman;Times;serif"/>
          <w:sz w:val="24"/>
          <w:shd w:fill="FFFFFF" w:val="clear"/>
        </w:rPr>
        <w:tab/>
      </w:r>
      <w:hyperlink w:anchor="_Toc241229792">
        <w:r>
          <w:rPr>
            <w:rStyle w:val="InternetLink"/>
            <w:rFonts w:ascii="Times New Roman;Times;serif" w:hAnsi="Times New Roman;Times;serif"/>
            <w:b w:val="false"/>
            <w:i w:val="false"/>
            <w:caps w:val="false"/>
            <w:smallCaps w:val="false"/>
            <w:sz w:val="24"/>
            <w:shd w:fill="FFFFFF" w:val="clear"/>
          </w:rPr>
          <w:t>Defaulting Lenders</w:t>
        </w:r>
      </w:hyperlink>
      <w:hyperlink w:anchor="_Toc241229792">
        <w:r>
          <w:rPr>
            <w:webHidden/>
          </w:rPr>
          <w:fldChar w:fldCharType="begin"/>
        </w:r>
        <w:r>
          <w:rPr>
            <w:webHidden/>
          </w:rPr>
          <w:instrText xml:space="preserve">PAGEREF _Toc241229792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15</w:t>
        </w:r>
        <w:r>
          <w:rPr>
            <w:webHidden/>
          </w:rPr>
          <w:fldChar w:fldCharType="end"/>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895"/>
                <wp:effectExtent l="0" t="0" r="0" b="0"/>
                <wp:wrapNone/>
                <wp:docPr id="22" name="Frame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3">
        <w:r>
          <w:rPr>
            <w:rStyle w:val="InternetLink"/>
            <w:rFonts w:ascii="Times New Roman;Times;serif" w:hAnsi="Times New Roman;Times;serif"/>
            <w:b w:val="false"/>
            <w:i w:val="false"/>
            <w:caps w:val="false"/>
            <w:smallCaps w:val="false"/>
            <w:sz w:val="24"/>
            <w:shd w:fill="FFFFFF" w:val="clear"/>
          </w:rPr>
          <w:t>Section 1.15.</w:t>
        </w:r>
      </w:hyperlink>
      <w:r>
        <w:rPr>
          <w:rFonts w:ascii="Times New Roman;Times;serif" w:hAnsi="Times New Roman;Times;serif"/>
          <w:sz w:val="24"/>
          <w:shd w:fill="FFFFFF" w:val="clear"/>
        </w:rPr>
        <w:tab/>
      </w:r>
      <w:hyperlink w:anchor="_Toc241229793">
        <w:r>
          <w:rPr>
            <w:rStyle w:val="InternetLink"/>
            <w:rFonts w:ascii="Times New Roman;Times;serif" w:hAnsi="Times New Roman;Times;serif"/>
            <w:b w:val="false"/>
            <w:i w:val="false"/>
            <w:caps w:val="false"/>
            <w:smallCaps w:val="false"/>
            <w:sz w:val="24"/>
            <w:shd w:fill="FFFFFF" w:val="clear"/>
          </w:rPr>
          <w:t>Increase in Revolving Credit Commitments and Incremental Term Loan Commitments</w:t>
        </w:r>
      </w:hyperlink>
      <w:hyperlink w:anchor="_Toc241229793">
        <w:r>
          <w:rPr>
            <w:webHidden/>
          </w:rPr>
          <w:fldChar w:fldCharType="begin"/>
        </w:r>
        <w:r>
          <w:rPr>
            <w:webHidden/>
          </w:rPr>
          <w:instrText xml:space="preserve">PAGEREF _Toc241229793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19</w:t>
        </w:r>
        <w:r>
          <w:rPr>
            <w:webHidden/>
          </w:rPr>
          <w:fldChar w:fldCharType="end"/>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895"/>
                <wp:effectExtent l="0" t="0" r="0" b="0"/>
                <wp:wrapNone/>
                <wp:docPr id="23" name="Frame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5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4">
        <w:r>
          <w:rPr>
            <w:rStyle w:val="InternetLink"/>
            <w:rFonts w:ascii="Times New Roman;Times;serif" w:hAnsi="Times New Roman;Times;serif"/>
            <w:b w:val="false"/>
            <w:i w:val="false"/>
            <w:caps w:val="false"/>
            <w:smallCaps w:val="false"/>
            <w:sz w:val="24"/>
            <w:shd w:fill="FFFFFF" w:val="clear"/>
          </w:rPr>
          <w:t>Section 1.16.</w:t>
        </w:r>
      </w:hyperlink>
      <w:r>
        <w:rPr>
          <w:rFonts w:ascii="Times New Roman;Times;serif" w:hAnsi="Times New Roman;Times;serif"/>
          <w:sz w:val="24"/>
          <w:shd w:fill="FFFFFF" w:val="clear"/>
        </w:rPr>
        <w:tab/>
      </w:r>
      <w:hyperlink w:anchor="_Toc241229794">
        <w:r>
          <w:rPr>
            <w:rStyle w:val="InternetLink"/>
            <w:rFonts w:ascii="Times New Roman;Times;serif" w:hAnsi="Times New Roman;Times;serif"/>
            <w:b w:val="false"/>
            <w:i w:val="false"/>
            <w:caps w:val="false"/>
            <w:smallCaps w:val="false"/>
            <w:sz w:val="24"/>
            <w:shd w:fill="FFFFFF" w:val="clear"/>
          </w:rPr>
          <w:t>Extension of Revolving Credit Termination Date</w:t>
        </w:r>
      </w:hyperlink>
      <w:hyperlink w:anchor="_Toc241229794">
        <w:r>
          <w:rPr>
            <w:webHidden/>
          </w:rPr>
          <w:fldChar w:fldCharType="begin"/>
        </w:r>
        <w:r>
          <w:rPr>
            <w:webHidden/>
          </w:rPr>
          <w:instrText xml:space="preserve">PAGEREF _Toc241229794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895"/>
                <wp:effectExtent l="0" t="0" r="0" b="0"/>
                <wp:wrapNone/>
                <wp:docPr id="24" name="Frame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795">
        <w:r>
          <w:rPr>
            <w:rStyle w:val="InternetLink"/>
            <w:rFonts w:ascii="Times New Roman;Times;serif" w:hAnsi="Times New Roman;Times;serif"/>
            <w:b w:val="false"/>
            <w:i w:val="false"/>
            <w:caps w:val="false"/>
            <w:smallCaps w:val="false"/>
            <w:sz w:val="24"/>
            <w:shd w:fill="FFFFFF" w:val="clear"/>
          </w:rPr>
          <w:t>SECTION 2.</w:t>
        </w:r>
      </w:hyperlink>
      <w:r>
        <w:rPr>
          <w:rFonts w:ascii="Times New Roman;Times;serif" w:hAnsi="Times New Roman;Times;serif"/>
          <w:sz w:val="24"/>
          <w:shd w:fill="FFFFFF" w:val="clear"/>
        </w:rPr>
        <w:tab/>
      </w:r>
      <w:hyperlink w:anchor="_Toc241229795">
        <w:r>
          <w:rPr>
            <w:rStyle w:val="InternetLink"/>
            <w:rFonts w:ascii="Times New Roman;Times;serif" w:hAnsi="Times New Roman;Times;serif"/>
            <w:b w:val="false"/>
            <w:i w:val="false"/>
            <w:caps w:val="false"/>
            <w:smallCaps w:val="false"/>
            <w:sz w:val="24"/>
            <w:shd w:fill="FFFFFF" w:val="clear"/>
          </w:rPr>
          <w:t>Fees.</w:t>
        </w:r>
      </w:hyperlink>
      <w:hyperlink w:anchor="_Toc241229795">
        <w:r>
          <w:rPr>
            <w:webHidden/>
          </w:rPr>
          <w:fldChar w:fldCharType="begin"/>
        </w:r>
        <w:r>
          <w:rPr>
            <w:webHidden/>
          </w:rPr>
          <w:instrText xml:space="preserve">PAGEREF _Toc241229795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27">
                <wp:simplePos x="0" y="0"/>
                <wp:positionH relativeFrom="page">
                  <wp:posOffset>0</wp:posOffset>
                </wp:positionH>
                <wp:positionV relativeFrom="line">
                  <wp:posOffset>635</wp:posOffset>
                </wp:positionV>
                <wp:extent cx="6480175" cy="175895"/>
                <wp:effectExtent l="0" t="0" r="0" b="0"/>
                <wp:wrapNone/>
                <wp:docPr id="25" name="Frame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6">
        <w:r>
          <w:rPr>
            <w:rStyle w:val="InternetLink"/>
            <w:rFonts w:ascii="Times New Roman;Times;serif" w:hAnsi="Times New Roman;Times;serif"/>
            <w:b w:val="false"/>
            <w:i w:val="false"/>
            <w:caps w:val="false"/>
            <w:smallCaps w:val="false"/>
            <w:sz w:val="24"/>
            <w:shd w:fill="FFFFFF" w:val="clear"/>
          </w:rPr>
          <w:t>Section 2.1.</w:t>
        </w:r>
      </w:hyperlink>
      <w:r>
        <w:rPr>
          <w:rFonts w:ascii="Times New Roman;Times;serif" w:hAnsi="Times New Roman;Times;serif"/>
          <w:sz w:val="24"/>
          <w:shd w:fill="FFFFFF" w:val="clear"/>
        </w:rPr>
        <w:tab/>
      </w:r>
      <w:hyperlink w:anchor="_Toc241229796">
        <w:r>
          <w:rPr>
            <w:rStyle w:val="InternetLink"/>
            <w:rFonts w:ascii="Times New Roman;Times;serif" w:hAnsi="Times New Roman;Times;serif"/>
            <w:b w:val="false"/>
            <w:i w:val="false"/>
            <w:caps w:val="false"/>
            <w:smallCaps w:val="false"/>
            <w:sz w:val="24"/>
            <w:shd w:fill="FFFFFF" w:val="clear"/>
          </w:rPr>
          <w:t>Fees.</w:t>
        </w:r>
      </w:hyperlink>
      <w:hyperlink w:anchor="_Toc241229796">
        <w:r>
          <w:rPr>
            <w:webHidden/>
          </w:rPr>
          <w:fldChar w:fldCharType="begin"/>
        </w:r>
        <w:r>
          <w:rPr>
            <w:webHidden/>
          </w:rPr>
          <w:instrText xml:space="preserve">PAGEREF _Toc241229796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21</w:t>
        </w:r>
        <w:r>
          <w:rPr>
            <w:webHidden/>
          </w:rPr>
          <w:fldChar w:fldCharType="end"/>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895"/>
                <wp:effectExtent l="0" t="0" r="0" b="0"/>
                <wp:wrapNone/>
                <wp:docPr id="26" name="Frame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797">
        <w:r>
          <w:rPr>
            <w:rStyle w:val="InternetLink"/>
            <w:rFonts w:ascii="Times New Roman;Times;serif" w:hAnsi="Times New Roman;Times;serif"/>
            <w:b w:val="false"/>
            <w:i w:val="false"/>
            <w:caps w:val="false"/>
            <w:smallCaps w:val="false"/>
            <w:sz w:val="24"/>
            <w:shd w:fill="FFFFFF" w:val="clear"/>
          </w:rPr>
          <w:t>SECTION 3.</w:t>
        </w:r>
      </w:hyperlink>
      <w:r>
        <w:rPr>
          <w:rFonts w:ascii="Times New Roman;Times;serif" w:hAnsi="Times New Roman;Times;serif"/>
          <w:sz w:val="24"/>
          <w:shd w:fill="FFFFFF" w:val="clear"/>
        </w:rPr>
        <w:tab/>
      </w:r>
      <w:hyperlink w:anchor="_Toc241229797">
        <w:r>
          <w:rPr>
            <w:rStyle w:val="InternetLink"/>
            <w:rFonts w:ascii="Times New Roman;Times;serif" w:hAnsi="Times New Roman;Times;serif"/>
            <w:b w:val="false"/>
            <w:i w:val="false"/>
            <w:caps w:val="false"/>
            <w:smallCaps w:val="false"/>
            <w:sz w:val="24"/>
            <w:shd w:fill="FFFFFF" w:val="clear"/>
          </w:rPr>
          <w:t>Place and Application of Payments.</w:t>
        </w:r>
      </w:hyperlink>
      <w:hyperlink w:anchor="_Toc241229797">
        <w:r>
          <w:rPr>
            <w:webHidden/>
          </w:rPr>
          <w:fldChar w:fldCharType="begin"/>
        </w:r>
        <w:r>
          <w:rPr>
            <w:webHidden/>
          </w:rPr>
          <w:instrText xml:space="preserve">PAGEREF _Toc241229797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29">
                <wp:simplePos x="0" y="0"/>
                <wp:positionH relativeFrom="page">
                  <wp:posOffset>0</wp:posOffset>
                </wp:positionH>
                <wp:positionV relativeFrom="line">
                  <wp:posOffset>635</wp:posOffset>
                </wp:positionV>
                <wp:extent cx="6480175" cy="175895"/>
                <wp:effectExtent l="0" t="0" r="0" b="0"/>
                <wp:wrapNone/>
                <wp:docPr id="27" name="Frame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798">
        <w:r>
          <w:rPr>
            <w:rStyle w:val="InternetLink"/>
            <w:rFonts w:ascii="Times New Roman;Times;serif" w:hAnsi="Times New Roman;Times;serif"/>
            <w:b w:val="false"/>
            <w:i w:val="false"/>
            <w:caps w:val="false"/>
            <w:smallCaps w:val="false"/>
            <w:sz w:val="24"/>
            <w:shd w:fill="FFFFFF" w:val="clear"/>
          </w:rPr>
          <w:t>Section 3.1.</w:t>
        </w:r>
      </w:hyperlink>
      <w:r>
        <w:rPr>
          <w:rFonts w:ascii="Times New Roman;Times;serif" w:hAnsi="Times New Roman;Times;serif"/>
          <w:sz w:val="24"/>
          <w:shd w:fill="FFFFFF" w:val="clear"/>
        </w:rPr>
        <w:tab/>
      </w:r>
      <w:hyperlink w:anchor="_Toc241229798">
        <w:r>
          <w:rPr>
            <w:rStyle w:val="InternetLink"/>
            <w:rFonts w:ascii="Times New Roman;Times;serif" w:hAnsi="Times New Roman;Times;serif"/>
            <w:b w:val="false"/>
            <w:i w:val="false"/>
            <w:caps w:val="false"/>
            <w:smallCaps w:val="false"/>
            <w:sz w:val="24"/>
            <w:shd w:fill="FFFFFF" w:val="clear"/>
          </w:rPr>
          <w:t>Place and Application of Payments.</w:t>
        </w:r>
      </w:hyperlink>
      <w:hyperlink w:anchor="_Toc241229798">
        <w:r>
          <w:rPr>
            <w:webHidden/>
          </w:rPr>
          <w:fldChar w:fldCharType="begin"/>
        </w:r>
        <w:r>
          <w:rPr>
            <w:webHidden/>
          </w:rPr>
          <w:instrText xml:space="preserve">PAGEREF _Toc241229798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22</w:t>
        </w:r>
        <w:r>
          <w:rPr>
            <w:webHidden/>
          </w:rPr>
          <w:fldChar w:fldCharType="end"/>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895"/>
                <wp:effectExtent l="0" t="0" r="0" b="0"/>
                <wp:wrapNone/>
                <wp:docPr id="28" name="Frame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799">
        <w:r>
          <w:rPr>
            <w:rStyle w:val="InternetLink"/>
            <w:rFonts w:ascii="Times New Roman;Times;serif" w:hAnsi="Times New Roman;Times;serif"/>
            <w:b w:val="false"/>
            <w:i w:val="false"/>
            <w:caps w:val="false"/>
            <w:smallCaps w:val="false"/>
            <w:sz w:val="24"/>
            <w:shd w:fill="FFFFFF" w:val="clear"/>
          </w:rPr>
          <w:t>SECTION 4.</w:t>
        </w:r>
      </w:hyperlink>
      <w:r>
        <w:rPr>
          <w:rFonts w:ascii="Times New Roman;Times;serif" w:hAnsi="Times New Roman;Times;serif"/>
          <w:sz w:val="24"/>
          <w:shd w:fill="FFFFFF" w:val="clear"/>
        </w:rPr>
        <w:tab/>
      </w:r>
      <w:hyperlink w:anchor="_Toc241229799">
        <w:r>
          <w:rPr>
            <w:rStyle w:val="InternetLink"/>
            <w:rFonts w:ascii="Times New Roman;Times;serif" w:hAnsi="Times New Roman;Times;serif"/>
            <w:b w:val="false"/>
            <w:i w:val="false"/>
            <w:caps w:val="false"/>
            <w:smallCaps w:val="false"/>
            <w:sz w:val="24"/>
            <w:shd w:fill="FFFFFF" w:val="clear"/>
          </w:rPr>
          <w:t>Guaranties</w:t>
        </w:r>
      </w:hyperlink>
      <w:hyperlink w:anchor="_Toc241229799">
        <w:r>
          <w:rPr>
            <w:webHidden/>
          </w:rPr>
          <w:fldChar w:fldCharType="begin"/>
        </w:r>
        <w:r>
          <w:rPr>
            <w:webHidden/>
          </w:rPr>
          <w:instrText xml:space="preserve">PAGEREF _Toc241229799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31">
                <wp:simplePos x="0" y="0"/>
                <wp:positionH relativeFrom="page">
                  <wp:posOffset>0</wp:posOffset>
                </wp:positionH>
                <wp:positionV relativeFrom="line">
                  <wp:posOffset>635</wp:posOffset>
                </wp:positionV>
                <wp:extent cx="6480175" cy="175895"/>
                <wp:effectExtent l="0" t="0" r="0" b="0"/>
                <wp:wrapNone/>
                <wp:docPr id="29" name="Frame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0">
        <w:r>
          <w:rPr>
            <w:rStyle w:val="InternetLink"/>
            <w:rFonts w:ascii="Times New Roman;Times;serif" w:hAnsi="Times New Roman;Times;serif"/>
            <w:b w:val="false"/>
            <w:i w:val="false"/>
            <w:caps w:val="false"/>
            <w:smallCaps w:val="false"/>
            <w:sz w:val="24"/>
            <w:shd w:fill="FFFFFF" w:val="clear"/>
          </w:rPr>
          <w:t>Section 4.1.</w:t>
        </w:r>
      </w:hyperlink>
      <w:r>
        <w:rPr>
          <w:rFonts w:ascii="Times New Roman;Times;serif" w:hAnsi="Times New Roman;Times;serif"/>
          <w:sz w:val="24"/>
          <w:shd w:fill="FFFFFF" w:val="clear"/>
        </w:rPr>
        <w:tab/>
      </w:r>
      <w:hyperlink w:anchor="_Toc241229800">
        <w:r>
          <w:rPr>
            <w:rStyle w:val="InternetLink"/>
            <w:rFonts w:ascii="Times New Roman;Times;serif" w:hAnsi="Times New Roman;Times;serif"/>
            <w:b w:val="false"/>
            <w:i w:val="false"/>
            <w:caps w:val="false"/>
            <w:smallCaps w:val="false"/>
            <w:sz w:val="24"/>
            <w:shd w:fill="FFFFFF" w:val="clear"/>
          </w:rPr>
          <w:t>Guaranties.</w:t>
        </w:r>
      </w:hyperlink>
      <w:hyperlink w:anchor="_Toc241229800">
        <w:r>
          <w:rPr>
            <w:webHidden/>
          </w:rPr>
          <w:fldChar w:fldCharType="begin"/>
        </w:r>
        <w:r>
          <w:rPr>
            <w:webHidden/>
          </w:rPr>
          <w:instrText xml:space="preserve">PAGEREF _Toc241229800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895"/>
                <wp:effectExtent l="0" t="0" r="0" b="0"/>
                <wp:wrapNone/>
                <wp:docPr id="30" name="Frame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1">
        <w:r>
          <w:rPr>
            <w:rStyle w:val="InternetLink"/>
            <w:rFonts w:ascii="Times New Roman;Times;serif" w:hAnsi="Times New Roman;Times;serif"/>
            <w:b w:val="false"/>
            <w:i w:val="false"/>
            <w:caps w:val="false"/>
            <w:smallCaps w:val="false"/>
            <w:sz w:val="24"/>
            <w:shd w:fill="FFFFFF" w:val="clear"/>
          </w:rPr>
          <w:t>Section 4.2.</w:t>
        </w:r>
      </w:hyperlink>
      <w:r>
        <w:rPr>
          <w:rFonts w:ascii="Times New Roman;Times;serif" w:hAnsi="Times New Roman;Times;serif"/>
          <w:sz w:val="24"/>
          <w:shd w:fill="FFFFFF" w:val="clear"/>
        </w:rPr>
        <w:tab/>
      </w:r>
      <w:hyperlink w:anchor="_Toc241229801">
        <w:r>
          <w:rPr>
            <w:rStyle w:val="InternetLink"/>
            <w:rFonts w:ascii="Times New Roman;Times;serif" w:hAnsi="Times New Roman;Times;serif"/>
            <w:b w:val="false"/>
            <w:i w:val="false"/>
            <w:caps w:val="false"/>
            <w:smallCaps w:val="false"/>
            <w:sz w:val="24"/>
            <w:shd w:fill="FFFFFF" w:val="clear"/>
          </w:rPr>
          <w:t>Further Assurances.</w:t>
        </w:r>
      </w:hyperlink>
      <w:hyperlink w:anchor="_Toc241229801">
        <w:r>
          <w:rPr>
            <w:webHidden/>
          </w:rPr>
          <w:fldChar w:fldCharType="begin"/>
        </w:r>
        <w:r>
          <w:rPr>
            <w:webHidden/>
          </w:rPr>
          <w:instrText xml:space="preserve">PAGEREF _Toc241229801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23</w:t>
        </w:r>
        <w:r>
          <w:rPr>
            <w:webHidden/>
          </w:rPr>
          <w:fldChar w:fldCharType="end"/>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895"/>
                <wp:effectExtent l="0" t="0" r="0" b="0"/>
                <wp:wrapNone/>
                <wp:docPr id="31" name="Frame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2">
        <w:r>
          <w:rPr>
            <w:rStyle w:val="InternetLink"/>
            <w:rFonts w:ascii="Times New Roman;Times;serif" w:hAnsi="Times New Roman;Times;serif"/>
            <w:b w:val="false"/>
            <w:i w:val="false"/>
            <w:caps w:val="false"/>
            <w:smallCaps w:val="false"/>
            <w:sz w:val="24"/>
            <w:shd w:fill="FFFFFF" w:val="clear"/>
          </w:rPr>
          <w:t>Section 4.3.</w:t>
        </w:r>
      </w:hyperlink>
      <w:r>
        <w:rPr>
          <w:rFonts w:ascii="Times New Roman;Times;serif" w:hAnsi="Times New Roman;Times;serif"/>
          <w:sz w:val="24"/>
          <w:shd w:fill="FFFFFF" w:val="clear"/>
        </w:rPr>
        <w:tab/>
      </w:r>
      <w:hyperlink w:anchor="_Toc241229802">
        <w:r>
          <w:rPr>
            <w:rStyle w:val="InternetLink"/>
            <w:rFonts w:ascii="Times New Roman;Times;serif" w:hAnsi="Times New Roman;Times;serif"/>
            <w:b w:val="false"/>
            <w:i w:val="false"/>
            <w:caps w:val="false"/>
            <w:smallCaps w:val="false"/>
            <w:sz w:val="24"/>
            <w:shd w:fill="FFFFFF" w:val="clear"/>
          </w:rPr>
          <w:t>Investment Grade Release.</w:t>
        </w:r>
      </w:hyperlink>
      <w:hyperlink w:anchor="_Toc241229802">
        <w:r>
          <w:rPr>
            <w:webHidden/>
          </w:rPr>
          <w:fldChar w:fldCharType="begin"/>
        </w:r>
        <w:r>
          <w:rPr>
            <w:webHidden/>
          </w:rPr>
          <w:instrText xml:space="preserve">PAGEREF _Toc241229802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24</w:t>
        </w:r>
        <w:r>
          <w:rPr>
            <w:webHidden/>
          </w:rPr>
          <w:fldChar w:fldCharType="end"/>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895"/>
                <wp:effectExtent l="0" t="0" r="0" b="0"/>
                <wp:wrapNone/>
                <wp:docPr id="32" name="Frame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03">
        <w:r>
          <w:rPr>
            <w:rStyle w:val="InternetLink"/>
            <w:rFonts w:ascii="Times New Roman;Times;serif" w:hAnsi="Times New Roman;Times;serif"/>
            <w:b w:val="false"/>
            <w:i w:val="false"/>
            <w:caps w:val="false"/>
            <w:smallCaps w:val="false"/>
            <w:sz w:val="24"/>
            <w:shd w:fill="FFFFFF" w:val="clear"/>
          </w:rPr>
          <w:t>SECTION 5.</w:t>
        </w:r>
      </w:hyperlink>
      <w:r>
        <w:rPr>
          <w:rFonts w:ascii="Times New Roman;Times;serif" w:hAnsi="Times New Roman;Times;serif"/>
          <w:sz w:val="24"/>
          <w:shd w:fill="FFFFFF" w:val="clear"/>
        </w:rPr>
        <w:tab/>
      </w:r>
      <w:hyperlink w:anchor="_Toc241229803">
        <w:r>
          <w:rPr>
            <w:rStyle w:val="InternetLink"/>
            <w:rFonts w:ascii="Times New Roman;Times;serif" w:hAnsi="Times New Roman;Times;serif"/>
            <w:b w:val="false"/>
            <w:i w:val="false"/>
            <w:caps w:val="false"/>
            <w:smallCaps w:val="false"/>
            <w:sz w:val="24"/>
            <w:shd w:fill="FFFFFF" w:val="clear"/>
          </w:rPr>
          <w:t>Definitions; Interpretation.</w:t>
        </w:r>
      </w:hyperlink>
      <w:hyperlink w:anchor="_Toc241229803">
        <w:r>
          <w:rPr>
            <w:webHidden/>
          </w:rPr>
          <w:fldChar w:fldCharType="begin"/>
        </w:r>
        <w:r>
          <w:rPr>
            <w:webHidden/>
          </w:rPr>
          <w:instrText xml:space="preserve">PAGEREF _Toc241229803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35">
                <wp:simplePos x="0" y="0"/>
                <wp:positionH relativeFrom="page">
                  <wp:posOffset>0</wp:posOffset>
                </wp:positionH>
                <wp:positionV relativeFrom="line">
                  <wp:posOffset>635</wp:posOffset>
                </wp:positionV>
                <wp:extent cx="6480175" cy="175895"/>
                <wp:effectExtent l="0" t="0" r="0" b="0"/>
                <wp:wrapNone/>
                <wp:docPr id="33" name="Frame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4">
        <w:r>
          <w:rPr>
            <w:rStyle w:val="InternetLink"/>
            <w:rFonts w:ascii="Times New Roman;Times;serif" w:hAnsi="Times New Roman;Times;serif"/>
            <w:b w:val="false"/>
            <w:i w:val="false"/>
            <w:caps w:val="false"/>
            <w:smallCaps w:val="false"/>
            <w:sz w:val="24"/>
            <w:shd w:fill="FFFFFF" w:val="clear"/>
          </w:rPr>
          <w:t>Section 5.1.</w:t>
        </w:r>
      </w:hyperlink>
      <w:r>
        <w:rPr>
          <w:rFonts w:ascii="Times New Roman;Times;serif" w:hAnsi="Times New Roman;Times;serif"/>
          <w:sz w:val="24"/>
          <w:shd w:fill="FFFFFF" w:val="clear"/>
        </w:rPr>
        <w:tab/>
      </w:r>
      <w:hyperlink w:anchor="_Toc241229804">
        <w:r>
          <w:rPr>
            <w:rStyle w:val="InternetLink"/>
            <w:rFonts w:ascii="Times New Roman;Times;serif" w:hAnsi="Times New Roman;Times;serif"/>
            <w:b w:val="false"/>
            <w:i w:val="false"/>
            <w:caps w:val="false"/>
            <w:smallCaps w:val="false"/>
            <w:sz w:val="24"/>
            <w:shd w:fill="FFFFFF" w:val="clear"/>
          </w:rPr>
          <w:t>Definitions.</w:t>
        </w:r>
      </w:hyperlink>
      <w:hyperlink w:anchor="_Toc241229804">
        <w:r>
          <w:rPr>
            <w:webHidden/>
          </w:rPr>
          <w:fldChar w:fldCharType="begin"/>
        </w:r>
        <w:r>
          <w:rPr>
            <w:webHidden/>
          </w:rPr>
          <w:instrText xml:space="preserve">PAGEREF _Toc241229804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25</w:t>
        </w:r>
        <w:r>
          <w:rPr>
            <w:webHidden/>
          </w:rPr>
          <w:fldChar w:fldCharType="end"/>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895"/>
                <wp:effectExtent l="0" t="0" r="0" b="0"/>
                <wp:wrapNone/>
                <wp:docPr id="34" name="Frame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5">
        <w:r>
          <w:rPr>
            <w:rStyle w:val="InternetLink"/>
            <w:rFonts w:ascii="Times New Roman;Times;serif" w:hAnsi="Times New Roman;Times;serif"/>
            <w:b w:val="false"/>
            <w:i w:val="false"/>
            <w:caps w:val="false"/>
            <w:smallCaps w:val="false"/>
            <w:sz w:val="24"/>
            <w:shd w:fill="FFFFFF" w:val="clear"/>
          </w:rPr>
          <w:t>Section 5.2.</w:t>
        </w:r>
      </w:hyperlink>
      <w:r>
        <w:rPr>
          <w:rFonts w:ascii="Times New Roman;Times;serif" w:hAnsi="Times New Roman;Times;serif"/>
          <w:sz w:val="24"/>
          <w:shd w:fill="FFFFFF" w:val="clear"/>
        </w:rPr>
        <w:tab/>
      </w:r>
      <w:hyperlink w:anchor="_Toc241229805">
        <w:r>
          <w:rPr>
            <w:rStyle w:val="InternetLink"/>
            <w:rFonts w:ascii="Times New Roman;Times;serif" w:hAnsi="Times New Roman;Times;serif"/>
            <w:b w:val="false"/>
            <w:i w:val="false"/>
            <w:caps w:val="false"/>
            <w:smallCaps w:val="false"/>
            <w:sz w:val="24"/>
            <w:shd w:fill="FFFFFF" w:val="clear"/>
          </w:rPr>
          <w:t>Interpretation.</w:t>
        </w:r>
      </w:hyperlink>
      <w:hyperlink w:anchor="_Toc241229805">
        <w:r>
          <w:rPr>
            <w:webHidden/>
          </w:rPr>
          <w:fldChar w:fldCharType="begin"/>
        </w:r>
        <w:r>
          <w:rPr>
            <w:webHidden/>
          </w:rPr>
          <w:instrText xml:space="preserve">PAGEREF _Toc241229805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895"/>
                <wp:effectExtent l="0" t="0" r="0" b="0"/>
                <wp:wrapNone/>
                <wp:docPr id="35" name="Frame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6">
        <w:r>
          <w:rPr>
            <w:rStyle w:val="InternetLink"/>
            <w:rFonts w:ascii="Times New Roman;Times;serif" w:hAnsi="Times New Roman;Times;serif"/>
            <w:b w:val="false"/>
            <w:i w:val="false"/>
            <w:caps w:val="false"/>
            <w:smallCaps w:val="false"/>
            <w:sz w:val="24"/>
            <w:shd w:fill="FFFFFF" w:val="clear"/>
          </w:rPr>
          <w:t>Section 5.3.</w:t>
        </w:r>
      </w:hyperlink>
      <w:r>
        <w:rPr>
          <w:rFonts w:ascii="Times New Roman;Times;serif" w:hAnsi="Times New Roman;Times;serif"/>
          <w:sz w:val="24"/>
          <w:shd w:fill="FFFFFF" w:val="clear"/>
        </w:rPr>
        <w:tab/>
      </w:r>
      <w:hyperlink w:anchor="_Toc241229806">
        <w:r>
          <w:rPr>
            <w:rStyle w:val="InternetLink"/>
            <w:rFonts w:ascii="Times New Roman;Times;serif" w:hAnsi="Times New Roman;Times;serif"/>
            <w:b w:val="false"/>
            <w:i w:val="false"/>
            <w:caps w:val="false"/>
            <w:smallCaps w:val="false"/>
            <w:sz w:val="24"/>
            <w:shd w:fill="FFFFFF" w:val="clear"/>
          </w:rPr>
          <w:t>Change in Accounting Principles.</w:t>
        </w:r>
      </w:hyperlink>
      <w:hyperlink w:anchor="_Toc241229806">
        <w:r>
          <w:rPr>
            <w:webHidden/>
          </w:rPr>
          <w:fldChar w:fldCharType="begin"/>
        </w:r>
        <w:r>
          <w:rPr>
            <w:webHidden/>
          </w:rPr>
          <w:instrText xml:space="preserve">PAGEREF _Toc241229806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895"/>
                <wp:effectExtent l="0" t="0" r="0" b="0"/>
                <wp:wrapNone/>
                <wp:docPr id="36" name="Frame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7">
        <w:r>
          <w:rPr>
            <w:rStyle w:val="InternetLink"/>
            <w:rFonts w:ascii="Times New Roman;Times;serif" w:hAnsi="Times New Roman;Times;serif"/>
            <w:b w:val="false"/>
            <w:i w:val="false"/>
            <w:caps w:val="false"/>
            <w:smallCaps w:val="false"/>
            <w:sz w:val="24"/>
            <w:shd w:fill="FFFFFF" w:val="clear"/>
          </w:rPr>
          <w:t>Section 5.4.</w:t>
        </w:r>
      </w:hyperlink>
      <w:r>
        <w:rPr>
          <w:rFonts w:ascii="Times New Roman;Times;serif" w:hAnsi="Times New Roman;Times;serif"/>
          <w:sz w:val="24"/>
          <w:shd w:fill="FFFFFF" w:val="clear"/>
        </w:rPr>
        <w:tab/>
      </w:r>
      <w:hyperlink w:anchor="_Toc241229807">
        <w:r>
          <w:rPr>
            <w:rStyle w:val="InternetLink"/>
            <w:rFonts w:ascii="Times New Roman;Times;serif" w:hAnsi="Times New Roman;Times;serif"/>
            <w:b w:val="false"/>
            <w:i w:val="false"/>
            <w:caps w:val="false"/>
            <w:smallCaps w:val="false"/>
            <w:sz w:val="24"/>
            <w:shd w:fill="FFFFFF" w:val="clear"/>
          </w:rPr>
          <w:t>Divisions</w:t>
        </w:r>
      </w:hyperlink>
      <w:hyperlink w:anchor="_Toc241229807">
        <w:r>
          <w:rPr>
            <w:webHidden/>
          </w:rPr>
          <w:fldChar w:fldCharType="begin"/>
        </w:r>
        <w:r>
          <w:rPr>
            <w:webHidden/>
          </w:rPr>
          <w:instrText xml:space="preserve">PAGEREF _Toc241229807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895"/>
                <wp:effectExtent l="0" t="0" r="0" b="0"/>
                <wp:wrapNone/>
                <wp:docPr id="37" name="Frame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08">
        <w:r>
          <w:rPr>
            <w:rStyle w:val="InternetLink"/>
            <w:rFonts w:ascii="Times New Roman;Times;serif" w:hAnsi="Times New Roman;Times;serif"/>
            <w:b w:val="false"/>
            <w:i w:val="false"/>
            <w:caps w:val="false"/>
            <w:smallCaps w:val="false"/>
            <w:sz w:val="24"/>
            <w:shd w:fill="FFFFFF" w:val="clear"/>
          </w:rPr>
          <w:t>Section 5.5.</w:t>
        </w:r>
      </w:hyperlink>
      <w:r>
        <w:rPr>
          <w:rFonts w:ascii="Times New Roman;Times;serif" w:hAnsi="Times New Roman;Times;serif"/>
          <w:sz w:val="24"/>
          <w:shd w:fill="FFFFFF" w:val="clear"/>
        </w:rPr>
        <w:tab/>
      </w:r>
      <w:hyperlink w:anchor="_Toc241229808">
        <w:r>
          <w:rPr>
            <w:rStyle w:val="InternetLink"/>
            <w:rFonts w:ascii="Times New Roman;Times;serif" w:hAnsi="Times New Roman;Times;serif"/>
            <w:b w:val="false"/>
            <w:i w:val="false"/>
            <w:caps w:val="false"/>
            <w:smallCaps w:val="false"/>
            <w:sz w:val="24"/>
            <w:shd w:fill="FFFFFF" w:val="clear"/>
          </w:rPr>
          <w:t>Rates</w:t>
        </w:r>
      </w:hyperlink>
      <w:hyperlink w:anchor="_Toc241229808">
        <w:r>
          <w:rPr>
            <w:webHidden/>
          </w:rPr>
          <w:fldChar w:fldCharType="begin"/>
        </w:r>
        <w:r>
          <w:rPr>
            <w:webHidden/>
          </w:rPr>
          <w:instrText xml:space="preserve">PAGEREF _Toc241229808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895"/>
                <wp:effectExtent l="0" t="0" r="0" b="0"/>
                <wp:wrapNone/>
                <wp:docPr id="38" name="Frame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09">
        <w:r>
          <w:rPr>
            <w:rStyle w:val="InternetLink"/>
            <w:rFonts w:ascii="Times New Roman;Times;serif" w:hAnsi="Times New Roman;Times;serif"/>
            <w:b w:val="false"/>
            <w:i w:val="false"/>
            <w:caps w:val="false"/>
            <w:smallCaps w:val="false"/>
            <w:sz w:val="24"/>
            <w:shd w:fill="FFFFFF" w:val="clear"/>
          </w:rPr>
          <w:t>SECTION 6.</w:t>
        </w:r>
      </w:hyperlink>
      <w:r>
        <w:rPr>
          <w:rFonts w:ascii="Times New Roman;Times;serif" w:hAnsi="Times New Roman;Times;serif"/>
          <w:sz w:val="24"/>
          <w:shd w:fill="FFFFFF" w:val="clear"/>
        </w:rPr>
        <w:tab/>
      </w:r>
      <w:hyperlink w:anchor="_Toc241229809">
        <w:r>
          <w:rPr>
            <w:rStyle w:val="InternetLink"/>
            <w:rFonts w:ascii="Times New Roman;Times;serif" w:hAnsi="Times New Roman;Times;serif"/>
            <w:b w:val="false"/>
            <w:i w:val="false"/>
            <w:caps w:val="false"/>
            <w:smallCaps w:val="false"/>
            <w:sz w:val="24"/>
            <w:shd w:fill="FFFFFF" w:val="clear"/>
          </w:rPr>
          <w:t>Representations and Warranties.</w:t>
        </w:r>
      </w:hyperlink>
      <w:hyperlink w:anchor="_Toc241229809">
        <w:r>
          <w:rPr>
            <w:webHidden/>
          </w:rPr>
          <w:fldChar w:fldCharType="begin"/>
        </w:r>
        <w:r>
          <w:rPr>
            <w:webHidden/>
          </w:rPr>
          <w:instrText xml:space="preserve">PAGEREF _Toc241229809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1">
                <wp:simplePos x="0" y="0"/>
                <wp:positionH relativeFrom="page">
                  <wp:posOffset>0</wp:posOffset>
                </wp:positionH>
                <wp:positionV relativeFrom="line">
                  <wp:posOffset>635</wp:posOffset>
                </wp:positionV>
                <wp:extent cx="6480175" cy="175895"/>
                <wp:effectExtent l="0" t="0" r="0" b="0"/>
                <wp:wrapNone/>
                <wp:docPr id="39" name="Frame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0">
        <w:r>
          <w:rPr>
            <w:rStyle w:val="InternetLink"/>
            <w:rFonts w:ascii="Times New Roman;Times;serif" w:hAnsi="Times New Roman;Times;serif"/>
            <w:b w:val="false"/>
            <w:i w:val="false"/>
            <w:caps w:val="false"/>
            <w:smallCaps w:val="false"/>
            <w:sz w:val="24"/>
            <w:shd w:fill="FFFFFF" w:val="clear"/>
          </w:rPr>
          <w:t>Section 6.1.</w:t>
        </w:r>
      </w:hyperlink>
      <w:r>
        <w:rPr>
          <w:rFonts w:ascii="Times New Roman;Times;serif" w:hAnsi="Times New Roman;Times;serif"/>
          <w:sz w:val="24"/>
          <w:shd w:fill="FFFFFF" w:val="clear"/>
        </w:rPr>
        <w:tab/>
      </w:r>
      <w:hyperlink w:anchor="_Toc241229810">
        <w:r>
          <w:rPr>
            <w:rStyle w:val="InternetLink"/>
            <w:rFonts w:ascii="Times New Roman;Times;serif" w:hAnsi="Times New Roman;Times;serif"/>
            <w:b w:val="false"/>
            <w:i w:val="false"/>
            <w:caps w:val="false"/>
            <w:smallCaps w:val="false"/>
            <w:sz w:val="24"/>
            <w:shd w:fill="FFFFFF" w:val="clear"/>
          </w:rPr>
          <w:t>Organization and Qualification; Limited Operations.</w:t>
        </w:r>
      </w:hyperlink>
      <w:hyperlink w:anchor="_Toc241229810">
        <w:r>
          <w:rPr>
            <w:webHidden/>
          </w:rPr>
          <w:fldChar w:fldCharType="begin"/>
        </w:r>
        <w:r>
          <w:rPr>
            <w:webHidden/>
          </w:rPr>
          <w:instrText xml:space="preserve">PAGEREF _Toc241229810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895"/>
                <wp:effectExtent l="0" t="0" r="0" b="0"/>
                <wp:wrapNone/>
                <wp:docPr id="40" name="Frame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1">
        <w:r>
          <w:rPr>
            <w:rStyle w:val="InternetLink"/>
            <w:rFonts w:ascii="Times New Roman;Times;serif" w:hAnsi="Times New Roman;Times;serif"/>
            <w:b w:val="false"/>
            <w:i w:val="false"/>
            <w:caps w:val="false"/>
            <w:smallCaps w:val="false"/>
            <w:sz w:val="24"/>
            <w:shd w:fill="FFFFFF" w:val="clear"/>
          </w:rPr>
          <w:t>Section 6.2.</w:t>
        </w:r>
      </w:hyperlink>
      <w:r>
        <w:rPr>
          <w:rFonts w:ascii="Times New Roman;Times;serif" w:hAnsi="Times New Roman;Times;serif"/>
          <w:sz w:val="24"/>
          <w:shd w:fill="FFFFFF" w:val="clear"/>
        </w:rPr>
        <w:tab/>
      </w:r>
      <w:hyperlink w:anchor="_Toc241229811">
        <w:r>
          <w:rPr>
            <w:rStyle w:val="InternetLink"/>
            <w:rFonts w:ascii="Times New Roman;Times;serif" w:hAnsi="Times New Roman;Times;serif"/>
            <w:b w:val="false"/>
            <w:i w:val="false"/>
            <w:caps w:val="false"/>
            <w:smallCaps w:val="false"/>
            <w:sz w:val="24"/>
            <w:shd w:fill="FFFFFF" w:val="clear"/>
          </w:rPr>
          <w:t>Subsidiaries</w:t>
        </w:r>
      </w:hyperlink>
      <w:hyperlink w:anchor="_Toc241229811">
        <w:r>
          <w:rPr>
            <w:webHidden/>
          </w:rPr>
          <w:fldChar w:fldCharType="begin"/>
        </w:r>
        <w:r>
          <w:rPr>
            <w:webHidden/>
          </w:rPr>
          <w:instrText xml:space="preserve">PAGEREF _Toc241229811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895"/>
                <wp:effectExtent l="0" t="0" r="0" b="0"/>
                <wp:wrapNone/>
                <wp:docPr id="41" name="Frame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2">
        <w:r>
          <w:rPr>
            <w:rStyle w:val="InternetLink"/>
            <w:rFonts w:ascii="Times New Roman;Times;serif" w:hAnsi="Times New Roman;Times;serif"/>
            <w:b w:val="false"/>
            <w:i w:val="false"/>
            <w:caps w:val="false"/>
            <w:smallCaps w:val="false"/>
            <w:sz w:val="24"/>
            <w:shd w:fill="FFFFFF" w:val="clear"/>
          </w:rPr>
          <w:t>Section 6.3.</w:t>
        </w:r>
      </w:hyperlink>
      <w:r>
        <w:rPr>
          <w:rFonts w:ascii="Times New Roman;Times;serif" w:hAnsi="Times New Roman;Times;serif"/>
          <w:sz w:val="24"/>
          <w:shd w:fill="FFFFFF" w:val="clear"/>
        </w:rPr>
        <w:tab/>
      </w:r>
      <w:hyperlink w:anchor="_Toc241229812">
        <w:r>
          <w:rPr>
            <w:rStyle w:val="InternetLink"/>
            <w:rFonts w:ascii="Times New Roman;Times;serif" w:hAnsi="Times New Roman;Times;serif"/>
            <w:b w:val="false"/>
            <w:i w:val="false"/>
            <w:caps w:val="false"/>
            <w:smallCaps w:val="false"/>
            <w:sz w:val="24"/>
            <w:shd w:fill="FFFFFF" w:val="clear"/>
          </w:rPr>
          <w:t>Authority and Validity of Obligations</w:t>
        </w:r>
      </w:hyperlink>
      <w:hyperlink w:anchor="_Toc241229812">
        <w:r>
          <w:rPr>
            <w:webHidden/>
          </w:rPr>
          <w:fldChar w:fldCharType="begin"/>
        </w:r>
        <w:r>
          <w:rPr>
            <w:webHidden/>
          </w:rPr>
          <w:instrText xml:space="preserve">PAGEREF _Toc241229812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68</w:t>
        </w:r>
        <w:r>
          <w:rPr>
            <w:webHidden/>
          </w:rPr>
          <w:fldChar w:fldCharType="end"/>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895"/>
                <wp:effectExtent l="0" t="0" r="0" b="0"/>
                <wp:wrapNone/>
                <wp:docPr id="42" name="Frame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3">
        <w:r>
          <w:rPr>
            <w:rStyle w:val="InternetLink"/>
            <w:rFonts w:ascii="Times New Roman;Times;serif" w:hAnsi="Times New Roman;Times;serif"/>
            <w:b w:val="false"/>
            <w:i w:val="false"/>
            <w:caps w:val="false"/>
            <w:smallCaps w:val="false"/>
            <w:sz w:val="24"/>
            <w:shd w:fill="FFFFFF" w:val="clear"/>
          </w:rPr>
          <w:t>Section 6.4.</w:t>
        </w:r>
      </w:hyperlink>
      <w:r>
        <w:rPr>
          <w:rFonts w:ascii="Times New Roman;Times;serif" w:hAnsi="Times New Roman;Times;serif"/>
          <w:sz w:val="24"/>
          <w:shd w:fill="FFFFFF" w:val="clear"/>
        </w:rPr>
        <w:tab/>
      </w:r>
      <w:hyperlink w:anchor="_Toc241229813">
        <w:r>
          <w:rPr>
            <w:rStyle w:val="InternetLink"/>
            <w:rFonts w:ascii="Times New Roman;Times;serif" w:hAnsi="Times New Roman;Times;serif"/>
            <w:b w:val="false"/>
            <w:i w:val="false"/>
            <w:caps w:val="false"/>
            <w:smallCaps w:val="false"/>
            <w:sz w:val="24"/>
            <w:shd w:fill="FFFFFF" w:val="clear"/>
          </w:rPr>
          <w:t>Use of Proceeds; Margin Stock</w:t>
        </w:r>
      </w:hyperlink>
      <w:hyperlink w:anchor="_Toc241229813">
        <w:r>
          <w:rPr>
            <w:webHidden/>
          </w:rPr>
          <w:fldChar w:fldCharType="begin"/>
        </w:r>
        <w:r>
          <w:rPr>
            <w:webHidden/>
          </w:rPr>
          <w:instrText xml:space="preserve">PAGEREF _Toc241229813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68</w:t>
        </w:r>
        <w:r>
          <w:rPr>
            <w:webHidden/>
          </w:rPr>
          <w:fldChar w:fldCharType="end"/>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895"/>
                <wp:effectExtent l="0" t="0" r="0" b="0"/>
                <wp:wrapNone/>
                <wp:docPr id="43" name="Frame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i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360" w:right="0" w:hanging="0"/>
        <w:jc w:val="left"/>
        <w:rPr/>
      </w:pPr>
      <w:hyperlink w:anchor="_Toc241229814">
        <w:r>
          <w:rPr>
            <w:rStyle w:val="InternetLink"/>
            <w:rFonts w:ascii="Times New Roman;Times;serif" w:hAnsi="Times New Roman;Times;serif"/>
            <w:b w:val="false"/>
            <w:i w:val="false"/>
            <w:caps w:val="false"/>
            <w:smallCaps w:val="false"/>
            <w:sz w:val="24"/>
            <w:shd w:fill="FFFFFF" w:val="clear"/>
          </w:rPr>
          <w:t>Section 6.5.</w:t>
        </w:r>
      </w:hyperlink>
      <w:r>
        <w:rPr>
          <w:rFonts w:ascii="Times New Roman;Times;serif" w:hAnsi="Times New Roman;Times;serif"/>
          <w:sz w:val="24"/>
          <w:shd w:fill="FFFFFF" w:val="clear"/>
        </w:rPr>
        <w:tab/>
      </w:r>
      <w:hyperlink w:anchor="_Toc241229814">
        <w:r>
          <w:rPr>
            <w:rStyle w:val="InternetLink"/>
            <w:rFonts w:ascii="Times New Roman;Times;serif" w:hAnsi="Times New Roman;Times;serif"/>
            <w:b w:val="false"/>
            <w:i w:val="false"/>
            <w:caps w:val="false"/>
            <w:smallCaps w:val="false"/>
            <w:sz w:val="24"/>
            <w:shd w:fill="FFFFFF" w:val="clear"/>
          </w:rPr>
          <w:t>Financial Reports</w:t>
        </w:r>
      </w:hyperlink>
      <w:hyperlink w:anchor="_Toc241229814">
        <w:r>
          <w:rPr>
            <w:webHidden/>
          </w:rPr>
          <w:fldChar w:fldCharType="begin"/>
        </w:r>
        <w:r>
          <w:rPr>
            <w:webHidden/>
          </w:rPr>
          <w:instrText xml:space="preserve">PAGEREF _Toc241229814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69</w:t>
        </w:r>
        <w:r>
          <w:rPr>
            <w:webHidden/>
          </w:rPr>
          <w:fldChar w:fldCharType="end"/>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895"/>
                <wp:effectExtent l="0" t="0" r="0" b="0"/>
                <wp:wrapNone/>
                <wp:docPr id="44" name="Frame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5">
        <w:r>
          <w:rPr>
            <w:rStyle w:val="InternetLink"/>
            <w:rFonts w:ascii="Times New Roman;Times;serif" w:hAnsi="Times New Roman;Times;serif"/>
            <w:b w:val="false"/>
            <w:i w:val="false"/>
            <w:caps w:val="false"/>
            <w:smallCaps w:val="false"/>
            <w:sz w:val="24"/>
            <w:shd w:fill="FFFFFF" w:val="clear"/>
          </w:rPr>
          <w:t>Section 6.6.</w:t>
        </w:r>
      </w:hyperlink>
      <w:r>
        <w:rPr>
          <w:rFonts w:ascii="Times New Roman;Times;serif" w:hAnsi="Times New Roman;Times;serif"/>
          <w:sz w:val="24"/>
          <w:shd w:fill="FFFFFF" w:val="clear"/>
        </w:rPr>
        <w:tab/>
      </w:r>
      <w:hyperlink w:anchor="_Toc241229815">
        <w:r>
          <w:rPr>
            <w:rStyle w:val="InternetLink"/>
            <w:rFonts w:ascii="Times New Roman;Times;serif" w:hAnsi="Times New Roman;Times;serif"/>
            <w:b w:val="false"/>
            <w:i w:val="false"/>
            <w:caps w:val="false"/>
            <w:smallCaps w:val="false"/>
            <w:sz w:val="24"/>
            <w:shd w:fill="FFFFFF" w:val="clear"/>
          </w:rPr>
          <w:t>No Material Adverse Effect</w:t>
        </w:r>
      </w:hyperlink>
      <w:hyperlink w:anchor="_Toc241229815">
        <w:r>
          <w:rPr>
            <w:webHidden/>
          </w:rPr>
          <w:fldChar w:fldCharType="begin"/>
        </w:r>
        <w:r>
          <w:rPr>
            <w:webHidden/>
          </w:rPr>
          <w:instrText xml:space="preserve">PAGEREF _Toc241229815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69</w:t>
        </w:r>
        <w:r>
          <w:rPr>
            <w:webHidden/>
          </w:rPr>
          <w:fldChar w:fldCharType="end"/>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895"/>
                <wp:effectExtent l="0" t="0" r="0" b="0"/>
                <wp:wrapNone/>
                <wp:docPr id="45" name="Frame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6">
        <w:r>
          <w:rPr>
            <w:rStyle w:val="InternetLink"/>
            <w:rFonts w:ascii="Times New Roman;Times;serif" w:hAnsi="Times New Roman;Times;serif"/>
            <w:b w:val="false"/>
            <w:i w:val="false"/>
            <w:caps w:val="false"/>
            <w:smallCaps w:val="false"/>
            <w:sz w:val="24"/>
            <w:shd w:fill="FFFFFF" w:val="clear"/>
          </w:rPr>
          <w:t>Section 6.7.</w:t>
        </w:r>
      </w:hyperlink>
      <w:r>
        <w:rPr>
          <w:rFonts w:ascii="Times New Roman;Times;serif" w:hAnsi="Times New Roman;Times;serif"/>
          <w:sz w:val="24"/>
          <w:shd w:fill="FFFFFF" w:val="clear"/>
        </w:rPr>
        <w:tab/>
      </w:r>
      <w:hyperlink w:anchor="_Toc241229816">
        <w:r>
          <w:rPr>
            <w:rStyle w:val="InternetLink"/>
            <w:rFonts w:ascii="Times New Roman;Times;serif" w:hAnsi="Times New Roman;Times;serif"/>
            <w:b w:val="false"/>
            <w:i w:val="false"/>
            <w:caps w:val="false"/>
            <w:smallCaps w:val="false"/>
            <w:sz w:val="24"/>
            <w:shd w:fill="FFFFFF" w:val="clear"/>
          </w:rPr>
          <w:t>Full Disclosure</w:t>
        </w:r>
      </w:hyperlink>
      <w:hyperlink w:anchor="_Toc241229816">
        <w:r>
          <w:rPr>
            <w:webHidden/>
          </w:rPr>
          <w:fldChar w:fldCharType="begin"/>
        </w:r>
        <w:r>
          <w:rPr>
            <w:webHidden/>
          </w:rPr>
          <w:instrText xml:space="preserve">PAGEREF _Toc241229816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69</w:t>
        </w:r>
        <w:r>
          <w:rPr>
            <w:webHidden/>
          </w:rPr>
          <w:fldChar w:fldCharType="end"/>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895"/>
                <wp:effectExtent l="0" t="0" r="0" b="0"/>
                <wp:wrapNone/>
                <wp:docPr id="46" name="Frame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7">
        <w:r>
          <w:rPr>
            <w:rStyle w:val="InternetLink"/>
            <w:rFonts w:ascii="Times New Roman;Times;serif" w:hAnsi="Times New Roman;Times;serif"/>
            <w:b w:val="false"/>
            <w:i w:val="false"/>
            <w:caps w:val="false"/>
            <w:smallCaps w:val="false"/>
            <w:sz w:val="24"/>
            <w:shd w:fill="FFFFFF" w:val="clear"/>
          </w:rPr>
          <w:t>Section 6.8.</w:t>
        </w:r>
      </w:hyperlink>
      <w:r>
        <w:rPr>
          <w:rFonts w:ascii="Times New Roman;Times;serif" w:hAnsi="Times New Roman;Times;serif"/>
          <w:sz w:val="24"/>
          <w:shd w:fill="FFFFFF" w:val="clear"/>
        </w:rPr>
        <w:tab/>
      </w:r>
      <w:hyperlink w:anchor="_Toc241229817">
        <w:r>
          <w:rPr>
            <w:rStyle w:val="InternetLink"/>
            <w:rFonts w:ascii="Times New Roman;Times;serif" w:hAnsi="Times New Roman;Times;serif"/>
            <w:b w:val="false"/>
            <w:i w:val="false"/>
            <w:caps w:val="false"/>
            <w:smallCaps w:val="false"/>
            <w:sz w:val="24"/>
            <w:shd w:fill="FFFFFF" w:val="clear"/>
          </w:rPr>
          <w:t>Trademarks, Franchises, and Licenses</w:t>
        </w:r>
      </w:hyperlink>
      <w:hyperlink w:anchor="_Toc241229817">
        <w:r>
          <w:rPr>
            <w:webHidden/>
          </w:rPr>
          <w:fldChar w:fldCharType="begin"/>
        </w:r>
        <w:r>
          <w:rPr>
            <w:webHidden/>
          </w:rPr>
          <w:instrText xml:space="preserve">PAGEREF _Toc241229817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69</w:t>
        </w:r>
        <w:r>
          <w:rPr>
            <w:webHidden/>
          </w:rPr>
          <w:fldChar w:fldCharType="end"/>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895"/>
                <wp:effectExtent l="0" t="0" r="0" b="0"/>
                <wp:wrapNone/>
                <wp:docPr id="47" name="Frame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8">
        <w:r>
          <w:rPr>
            <w:rStyle w:val="InternetLink"/>
            <w:rFonts w:ascii="Times New Roman;Times;serif" w:hAnsi="Times New Roman;Times;serif"/>
            <w:b w:val="false"/>
            <w:i w:val="false"/>
            <w:caps w:val="false"/>
            <w:smallCaps w:val="false"/>
            <w:sz w:val="24"/>
            <w:shd w:fill="FFFFFF" w:val="clear"/>
          </w:rPr>
          <w:t>Section 6.9.</w:t>
        </w:r>
      </w:hyperlink>
      <w:r>
        <w:rPr>
          <w:rFonts w:ascii="Times New Roman;Times;serif" w:hAnsi="Times New Roman;Times;serif"/>
          <w:sz w:val="24"/>
          <w:shd w:fill="FFFFFF" w:val="clear"/>
        </w:rPr>
        <w:tab/>
      </w:r>
      <w:hyperlink w:anchor="_Toc241229818">
        <w:r>
          <w:rPr>
            <w:rStyle w:val="InternetLink"/>
            <w:rFonts w:ascii="Times New Roman;Times;serif" w:hAnsi="Times New Roman;Times;serif"/>
            <w:b w:val="false"/>
            <w:i w:val="false"/>
            <w:caps w:val="false"/>
            <w:smallCaps w:val="false"/>
            <w:sz w:val="24"/>
            <w:shd w:fill="FFFFFF" w:val="clear"/>
          </w:rPr>
          <w:t>Governmental Authority and Licensing</w:t>
        </w:r>
      </w:hyperlink>
      <w:hyperlink w:anchor="_Toc241229818">
        <w:r>
          <w:rPr>
            <w:webHidden/>
          </w:rPr>
          <w:fldChar w:fldCharType="begin"/>
        </w:r>
        <w:r>
          <w:rPr>
            <w:webHidden/>
          </w:rPr>
          <w:instrText xml:space="preserve">PAGEREF _Toc241229818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895"/>
                <wp:effectExtent l="0" t="0" r="0" b="0"/>
                <wp:wrapNone/>
                <wp:docPr id="48" name="Frame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19">
        <w:r>
          <w:rPr>
            <w:rStyle w:val="InternetLink"/>
            <w:rFonts w:ascii="Times New Roman;Times;serif" w:hAnsi="Times New Roman;Times;serif"/>
            <w:b w:val="false"/>
            <w:i w:val="false"/>
            <w:caps w:val="false"/>
            <w:smallCaps w:val="false"/>
            <w:sz w:val="24"/>
            <w:shd w:fill="FFFFFF" w:val="clear"/>
          </w:rPr>
          <w:t>Section 6.10.</w:t>
        </w:r>
      </w:hyperlink>
      <w:r>
        <w:rPr>
          <w:rFonts w:ascii="Times New Roman;Times;serif" w:hAnsi="Times New Roman;Times;serif"/>
          <w:sz w:val="24"/>
          <w:shd w:fill="FFFFFF" w:val="clear"/>
        </w:rPr>
        <w:tab/>
      </w:r>
      <w:hyperlink w:anchor="_Toc241229819">
        <w:r>
          <w:rPr>
            <w:rStyle w:val="InternetLink"/>
            <w:rFonts w:ascii="Times New Roman;Times;serif" w:hAnsi="Times New Roman;Times;serif"/>
            <w:b w:val="false"/>
            <w:i w:val="false"/>
            <w:caps w:val="false"/>
            <w:smallCaps w:val="false"/>
            <w:sz w:val="24"/>
            <w:shd w:fill="FFFFFF" w:val="clear"/>
          </w:rPr>
          <w:t>Good Title</w:t>
        </w:r>
      </w:hyperlink>
      <w:hyperlink w:anchor="_Toc241229819">
        <w:r>
          <w:rPr>
            <w:webHidden/>
          </w:rPr>
          <w:fldChar w:fldCharType="begin"/>
        </w:r>
        <w:r>
          <w:rPr>
            <w:webHidden/>
          </w:rPr>
          <w:instrText xml:space="preserve">PAGEREF _Toc241229819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895"/>
                <wp:effectExtent l="0" t="0" r="0" b="0"/>
                <wp:wrapNone/>
                <wp:docPr id="49" name="Frame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0">
        <w:r>
          <w:rPr>
            <w:rStyle w:val="InternetLink"/>
            <w:rFonts w:ascii="Times New Roman;Times;serif" w:hAnsi="Times New Roman;Times;serif"/>
            <w:b w:val="false"/>
            <w:i w:val="false"/>
            <w:caps w:val="false"/>
            <w:smallCaps w:val="false"/>
            <w:sz w:val="24"/>
            <w:shd w:fill="FFFFFF" w:val="clear"/>
          </w:rPr>
          <w:t>Section 6.11.</w:t>
        </w:r>
      </w:hyperlink>
      <w:r>
        <w:rPr>
          <w:rFonts w:ascii="Times New Roman;Times;serif" w:hAnsi="Times New Roman;Times;serif"/>
          <w:sz w:val="24"/>
          <w:shd w:fill="FFFFFF" w:val="clear"/>
        </w:rPr>
        <w:tab/>
      </w:r>
      <w:hyperlink w:anchor="_Toc241229820">
        <w:r>
          <w:rPr>
            <w:rStyle w:val="InternetLink"/>
            <w:rFonts w:ascii="Times New Roman;Times;serif" w:hAnsi="Times New Roman;Times;serif"/>
            <w:b w:val="false"/>
            <w:i w:val="false"/>
            <w:caps w:val="false"/>
            <w:smallCaps w:val="false"/>
            <w:sz w:val="24"/>
            <w:shd w:fill="FFFFFF" w:val="clear"/>
          </w:rPr>
          <w:t>Litigation and Other Controversies</w:t>
        </w:r>
      </w:hyperlink>
      <w:hyperlink w:anchor="_Toc241229820">
        <w:r>
          <w:rPr>
            <w:webHidden/>
          </w:rPr>
          <w:fldChar w:fldCharType="begin"/>
        </w:r>
        <w:r>
          <w:rPr>
            <w:webHidden/>
          </w:rPr>
          <w:instrText xml:space="preserve">PAGEREF _Toc241229820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895"/>
                <wp:effectExtent l="0" t="0" r="0" b="0"/>
                <wp:wrapNone/>
                <wp:docPr id="50" name="Frame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0.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1">
        <w:r>
          <w:rPr>
            <w:rStyle w:val="InternetLink"/>
            <w:rFonts w:ascii="Times New Roman;Times;serif" w:hAnsi="Times New Roman;Times;serif"/>
            <w:b w:val="false"/>
            <w:i w:val="false"/>
            <w:caps w:val="false"/>
            <w:smallCaps w:val="false"/>
            <w:sz w:val="24"/>
            <w:shd w:fill="FFFFFF" w:val="clear"/>
          </w:rPr>
          <w:t>Section 6.12.</w:t>
        </w:r>
      </w:hyperlink>
      <w:r>
        <w:rPr>
          <w:rFonts w:ascii="Times New Roman;Times;serif" w:hAnsi="Times New Roman;Times;serif"/>
          <w:sz w:val="24"/>
          <w:shd w:fill="FFFFFF" w:val="clear"/>
        </w:rPr>
        <w:tab/>
      </w:r>
      <w:hyperlink w:anchor="_Toc241229821">
        <w:r>
          <w:rPr>
            <w:rStyle w:val="InternetLink"/>
            <w:rFonts w:ascii="Times New Roman;Times;serif" w:hAnsi="Times New Roman;Times;serif"/>
            <w:b w:val="false"/>
            <w:i w:val="false"/>
            <w:caps w:val="false"/>
            <w:smallCaps w:val="false"/>
            <w:sz w:val="24"/>
            <w:shd w:fill="FFFFFF" w:val="clear"/>
          </w:rPr>
          <w:t>Taxes</w:t>
        </w:r>
      </w:hyperlink>
      <w:hyperlink w:anchor="_Toc241229821">
        <w:r>
          <w:rPr>
            <w:webHidden/>
          </w:rPr>
          <w:fldChar w:fldCharType="begin"/>
        </w:r>
        <w:r>
          <w:rPr>
            <w:webHidden/>
          </w:rPr>
          <w:instrText xml:space="preserve">PAGEREF _Toc241229821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895"/>
                <wp:effectExtent l="0" t="0" r="0" b="0"/>
                <wp:wrapNone/>
                <wp:docPr id="51" name="Frame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2">
        <w:r>
          <w:rPr>
            <w:rStyle w:val="InternetLink"/>
            <w:rFonts w:ascii="Times New Roman;Times;serif" w:hAnsi="Times New Roman;Times;serif"/>
            <w:b w:val="false"/>
            <w:i w:val="false"/>
            <w:caps w:val="false"/>
            <w:smallCaps w:val="false"/>
            <w:sz w:val="24"/>
            <w:shd w:fill="FFFFFF" w:val="clear"/>
          </w:rPr>
          <w:t>Section 6.13.</w:t>
        </w:r>
      </w:hyperlink>
      <w:r>
        <w:rPr>
          <w:rFonts w:ascii="Times New Roman;Times;serif" w:hAnsi="Times New Roman;Times;serif"/>
          <w:sz w:val="24"/>
          <w:shd w:fill="FFFFFF" w:val="clear"/>
        </w:rPr>
        <w:tab/>
      </w:r>
      <w:hyperlink w:anchor="_Toc241229822">
        <w:r>
          <w:rPr>
            <w:rStyle w:val="InternetLink"/>
            <w:rFonts w:ascii="Times New Roman;Times;serif" w:hAnsi="Times New Roman;Times;serif"/>
            <w:b w:val="false"/>
            <w:i w:val="false"/>
            <w:caps w:val="false"/>
            <w:smallCaps w:val="false"/>
            <w:sz w:val="24"/>
            <w:shd w:fill="FFFFFF" w:val="clear"/>
          </w:rPr>
          <w:t>Approvals</w:t>
        </w:r>
      </w:hyperlink>
      <w:hyperlink w:anchor="_Toc241229822">
        <w:r>
          <w:rPr>
            <w:webHidden/>
          </w:rPr>
          <w:fldChar w:fldCharType="begin"/>
        </w:r>
        <w:r>
          <w:rPr>
            <w:webHidden/>
          </w:rPr>
          <w:instrText xml:space="preserve">PAGEREF _Toc241229822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895"/>
                <wp:effectExtent l="0" t="0" r="0" b="0"/>
                <wp:wrapNone/>
                <wp:docPr id="52" name="Frame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3">
        <w:r>
          <w:rPr>
            <w:rStyle w:val="InternetLink"/>
            <w:rFonts w:ascii="Times New Roman;Times;serif" w:hAnsi="Times New Roman;Times;serif"/>
            <w:b w:val="false"/>
            <w:i w:val="false"/>
            <w:caps w:val="false"/>
            <w:smallCaps w:val="false"/>
            <w:sz w:val="24"/>
            <w:shd w:fill="FFFFFF" w:val="clear"/>
          </w:rPr>
          <w:t>Section 6.14.</w:t>
        </w:r>
      </w:hyperlink>
      <w:r>
        <w:rPr>
          <w:rFonts w:ascii="Times New Roman;Times;serif" w:hAnsi="Times New Roman;Times;serif"/>
          <w:sz w:val="24"/>
          <w:shd w:fill="FFFFFF" w:val="clear"/>
        </w:rPr>
        <w:tab/>
      </w:r>
      <w:hyperlink w:anchor="_Toc241229823">
        <w:r>
          <w:rPr>
            <w:rStyle w:val="InternetLink"/>
            <w:rFonts w:ascii="Times New Roman;Times;serif" w:hAnsi="Times New Roman;Times;serif"/>
            <w:b w:val="false"/>
            <w:i w:val="false"/>
            <w:caps w:val="false"/>
            <w:smallCaps w:val="false"/>
            <w:sz w:val="24"/>
            <w:shd w:fill="FFFFFF" w:val="clear"/>
          </w:rPr>
          <w:t>Affiliate Transactions</w:t>
        </w:r>
      </w:hyperlink>
      <w:hyperlink w:anchor="_Toc241229823">
        <w:r>
          <w:rPr>
            <w:webHidden/>
          </w:rPr>
          <w:fldChar w:fldCharType="begin"/>
        </w:r>
        <w:r>
          <w:rPr>
            <w:webHidden/>
          </w:rPr>
          <w:instrText xml:space="preserve">PAGEREF _Toc241229823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895"/>
                <wp:effectExtent l="0" t="0" r="0" b="0"/>
                <wp:wrapNone/>
                <wp:docPr id="53" name="Frame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4">
        <w:r>
          <w:rPr>
            <w:rStyle w:val="InternetLink"/>
            <w:rFonts w:ascii="Times New Roman;Times;serif" w:hAnsi="Times New Roman;Times;serif"/>
            <w:b w:val="false"/>
            <w:i w:val="false"/>
            <w:caps w:val="false"/>
            <w:smallCaps w:val="false"/>
            <w:sz w:val="24"/>
            <w:shd w:fill="FFFFFF" w:val="clear"/>
          </w:rPr>
          <w:t>Section 6.15.</w:t>
        </w:r>
      </w:hyperlink>
      <w:r>
        <w:rPr>
          <w:rFonts w:ascii="Times New Roman;Times;serif" w:hAnsi="Times New Roman;Times;serif"/>
          <w:sz w:val="24"/>
          <w:shd w:fill="FFFFFF" w:val="clear"/>
        </w:rPr>
        <w:tab/>
      </w:r>
      <w:hyperlink w:anchor="_Toc241229824">
        <w:r>
          <w:rPr>
            <w:rStyle w:val="InternetLink"/>
            <w:rFonts w:ascii="Times New Roman;Times;serif" w:hAnsi="Times New Roman;Times;serif"/>
            <w:b w:val="false"/>
            <w:i w:val="false"/>
            <w:caps w:val="false"/>
            <w:smallCaps w:val="false"/>
            <w:sz w:val="24"/>
            <w:shd w:fill="FFFFFF" w:val="clear"/>
          </w:rPr>
          <w:t>Investment Company</w:t>
        </w:r>
      </w:hyperlink>
      <w:hyperlink w:anchor="_Toc241229824">
        <w:r>
          <w:rPr>
            <w:webHidden/>
          </w:rPr>
          <w:fldChar w:fldCharType="begin"/>
        </w:r>
        <w:r>
          <w:rPr>
            <w:webHidden/>
          </w:rPr>
          <w:instrText xml:space="preserve">PAGEREF _Toc241229824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895"/>
                <wp:effectExtent l="0" t="0" r="0" b="0"/>
                <wp:wrapNone/>
                <wp:docPr id="54" name="Frame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6.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5">
        <w:r>
          <w:rPr>
            <w:rStyle w:val="InternetLink"/>
            <w:rFonts w:ascii="Times New Roman;Times;serif" w:hAnsi="Times New Roman;Times;serif"/>
            <w:b w:val="false"/>
            <w:i w:val="false"/>
            <w:caps w:val="false"/>
            <w:smallCaps w:val="false"/>
            <w:sz w:val="24"/>
            <w:shd w:fill="FFFFFF" w:val="clear"/>
          </w:rPr>
          <w:t>Section 6.16.</w:t>
        </w:r>
      </w:hyperlink>
      <w:r>
        <w:rPr>
          <w:rFonts w:ascii="Times New Roman;Times;serif" w:hAnsi="Times New Roman;Times;serif"/>
          <w:sz w:val="24"/>
          <w:shd w:fill="FFFFFF" w:val="clear"/>
        </w:rPr>
        <w:tab/>
      </w:r>
      <w:hyperlink w:anchor="_Toc241229825">
        <w:r>
          <w:rPr>
            <w:rStyle w:val="InternetLink"/>
            <w:rFonts w:ascii="Times New Roman;Times;serif" w:hAnsi="Times New Roman;Times;serif"/>
            <w:b w:val="false"/>
            <w:i w:val="false"/>
            <w:caps w:val="false"/>
            <w:smallCaps w:val="false"/>
            <w:sz w:val="24"/>
            <w:shd w:fill="FFFFFF" w:val="clear"/>
          </w:rPr>
          <w:t>ERISA</w:t>
        </w:r>
      </w:hyperlink>
      <w:hyperlink w:anchor="_Toc241229825">
        <w:r>
          <w:rPr>
            <w:webHidden/>
          </w:rPr>
          <w:fldChar w:fldCharType="begin"/>
        </w:r>
        <w:r>
          <w:rPr>
            <w:webHidden/>
          </w:rPr>
          <w:instrText xml:space="preserve">PAGEREF _Toc241229825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895"/>
                <wp:effectExtent l="0" t="0" r="0" b="0"/>
                <wp:wrapNone/>
                <wp:docPr id="55" name="Frame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6">
        <w:r>
          <w:rPr>
            <w:rStyle w:val="InternetLink"/>
            <w:rFonts w:ascii="Times New Roman;Times;serif" w:hAnsi="Times New Roman;Times;serif"/>
            <w:b w:val="false"/>
            <w:i w:val="false"/>
            <w:caps w:val="false"/>
            <w:smallCaps w:val="false"/>
            <w:sz w:val="24"/>
            <w:shd w:fill="FFFFFF" w:val="clear"/>
          </w:rPr>
          <w:t>Section 6.17.</w:t>
        </w:r>
      </w:hyperlink>
      <w:r>
        <w:rPr>
          <w:rFonts w:ascii="Times New Roman;Times;serif" w:hAnsi="Times New Roman;Times;serif"/>
          <w:sz w:val="24"/>
          <w:shd w:fill="FFFFFF" w:val="clear"/>
        </w:rPr>
        <w:tab/>
      </w:r>
      <w:hyperlink w:anchor="_Toc241229826">
        <w:r>
          <w:rPr>
            <w:rStyle w:val="InternetLink"/>
            <w:rFonts w:ascii="Times New Roman;Times;serif" w:hAnsi="Times New Roman;Times;serif"/>
            <w:b w:val="false"/>
            <w:i w:val="false"/>
            <w:caps w:val="false"/>
            <w:smallCaps w:val="false"/>
            <w:sz w:val="24"/>
            <w:shd w:fill="FFFFFF" w:val="clear"/>
          </w:rPr>
          <w:t>Compliance with Laws</w:t>
        </w:r>
      </w:hyperlink>
      <w:hyperlink w:anchor="_Toc241229826">
        <w:r>
          <w:rPr>
            <w:webHidden/>
          </w:rPr>
          <w:fldChar w:fldCharType="begin"/>
        </w:r>
        <w:r>
          <w:rPr>
            <w:webHidden/>
          </w:rPr>
          <w:instrText xml:space="preserve">PAGEREF _Toc241229826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71</w:t>
        </w:r>
        <w:r>
          <w:rPr>
            <w:webHidden/>
          </w:rPr>
          <w:fldChar w:fldCharType="end"/>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895"/>
                <wp:effectExtent l="0" t="0" r="0" b="0"/>
                <wp:wrapNone/>
                <wp:docPr id="56" name="Frame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7">
        <w:r>
          <w:rPr>
            <w:rStyle w:val="InternetLink"/>
            <w:rFonts w:ascii="Times New Roman;Times;serif" w:hAnsi="Times New Roman;Times;serif"/>
            <w:b w:val="false"/>
            <w:i w:val="false"/>
            <w:caps w:val="false"/>
            <w:smallCaps w:val="false"/>
            <w:sz w:val="24"/>
            <w:shd w:fill="FFFFFF" w:val="clear"/>
          </w:rPr>
          <w:t>Section 6.18.</w:t>
        </w:r>
      </w:hyperlink>
      <w:r>
        <w:rPr>
          <w:rFonts w:ascii="Times New Roman;Times;serif" w:hAnsi="Times New Roman;Times;serif"/>
          <w:sz w:val="24"/>
          <w:shd w:fill="FFFFFF" w:val="clear"/>
        </w:rPr>
        <w:tab/>
      </w:r>
      <w:hyperlink w:anchor="_Toc241229827">
        <w:r>
          <w:rPr>
            <w:rStyle w:val="InternetLink"/>
            <w:rFonts w:ascii="Times New Roman;Times;serif" w:hAnsi="Times New Roman;Times;serif"/>
            <w:b w:val="false"/>
            <w:i w:val="false"/>
            <w:caps w:val="false"/>
            <w:smallCaps w:val="false"/>
            <w:sz w:val="24"/>
            <w:shd w:fill="FFFFFF" w:val="clear"/>
          </w:rPr>
          <w:t>OFAC; Patriot Act</w:t>
        </w:r>
      </w:hyperlink>
      <w:hyperlink w:anchor="_Toc241229827">
        <w:r>
          <w:rPr>
            <w:webHidden/>
          </w:rPr>
          <w:fldChar w:fldCharType="begin"/>
        </w:r>
        <w:r>
          <w:rPr>
            <w:webHidden/>
          </w:rPr>
          <w:instrText xml:space="preserve">PAGEREF _Toc241229827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72</w:t>
        </w:r>
        <w:r>
          <w:rPr>
            <w:webHidden/>
          </w:rPr>
          <w:fldChar w:fldCharType="end"/>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895"/>
                <wp:effectExtent l="0" t="0" r="0" b="0"/>
                <wp:wrapNone/>
                <wp:docPr id="57" name="Frame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8">
        <w:r>
          <w:rPr>
            <w:rStyle w:val="InternetLink"/>
            <w:rFonts w:ascii="Times New Roman;Times;serif" w:hAnsi="Times New Roman;Times;serif"/>
            <w:b w:val="false"/>
            <w:i w:val="false"/>
            <w:caps w:val="false"/>
            <w:smallCaps w:val="false"/>
            <w:sz w:val="24"/>
            <w:shd w:fill="FFFFFF" w:val="clear"/>
          </w:rPr>
          <w:t>Section 6.19.</w:t>
        </w:r>
      </w:hyperlink>
      <w:r>
        <w:rPr>
          <w:rFonts w:ascii="Times New Roman;Times;serif" w:hAnsi="Times New Roman;Times;serif"/>
          <w:sz w:val="24"/>
          <w:shd w:fill="FFFFFF" w:val="clear"/>
        </w:rPr>
        <w:tab/>
      </w:r>
      <w:hyperlink w:anchor="_Toc241229828">
        <w:r>
          <w:rPr>
            <w:rStyle w:val="InternetLink"/>
            <w:rFonts w:ascii="Times New Roman;Times;serif" w:hAnsi="Times New Roman;Times;serif"/>
            <w:b w:val="false"/>
            <w:i w:val="false"/>
            <w:caps w:val="false"/>
            <w:smallCaps w:val="false"/>
            <w:sz w:val="24"/>
            <w:shd w:fill="FFFFFF" w:val="clear"/>
          </w:rPr>
          <w:t>Other Agreements</w:t>
        </w:r>
      </w:hyperlink>
      <w:hyperlink w:anchor="_Toc241229828">
        <w:r>
          <w:rPr>
            <w:webHidden/>
          </w:rPr>
          <w:fldChar w:fldCharType="begin"/>
        </w:r>
        <w:r>
          <w:rPr>
            <w:webHidden/>
          </w:rPr>
          <w:instrText xml:space="preserve">PAGEREF _Toc241229828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895"/>
                <wp:effectExtent l="0" t="0" r="0" b="0"/>
                <wp:wrapNone/>
                <wp:docPr id="58" name="Frame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29">
        <w:r>
          <w:rPr>
            <w:rStyle w:val="InternetLink"/>
            <w:rFonts w:ascii="Times New Roman;Times;serif" w:hAnsi="Times New Roman;Times;serif"/>
            <w:b w:val="false"/>
            <w:i w:val="false"/>
            <w:caps w:val="false"/>
            <w:smallCaps w:val="false"/>
            <w:sz w:val="24"/>
            <w:shd w:fill="FFFFFF" w:val="clear"/>
          </w:rPr>
          <w:t>Section 6.20.</w:t>
        </w:r>
      </w:hyperlink>
      <w:r>
        <w:rPr>
          <w:rFonts w:ascii="Times New Roman;Times;serif" w:hAnsi="Times New Roman;Times;serif"/>
          <w:sz w:val="24"/>
          <w:shd w:fill="FFFFFF" w:val="clear"/>
        </w:rPr>
        <w:tab/>
      </w:r>
      <w:hyperlink w:anchor="_Toc241229829">
        <w:r>
          <w:rPr>
            <w:rStyle w:val="InternetLink"/>
            <w:rFonts w:ascii="Times New Roman;Times;serif" w:hAnsi="Times New Roman;Times;serif"/>
            <w:b w:val="false"/>
            <w:i w:val="false"/>
            <w:caps w:val="false"/>
            <w:smallCaps w:val="false"/>
            <w:sz w:val="24"/>
            <w:shd w:fill="FFFFFF" w:val="clear"/>
          </w:rPr>
          <w:t>Solvency</w:t>
        </w:r>
      </w:hyperlink>
      <w:hyperlink w:anchor="_Toc241229829">
        <w:r>
          <w:rPr>
            <w:webHidden/>
          </w:rPr>
          <w:fldChar w:fldCharType="begin"/>
        </w:r>
        <w:r>
          <w:rPr>
            <w:webHidden/>
          </w:rPr>
          <w:instrText xml:space="preserve">PAGEREF _Toc241229829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895"/>
                <wp:effectExtent l="0" t="0" r="0" b="0"/>
                <wp:wrapNone/>
                <wp:docPr id="59" name="Frame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0">
        <w:r>
          <w:rPr>
            <w:rStyle w:val="InternetLink"/>
            <w:rFonts w:ascii="Times New Roman;Times;serif" w:hAnsi="Times New Roman;Times;serif"/>
            <w:b w:val="false"/>
            <w:i w:val="false"/>
            <w:caps w:val="false"/>
            <w:smallCaps w:val="false"/>
            <w:sz w:val="24"/>
            <w:shd w:fill="FFFFFF" w:val="clear"/>
          </w:rPr>
          <w:t>Section 6.21.</w:t>
        </w:r>
      </w:hyperlink>
      <w:r>
        <w:rPr>
          <w:rFonts w:ascii="Times New Roman;Times;serif" w:hAnsi="Times New Roman;Times;serif"/>
          <w:sz w:val="24"/>
          <w:shd w:fill="FFFFFF" w:val="clear"/>
        </w:rPr>
        <w:tab/>
      </w:r>
      <w:hyperlink w:anchor="_Toc241229830">
        <w:r>
          <w:rPr>
            <w:rStyle w:val="InternetLink"/>
            <w:rFonts w:ascii="Times New Roman;Times;serif" w:hAnsi="Times New Roman;Times;serif"/>
            <w:b w:val="false"/>
            <w:i w:val="false"/>
            <w:caps w:val="false"/>
            <w:smallCaps w:val="false"/>
            <w:sz w:val="24"/>
            <w:shd w:fill="FFFFFF" w:val="clear"/>
          </w:rPr>
          <w:t>No Default</w:t>
        </w:r>
      </w:hyperlink>
      <w:hyperlink w:anchor="_Toc241229830">
        <w:r>
          <w:rPr>
            <w:webHidden/>
          </w:rPr>
          <w:fldChar w:fldCharType="begin"/>
        </w:r>
        <w:r>
          <w:rPr>
            <w:webHidden/>
          </w:rPr>
          <w:instrText xml:space="preserve">PAGEREF _Toc241229830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895"/>
                <wp:effectExtent l="0" t="0" r="0" b="0"/>
                <wp:wrapNone/>
                <wp:docPr id="60" name="Frame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1">
        <w:r>
          <w:rPr>
            <w:rStyle w:val="InternetLink"/>
            <w:rFonts w:ascii="Times New Roman;Times;serif" w:hAnsi="Times New Roman;Times;serif"/>
            <w:b w:val="false"/>
            <w:i w:val="false"/>
            <w:caps w:val="false"/>
            <w:smallCaps w:val="false"/>
            <w:sz w:val="24"/>
            <w:shd w:fill="FFFFFF" w:val="clear"/>
          </w:rPr>
          <w:t>Section 6.22.</w:t>
        </w:r>
      </w:hyperlink>
      <w:r>
        <w:rPr>
          <w:rFonts w:ascii="Times New Roman;Times;serif" w:hAnsi="Times New Roman;Times;serif"/>
          <w:sz w:val="24"/>
          <w:shd w:fill="FFFFFF" w:val="clear"/>
        </w:rPr>
        <w:tab/>
      </w:r>
      <w:hyperlink w:anchor="_Toc241229831">
        <w:r>
          <w:rPr>
            <w:rStyle w:val="InternetLink"/>
            <w:rFonts w:ascii="Times New Roman;Times;serif" w:hAnsi="Times New Roman;Times;serif"/>
            <w:b w:val="false"/>
            <w:i w:val="false"/>
            <w:caps w:val="false"/>
            <w:smallCaps w:val="false"/>
            <w:sz w:val="24"/>
            <w:shd w:fill="FFFFFF" w:val="clear"/>
          </w:rPr>
          <w:t>No Broker Fees</w:t>
        </w:r>
      </w:hyperlink>
      <w:hyperlink w:anchor="_Toc241229831">
        <w:r>
          <w:rPr>
            <w:webHidden/>
          </w:rPr>
          <w:fldChar w:fldCharType="begin"/>
        </w:r>
        <w:r>
          <w:rPr>
            <w:webHidden/>
          </w:rPr>
          <w:instrText xml:space="preserve">PAGEREF _Toc241229831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895"/>
                <wp:effectExtent l="0" t="0" r="0" b="0"/>
                <wp:wrapNone/>
                <wp:docPr id="61" name="Frame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2">
        <w:r>
          <w:rPr>
            <w:rStyle w:val="InternetLink"/>
            <w:rFonts w:ascii="Times New Roman;Times;serif" w:hAnsi="Times New Roman;Times;serif"/>
            <w:b w:val="false"/>
            <w:i w:val="false"/>
            <w:caps w:val="false"/>
            <w:smallCaps w:val="false"/>
            <w:sz w:val="24"/>
            <w:shd w:fill="FFFFFF" w:val="clear"/>
          </w:rPr>
          <w:t>Section 6.23.</w:t>
        </w:r>
      </w:hyperlink>
      <w:r>
        <w:rPr>
          <w:rFonts w:ascii="Times New Roman;Times;serif" w:hAnsi="Times New Roman;Times;serif"/>
          <w:sz w:val="24"/>
          <w:shd w:fill="FFFFFF" w:val="clear"/>
        </w:rPr>
        <w:tab/>
      </w:r>
      <w:hyperlink w:anchor="_Toc241229832">
        <w:r>
          <w:rPr>
            <w:rStyle w:val="InternetLink"/>
            <w:rFonts w:ascii="Times New Roman;Times;serif" w:hAnsi="Times New Roman;Times;serif"/>
            <w:b w:val="false"/>
            <w:i w:val="false"/>
            <w:caps w:val="false"/>
            <w:smallCaps w:val="false"/>
            <w:sz w:val="24"/>
            <w:shd w:fill="FFFFFF" w:val="clear"/>
          </w:rPr>
          <w:t>Condition of Property; Casualties; Condemnation</w:t>
        </w:r>
      </w:hyperlink>
      <w:hyperlink w:anchor="_Toc241229832">
        <w:r>
          <w:rPr>
            <w:webHidden/>
          </w:rPr>
          <w:fldChar w:fldCharType="begin"/>
        </w:r>
        <w:r>
          <w:rPr>
            <w:webHidden/>
          </w:rPr>
          <w:instrText xml:space="preserve">PAGEREF _Toc241229832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895"/>
                <wp:effectExtent l="0" t="0" r="0" b="0"/>
                <wp:wrapNone/>
                <wp:docPr id="62" name="Frame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3">
        <w:r>
          <w:rPr>
            <w:rStyle w:val="InternetLink"/>
            <w:rFonts w:ascii="Times New Roman;Times;serif" w:hAnsi="Times New Roman;Times;serif"/>
            <w:b w:val="false"/>
            <w:i w:val="false"/>
            <w:caps w:val="false"/>
            <w:smallCaps w:val="false"/>
            <w:sz w:val="24"/>
            <w:shd w:fill="FFFFFF" w:val="clear"/>
          </w:rPr>
          <w:t>Section 6.24.</w:t>
        </w:r>
      </w:hyperlink>
      <w:r>
        <w:rPr>
          <w:rFonts w:ascii="Times New Roman;Times;serif" w:hAnsi="Times New Roman;Times;serif"/>
          <w:sz w:val="24"/>
          <w:shd w:fill="FFFFFF" w:val="clear"/>
        </w:rPr>
        <w:tab/>
      </w:r>
      <w:hyperlink w:anchor="_Toc241229833">
        <w:r>
          <w:rPr>
            <w:rStyle w:val="InternetLink"/>
            <w:rFonts w:ascii="Times New Roman;Times;serif" w:hAnsi="Times New Roman;Times;serif"/>
            <w:b w:val="false"/>
            <w:i w:val="false"/>
            <w:caps w:val="false"/>
            <w:smallCaps w:val="false"/>
            <w:sz w:val="24"/>
            <w:shd w:fill="FFFFFF" w:val="clear"/>
          </w:rPr>
          <w:t>Legal Requirements and Zoning</w:t>
        </w:r>
      </w:hyperlink>
      <w:hyperlink w:anchor="_Toc241229833">
        <w:r>
          <w:rPr>
            <w:webHidden/>
          </w:rPr>
          <w:fldChar w:fldCharType="begin"/>
        </w:r>
        <w:r>
          <w:rPr>
            <w:webHidden/>
          </w:rPr>
          <w:instrText xml:space="preserve">PAGEREF _Toc241229833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895"/>
                <wp:effectExtent l="0" t="0" r="0" b="0"/>
                <wp:wrapNone/>
                <wp:docPr id="63" name="Frame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4">
        <w:r>
          <w:rPr>
            <w:rStyle w:val="InternetLink"/>
            <w:rFonts w:ascii="Times New Roman;Times;serif" w:hAnsi="Times New Roman;Times;serif"/>
            <w:b w:val="false"/>
            <w:i w:val="false"/>
            <w:caps w:val="false"/>
            <w:smallCaps w:val="false"/>
            <w:sz w:val="24"/>
            <w:shd w:fill="FFFFFF" w:val="clear"/>
          </w:rPr>
          <w:t>Section 6.25.</w:t>
        </w:r>
      </w:hyperlink>
      <w:r>
        <w:rPr>
          <w:rFonts w:ascii="Times New Roman;Times;serif" w:hAnsi="Times New Roman;Times;serif"/>
          <w:sz w:val="24"/>
          <w:shd w:fill="FFFFFF" w:val="clear"/>
        </w:rPr>
        <w:tab/>
      </w:r>
      <w:hyperlink w:anchor="_Toc241229834">
        <w:r>
          <w:rPr>
            <w:rStyle w:val="InternetLink"/>
            <w:rFonts w:ascii="Times New Roman;Times;serif" w:hAnsi="Times New Roman;Times;serif"/>
            <w:b w:val="false"/>
            <w:i w:val="false"/>
            <w:caps w:val="false"/>
            <w:smallCaps w:val="false"/>
            <w:sz w:val="24"/>
            <w:shd w:fill="FFFFFF" w:val="clear"/>
          </w:rPr>
          <w:t>No Defaults; Landlord is in Compliance with Leases</w:t>
        </w:r>
      </w:hyperlink>
      <w:hyperlink w:anchor="_Toc241229834">
        <w:r>
          <w:rPr>
            <w:webHidden/>
          </w:rPr>
          <w:fldChar w:fldCharType="begin"/>
        </w:r>
        <w:r>
          <w:rPr>
            <w:webHidden/>
          </w:rPr>
          <w:instrText xml:space="preserve">PAGEREF _Toc241229834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895"/>
                <wp:effectExtent l="0" t="0" r="0" b="0"/>
                <wp:wrapNone/>
                <wp:docPr id="64" name="Frame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5">
        <w:r>
          <w:rPr>
            <w:rStyle w:val="InternetLink"/>
            <w:rFonts w:ascii="Times New Roman;Times;serif" w:hAnsi="Times New Roman;Times;serif"/>
            <w:b w:val="false"/>
            <w:i w:val="false"/>
            <w:caps w:val="false"/>
            <w:smallCaps w:val="false"/>
            <w:sz w:val="24"/>
            <w:shd w:fill="FFFFFF" w:val="clear"/>
          </w:rPr>
          <w:t>Section 6.26.</w:t>
        </w:r>
      </w:hyperlink>
      <w:r>
        <w:rPr>
          <w:rFonts w:ascii="Times New Roman;Times;serif" w:hAnsi="Times New Roman;Times;serif"/>
          <w:sz w:val="24"/>
          <w:shd w:fill="FFFFFF" w:val="clear"/>
        </w:rPr>
        <w:tab/>
      </w:r>
      <w:hyperlink w:anchor="_Toc241229835">
        <w:r>
          <w:rPr>
            <w:rStyle w:val="InternetLink"/>
            <w:rFonts w:ascii="Times New Roman;Times;serif" w:hAnsi="Times New Roman;Times;serif"/>
            <w:b w:val="false"/>
            <w:i w:val="false"/>
            <w:caps w:val="false"/>
            <w:smallCaps w:val="false"/>
            <w:sz w:val="24"/>
            <w:shd w:fill="FFFFFF" w:val="clear"/>
          </w:rPr>
          <w:t>Affected Financial Institution</w:t>
        </w:r>
      </w:hyperlink>
      <w:hyperlink w:anchor="_Toc241229835">
        <w:r>
          <w:rPr>
            <w:webHidden/>
          </w:rPr>
          <w:fldChar w:fldCharType="begin"/>
        </w:r>
        <w:r>
          <w:rPr>
            <w:webHidden/>
          </w:rPr>
          <w:instrText xml:space="preserve">PAGEREF _Toc241229835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895"/>
                <wp:effectExtent l="0" t="0" r="0" b="0"/>
                <wp:wrapNone/>
                <wp:docPr id="65" name="Frame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6">
        <w:r>
          <w:rPr>
            <w:rStyle w:val="InternetLink"/>
            <w:rFonts w:ascii="Times New Roman;Times;serif" w:hAnsi="Times New Roman;Times;serif"/>
            <w:b w:val="false"/>
            <w:i w:val="false"/>
            <w:caps w:val="false"/>
            <w:smallCaps w:val="false"/>
            <w:sz w:val="24"/>
            <w:shd w:fill="FFFFFF" w:val="clear"/>
          </w:rPr>
          <w:t>Section 6.27.</w:t>
        </w:r>
      </w:hyperlink>
      <w:r>
        <w:rPr>
          <w:rFonts w:ascii="Times New Roman;Times;serif" w:hAnsi="Times New Roman;Times;serif"/>
          <w:sz w:val="24"/>
          <w:shd w:fill="FFFFFF" w:val="clear"/>
        </w:rPr>
        <w:tab/>
      </w:r>
      <w:hyperlink w:anchor="_Toc241229836">
        <w:r>
          <w:rPr>
            <w:rStyle w:val="InternetLink"/>
            <w:rFonts w:ascii="Times New Roman;Times;serif" w:hAnsi="Times New Roman;Times;serif"/>
            <w:b w:val="false"/>
            <w:i w:val="false"/>
            <w:caps w:val="false"/>
            <w:smallCaps w:val="false"/>
            <w:sz w:val="24"/>
            <w:shd w:fill="FFFFFF" w:val="clear"/>
          </w:rPr>
          <w:t>REIT Status</w:t>
        </w:r>
      </w:hyperlink>
      <w:hyperlink w:anchor="_Toc241229836">
        <w:r>
          <w:rPr>
            <w:webHidden/>
          </w:rPr>
          <w:fldChar w:fldCharType="begin"/>
        </w:r>
        <w:r>
          <w:rPr>
            <w:webHidden/>
          </w:rPr>
          <w:instrText xml:space="preserve">PAGEREF _Toc241229836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895"/>
                <wp:effectExtent l="0" t="0" r="0" b="0"/>
                <wp:wrapNone/>
                <wp:docPr id="66" name="Frame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7">
        <w:r>
          <w:rPr>
            <w:rStyle w:val="InternetLink"/>
            <w:rFonts w:ascii="Times New Roman;Times;serif" w:hAnsi="Times New Roman;Times;serif"/>
            <w:b w:val="false"/>
            <w:i w:val="false"/>
            <w:caps w:val="false"/>
            <w:smallCaps w:val="false"/>
            <w:sz w:val="24"/>
            <w:shd w:fill="FFFFFF" w:val="clear"/>
          </w:rPr>
          <w:t>Section 6.28.</w:t>
        </w:r>
      </w:hyperlink>
      <w:r>
        <w:rPr>
          <w:rFonts w:ascii="Times New Roman;Times;serif" w:hAnsi="Times New Roman;Times;serif"/>
          <w:sz w:val="24"/>
          <w:shd w:fill="FFFFFF" w:val="clear"/>
        </w:rPr>
        <w:tab/>
      </w:r>
      <w:hyperlink w:anchor="_Toc241229837">
        <w:r>
          <w:rPr>
            <w:rStyle w:val="InternetLink"/>
            <w:rFonts w:ascii="Times New Roman;Times;serif" w:hAnsi="Times New Roman;Times;serif"/>
            <w:b w:val="false"/>
            <w:i w:val="false"/>
            <w:caps w:val="false"/>
            <w:smallCaps w:val="false"/>
            <w:sz w:val="24"/>
            <w:shd w:fill="FFFFFF" w:val="clear"/>
          </w:rPr>
          <w:t>Covered Entity</w:t>
        </w:r>
      </w:hyperlink>
      <w:hyperlink w:anchor="_Toc241229837">
        <w:r>
          <w:rPr>
            <w:webHidden/>
          </w:rPr>
          <w:fldChar w:fldCharType="begin"/>
        </w:r>
        <w:r>
          <w:rPr>
            <w:webHidden/>
          </w:rPr>
          <w:instrText xml:space="preserve">PAGEREF _Toc241229837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895"/>
                <wp:effectExtent l="0" t="0" r="0" b="0"/>
                <wp:wrapNone/>
                <wp:docPr id="67" name="Frame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38">
        <w:r>
          <w:rPr>
            <w:rStyle w:val="InternetLink"/>
            <w:rFonts w:ascii="Times New Roman;Times;serif" w:hAnsi="Times New Roman;Times;serif"/>
            <w:b w:val="false"/>
            <w:i w:val="false"/>
            <w:caps w:val="false"/>
            <w:smallCaps w:val="false"/>
            <w:sz w:val="24"/>
            <w:shd w:fill="FFFFFF" w:val="clear"/>
          </w:rPr>
          <w:t>Section 6.29.</w:t>
        </w:r>
      </w:hyperlink>
      <w:r>
        <w:rPr>
          <w:rFonts w:ascii="Times New Roman;Times;serif" w:hAnsi="Times New Roman;Times;serif"/>
          <w:sz w:val="24"/>
          <w:shd w:fill="FFFFFF" w:val="clear"/>
        </w:rPr>
        <w:tab/>
      </w:r>
      <w:hyperlink w:anchor="_Toc241229838">
        <w:r>
          <w:rPr>
            <w:rStyle w:val="InternetLink"/>
            <w:rFonts w:ascii="Times New Roman;Times;serif" w:hAnsi="Times New Roman;Times;serif"/>
            <w:b w:val="false"/>
            <w:i w:val="false"/>
            <w:caps w:val="false"/>
            <w:smallCaps w:val="false"/>
            <w:sz w:val="24"/>
            <w:shd w:fill="FFFFFF" w:val="clear"/>
          </w:rPr>
          <w:t>Outbound Investment Rules</w:t>
        </w:r>
      </w:hyperlink>
      <w:hyperlink w:anchor="_Toc241229838">
        <w:r>
          <w:rPr>
            <w:webHidden/>
          </w:rPr>
          <w:fldChar w:fldCharType="begin"/>
        </w:r>
        <w:r>
          <w:rPr>
            <w:webHidden/>
          </w:rPr>
          <w:instrText xml:space="preserve">PAGEREF _Toc241229838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895"/>
                <wp:effectExtent l="0" t="0" r="0" b="0"/>
                <wp:wrapNone/>
                <wp:docPr id="68" name="Frame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39">
        <w:r>
          <w:rPr>
            <w:rStyle w:val="InternetLink"/>
            <w:rFonts w:ascii="Times New Roman;Times;serif" w:hAnsi="Times New Roman;Times;serif"/>
            <w:b w:val="false"/>
            <w:i w:val="false"/>
            <w:caps w:val="false"/>
            <w:smallCaps w:val="false"/>
            <w:sz w:val="24"/>
            <w:shd w:fill="FFFFFF" w:val="clear"/>
          </w:rPr>
          <w:t>SECTION 7.</w:t>
        </w:r>
      </w:hyperlink>
      <w:r>
        <w:rPr>
          <w:rFonts w:ascii="Times New Roman;Times;serif" w:hAnsi="Times New Roman;Times;serif"/>
          <w:sz w:val="24"/>
          <w:shd w:fill="FFFFFF" w:val="clear"/>
        </w:rPr>
        <w:tab/>
      </w:r>
      <w:hyperlink w:anchor="_Toc241229839">
        <w:r>
          <w:rPr>
            <w:rStyle w:val="InternetLink"/>
            <w:rFonts w:ascii="Times New Roman;Times;serif" w:hAnsi="Times New Roman;Times;serif"/>
            <w:b w:val="false"/>
            <w:i w:val="false"/>
            <w:caps w:val="false"/>
            <w:smallCaps w:val="false"/>
            <w:sz w:val="24"/>
            <w:shd w:fill="FFFFFF" w:val="clear"/>
          </w:rPr>
          <w:t>Conditions Precedent.</w:t>
        </w:r>
      </w:hyperlink>
      <w:hyperlink w:anchor="_Toc241229839">
        <w:r>
          <w:rPr>
            <w:webHidden/>
          </w:rPr>
          <w:fldChar w:fldCharType="begin"/>
        </w:r>
        <w:r>
          <w:rPr>
            <w:webHidden/>
          </w:rPr>
          <w:instrText xml:space="preserve">PAGEREF _Toc241229839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71">
                <wp:simplePos x="0" y="0"/>
                <wp:positionH relativeFrom="page">
                  <wp:posOffset>0</wp:posOffset>
                </wp:positionH>
                <wp:positionV relativeFrom="line">
                  <wp:posOffset>635</wp:posOffset>
                </wp:positionV>
                <wp:extent cx="6480175" cy="175895"/>
                <wp:effectExtent l="0" t="0" r="0" b="0"/>
                <wp:wrapNone/>
                <wp:docPr id="69" name="Frame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0">
        <w:r>
          <w:rPr>
            <w:rStyle w:val="InternetLink"/>
            <w:rFonts w:ascii="Times New Roman;Times;serif" w:hAnsi="Times New Roman;Times;serif"/>
            <w:b w:val="false"/>
            <w:i w:val="false"/>
            <w:caps w:val="false"/>
            <w:smallCaps w:val="false"/>
            <w:sz w:val="24"/>
            <w:shd w:fill="FFFFFF" w:val="clear"/>
          </w:rPr>
          <w:t>Section 7.1.</w:t>
        </w:r>
      </w:hyperlink>
      <w:r>
        <w:rPr>
          <w:rFonts w:ascii="Times New Roman;Times;serif" w:hAnsi="Times New Roman;Times;serif"/>
          <w:sz w:val="24"/>
          <w:shd w:fill="FFFFFF" w:val="clear"/>
        </w:rPr>
        <w:tab/>
      </w:r>
      <w:hyperlink w:anchor="_Toc241229840">
        <w:r>
          <w:rPr>
            <w:rStyle w:val="InternetLink"/>
            <w:rFonts w:ascii="Times New Roman;Times;serif" w:hAnsi="Times New Roman;Times;serif"/>
            <w:b w:val="false"/>
            <w:i w:val="false"/>
            <w:caps w:val="false"/>
            <w:smallCaps w:val="false"/>
            <w:sz w:val="24"/>
            <w:shd w:fill="FFFFFF" w:val="clear"/>
          </w:rPr>
          <w:t>All Credit Events</w:t>
        </w:r>
      </w:hyperlink>
      <w:hyperlink w:anchor="_Toc241229840">
        <w:r>
          <w:rPr>
            <w:webHidden/>
          </w:rPr>
          <w:fldChar w:fldCharType="begin"/>
        </w:r>
        <w:r>
          <w:rPr>
            <w:webHidden/>
          </w:rPr>
          <w:instrText xml:space="preserve">PAGEREF _Toc241229840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895"/>
                <wp:effectExtent l="0" t="0" r="0" b="0"/>
                <wp:wrapNone/>
                <wp:docPr id="70" name="Frame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1">
        <w:r>
          <w:rPr>
            <w:rStyle w:val="InternetLink"/>
            <w:rFonts w:ascii="Times New Roman;Times;serif" w:hAnsi="Times New Roman;Times;serif"/>
            <w:b w:val="false"/>
            <w:i w:val="false"/>
            <w:caps w:val="false"/>
            <w:smallCaps w:val="false"/>
            <w:sz w:val="24"/>
            <w:shd w:fill="FFFFFF" w:val="clear"/>
          </w:rPr>
          <w:t>Section 7.2.</w:t>
        </w:r>
      </w:hyperlink>
      <w:r>
        <w:rPr>
          <w:rFonts w:ascii="Times New Roman;Times;serif" w:hAnsi="Times New Roman;Times;serif"/>
          <w:sz w:val="24"/>
          <w:shd w:fill="FFFFFF" w:val="clear"/>
        </w:rPr>
        <w:tab/>
      </w:r>
      <w:hyperlink w:anchor="_Toc241229841">
        <w:r>
          <w:rPr>
            <w:rStyle w:val="InternetLink"/>
            <w:rFonts w:ascii="Times New Roman;Times;serif" w:hAnsi="Times New Roman;Times;serif"/>
            <w:b w:val="false"/>
            <w:i w:val="false"/>
            <w:caps w:val="false"/>
            <w:smallCaps w:val="false"/>
            <w:sz w:val="24"/>
            <w:shd w:fill="FFFFFF" w:val="clear"/>
          </w:rPr>
          <w:t>Restatement Date Credit Event</w:t>
        </w:r>
      </w:hyperlink>
      <w:hyperlink w:anchor="_Toc241229841">
        <w:r>
          <w:rPr>
            <w:webHidden/>
          </w:rPr>
          <w:fldChar w:fldCharType="begin"/>
        </w:r>
        <w:r>
          <w:rPr>
            <w:webHidden/>
          </w:rPr>
          <w:instrText xml:space="preserve">PAGEREF _Toc241229841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895"/>
                <wp:effectExtent l="0" t="0" r="0" b="0"/>
                <wp:wrapNone/>
                <wp:docPr id="71" name="Frame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2">
        <w:r>
          <w:rPr>
            <w:rStyle w:val="InternetLink"/>
            <w:rFonts w:ascii="Times New Roman;Times;serif" w:hAnsi="Times New Roman;Times;serif"/>
            <w:b w:val="false"/>
            <w:i w:val="false"/>
            <w:caps w:val="false"/>
            <w:smallCaps w:val="false"/>
            <w:sz w:val="24"/>
            <w:shd w:fill="FFFFFF" w:val="clear"/>
          </w:rPr>
          <w:t>Section 7.3.</w:t>
        </w:r>
      </w:hyperlink>
      <w:r>
        <w:rPr>
          <w:rFonts w:ascii="Times New Roman;Times;serif" w:hAnsi="Times New Roman;Times;serif"/>
          <w:sz w:val="24"/>
          <w:shd w:fill="FFFFFF" w:val="clear"/>
        </w:rPr>
        <w:tab/>
      </w:r>
      <w:hyperlink w:anchor="_Toc241229842">
        <w:r>
          <w:rPr>
            <w:rStyle w:val="InternetLink"/>
            <w:rFonts w:ascii="Times New Roman;Times;serif" w:hAnsi="Times New Roman;Times;serif"/>
            <w:b w:val="false"/>
            <w:i w:val="false"/>
            <w:caps w:val="false"/>
            <w:smallCaps w:val="false"/>
            <w:sz w:val="24"/>
            <w:shd w:fill="FFFFFF" w:val="clear"/>
          </w:rPr>
          <w:t>Unencumbered Assets Additions and Deletions to the Unencumbered Pool</w:t>
        </w:r>
      </w:hyperlink>
      <w:hyperlink w:anchor="_Toc241229842">
        <w:r>
          <w:rPr>
            <w:webHidden/>
          </w:rPr>
          <w:fldChar w:fldCharType="begin"/>
        </w:r>
        <w:r>
          <w:rPr>
            <w:webHidden/>
          </w:rPr>
          <w:instrText xml:space="preserve">PAGEREF _Toc241229842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77</w:t>
        </w:r>
        <w:r>
          <w:rPr>
            <w:webHidden/>
          </w:rPr>
          <w:fldChar w:fldCharType="end"/>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895"/>
                <wp:effectExtent l="0" t="0" r="0" b="0"/>
                <wp:wrapNone/>
                <wp:docPr id="72" name="Frame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6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43">
        <w:r>
          <w:rPr>
            <w:rStyle w:val="InternetLink"/>
            <w:rFonts w:ascii="Times New Roman;Times;serif" w:hAnsi="Times New Roman;Times;serif"/>
            <w:b w:val="false"/>
            <w:i w:val="false"/>
            <w:caps w:val="false"/>
            <w:smallCaps w:val="false"/>
            <w:sz w:val="24"/>
            <w:shd w:fill="FFFFFF" w:val="clear"/>
          </w:rPr>
          <w:t>SECTION 8.</w:t>
        </w:r>
      </w:hyperlink>
      <w:r>
        <w:rPr>
          <w:rFonts w:ascii="Times New Roman;Times;serif" w:hAnsi="Times New Roman;Times;serif"/>
          <w:sz w:val="24"/>
          <w:shd w:fill="FFFFFF" w:val="clear"/>
        </w:rPr>
        <w:tab/>
      </w:r>
      <w:hyperlink w:anchor="_Toc241229843">
        <w:r>
          <w:rPr>
            <w:rStyle w:val="InternetLink"/>
            <w:rFonts w:ascii="Times New Roman;Times;serif" w:hAnsi="Times New Roman;Times;serif"/>
            <w:b w:val="false"/>
            <w:i w:val="false"/>
            <w:caps w:val="false"/>
            <w:smallCaps w:val="false"/>
            <w:sz w:val="24"/>
            <w:shd w:fill="FFFFFF" w:val="clear"/>
          </w:rPr>
          <w:t>Covenants.</w:t>
        </w:r>
      </w:hyperlink>
      <w:hyperlink w:anchor="_Toc241229843">
        <w:r>
          <w:rPr>
            <w:webHidden/>
          </w:rPr>
          <w:fldChar w:fldCharType="begin"/>
        </w:r>
        <w:r>
          <w:rPr>
            <w:webHidden/>
          </w:rPr>
          <w:instrText xml:space="preserve">PAGEREF _Toc241229843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77</w:t>
        </w:r>
        <w:r>
          <w:rPr>
            <w:webHidden/>
          </w:rPr>
          <w:fldChar w:fldCharType="end"/>
        </w:r>
      </w:hyperlink>
      <w:r>
        <mc:AlternateContent>
          <mc:Choice Requires="wps">
            <w:drawing>
              <wp:anchor behindDoc="0" distT="0" distB="0" distL="0" distR="0" simplePos="0" locked="0" layoutInCell="1" allowOverlap="1" relativeHeight="75">
                <wp:simplePos x="0" y="0"/>
                <wp:positionH relativeFrom="page">
                  <wp:posOffset>0</wp:posOffset>
                </wp:positionH>
                <wp:positionV relativeFrom="line">
                  <wp:posOffset>635</wp:posOffset>
                </wp:positionV>
                <wp:extent cx="6480175" cy="175895"/>
                <wp:effectExtent l="0" t="0" r="0" b="0"/>
                <wp:wrapNone/>
                <wp:docPr id="73" name="Frame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4">
        <w:r>
          <w:rPr>
            <w:rStyle w:val="InternetLink"/>
            <w:rFonts w:ascii="Times New Roman;Times;serif" w:hAnsi="Times New Roman;Times;serif"/>
            <w:b w:val="false"/>
            <w:i w:val="false"/>
            <w:caps w:val="false"/>
            <w:smallCaps w:val="false"/>
            <w:sz w:val="24"/>
            <w:shd w:fill="FFFFFF" w:val="clear"/>
          </w:rPr>
          <w:t>Section 8.1.</w:t>
        </w:r>
      </w:hyperlink>
      <w:r>
        <w:rPr>
          <w:rFonts w:ascii="Times New Roman;Times;serif" w:hAnsi="Times New Roman;Times;serif"/>
          <w:sz w:val="24"/>
          <w:shd w:fill="FFFFFF" w:val="clear"/>
        </w:rPr>
        <w:tab/>
      </w:r>
      <w:hyperlink w:anchor="_Toc241229844">
        <w:r>
          <w:rPr>
            <w:rStyle w:val="InternetLink"/>
            <w:rFonts w:ascii="Times New Roman;Times;serif" w:hAnsi="Times New Roman;Times;serif"/>
            <w:b w:val="false"/>
            <w:i w:val="false"/>
            <w:caps w:val="false"/>
            <w:smallCaps w:val="false"/>
            <w:sz w:val="24"/>
            <w:shd w:fill="FFFFFF" w:val="clear"/>
          </w:rPr>
          <w:t>Maintenance of Existence</w:t>
        </w:r>
      </w:hyperlink>
      <w:hyperlink w:anchor="_Toc241229844">
        <w:r>
          <w:rPr>
            <w:webHidden/>
          </w:rPr>
          <w:fldChar w:fldCharType="begin"/>
        </w:r>
        <w:r>
          <w:rPr>
            <w:webHidden/>
          </w:rPr>
          <w:instrText xml:space="preserve">PAGEREF _Toc241229844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895"/>
                <wp:effectExtent l="0" t="0" r="0" b="0"/>
                <wp:wrapNone/>
                <wp:docPr id="74" name="Frame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5">
        <w:r>
          <w:rPr>
            <w:rStyle w:val="InternetLink"/>
            <w:rFonts w:ascii="Times New Roman;Times;serif" w:hAnsi="Times New Roman;Times;serif"/>
            <w:b w:val="false"/>
            <w:i w:val="false"/>
            <w:caps w:val="false"/>
            <w:smallCaps w:val="false"/>
            <w:sz w:val="24"/>
            <w:shd w:fill="FFFFFF" w:val="clear"/>
          </w:rPr>
          <w:t>Section 8.2.</w:t>
        </w:r>
      </w:hyperlink>
      <w:r>
        <w:rPr>
          <w:rFonts w:ascii="Times New Roman;Times;serif" w:hAnsi="Times New Roman;Times;serif"/>
          <w:sz w:val="24"/>
          <w:shd w:fill="FFFFFF" w:val="clear"/>
        </w:rPr>
        <w:tab/>
      </w:r>
      <w:hyperlink w:anchor="_Toc241229845">
        <w:r>
          <w:rPr>
            <w:rStyle w:val="InternetLink"/>
            <w:rFonts w:ascii="Times New Roman;Times;serif" w:hAnsi="Times New Roman;Times;serif"/>
            <w:b w:val="false"/>
            <w:i w:val="false"/>
            <w:caps w:val="false"/>
            <w:smallCaps w:val="false"/>
            <w:sz w:val="24"/>
            <w:shd w:fill="FFFFFF" w:val="clear"/>
          </w:rPr>
          <w:t>Maintenance of Properties, Agreements</w:t>
        </w:r>
      </w:hyperlink>
      <w:hyperlink w:anchor="_Toc241229845">
        <w:r>
          <w:rPr>
            <w:webHidden/>
          </w:rPr>
          <w:fldChar w:fldCharType="begin"/>
        </w:r>
        <w:r>
          <w:rPr>
            <w:webHidden/>
          </w:rPr>
          <w:instrText xml:space="preserve">PAGEREF _Toc241229845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895"/>
                <wp:effectExtent l="0" t="0" r="0" b="0"/>
                <wp:wrapNone/>
                <wp:docPr id="75" name="Frame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6">
        <w:r>
          <w:rPr>
            <w:rStyle w:val="InternetLink"/>
            <w:rFonts w:ascii="Times New Roman;Times;serif" w:hAnsi="Times New Roman;Times;serif"/>
            <w:b w:val="false"/>
            <w:i w:val="false"/>
            <w:caps w:val="false"/>
            <w:smallCaps w:val="false"/>
            <w:sz w:val="24"/>
            <w:shd w:fill="FFFFFF" w:val="clear"/>
          </w:rPr>
          <w:t>Section 8.3.</w:t>
        </w:r>
      </w:hyperlink>
      <w:r>
        <w:rPr>
          <w:rFonts w:ascii="Times New Roman;Times;serif" w:hAnsi="Times New Roman;Times;serif"/>
          <w:sz w:val="24"/>
          <w:shd w:fill="FFFFFF" w:val="clear"/>
        </w:rPr>
        <w:tab/>
      </w:r>
      <w:hyperlink w:anchor="_Toc241229846">
        <w:r>
          <w:rPr>
            <w:rStyle w:val="InternetLink"/>
            <w:rFonts w:ascii="Times New Roman;Times;serif" w:hAnsi="Times New Roman;Times;serif"/>
            <w:b w:val="false"/>
            <w:i w:val="false"/>
            <w:caps w:val="false"/>
            <w:smallCaps w:val="false"/>
            <w:sz w:val="24"/>
            <w:shd w:fill="FFFFFF" w:val="clear"/>
          </w:rPr>
          <w:t>Taxes and Assessments</w:t>
        </w:r>
      </w:hyperlink>
      <w:hyperlink w:anchor="_Toc241229846">
        <w:r>
          <w:rPr>
            <w:webHidden/>
          </w:rPr>
          <w:fldChar w:fldCharType="begin"/>
        </w:r>
        <w:r>
          <w:rPr>
            <w:webHidden/>
          </w:rPr>
          <w:instrText xml:space="preserve">PAGEREF _Toc241229846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895"/>
                <wp:effectExtent l="0" t="0" r="0" b="0"/>
                <wp:wrapNone/>
                <wp:docPr id="76" name="Frame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7">
        <w:r>
          <w:rPr>
            <w:rStyle w:val="InternetLink"/>
            <w:rFonts w:ascii="Times New Roman;Times;serif" w:hAnsi="Times New Roman;Times;serif"/>
            <w:b w:val="false"/>
            <w:i w:val="false"/>
            <w:caps w:val="false"/>
            <w:smallCaps w:val="false"/>
            <w:sz w:val="24"/>
            <w:shd w:fill="FFFFFF" w:val="clear"/>
          </w:rPr>
          <w:t>Section 8.4.</w:t>
        </w:r>
      </w:hyperlink>
      <w:r>
        <w:rPr>
          <w:rFonts w:ascii="Times New Roman;Times;serif" w:hAnsi="Times New Roman;Times;serif"/>
          <w:sz w:val="24"/>
          <w:shd w:fill="FFFFFF" w:val="clear"/>
        </w:rPr>
        <w:tab/>
      </w:r>
      <w:hyperlink w:anchor="_Toc241229847">
        <w:r>
          <w:rPr>
            <w:rStyle w:val="InternetLink"/>
            <w:rFonts w:ascii="Times New Roman;Times;serif" w:hAnsi="Times New Roman;Times;serif"/>
            <w:b w:val="false"/>
            <w:i w:val="false"/>
            <w:caps w:val="false"/>
            <w:smallCaps w:val="false"/>
            <w:sz w:val="24"/>
            <w:shd w:fill="FFFFFF" w:val="clear"/>
          </w:rPr>
          <w:t>Insurance</w:t>
        </w:r>
      </w:hyperlink>
      <w:hyperlink w:anchor="_Toc241229847">
        <w:r>
          <w:rPr>
            <w:webHidden/>
          </w:rPr>
          <w:fldChar w:fldCharType="begin"/>
        </w:r>
        <w:r>
          <w:rPr>
            <w:webHidden/>
          </w:rPr>
          <w:instrText xml:space="preserve">PAGEREF _Toc241229847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78</w:t>
        </w:r>
        <w:r>
          <w:rPr>
            <w:webHidden/>
          </w:rPr>
          <w:fldChar w:fldCharType="end"/>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895"/>
                <wp:effectExtent l="0" t="0" r="0" b="0"/>
                <wp:wrapNone/>
                <wp:docPr id="77" name="Frame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8">
        <w:r>
          <w:rPr>
            <w:rStyle w:val="InternetLink"/>
            <w:rFonts w:ascii="Times New Roman;Times;serif" w:hAnsi="Times New Roman;Times;serif"/>
            <w:b w:val="false"/>
            <w:i w:val="false"/>
            <w:caps w:val="false"/>
            <w:smallCaps w:val="false"/>
            <w:sz w:val="24"/>
            <w:shd w:fill="FFFFFF" w:val="clear"/>
          </w:rPr>
          <w:t>Section 8.5.</w:t>
        </w:r>
      </w:hyperlink>
      <w:r>
        <w:rPr>
          <w:rFonts w:ascii="Times New Roman;Times;serif" w:hAnsi="Times New Roman;Times;serif"/>
          <w:sz w:val="24"/>
          <w:shd w:fill="FFFFFF" w:val="clear"/>
        </w:rPr>
        <w:tab/>
      </w:r>
      <w:hyperlink w:anchor="_Toc241229848">
        <w:r>
          <w:rPr>
            <w:rStyle w:val="InternetLink"/>
            <w:rFonts w:ascii="Times New Roman;Times;serif" w:hAnsi="Times New Roman;Times;serif"/>
            <w:b w:val="false"/>
            <w:i w:val="false"/>
            <w:caps w:val="false"/>
            <w:smallCaps w:val="false"/>
            <w:sz w:val="24"/>
            <w:shd w:fill="FFFFFF" w:val="clear"/>
          </w:rPr>
          <w:t>Financial Reports</w:t>
        </w:r>
      </w:hyperlink>
      <w:hyperlink w:anchor="_Toc241229848">
        <w:r>
          <w:rPr>
            <w:webHidden/>
          </w:rPr>
          <w:fldChar w:fldCharType="begin"/>
        </w:r>
        <w:r>
          <w:rPr>
            <w:webHidden/>
          </w:rPr>
          <w:instrText xml:space="preserve">PAGEREF _Toc241229848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895"/>
                <wp:effectExtent l="0" t="0" r="0" b="0"/>
                <wp:wrapNone/>
                <wp:docPr id="78" name="Frame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49">
        <w:r>
          <w:rPr>
            <w:rStyle w:val="InternetLink"/>
            <w:rFonts w:ascii="Times New Roman;Times;serif" w:hAnsi="Times New Roman;Times;serif"/>
            <w:b w:val="false"/>
            <w:i w:val="false"/>
            <w:caps w:val="false"/>
            <w:smallCaps w:val="false"/>
            <w:sz w:val="24"/>
            <w:shd w:fill="FFFFFF" w:val="clear"/>
          </w:rPr>
          <w:t>Section 8.6.</w:t>
        </w:r>
      </w:hyperlink>
      <w:r>
        <w:rPr>
          <w:rFonts w:ascii="Times New Roman;Times;serif" w:hAnsi="Times New Roman;Times;serif"/>
          <w:sz w:val="24"/>
          <w:shd w:fill="FFFFFF" w:val="clear"/>
        </w:rPr>
        <w:tab/>
      </w:r>
      <w:hyperlink w:anchor="_Toc241229849">
        <w:r>
          <w:rPr>
            <w:rStyle w:val="InternetLink"/>
            <w:rFonts w:ascii="Times New Roman;Times;serif" w:hAnsi="Times New Roman;Times;serif"/>
            <w:b w:val="false"/>
            <w:i w:val="false"/>
            <w:caps w:val="false"/>
            <w:smallCaps w:val="false"/>
            <w:sz w:val="24"/>
            <w:shd w:fill="FFFFFF" w:val="clear"/>
          </w:rPr>
          <w:t>Inspection</w:t>
        </w:r>
      </w:hyperlink>
      <w:hyperlink w:anchor="_Toc241229849">
        <w:r>
          <w:rPr>
            <w:webHidden/>
          </w:rPr>
          <w:fldChar w:fldCharType="begin"/>
        </w:r>
        <w:r>
          <w:rPr>
            <w:webHidden/>
          </w:rPr>
          <w:instrText xml:space="preserve">PAGEREF _Toc241229849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81</w:t>
        </w:r>
        <w:r>
          <w:rPr>
            <w:webHidden/>
          </w:rPr>
          <w:fldChar w:fldCharType="end"/>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895"/>
                <wp:effectExtent l="0" t="0" r="0" b="0"/>
                <wp:wrapNone/>
                <wp:docPr id="79" name="Frame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0">
        <w:r>
          <w:rPr>
            <w:rStyle w:val="InternetLink"/>
            <w:rFonts w:ascii="Times New Roman;Times;serif" w:hAnsi="Times New Roman;Times;serif"/>
            <w:b w:val="false"/>
            <w:i w:val="false"/>
            <w:caps w:val="false"/>
            <w:smallCaps w:val="false"/>
            <w:sz w:val="24"/>
            <w:shd w:fill="FFFFFF" w:val="clear"/>
          </w:rPr>
          <w:t>Section 8.7.</w:t>
        </w:r>
      </w:hyperlink>
      <w:r>
        <w:rPr>
          <w:rFonts w:ascii="Times New Roman;Times;serif" w:hAnsi="Times New Roman;Times;serif"/>
          <w:sz w:val="24"/>
          <w:shd w:fill="FFFFFF" w:val="clear"/>
        </w:rPr>
        <w:tab/>
      </w:r>
      <w:hyperlink w:anchor="_Toc241229850">
        <w:r>
          <w:rPr>
            <w:rStyle w:val="InternetLink"/>
            <w:rFonts w:ascii="Times New Roman;Times;serif" w:hAnsi="Times New Roman;Times;serif"/>
            <w:b w:val="false"/>
            <w:i w:val="false"/>
            <w:caps w:val="false"/>
            <w:smallCaps w:val="false"/>
            <w:sz w:val="24"/>
            <w:shd w:fill="FFFFFF" w:val="clear"/>
          </w:rPr>
          <w:t>Liens</w:t>
        </w:r>
      </w:hyperlink>
      <w:hyperlink w:anchor="_Toc241229850">
        <w:r>
          <w:rPr>
            <w:webHidden/>
          </w:rPr>
          <w:fldChar w:fldCharType="begin"/>
        </w:r>
        <w:r>
          <w:rPr>
            <w:webHidden/>
          </w:rPr>
          <w:instrText xml:space="preserve">PAGEREF _Toc241229850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81</w:t>
        </w:r>
        <w:r>
          <w:rPr>
            <w:webHidden/>
          </w:rPr>
          <w:fldChar w:fldCharType="end"/>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895"/>
                <wp:effectExtent l="0" t="0" r="0" b="0"/>
                <wp:wrapNone/>
                <wp:docPr id="80" name="Frame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1">
        <w:r>
          <w:rPr>
            <w:rStyle w:val="InternetLink"/>
            <w:rFonts w:ascii="Times New Roman;Times;serif" w:hAnsi="Times New Roman;Times;serif"/>
            <w:b w:val="false"/>
            <w:i w:val="false"/>
            <w:caps w:val="false"/>
            <w:smallCaps w:val="false"/>
            <w:sz w:val="24"/>
            <w:shd w:fill="FFFFFF" w:val="clear"/>
          </w:rPr>
          <w:t>Section 8.8.</w:t>
        </w:r>
      </w:hyperlink>
      <w:r>
        <w:rPr>
          <w:rFonts w:ascii="Times New Roman;Times;serif" w:hAnsi="Times New Roman;Times;serif"/>
          <w:sz w:val="24"/>
          <w:shd w:fill="FFFFFF" w:val="clear"/>
        </w:rPr>
        <w:tab/>
      </w:r>
      <w:hyperlink w:anchor="_Toc241229851">
        <w:r>
          <w:rPr>
            <w:rStyle w:val="InternetLink"/>
            <w:rFonts w:ascii="Times New Roman;Times;serif" w:hAnsi="Times New Roman;Times;serif"/>
            <w:b w:val="false"/>
            <w:i w:val="false"/>
            <w:caps w:val="false"/>
            <w:smallCaps w:val="false"/>
            <w:sz w:val="24"/>
            <w:shd w:fill="FFFFFF" w:val="clear"/>
          </w:rPr>
          <w:t>Investments, Acquisitions, Loans and Advances</w:t>
        </w:r>
      </w:hyperlink>
      <w:hyperlink w:anchor="_Toc241229851">
        <w:r>
          <w:rPr>
            <w:webHidden/>
          </w:rPr>
          <w:fldChar w:fldCharType="begin"/>
        </w:r>
        <w:r>
          <w:rPr>
            <w:webHidden/>
          </w:rPr>
          <w:instrText xml:space="preserve">PAGEREF _Toc241229851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81</w:t>
        </w:r>
        <w:r>
          <w:rPr>
            <w:webHidden/>
          </w:rPr>
          <w:fldChar w:fldCharType="end"/>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895"/>
                <wp:effectExtent l="0" t="0" r="0" b="0"/>
                <wp:wrapNone/>
                <wp:docPr id="81" name="Frame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2">
        <w:r>
          <w:rPr>
            <w:rStyle w:val="InternetLink"/>
            <w:rFonts w:ascii="Times New Roman;Times;serif" w:hAnsi="Times New Roman;Times;serif"/>
            <w:b w:val="false"/>
            <w:i w:val="false"/>
            <w:caps w:val="false"/>
            <w:smallCaps w:val="false"/>
            <w:sz w:val="24"/>
            <w:shd w:fill="FFFFFF" w:val="clear"/>
          </w:rPr>
          <w:t>Section 8.9.</w:t>
        </w:r>
      </w:hyperlink>
      <w:r>
        <w:rPr>
          <w:rFonts w:ascii="Times New Roman;Times;serif" w:hAnsi="Times New Roman;Times;serif"/>
          <w:sz w:val="24"/>
          <w:shd w:fill="FFFFFF" w:val="clear"/>
        </w:rPr>
        <w:tab/>
      </w:r>
      <w:hyperlink w:anchor="_Toc241229852">
        <w:r>
          <w:rPr>
            <w:rStyle w:val="InternetLink"/>
            <w:rFonts w:ascii="Times New Roman;Times;serif" w:hAnsi="Times New Roman;Times;serif"/>
            <w:b w:val="false"/>
            <w:i w:val="false"/>
            <w:caps w:val="false"/>
            <w:smallCaps w:val="false"/>
            <w:sz w:val="24"/>
            <w:shd w:fill="FFFFFF" w:val="clear"/>
          </w:rPr>
          <w:t>Mergers, Consolidations and Sales</w:t>
        </w:r>
      </w:hyperlink>
      <w:hyperlink w:anchor="_Toc241229852">
        <w:r>
          <w:rPr>
            <w:webHidden/>
          </w:rPr>
          <w:fldChar w:fldCharType="begin"/>
        </w:r>
        <w:r>
          <w:rPr>
            <w:webHidden/>
          </w:rPr>
          <w:instrText xml:space="preserve">PAGEREF _Toc241229852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895"/>
                <wp:effectExtent l="0" t="0" r="0" b="0"/>
                <wp:wrapNone/>
                <wp:docPr id="82" name="Frame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3">
        <w:r>
          <w:rPr>
            <w:rStyle w:val="InternetLink"/>
            <w:rFonts w:ascii="Times New Roman;Times;serif" w:hAnsi="Times New Roman;Times;serif"/>
            <w:b w:val="false"/>
            <w:i w:val="false"/>
            <w:caps w:val="false"/>
            <w:smallCaps w:val="false"/>
            <w:sz w:val="24"/>
            <w:shd w:fill="FFFFFF" w:val="clear"/>
          </w:rPr>
          <w:t>Section 8.10.</w:t>
        </w:r>
      </w:hyperlink>
      <w:r>
        <w:rPr>
          <w:rFonts w:ascii="Times New Roman;Times;serif" w:hAnsi="Times New Roman;Times;serif"/>
          <w:sz w:val="24"/>
          <w:shd w:fill="FFFFFF" w:val="clear"/>
        </w:rPr>
        <w:tab/>
      </w:r>
      <w:hyperlink w:anchor="_Toc241229853">
        <w:r>
          <w:rPr>
            <w:rStyle w:val="InternetLink"/>
            <w:rFonts w:ascii="Times New Roman;Times;serif" w:hAnsi="Times New Roman;Times;serif"/>
            <w:b w:val="false"/>
            <w:i w:val="false"/>
            <w:caps w:val="false"/>
            <w:smallCaps w:val="false"/>
            <w:sz w:val="24"/>
            <w:shd w:fill="FFFFFF" w:val="clear"/>
          </w:rPr>
          <w:t>Maintenance of Subsidiaries</w:t>
        </w:r>
      </w:hyperlink>
      <w:hyperlink w:anchor="_Toc241229853">
        <w:r>
          <w:rPr>
            <w:webHidden/>
          </w:rPr>
          <w:fldChar w:fldCharType="begin"/>
        </w:r>
        <w:r>
          <w:rPr>
            <w:webHidden/>
          </w:rPr>
          <w:instrText xml:space="preserve">PAGEREF _Toc241229853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84</w:t>
        </w:r>
        <w:r>
          <w:rPr>
            <w:webHidden/>
          </w:rPr>
          <w:fldChar w:fldCharType="end"/>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895"/>
                <wp:effectExtent l="0" t="0" r="0" b="0"/>
                <wp:wrapNone/>
                <wp:docPr id="83" name="Frame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4">
        <w:r>
          <w:rPr>
            <w:rStyle w:val="InternetLink"/>
            <w:rFonts w:ascii="Times New Roman;Times;serif" w:hAnsi="Times New Roman;Times;serif"/>
            <w:b w:val="false"/>
            <w:i w:val="false"/>
            <w:caps w:val="false"/>
            <w:smallCaps w:val="false"/>
            <w:sz w:val="24"/>
            <w:shd w:fill="FFFFFF" w:val="clear"/>
          </w:rPr>
          <w:t>Section 8.11.</w:t>
        </w:r>
      </w:hyperlink>
      <w:r>
        <w:rPr>
          <w:rFonts w:ascii="Times New Roman;Times;serif" w:hAnsi="Times New Roman;Times;serif"/>
          <w:sz w:val="24"/>
          <w:shd w:fill="FFFFFF" w:val="clear"/>
        </w:rPr>
        <w:tab/>
      </w:r>
      <w:hyperlink w:anchor="_Toc241229854">
        <w:r>
          <w:rPr>
            <w:rStyle w:val="InternetLink"/>
            <w:rFonts w:ascii="Times New Roman;Times;serif" w:hAnsi="Times New Roman;Times;serif"/>
            <w:b w:val="false"/>
            <w:i w:val="false"/>
            <w:caps w:val="false"/>
            <w:smallCaps w:val="false"/>
            <w:sz w:val="24"/>
            <w:shd w:fill="FFFFFF" w:val="clear"/>
          </w:rPr>
          <w:t>ERISA</w:t>
        </w:r>
      </w:hyperlink>
      <w:hyperlink w:anchor="_Toc241229854">
        <w:r>
          <w:rPr>
            <w:webHidden/>
          </w:rPr>
          <w:fldChar w:fldCharType="begin"/>
        </w:r>
        <w:r>
          <w:rPr>
            <w:webHidden/>
          </w:rPr>
          <w:instrText xml:space="preserve">PAGEREF _Toc241229854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84</w:t>
        </w:r>
        <w:r>
          <w:rPr>
            <w:webHidden/>
          </w:rPr>
          <w:fldChar w:fldCharType="end"/>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895"/>
                <wp:effectExtent l="0" t="0" r="0" b="0"/>
                <wp:wrapNone/>
                <wp:docPr id="84" name="Frame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5">
        <w:r>
          <w:rPr>
            <w:rStyle w:val="InternetLink"/>
            <w:rFonts w:ascii="Times New Roman;Times;serif" w:hAnsi="Times New Roman;Times;serif"/>
            <w:b w:val="false"/>
            <w:i w:val="false"/>
            <w:caps w:val="false"/>
            <w:smallCaps w:val="false"/>
            <w:sz w:val="24"/>
            <w:shd w:fill="FFFFFF" w:val="clear"/>
          </w:rPr>
          <w:t>Section 8.12.</w:t>
        </w:r>
      </w:hyperlink>
      <w:r>
        <w:rPr>
          <w:rFonts w:ascii="Times New Roman;Times;serif" w:hAnsi="Times New Roman;Times;serif"/>
          <w:sz w:val="24"/>
          <w:shd w:fill="FFFFFF" w:val="clear"/>
        </w:rPr>
        <w:tab/>
      </w:r>
      <w:hyperlink w:anchor="_Toc241229855">
        <w:r>
          <w:rPr>
            <w:rStyle w:val="InternetLink"/>
            <w:rFonts w:ascii="Times New Roman;Times;serif" w:hAnsi="Times New Roman;Times;serif"/>
            <w:b w:val="false"/>
            <w:i w:val="false"/>
            <w:caps w:val="false"/>
            <w:smallCaps w:val="false"/>
            <w:sz w:val="24"/>
            <w:shd w:fill="FFFFFF" w:val="clear"/>
          </w:rPr>
          <w:t>Compliance with Laws</w:t>
        </w:r>
      </w:hyperlink>
      <w:hyperlink w:anchor="_Toc241229855">
        <w:r>
          <w:rPr>
            <w:webHidden/>
          </w:rPr>
          <w:fldChar w:fldCharType="begin"/>
        </w:r>
        <w:r>
          <w:rPr>
            <w:webHidden/>
          </w:rPr>
          <w:instrText xml:space="preserve">PAGEREF _Toc241229855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84</w:t>
        </w:r>
        <w:r>
          <w:rPr>
            <w:webHidden/>
          </w:rPr>
          <w:fldChar w:fldCharType="end"/>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895"/>
                <wp:effectExtent l="0" t="0" r="0" b="0"/>
                <wp:wrapNone/>
                <wp:docPr id="85" name="Frame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6">
        <w:r>
          <w:rPr>
            <w:rStyle w:val="InternetLink"/>
            <w:rFonts w:ascii="Times New Roman;Times;serif" w:hAnsi="Times New Roman;Times;serif"/>
            <w:b w:val="false"/>
            <w:i w:val="false"/>
            <w:caps w:val="false"/>
            <w:smallCaps w:val="false"/>
            <w:sz w:val="24"/>
            <w:shd w:fill="FFFFFF" w:val="clear"/>
          </w:rPr>
          <w:t>Section 8.13.</w:t>
        </w:r>
      </w:hyperlink>
      <w:r>
        <w:rPr>
          <w:rFonts w:ascii="Times New Roman;Times;serif" w:hAnsi="Times New Roman;Times;serif"/>
          <w:sz w:val="24"/>
          <w:shd w:fill="FFFFFF" w:val="clear"/>
        </w:rPr>
        <w:tab/>
      </w:r>
      <w:hyperlink w:anchor="_Toc241229856">
        <w:r>
          <w:rPr>
            <w:rStyle w:val="InternetLink"/>
            <w:rFonts w:ascii="Times New Roman;Times;serif" w:hAnsi="Times New Roman;Times;serif"/>
            <w:b w:val="false"/>
            <w:i w:val="false"/>
            <w:caps w:val="false"/>
            <w:smallCaps w:val="false"/>
            <w:sz w:val="24"/>
            <w:shd w:fill="FFFFFF" w:val="clear"/>
          </w:rPr>
          <w:t>Compliance with Sanctions and Anti-Corruption Laws</w:t>
        </w:r>
      </w:hyperlink>
      <w:hyperlink w:anchor="_Toc241229856">
        <w:r>
          <w:rPr>
            <w:webHidden/>
          </w:rPr>
          <w:fldChar w:fldCharType="begin"/>
        </w:r>
        <w:r>
          <w:rPr>
            <w:webHidden/>
          </w:rPr>
          <w:instrText xml:space="preserve">PAGEREF _Toc241229856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85</w:t>
        </w:r>
        <w:r>
          <w:rPr>
            <w:webHidden/>
          </w:rPr>
          <w:fldChar w:fldCharType="end"/>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895"/>
                <wp:effectExtent l="0" t="0" r="0" b="0"/>
                <wp:wrapNone/>
                <wp:docPr id="86" name="Frame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6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7">
        <w:r>
          <w:rPr>
            <w:rStyle w:val="InternetLink"/>
            <w:rFonts w:ascii="Times New Roman;Times;serif" w:hAnsi="Times New Roman;Times;serif"/>
            <w:b w:val="false"/>
            <w:i w:val="false"/>
            <w:caps w:val="false"/>
            <w:smallCaps w:val="false"/>
            <w:sz w:val="24"/>
            <w:shd w:fill="FFFFFF" w:val="clear"/>
          </w:rPr>
          <w:t>Section 8.14.</w:t>
        </w:r>
      </w:hyperlink>
      <w:r>
        <w:rPr>
          <w:rFonts w:ascii="Times New Roman;Times;serif" w:hAnsi="Times New Roman;Times;serif"/>
          <w:sz w:val="24"/>
          <w:shd w:fill="FFFFFF" w:val="clear"/>
        </w:rPr>
        <w:tab/>
      </w:r>
      <w:hyperlink w:anchor="_Toc241229857">
        <w:r>
          <w:rPr>
            <w:rStyle w:val="InternetLink"/>
            <w:rFonts w:ascii="Times New Roman;Times;serif" w:hAnsi="Times New Roman;Times;serif"/>
            <w:b w:val="false"/>
            <w:i w:val="false"/>
            <w:caps w:val="false"/>
            <w:smallCaps w:val="false"/>
            <w:sz w:val="24"/>
            <w:shd w:fill="FFFFFF" w:val="clear"/>
          </w:rPr>
          <w:t>Burdensome Contracts With Affiliates</w:t>
        </w:r>
      </w:hyperlink>
      <w:hyperlink w:anchor="_Toc241229857">
        <w:r>
          <w:rPr>
            <w:webHidden/>
          </w:rPr>
          <w:fldChar w:fldCharType="begin"/>
        </w:r>
        <w:r>
          <w:rPr>
            <w:webHidden/>
          </w:rPr>
          <w:instrText xml:space="preserve">PAGEREF _Toc241229857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895"/>
                <wp:effectExtent l="0" t="0" r="0" b="0"/>
                <wp:wrapNone/>
                <wp:docPr id="87" name="Frame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360" w:right="0" w:hanging="0"/>
        <w:jc w:val="left"/>
        <w:rPr/>
      </w:pPr>
      <w:hyperlink w:anchor="_Toc241229858">
        <w:r>
          <w:rPr>
            <w:rStyle w:val="InternetLink"/>
            <w:rFonts w:ascii="Times New Roman;Times;serif" w:hAnsi="Times New Roman;Times;serif"/>
            <w:b w:val="false"/>
            <w:i w:val="false"/>
            <w:caps w:val="false"/>
            <w:smallCaps w:val="false"/>
            <w:sz w:val="24"/>
            <w:shd w:fill="FFFFFF" w:val="clear"/>
          </w:rPr>
          <w:t>Section 8.15.</w:t>
        </w:r>
      </w:hyperlink>
      <w:r>
        <w:rPr>
          <w:rFonts w:ascii="Times New Roman;Times;serif" w:hAnsi="Times New Roman;Times;serif"/>
          <w:sz w:val="24"/>
          <w:shd w:fill="FFFFFF" w:val="clear"/>
        </w:rPr>
        <w:tab/>
      </w:r>
      <w:hyperlink w:anchor="_Toc241229858">
        <w:r>
          <w:rPr>
            <w:rStyle w:val="InternetLink"/>
            <w:rFonts w:ascii="Times New Roman;Times;serif" w:hAnsi="Times New Roman;Times;serif"/>
            <w:b w:val="false"/>
            <w:i w:val="false"/>
            <w:caps w:val="false"/>
            <w:smallCaps w:val="false"/>
            <w:sz w:val="24"/>
            <w:shd w:fill="FFFFFF" w:val="clear"/>
          </w:rPr>
          <w:t>No Changes in Fiscal Year</w:t>
        </w:r>
      </w:hyperlink>
      <w:hyperlink w:anchor="_Toc241229858">
        <w:r>
          <w:rPr>
            <w:webHidden/>
          </w:rPr>
          <w:fldChar w:fldCharType="begin"/>
        </w:r>
        <w:r>
          <w:rPr>
            <w:webHidden/>
          </w:rPr>
          <w:instrText xml:space="preserve">PAGEREF _Toc241229858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895"/>
                <wp:effectExtent l="0" t="0" r="0" b="0"/>
                <wp:wrapNone/>
                <wp:docPr id="88" name="Frame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59">
        <w:r>
          <w:rPr>
            <w:rStyle w:val="InternetLink"/>
            <w:rFonts w:ascii="Times New Roman;Times;serif" w:hAnsi="Times New Roman;Times;serif"/>
            <w:b w:val="false"/>
            <w:i w:val="false"/>
            <w:caps w:val="false"/>
            <w:smallCaps w:val="false"/>
            <w:sz w:val="24"/>
            <w:shd w:fill="FFFFFF" w:val="clear"/>
          </w:rPr>
          <w:t>Section 8.16.</w:t>
        </w:r>
      </w:hyperlink>
      <w:r>
        <w:rPr>
          <w:rFonts w:ascii="Times New Roman;Times;serif" w:hAnsi="Times New Roman;Times;serif"/>
          <w:sz w:val="24"/>
          <w:shd w:fill="FFFFFF" w:val="clear"/>
        </w:rPr>
        <w:tab/>
      </w:r>
      <w:hyperlink w:anchor="_Toc241229859">
        <w:r>
          <w:rPr>
            <w:rStyle w:val="InternetLink"/>
            <w:rFonts w:ascii="Times New Roman;Times;serif" w:hAnsi="Times New Roman;Times;serif"/>
            <w:b w:val="false"/>
            <w:i w:val="false"/>
            <w:caps w:val="false"/>
            <w:smallCaps w:val="false"/>
            <w:sz w:val="24"/>
            <w:shd w:fill="FFFFFF" w:val="clear"/>
          </w:rPr>
          <w:t>Formation of Subsidiaries</w:t>
        </w:r>
      </w:hyperlink>
      <w:hyperlink w:anchor="_Toc241229859">
        <w:r>
          <w:rPr>
            <w:webHidden/>
          </w:rPr>
          <w:fldChar w:fldCharType="begin"/>
        </w:r>
        <w:r>
          <w:rPr>
            <w:webHidden/>
          </w:rPr>
          <w:instrText xml:space="preserve">PAGEREF _Toc241229859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895"/>
                <wp:effectExtent l="0" t="0" r="0" b="0"/>
                <wp:wrapNone/>
                <wp:docPr id="89" name="Frame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0">
        <w:r>
          <w:rPr>
            <w:rStyle w:val="InternetLink"/>
            <w:rFonts w:ascii="Times New Roman;Times;serif" w:hAnsi="Times New Roman;Times;serif"/>
            <w:b w:val="false"/>
            <w:i w:val="false"/>
            <w:caps w:val="false"/>
            <w:smallCaps w:val="false"/>
            <w:sz w:val="24"/>
            <w:shd w:fill="FFFFFF" w:val="clear"/>
          </w:rPr>
          <w:t>Section 8.17.</w:t>
        </w:r>
      </w:hyperlink>
      <w:r>
        <w:rPr>
          <w:rFonts w:ascii="Times New Roman;Times;serif" w:hAnsi="Times New Roman;Times;serif"/>
          <w:sz w:val="24"/>
          <w:shd w:fill="FFFFFF" w:val="clear"/>
        </w:rPr>
        <w:tab/>
      </w:r>
      <w:hyperlink w:anchor="_Toc241229860">
        <w:r>
          <w:rPr>
            <w:rStyle w:val="InternetLink"/>
            <w:rFonts w:ascii="Times New Roman;Times;serif" w:hAnsi="Times New Roman;Times;serif"/>
            <w:b w:val="false"/>
            <w:i w:val="false"/>
            <w:caps w:val="false"/>
            <w:smallCaps w:val="false"/>
            <w:sz w:val="24"/>
            <w:shd w:fill="FFFFFF" w:val="clear"/>
          </w:rPr>
          <w:t>Change in the Nature of Business</w:t>
        </w:r>
      </w:hyperlink>
      <w:hyperlink w:anchor="_Toc241229860">
        <w:r>
          <w:rPr>
            <w:webHidden/>
          </w:rPr>
          <w:fldChar w:fldCharType="begin"/>
        </w:r>
        <w:r>
          <w:rPr>
            <w:webHidden/>
          </w:rPr>
          <w:instrText xml:space="preserve">PAGEREF _Toc241229860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895"/>
                <wp:effectExtent l="0" t="0" r="0" b="0"/>
                <wp:wrapNone/>
                <wp:docPr id="90" name="Frame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1">
        <w:r>
          <w:rPr>
            <w:rStyle w:val="InternetLink"/>
            <w:rFonts w:ascii="Times New Roman;Times;serif" w:hAnsi="Times New Roman;Times;serif"/>
            <w:b w:val="false"/>
            <w:i w:val="false"/>
            <w:caps w:val="false"/>
            <w:smallCaps w:val="false"/>
            <w:sz w:val="24"/>
            <w:shd w:fill="FFFFFF" w:val="clear"/>
          </w:rPr>
          <w:t>Section 8.18.</w:t>
        </w:r>
      </w:hyperlink>
      <w:r>
        <w:rPr>
          <w:rFonts w:ascii="Times New Roman;Times;serif" w:hAnsi="Times New Roman;Times;serif"/>
          <w:sz w:val="24"/>
          <w:shd w:fill="FFFFFF" w:val="clear"/>
        </w:rPr>
        <w:tab/>
      </w:r>
      <w:hyperlink w:anchor="_Toc241229861">
        <w:r>
          <w:rPr>
            <w:rStyle w:val="InternetLink"/>
            <w:rFonts w:ascii="Times New Roman;Times;serif" w:hAnsi="Times New Roman;Times;serif"/>
            <w:b w:val="false"/>
            <w:i w:val="false"/>
            <w:caps w:val="false"/>
            <w:smallCaps w:val="false"/>
            <w:sz w:val="24"/>
            <w:shd w:fill="FFFFFF" w:val="clear"/>
          </w:rPr>
          <w:t>Use of Proceeds</w:t>
        </w:r>
      </w:hyperlink>
      <w:hyperlink w:anchor="_Toc241229861">
        <w:r>
          <w:rPr>
            <w:webHidden/>
          </w:rPr>
          <w:fldChar w:fldCharType="begin"/>
        </w:r>
        <w:r>
          <w:rPr>
            <w:webHidden/>
          </w:rPr>
          <w:instrText xml:space="preserve">PAGEREF _Toc241229861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895"/>
                <wp:effectExtent l="0" t="0" r="0" b="0"/>
                <wp:wrapNone/>
                <wp:docPr id="91" name="Frame9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2">
        <w:r>
          <w:rPr>
            <w:rStyle w:val="InternetLink"/>
            <w:rFonts w:ascii="Times New Roman;Times;serif" w:hAnsi="Times New Roman;Times;serif"/>
            <w:b w:val="false"/>
            <w:i w:val="false"/>
            <w:caps w:val="false"/>
            <w:smallCaps w:val="false"/>
            <w:sz w:val="24"/>
            <w:shd w:fill="FFFFFF" w:val="clear"/>
          </w:rPr>
          <w:t>Section 8.19.</w:t>
        </w:r>
      </w:hyperlink>
      <w:r>
        <w:rPr>
          <w:rFonts w:ascii="Times New Roman;Times;serif" w:hAnsi="Times New Roman;Times;serif"/>
          <w:sz w:val="24"/>
          <w:shd w:fill="FFFFFF" w:val="clear"/>
        </w:rPr>
        <w:tab/>
      </w:r>
      <w:hyperlink w:anchor="_Toc241229862">
        <w:r>
          <w:rPr>
            <w:rStyle w:val="InternetLink"/>
            <w:rFonts w:ascii="Times New Roman;Times;serif" w:hAnsi="Times New Roman;Times;serif"/>
            <w:b w:val="false"/>
            <w:i w:val="false"/>
            <w:caps w:val="false"/>
            <w:smallCaps w:val="false"/>
            <w:sz w:val="24"/>
            <w:shd w:fill="FFFFFF" w:val="clear"/>
          </w:rPr>
          <w:t>No Restrictions</w:t>
        </w:r>
      </w:hyperlink>
      <w:hyperlink w:anchor="_Toc241229862">
        <w:r>
          <w:rPr>
            <w:webHidden/>
          </w:rPr>
          <w:fldChar w:fldCharType="begin"/>
        </w:r>
        <w:r>
          <w:rPr>
            <w:webHidden/>
          </w:rPr>
          <w:instrText xml:space="preserve">PAGEREF _Toc241229862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895"/>
                <wp:effectExtent l="0" t="0" r="0" b="0"/>
                <wp:wrapNone/>
                <wp:docPr id="92" name="Frame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3">
        <w:r>
          <w:rPr>
            <w:rStyle w:val="InternetLink"/>
            <w:rFonts w:ascii="Times New Roman;Times;serif" w:hAnsi="Times New Roman;Times;serif"/>
            <w:b w:val="false"/>
            <w:i w:val="false"/>
            <w:caps w:val="false"/>
            <w:smallCaps w:val="false"/>
            <w:sz w:val="24"/>
            <w:shd w:fill="FFFFFF" w:val="clear"/>
          </w:rPr>
          <w:t>Section 8.20.</w:t>
        </w:r>
      </w:hyperlink>
      <w:r>
        <w:rPr>
          <w:rFonts w:ascii="Times New Roman;Times;serif" w:hAnsi="Times New Roman;Times;serif"/>
          <w:sz w:val="24"/>
          <w:shd w:fill="FFFFFF" w:val="clear"/>
        </w:rPr>
        <w:tab/>
      </w:r>
      <w:hyperlink w:anchor="_Toc241229863">
        <w:r>
          <w:rPr>
            <w:rStyle w:val="InternetLink"/>
            <w:rFonts w:ascii="Times New Roman;Times;serif" w:hAnsi="Times New Roman;Times;serif"/>
            <w:b w:val="false"/>
            <w:i w:val="false"/>
            <w:caps w:val="false"/>
            <w:smallCaps w:val="false"/>
            <w:sz w:val="24"/>
            <w:shd w:fill="FFFFFF" w:val="clear"/>
          </w:rPr>
          <w:t>Financial Covenants</w:t>
        </w:r>
      </w:hyperlink>
      <w:hyperlink w:anchor="_Toc241229863">
        <w:r>
          <w:rPr>
            <w:webHidden/>
          </w:rPr>
          <w:fldChar w:fldCharType="begin"/>
        </w:r>
        <w:r>
          <w:rPr>
            <w:webHidden/>
          </w:rPr>
          <w:instrText xml:space="preserve">PAGEREF _Toc241229863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87</w:t>
        </w:r>
        <w:r>
          <w:rPr>
            <w:webHidden/>
          </w:rPr>
          <w:fldChar w:fldCharType="end"/>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895"/>
                <wp:effectExtent l="0" t="0" r="0" b="0"/>
                <wp:wrapNone/>
                <wp:docPr id="93" name="Frame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4">
        <w:r>
          <w:rPr>
            <w:rStyle w:val="InternetLink"/>
            <w:rFonts w:ascii="Times New Roman;Times;serif" w:hAnsi="Times New Roman;Times;serif"/>
            <w:b w:val="false"/>
            <w:i w:val="false"/>
            <w:caps w:val="false"/>
            <w:smallCaps w:val="false"/>
            <w:sz w:val="24"/>
            <w:shd w:fill="FFFFFF" w:val="clear"/>
          </w:rPr>
          <w:t>Section 8.21.</w:t>
        </w:r>
      </w:hyperlink>
      <w:r>
        <w:rPr>
          <w:rFonts w:ascii="Times New Roman;Times;serif" w:hAnsi="Times New Roman;Times;serif"/>
          <w:sz w:val="24"/>
          <w:shd w:fill="FFFFFF" w:val="clear"/>
        </w:rPr>
        <w:tab/>
      </w:r>
      <w:hyperlink w:anchor="_Toc241229864">
        <w:r>
          <w:rPr>
            <w:rStyle w:val="InternetLink"/>
            <w:rFonts w:ascii="Times New Roman;Times;serif" w:hAnsi="Times New Roman;Times;serif"/>
            <w:b w:val="false"/>
            <w:i w:val="false"/>
            <w:caps w:val="false"/>
            <w:smallCaps w:val="false"/>
            <w:sz w:val="24"/>
            <w:shd w:fill="FFFFFF" w:val="clear"/>
          </w:rPr>
          <w:t>Pool Covenants</w:t>
        </w:r>
      </w:hyperlink>
      <w:hyperlink w:anchor="_Toc241229864">
        <w:r>
          <w:rPr>
            <w:webHidden/>
          </w:rPr>
          <w:fldChar w:fldCharType="begin"/>
        </w:r>
        <w:r>
          <w:rPr>
            <w:webHidden/>
          </w:rPr>
          <w:instrText xml:space="preserve">PAGEREF _Toc241229864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895"/>
                <wp:effectExtent l="0" t="0" r="0" b="0"/>
                <wp:wrapNone/>
                <wp:docPr id="94" name="Frame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5">
        <w:r>
          <w:rPr>
            <w:rStyle w:val="InternetLink"/>
            <w:rFonts w:ascii="Times New Roman;Times;serif" w:hAnsi="Times New Roman;Times;serif"/>
            <w:b w:val="false"/>
            <w:i w:val="false"/>
            <w:caps w:val="false"/>
            <w:smallCaps w:val="false"/>
            <w:sz w:val="24"/>
            <w:shd w:fill="FFFFFF" w:val="clear"/>
          </w:rPr>
          <w:t>Section 8.22.</w:t>
        </w:r>
      </w:hyperlink>
      <w:r>
        <w:rPr>
          <w:rFonts w:ascii="Times New Roman;Times;serif" w:hAnsi="Times New Roman;Times;serif"/>
          <w:sz w:val="24"/>
          <w:shd w:fill="FFFFFF" w:val="clear"/>
        </w:rPr>
        <w:tab/>
      </w:r>
      <w:hyperlink w:anchor="_Toc241229865">
        <w:r>
          <w:rPr>
            <w:rStyle w:val="InternetLink"/>
            <w:rFonts w:ascii="Times New Roman;Times;serif" w:hAnsi="Times New Roman;Times;serif"/>
            <w:b w:val="false"/>
            <w:i w:val="false"/>
            <w:caps w:val="false"/>
            <w:smallCaps w:val="false"/>
            <w:sz w:val="24"/>
            <w:shd w:fill="FFFFFF" w:val="clear"/>
          </w:rPr>
          <w:t>Electronic Delivery of Certain Information</w:t>
        </w:r>
      </w:hyperlink>
      <w:hyperlink w:anchor="_Toc241229865">
        <w:r>
          <w:rPr>
            <w:webHidden/>
          </w:rPr>
          <w:fldChar w:fldCharType="begin"/>
        </w:r>
        <w:r>
          <w:rPr>
            <w:webHidden/>
          </w:rPr>
          <w:instrText xml:space="preserve">PAGEREF _Toc241229865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895"/>
                <wp:effectExtent l="0" t="0" r="0" b="0"/>
                <wp:wrapNone/>
                <wp:docPr id="95" name="Frame9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6">
        <w:r>
          <w:rPr>
            <w:rStyle w:val="InternetLink"/>
            <w:rFonts w:ascii="Times New Roman;Times;serif" w:hAnsi="Times New Roman;Times;serif"/>
            <w:b w:val="false"/>
            <w:i w:val="false"/>
            <w:caps w:val="false"/>
            <w:smallCaps w:val="false"/>
            <w:sz w:val="24"/>
            <w:shd w:fill="FFFFFF" w:val="clear"/>
          </w:rPr>
          <w:t>Section 8.23.</w:t>
        </w:r>
      </w:hyperlink>
      <w:r>
        <w:rPr>
          <w:rFonts w:ascii="Times New Roman;Times;serif" w:hAnsi="Times New Roman;Times;serif"/>
          <w:sz w:val="24"/>
          <w:shd w:fill="FFFFFF" w:val="clear"/>
        </w:rPr>
        <w:tab/>
      </w:r>
      <w:hyperlink w:anchor="_Toc241229866">
        <w:r>
          <w:rPr>
            <w:rStyle w:val="InternetLink"/>
            <w:rFonts w:ascii="Times New Roman;Times;serif" w:hAnsi="Times New Roman;Times;serif"/>
            <w:b w:val="false"/>
            <w:i w:val="false"/>
            <w:caps w:val="false"/>
            <w:smallCaps w:val="false"/>
            <w:sz w:val="24"/>
            <w:shd w:fill="FFFFFF" w:val="clear"/>
          </w:rPr>
          <w:t>1031 Properties</w:t>
        </w:r>
      </w:hyperlink>
      <w:hyperlink w:anchor="_Toc241229866">
        <w:r>
          <w:rPr>
            <w:webHidden/>
          </w:rPr>
          <w:fldChar w:fldCharType="begin"/>
        </w:r>
        <w:r>
          <w:rPr>
            <w:webHidden/>
          </w:rPr>
          <w:instrText xml:space="preserve">PAGEREF _Toc241229866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89</w:t>
        </w:r>
        <w:r>
          <w:rPr>
            <w:webHidden/>
          </w:rPr>
          <w:fldChar w:fldCharType="end"/>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895"/>
                <wp:effectExtent l="0" t="0" r="0" b="0"/>
                <wp:wrapNone/>
                <wp:docPr id="96" name="Frame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7">
        <w:r>
          <w:rPr>
            <w:rStyle w:val="InternetLink"/>
            <w:rFonts w:ascii="Times New Roman;Times;serif" w:hAnsi="Times New Roman;Times;serif"/>
            <w:b w:val="false"/>
            <w:i w:val="false"/>
            <w:caps w:val="false"/>
            <w:smallCaps w:val="false"/>
            <w:sz w:val="24"/>
            <w:shd w:fill="FFFFFF" w:val="clear"/>
          </w:rPr>
          <w:t>Section 8.24.</w:t>
        </w:r>
      </w:hyperlink>
      <w:r>
        <w:rPr>
          <w:rFonts w:ascii="Times New Roman;Times;serif" w:hAnsi="Times New Roman;Times;serif"/>
          <w:sz w:val="24"/>
          <w:shd w:fill="FFFFFF" w:val="clear"/>
        </w:rPr>
        <w:tab/>
      </w:r>
      <w:hyperlink w:anchor="_Toc241229867">
        <w:r>
          <w:rPr>
            <w:rStyle w:val="InternetLink"/>
            <w:rFonts w:ascii="Times New Roman;Times;serif" w:hAnsi="Times New Roman;Times;serif"/>
            <w:b w:val="false"/>
            <w:i w:val="false"/>
            <w:caps w:val="false"/>
            <w:smallCaps w:val="false"/>
            <w:sz w:val="24"/>
            <w:shd w:fill="FFFFFF" w:val="clear"/>
          </w:rPr>
          <w:t>REIT Status</w:t>
        </w:r>
      </w:hyperlink>
      <w:hyperlink w:anchor="_Toc241229867">
        <w:r>
          <w:rPr>
            <w:webHidden/>
          </w:rPr>
          <w:fldChar w:fldCharType="begin"/>
        </w:r>
        <w:r>
          <w:rPr>
            <w:webHidden/>
          </w:rPr>
          <w:instrText xml:space="preserve">PAGEREF _Toc241229867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90</w:t>
        </w:r>
        <w:r>
          <w:rPr>
            <w:webHidden/>
          </w:rPr>
          <w:fldChar w:fldCharType="end"/>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895"/>
                <wp:effectExtent l="0" t="0" r="0" b="0"/>
                <wp:wrapNone/>
                <wp:docPr id="97" name="Frame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2.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8">
        <w:r>
          <w:rPr>
            <w:rStyle w:val="InternetLink"/>
            <w:rFonts w:ascii="Times New Roman;Times;serif" w:hAnsi="Times New Roman;Times;serif"/>
            <w:b w:val="false"/>
            <w:i w:val="false"/>
            <w:caps w:val="false"/>
            <w:smallCaps w:val="false"/>
            <w:sz w:val="24"/>
            <w:shd w:fill="FFFFFF" w:val="clear"/>
          </w:rPr>
          <w:t>Section 8.25.</w:t>
        </w:r>
      </w:hyperlink>
      <w:r>
        <w:rPr>
          <w:rFonts w:ascii="Times New Roman;Times;serif" w:hAnsi="Times New Roman;Times;serif"/>
          <w:sz w:val="24"/>
          <w:shd w:fill="FFFFFF" w:val="clear"/>
        </w:rPr>
        <w:tab/>
      </w:r>
      <w:hyperlink w:anchor="_Toc241229868">
        <w:r>
          <w:rPr>
            <w:rStyle w:val="InternetLink"/>
            <w:rFonts w:ascii="Times New Roman;Times;serif" w:hAnsi="Times New Roman;Times;serif"/>
            <w:b w:val="false"/>
            <w:i w:val="false"/>
            <w:caps w:val="false"/>
            <w:smallCaps w:val="false"/>
            <w:sz w:val="24"/>
            <w:shd w:fill="FFFFFF" w:val="clear"/>
          </w:rPr>
          <w:t>Restricted Payments</w:t>
        </w:r>
      </w:hyperlink>
      <w:hyperlink w:anchor="_Toc241229868">
        <w:r>
          <w:rPr>
            <w:webHidden/>
          </w:rPr>
          <w:fldChar w:fldCharType="begin"/>
        </w:r>
        <w:r>
          <w:rPr>
            <w:webHidden/>
          </w:rPr>
          <w:instrText xml:space="preserve">PAGEREF _Toc241229868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90</w:t>
        </w:r>
        <w:r>
          <w:rPr>
            <w:webHidden/>
          </w:rPr>
          <w:fldChar w:fldCharType="end"/>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895"/>
                <wp:effectExtent l="0" t="0" r="0" b="0"/>
                <wp:wrapNone/>
                <wp:docPr id="98" name="Frame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69">
        <w:r>
          <w:rPr>
            <w:rStyle w:val="InternetLink"/>
            <w:rFonts w:ascii="Times New Roman;Times;serif" w:hAnsi="Times New Roman;Times;serif"/>
            <w:b w:val="false"/>
            <w:i w:val="false"/>
            <w:caps w:val="false"/>
            <w:smallCaps w:val="false"/>
            <w:sz w:val="24"/>
            <w:shd w:fill="FFFFFF" w:val="clear"/>
          </w:rPr>
          <w:t>Section 8.26.</w:t>
        </w:r>
      </w:hyperlink>
      <w:r>
        <w:rPr>
          <w:rFonts w:ascii="Times New Roman;Times;serif" w:hAnsi="Times New Roman;Times;serif"/>
          <w:sz w:val="24"/>
          <w:shd w:fill="FFFFFF" w:val="clear"/>
        </w:rPr>
        <w:tab/>
      </w:r>
      <w:hyperlink w:anchor="_Toc241229869">
        <w:r>
          <w:rPr>
            <w:rStyle w:val="InternetLink"/>
            <w:rFonts w:ascii="Times New Roman;Times;serif" w:hAnsi="Times New Roman;Times;serif"/>
            <w:b w:val="false"/>
            <w:i w:val="false"/>
            <w:caps w:val="false"/>
            <w:smallCaps w:val="false"/>
            <w:sz w:val="24"/>
            <w:shd w:fill="FFFFFF" w:val="clear"/>
          </w:rPr>
          <w:t>Other Unsecured Indebtedness Guarantees</w:t>
        </w:r>
      </w:hyperlink>
      <w:hyperlink w:anchor="_Toc241229869">
        <w:r>
          <w:rPr>
            <w:webHidden/>
          </w:rPr>
          <w:fldChar w:fldCharType="begin"/>
        </w:r>
        <w:r>
          <w:rPr>
            <w:webHidden/>
          </w:rPr>
          <w:instrText xml:space="preserve">PAGEREF _Toc241229869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895"/>
                <wp:effectExtent l="0" t="0" r="0" b="0"/>
                <wp:wrapNone/>
                <wp:docPr id="99" name="Frame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0">
        <w:r>
          <w:rPr>
            <w:rStyle w:val="InternetLink"/>
            <w:rFonts w:ascii="Times New Roman;Times;serif" w:hAnsi="Times New Roman;Times;serif"/>
            <w:b w:val="false"/>
            <w:i w:val="false"/>
            <w:caps w:val="false"/>
            <w:smallCaps w:val="false"/>
            <w:sz w:val="24"/>
            <w:shd w:fill="FFFFFF" w:val="clear"/>
          </w:rPr>
          <w:t>Section 8.27.</w:t>
        </w:r>
      </w:hyperlink>
      <w:r>
        <w:rPr>
          <w:rFonts w:ascii="Times New Roman;Times;serif" w:hAnsi="Times New Roman;Times;serif"/>
          <w:sz w:val="24"/>
          <w:shd w:fill="FFFFFF" w:val="clear"/>
        </w:rPr>
        <w:tab/>
      </w:r>
      <w:hyperlink w:anchor="_Toc241229870">
        <w:r>
          <w:rPr>
            <w:rStyle w:val="InternetLink"/>
            <w:rFonts w:ascii="Times New Roman;Times;serif" w:hAnsi="Times New Roman;Times;serif"/>
            <w:b w:val="false"/>
            <w:i w:val="false"/>
            <w:caps w:val="false"/>
            <w:smallCaps w:val="false"/>
            <w:sz w:val="24"/>
            <w:shd w:fill="FFFFFF" w:val="clear"/>
          </w:rPr>
          <w:t>Outbound Investment Rules</w:t>
        </w:r>
      </w:hyperlink>
      <w:hyperlink w:anchor="_Toc241229870">
        <w:r>
          <w:rPr>
            <w:webHidden/>
          </w:rPr>
          <w:fldChar w:fldCharType="begin"/>
        </w:r>
        <w:r>
          <w:rPr>
            <w:webHidden/>
          </w:rPr>
          <w:instrText xml:space="preserve">PAGEREF _Toc241229870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895"/>
                <wp:effectExtent l="0" t="0" r="0" b="0"/>
                <wp:wrapNone/>
                <wp:docPr id="100" name="Frame1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1">
        <w:r>
          <w:rPr>
            <w:rStyle w:val="InternetLink"/>
            <w:rFonts w:ascii="Times New Roman;Times;serif" w:hAnsi="Times New Roman;Times;serif"/>
            <w:b w:val="false"/>
            <w:i w:val="false"/>
            <w:caps w:val="false"/>
            <w:smallCaps w:val="false"/>
            <w:sz w:val="24"/>
            <w:shd w:fill="FFFFFF" w:val="clear"/>
          </w:rPr>
          <w:t>Section 8.28.</w:t>
        </w:r>
      </w:hyperlink>
      <w:r>
        <w:rPr>
          <w:rFonts w:ascii="Times New Roman;Times;serif" w:hAnsi="Times New Roman;Times;serif"/>
          <w:sz w:val="24"/>
          <w:shd w:fill="FFFFFF" w:val="clear"/>
        </w:rPr>
        <w:tab/>
      </w:r>
      <w:hyperlink w:anchor="_Toc241229871">
        <w:r>
          <w:rPr>
            <w:rStyle w:val="InternetLink"/>
            <w:rFonts w:ascii="Times New Roman;Times;serif" w:hAnsi="Times New Roman;Times;serif"/>
            <w:b w:val="false"/>
            <w:i w:val="false"/>
            <w:caps w:val="false"/>
            <w:smallCaps w:val="false"/>
            <w:sz w:val="24"/>
            <w:shd w:fill="FFFFFF" w:val="clear"/>
          </w:rPr>
          <w:t>Florida Documentary Stamp Tax.</w:t>
        </w:r>
      </w:hyperlink>
      <w:hyperlink w:anchor="_Toc241229871">
        <w:r>
          <w:rPr>
            <w:webHidden/>
          </w:rPr>
          <w:fldChar w:fldCharType="begin"/>
        </w:r>
        <w:r>
          <w:rPr>
            <w:webHidden/>
          </w:rPr>
          <w:instrText xml:space="preserve">PAGEREF _Toc241229871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895"/>
                <wp:effectExtent l="0" t="0" r="0" b="0"/>
                <wp:wrapNone/>
                <wp:docPr id="101" name="Frame1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72">
        <w:r>
          <w:rPr>
            <w:rStyle w:val="InternetLink"/>
            <w:rFonts w:ascii="Times New Roman;Times;serif" w:hAnsi="Times New Roman;Times;serif"/>
            <w:b w:val="false"/>
            <w:i w:val="false"/>
            <w:caps w:val="false"/>
            <w:smallCaps w:val="false"/>
            <w:sz w:val="24"/>
            <w:shd w:fill="FFFFFF" w:val="clear"/>
          </w:rPr>
          <w:t>SECTION 9.</w:t>
        </w:r>
      </w:hyperlink>
      <w:r>
        <w:rPr>
          <w:rFonts w:ascii="Times New Roman;Times;serif" w:hAnsi="Times New Roman;Times;serif"/>
          <w:sz w:val="24"/>
          <w:shd w:fill="FFFFFF" w:val="clear"/>
        </w:rPr>
        <w:tab/>
      </w:r>
      <w:hyperlink w:anchor="_Toc241229872">
        <w:r>
          <w:rPr>
            <w:rStyle w:val="InternetLink"/>
            <w:rFonts w:ascii="Times New Roman;Times;serif" w:hAnsi="Times New Roman;Times;serif"/>
            <w:b w:val="false"/>
            <w:i w:val="false"/>
            <w:caps w:val="false"/>
            <w:smallCaps w:val="false"/>
            <w:sz w:val="24"/>
            <w:shd w:fill="FFFFFF" w:val="clear"/>
          </w:rPr>
          <w:t>EVENTS OF DEFAULT AND REMEDIES</w:t>
        </w:r>
      </w:hyperlink>
      <w:hyperlink w:anchor="_Toc241229872">
        <w:r>
          <w:rPr>
            <w:webHidden/>
          </w:rPr>
          <w:fldChar w:fldCharType="begin"/>
        </w:r>
        <w:r>
          <w:rPr>
            <w:webHidden/>
          </w:rPr>
          <w:instrText xml:space="preserve">PAGEREF _Toc241229872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104">
                <wp:simplePos x="0" y="0"/>
                <wp:positionH relativeFrom="page">
                  <wp:posOffset>0</wp:posOffset>
                </wp:positionH>
                <wp:positionV relativeFrom="line">
                  <wp:posOffset>635</wp:posOffset>
                </wp:positionV>
                <wp:extent cx="6480175" cy="175895"/>
                <wp:effectExtent l="0" t="0" r="0" b="0"/>
                <wp:wrapNone/>
                <wp:docPr id="102" name="Frame1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3">
        <w:r>
          <w:rPr>
            <w:rStyle w:val="InternetLink"/>
            <w:rFonts w:ascii="Times New Roman;Times;serif" w:hAnsi="Times New Roman;Times;serif"/>
            <w:b w:val="false"/>
            <w:i w:val="false"/>
            <w:caps w:val="false"/>
            <w:smallCaps w:val="false"/>
            <w:sz w:val="24"/>
            <w:shd w:fill="FFFFFF" w:val="clear"/>
          </w:rPr>
          <w:t>Section 9.1.</w:t>
        </w:r>
      </w:hyperlink>
      <w:r>
        <w:rPr>
          <w:rFonts w:ascii="Times New Roman;Times;serif" w:hAnsi="Times New Roman;Times;serif"/>
          <w:sz w:val="24"/>
          <w:shd w:fill="FFFFFF" w:val="clear"/>
        </w:rPr>
        <w:tab/>
      </w:r>
      <w:hyperlink w:anchor="_Toc241229873">
        <w:r>
          <w:rPr>
            <w:rStyle w:val="InternetLink"/>
            <w:rFonts w:ascii="Times New Roman;Times;serif" w:hAnsi="Times New Roman;Times;serif"/>
            <w:b w:val="false"/>
            <w:i w:val="false"/>
            <w:caps w:val="false"/>
            <w:smallCaps w:val="false"/>
            <w:sz w:val="24"/>
            <w:shd w:fill="FFFFFF" w:val="clear"/>
          </w:rPr>
          <w:t>Events of Default</w:t>
        </w:r>
      </w:hyperlink>
      <w:hyperlink w:anchor="_Toc241229873">
        <w:r>
          <w:rPr>
            <w:webHidden/>
          </w:rPr>
          <w:fldChar w:fldCharType="begin"/>
        </w:r>
        <w:r>
          <w:rPr>
            <w:webHidden/>
          </w:rPr>
          <w:instrText xml:space="preserve">PAGEREF _Toc241229873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91</w:t>
        </w:r>
        <w:r>
          <w:rPr>
            <w:webHidden/>
          </w:rPr>
          <w:fldChar w:fldCharType="end"/>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895"/>
                <wp:effectExtent l="0" t="0" r="0" b="0"/>
                <wp:wrapNone/>
                <wp:docPr id="103" name="Frame1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4">
        <w:r>
          <w:rPr>
            <w:rStyle w:val="InternetLink"/>
            <w:rFonts w:ascii="Times New Roman;Times;serif" w:hAnsi="Times New Roman;Times;serif"/>
            <w:b w:val="false"/>
            <w:i w:val="false"/>
            <w:caps w:val="false"/>
            <w:smallCaps w:val="false"/>
            <w:sz w:val="24"/>
            <w:shd w:fill="FFFFFF" w:val="clear"/>
          </w:rPr>
          <w:t>Section 9.2.</w:t>
        </w:r>
      </w:hyperlink>
      <w:r>
        <w:rPr>
          <w:rFonts w:ascii="Times New Roman;Times;serif" w:hAnsi="Times New Roman;Times;serif"/>
          <w:sz w:val="24"/>
          <w:shd w:fill="FFFFFF" w:val="clear"/>
        </w:rPr>
        <w:tab/>
      </w:r>
      <w:hyperlink w:anchor="_Toc241229874">
        <w:r>
          <w:rPr>
            <w:rStyle w:val="InternetLink"/>
            <w:rFonts w:ascii="Times New Roman;Times;serif" w:hAnsi="Times New Roman;Times;serif"/>
            <w:b w:val="false"/>
            <w:i w:val="false"/>
            <w:caps w:val="false"/>
            <w:smallCaps w:val="false"/>
            <w:sz w:val="24"/>
            <w:shd w:fill="FFFFFF" w:val="clear"/>
          </w:rPr>
          <w:t>NonBankruptcy Defaults</w:t>
        </w:r>
      </w:hyperlink>
      <w:hyperlink w:anchor="_Toc241229874">
        <w:r>
          <w:rPr>
            <w:webHidden/>
          </w:rPr>
          <w:fldChar w:fldCharType="begin"/>
        </w:r>
        <w:r>
          <w:rPr>
            <w:webHidden/>
          </w:rPr>
          <w:instrText xml:space="preserve">PAGEREF _Toc241229874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93</w:t>
        </w:r>
        <w:r>
          <w:rPr>
            <w:webHidden/>
          </w:rPr>
          <w:fldChar w:fldCharType="end"/>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895"/>
                <wp:effectExtent l="0" t="0" r="0" b="0"/>
                <wp:wrapNone/>
                <wp:docPr id="104" name="Frame1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5">
        <w:r>
          <w:rPr>
            <w:rStyle w:val="InternetLink"/>
            <w:rFonts w:ascii="Times New Roman;Times;serif" w:hAnsi="Times New Roman;Times;serif"/>
            <w:b w:val="false"/>
            <w:i w:val="false"/>
            <w:caps w:val="false"/>
            <w:smallCaps w:val="false"/>
            <w:sz w:val="24"/>
            <w:shd w:fill="FFFFFF" w:val="clear"/>
          </w:rPr>
          <w:t>Section 9.3.</w:t>
        </w:r>
      </w:hyperlink>
      <w:r>
        <w:rPr>
          <w:rFonts w:ascii="Times New Roman;Times;serif" w:hAnsi="Times New Roman;Times;serif"/>
          <w:sz w:val="24"/>
          <w:shd w:fill="FFFFFF" w:val="clear"/>
        </w:rPr>
        <w:tab/>
      </w:r>
      <w:hyperlink w:anchor="_Toc241229875">
        <w:r>
          <w:rPr>
            <w:rStyle w:val="InternetLink"/>
            <w:rFonts w:ascii="Times New Roman;Times;serif" w:hAnsi="Times New Roman;Times;serif"/>
            <w:b w:val="false"/>
            <w:i w:val="false"/>
            <w:caps w:val="false"/>
            <w:smallCaps w:val="false"/>
            <w:sz w:val="24"/>
            <w:shd w:fill="FFFFFF" w:val="clear"/>
          </w:rPr>
          <w:t>Bankruptcy Defaults</w:t>
        </w:r>
      </w:hyperlink>
      <w:hyperlink w:anchor="_Toc241229875">
        <w:r>
          <w:rPr>
            <w:webHidden/>
          </w:rPr>
          <w:fldChar w:fldCharType="begin"/>
        </w:r>
        <w:r>
          <w:rPr>
            <w:webHidden/>
          </w:rPr>
          <w:instrText xml:space="preserve">PAGEREF _Toc241229875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94</w:t>
        </w:r>
        <w:r>
          <w:rPr>
            <w:webHidden/>
          </w:rPr>
          <w:fldChar w:fldCharType="end"/>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895"/>
                <wp:effectExtent l="0" t="0" r="0" b="0"/>
                <wp:wrapNone/>
                <wp:docPr id="105" name="Frame1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6">
        <w:r>
          <w:rPr>
            <w:rStyle w:val="InternetLink"/>
            <w:rFonts w:ascii="Times New Roman;Times;serif" w:hAnsi="Times New Roman;Times;serif"/>
            <w:b w:val="false"/>
            <w:i w:val="false"/>
            <w:caps w:val="false"/>
            <w:smallCaps w:val="false"/>
            <w:sz w:val="24"/>
            <w:shd w:fill="FFFFFF" w:val="clear"/>
          </w:rPr>
          <w:t>Section 9.4.</w:t>
        </w:r>
      </w:hyperlink>
      <w:r>
        <w:rPr>
          <w:rFonts w:ascii="Times New Roman;Times;serif" w:hAnsi="Times New Roman;Times;serif"/>
          <w:sz w:val="24"/>
          <w:shd w:fill="FFFFFF" w:val="clear"/>
        </w:rPr>
        <w:tab/>
      </w:r>
      <w:hyperlink w:anchor="_Toc241229876">
        <w:r>
          <w:rPr>
            <w:rStyle w:val="InternetLink"/>
            <w:rFonts w:ascii="Times New Roman;Times;serif" w:hAnsi="Times New Roman;Times;serif"/>
            <w:b w:val="false"/>
            <w:i w:val="false"/>
            <w:caps w:val="false"/>
            <w:smallCaps w:val="false"/>
            <w:sz w:val="24"/>
            <w:shd w:fill="FFFFFF" w:val="clear"/>
          </w:rPr>
          <w:t>Collateral for Undrawn Letters of Credit</w:t>
        </w:r>
      </w:hyperlink>
      <w:hyperlink w:anchor="_Toc241229876">
        <w:r>
          <w:rPr>
            <w:webHidden/>
          </w:rPr>
          <w:fldChar w:fldCharType="begin"/>
        </w:r>
        <w:r>
          <w:rPr>
            <w:webHidden/>
          </w:rPr>
          <w:instrText xml:space="preserve">PAGEREF _Toc241229876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94</w:t>
        </w:r>
        <w:r>
          <w:rPr>
            <w:webHidden/>
          </w:rPr>
          <w:fldChar w:fldCharType="end"/>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895"/>
                <wp:effectExtent l="0" t="0" r="0" b="0"/>
                <wp:wrapNone/>
                <wp:docPr id="106" name="Frame1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7">
        <w:r>
          <w:rPr>
            <w:rStyle w:val="InternetLink"/>
            <w:rFonts w:ascii="Times New Roman;Times;serif" w:hAnsi="Times New Roman;Times;serif"/>
            <w:b w:val="false"/>
            <w:i w:val="false"/>
            <w:caps w:val="false"/>
            <w:smallCaps w:val="false"/>
            <w:sz w:val="24"/>
            <w:shd w:fill="FFFFFF" w:val="clear"/>
          </w:rPr>
          <w:t>Section 9.5.</w:t>
        </w:r>
      </w:hyperlink>
      <w:r>
        <w:rPr>
          <w:rFonts w:ascii="Times New Roman;Times;serif" w:hAnsi="Times New Roman;Times;serif"/>
          <w:sz w:val="24"/>
          <w:shd w:fill="FFFFFF" w:val="clear"/>
        </w:rPr>
        <w:tab/>
      </w:r>
      <w:hyperlink w:anchor="_Toc241229877">
        <w:r>
          <w:rPr>
            <w:rStyle w:val="InternetLink"/>
            <w:rFonts w:ascii="Times New Roman;Times;serif" w:hAnsi="Times New Roman;Times;serif"/>
            <w:b w:val="false"/>
            <w:i w:val="false"/>
            <w:caps w:val="false"/>
            <w:smallCaps w:val="false"/>
            <w:sz w:val="24"/>
            <w:shd w:fill="FFFFFF" w:val="clear"/>
          </w:rPr>
          <w:t>Notice of Default</w:t>
        </w:r>
      </w:hyperlink>
      <w:hyperlink w:anchor="_Toc241229877">
        <w:r>
          <w:rPr>
            <w:webHidden/>
          </w:rPr>
          <w:fldChar w:fldCharType="begin"/>
        </w:r>
        <w:r>
          <w:rPr>
            <w:webHidden/>
          </w:rPr>
          <w:instrText xml:space="preserve">PAGEREF _Toc241229877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95</w:t>
        </w:r>
        <w:r>
          <w:rPr>
            <w:webHidden/>
          </w:rPr>
          <w:fldChar w:fldCharType="end"/>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895"/>
                <wp:effectExtent l="0" t="0" r="0" b="0"/>
                <wp:wrapNone/>
                <wp:docPr id="107" name="Frame1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78">
        <w:r>
          <w:rPr>
            <w:rStyle w:val="InternetLink"/>
            <w:rFonts w:ascii="Times New Roman;Times;serif" w:hAnsi="Times New Roman;Times;serif"/>
            <w:b w:val="false"/>
            <w:i w:val="false"/>
            <w:caps w:val="false"/>
            <w:smallCaps w:val="false"/>
            <w:sz w:val="24"/>
            <w:shd w:fill="FFFFFF" w:val="clear"/>
          </w:rPr>
          <w:t>SECTION 10.</w:t>
        </w:r>
      </w:hyperlink>
      <w:r>
        <w:rPr>
          <w:rFonts w:ascii="Times New Roman;Times;serif" w:hAnsi="Times New Roman;Times;serif"/>
          <w:sz w:val="24"/>
          <w:shd w:fill="FFFFFF" w:val="clear"/>
        </w:rPr>
        <w:tab/>
      </w:r>
      <w:hyperlink w:anchor="_Toc241229878">
        <w:r>
          <w:rPr>
            <w:rStyle w:val="InternetLink"/>
            <w:rFonts w:ascii="Times New Roman;Times;serif" w:hAnsi="Times New Roman;Times;serif"/>
            <w:b w:val="false"/>
            <w:i w:val="false"/>
            <w:caps w:val="false"/>
            <w:smallCaps w:val="false"/>
            <w:sz w:val="24"/>
            <w:shd w:fill="FFFFFF" w:val="clear"/>
          </w:rPr>
          <w:t>Change in Circumstances.</w:t>
        </w:r>
      </w:hyperlink>
      <w:hyperlink w:anchor="_Toc241229878">
        <w:r>
          <w:rPr>
            <w:webHidden/>
          </w:rPr>
          <w:fldChar w:fldCharType="begin"/>
        </w:r>
        <w:r>
          <w:rPr>
            <w:webHidden/>
          </w:rPr>
          <w:instrText xml:space="preserve">PAGEREF _Toc241229878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95</w:t>
        </w:r>
        <w:r>
          <w:rPr>
            <w:webHidden/>
          </w:rPr>
          <w:fldChar w:fldCharType="end"/>
        </w:r>
      </w:hyperlink>
      <w:r>
        <mc:AlternateContent>
          <mc:Choice Requires="wps">
            <w:drawing>
              <wp:anchor behindDoc="0" distT="0" distB="0" distL="0" distR="0" simplePos="0" locked="0" layoutInCell="1" allowOverlap="1" relativeHeight="110">
                <wp:simplePos x="0" y="0"/>
                <wp:positionH relativeFrom="page">
                  <wp:posOffset>0</wp:posOffset>
                </wp:positionH>
                <wp:positionV relativeFrom="line">
                  <wp:posOffset>635</wp:posOffset>
                </wp:positionV>
                <wp:extent cx="6480175" cy="175895"/>
                <wp:effectExtent l="0" t="0" r="0" b="0"/>
                <wp:wrapNone/>
                <wp:docPr id="108" name="Frame1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79">
        <w:r>
          <w:rPr>
            <w:rStyle w:val="InternetLink"/>
            <w:rFonts w:ascii="Times New Roman;Times;serif" w:hAnsi="Times New Roman;Times;serif"/>
            <w:b w:val="false"/>
            <w:i w:val="false"/>
            <w:caps w:val="false"/>
            <w:smallCaps w:val="false"/>
            <w:sz w:val="24"/>
            <w:shd w:fill="FFFFFF" w:val="clear"/>
          </w:rPr>
          <w:t>Section 10.1.</w:t>
        </w:r>
      </w:hyperlink>
      <w:r>
        <w:rPr>
          <w:rFonts w:ascii="Times New Roman;Times;serif" w:hAnsi="Times New Roman;Times;serif"/>
          <w:sz w:val="24"/>
          <w:shd w:fill="FFFFFF" w:val="clear"/>
        </w:rPr>
        <w:tab/>
      </w:r>
      <w:hyperlink w:anchor="_Toc241229879">
        <w:r>
          <w:rPr>
            <w:rStyle w:val="InternetLink"/>
            <w:rFonts w:ascii="Times New Roman;Times;serif" w:hAnsi="Times New Roman;Times;serif"/>
            <w:b w:val="false"/>
            <w:i w:val="false"/>
            <w:caps w:val="false"/>
            <w:smallCaps w:val="false"/>
            <w:sz w:val="24"/>
            <w:shd w:fill="FFFFFF" w:val="clear"/>
          </w:rPr>
          <w:t>Change of Law</w:t>
        </w:r>
      </w:hyperlink>
      <w:hyperlink w:anchor="_Toc241229879">
        <w:r>
          <w:rPr>
            <w:webHidden/>
          </w:rPr>
          <w:fldChar w:fldCharType="begin"/>
        </w:r>
        <w:r>
          <w:rPr>
            <w:webHidden/>
          </w:rPr>
          <w:instrText xml:space="preserve">PAGEREF _Toc241229879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95</w:t>
        </w:r>
        <w:r>
          <w:rPr>
            <w:webHidden/>
          </w:rPr>
          <w:fldChar w:fldCharType="end"/>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895"/>
                <wp:effectExtent l="0" t="0" r="0" b="0"/>
                <wp:wrapNone/>
                <wp:docPr id="109" name="Frame1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0">
        <w:r>
          <w:rPr>
            <w:rStyle w:val="InternetLink"/>
            <w:rFonts w:ascii="Times New Roman;Times;serif" w:hAnsi="Times New Roman;Times;serif"/>
            <w:b w:val="false"/>
            <w:i w:val="false"/>
            <w:caps w:val="false"/>
            <w:smallCaps w:val="false"/>
            <w:sz w:val="24"/>
            <w:shd w:fill="FFFFFF" w:val="clear"/>
          </w:rPr>
          <w:t>Section 10.2.</w:t>
        </w:r>
      </w:hyperlink>
      <w:r>
        <w:rPr>
          <w:rFonts w:ascii="Times New Roman;Times;serif" w:hAnsi="Times New Roman;Times;serif"/>
          <w:sz w:val="24"/>
          <w:shd w:fill="FFFFFF" w:val="clear"/>
        </w:rPr>
        <w:tab/>
      </w:r>
      <w:hyperlink w:anchor="_Toc241229880">
        <w:r>
          <w:rPr>
            <w:rStyle w:val="InternetLink"/>
            <w:rFonts w:ascii="Times New Roman;Times;serif" w:hAnsi="Times New Roman;Times;serif"/>
            <w:b w:val="false"/>
            <w:i w:val="false"/>
            <w:caps w:val="false"/>
            <w:smallCaps w:val="false"/>
            <w:sz w:val="24"/>
            <w:shd w:fill="FFFFFF" w:val="clear"/>
          </w:rPr>
          <w:t>Temporary Inability to Determine Rates Alternate Rate of Interest</w:t>
        </w:r>
      </w:hyperlink>
      <w:hyperlink w:anchor="_Toc241229880">
        <w:r>
          <w:rPr>
            <w:webHidden/>
          </w:rPr>
          <w:fldChar w:fldCharType="begin"/>
        </w:r>
        <w:r>
          <w:rPr>
            <w:webHidden/>
          </w:rPr>
          <w:instrText xml:space="preserve">PAGEREF _Toc241229880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95</w:t>
        </w:r>
        <w:r>
          <w:rPr>
            <w:webHidden/>
          </w:rPr>
          <w:fldChar w:fldCharType="end"/>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895"/>
                <wp:effectExtent l="0" t="0" r="0" b="0"/>
                <wp:wrapNone/>
                <wp:docPr id="110" name="Frame1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0.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1">
        <w:r>
          <w:rPr>
            <w:rStyle w:val="InternetLink"/>
            <w:rFonts w:ascii="Times New Roman;Times;serif" w:hAnsi="Times New Roman;Times;serif"/>
            <w:b w:val="false"/>
            <w:i w:val="false"/>
            <w:caps w:val="false"/>
            <w:smallCaps w:val="false"/>
            <w:sz w:val="24"/>
            <w:shd w:fill="FFFFFF" w:val="clear"/>
          </w:rPr>
          <w:t>Section 10.3.</w:t>
        </w:r>
      </w:hyperlink>
      <w:r>
        <w:rPr>
          <w:rFonts w:ascii="Times New Roman;Times;serif" w:hAnsi="Times New Roman;Times;serif"/>
          <w:sz w:val="24"/>
          <w:shd w:fill="FFFFFF" w:val="clear"/>
        </w:rPr>
        <w:tab/>
      </w:r>
      <w:hyperlink w:anchor="_Toc241229881">
        <w:r>
          <w:rPr>
            <w:rStyle w:val="InternetLink"/>
            <w:rFonts w:ascii="Times New Roman;Times;serif" w:hAnsi="Times New Roman;Times;serif"/>
            <w:b w:val="false"/>
            <w:i w:val="false"/>
            <w:caps w:val="false"/>
            <w:smallCaps w:val="false"/>
            <w:sz w:val="24"/>
            <w:shd w:fill="FFFFFF" w:val="clear"/>
          </w:rPr>
          <w:t>Increased Cost and Reduced Return</w:t>
        </w:r>
      </w:hyperlink>
      <w:hyperlink w:anchor="_Toc241229881">
        <w:r>
          <w:rPr>
            <w:webHidden/>
          </w:rPr>
          <w:fldChar w:fldCharType="begin"/>
        </w:r>
        <w:r>
          <w:rPr>
            <w:webHidden/>
          </w:rPr>
          <w:instrText xml:space="preserve">PAGEREF _Toc241229881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96</w:t>
        </w:r>
        <w:r>
          <w:rPr>
            <w:webHidden/>
          </w:rPr>
          <w:fldChar w:fldCharType="end"/>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895"/>
                <wp:effectExtent l="0" t="0" r="0" b="0"/>
                <wp:wrapNone/>
                <wp:docPr id="111" name="Frame1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2">
        <w:r>
          <w:rPr>
            <w:rStyle w:val="InternetLink"/>
            <w:rFonts w:ascii="Times New Roman;Times;serif" w:hAnsi="Times New Roman;Times;serif"/>
            <w:b w:val="false"/>
            <w:i w:val="false"/>
            <w:caps w:val="false"/>
            <w:smallCaps w:val="false"/>
            <w:sz w:val="24"/>
            <w:shd w:fill="FFFFFF" w:val="clear"/>
          </w:rPr>
          <w:t>Section 10.4.</w:t>
        </w:r>
      </w:hyperlink>
      <w:r>
        <w:rPr>
          <w:rFonts w:ascii="Times New Roman;Times;serif" w:hAnsi="Times New Roman;Times;serif"/>
          <w:sz w:val="24"/>
          <w:shd w:fill="FFFFFF" w:val="clear"/>
        </w:rPr>
        <w:tab/>
      </w:r>
      <w:hyperlink w:anchor="_Toc241229882">
        <w:r>
          <w:rPr>
            <w:rStyle w:val="InternetLink"/>
            <w:rFonts w:ascii="Times New Roman;Times;serif" w:hAnsi="Times New Roman;Times;serif"/>
            <w:b w:val="false"/>
            <w:i w:val="false"/>
            <w:caps w:val="false"/>
            <w:smallCaps w:val="false"/>
            <w:sz w:val="24"/>
            <w:shd w:fill="FFFFFF" w:val="clear"/>
          </w:rPr>
          <w:t>Lending Offices</w:t>
        </w:r>
      </w:hyperlink>
      <w:hyperlink w:anchor="_Toc241229882">
        <w:r>
          <w:rPr>
            <w:webHidden/>
          </w:rPr>
          <w:fldChar w:fldCharType="begin"/>
        </w:r>
        <w:r>
          <w:rPr>
            <w:webHidden/>
          </w:rPr>
          <w:instrText xml:space="preserve">PAGEREF _Toc241229882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895"/>
                <wp:effectExtent l="0" t="0" r="0" b="0"/>
                <wp:wrapNone/>
                <wp:docPr id="112" name="Frame1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3">
        <w:r>
          <w:rPr>
            <w:rStyle w:val="InternetLink"/>
            <w:rFonts w:ascii="Times New Roman;Times;serif" w:hAnsi="Times New Roman;Times;serif"/>
            <w:b w:val="false"/>
            <w:i w:val="false"/>
            <w:caps w:val="false"/>
            <w:smallCaps w:val="false"/>
            <w:sz w:val="24"/>
            <w:shd w:fill="FFFFFF" w:val="clear"/>
          </w:rPr>
          <w:t>Section 10.5.</w:t>
        </w:r>
      </w:hyperlink>
      <w:r>
        <w:rPr>
          <w:rFonts w:ascii="Times New Roman;Times;serif" w:hAnsi="Times New Roman;Times;serif"/>
          <w:sz w:val="24"/>
          <w:shd w:fill="FFFFFF" w:val="clear"/>
        </w:rPr>
        <w:tab/>
      </w:r>
      <w:hyperlink w:anchor="_Toc241229883">
        <w:r>
          <w:rPr>
            <w:rStyle w:val="InternetLink"/>
            <w:rFonts w:ascii="Times New Roman;Times;serif" w:hAnsi="Times New Roman;Times;serif"/>
            <w:b w:val="false"/>
            <w:i w:val="false"/>
            <w:caps w:val="false"/>
            <w:smallCaps w:val="false"/>
            <w:sz w:val="24"/>
            <w:shd w:fill="FFFFFF" w:val="clear"/>
          </w:rPr>
          <w:t>Discretion of Lender as to Manner of Funding</w:t>
        </w:r>
      </w:hyperlink>
      <w:hyperlink w:anchor="_Toc241229883">
        <w:r>
          <w:rPr>
            <w:webHidden/>
          </w:rPr>
          <w:fldChar w:fldCharType="begin"/>
        </w:r>
        <w:r>
          <w:rPr>
            <w:webHidden/>
          </w:rPr>
          <w:instrText xml:space="preserve">PAGEREF _Toc241229883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895"/>
                <wp:effectExtent l="0" t="0" r="0" b="0"/>
                <wp:wrapNone/>
                <wp:docPr id="113" name="Frame1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4">
        <w:r>
          <w:rPr>
            <w:rStyle w:val="InternetLink"/>
            <w:rFonts w:ascii="Times New Roman;Times;serif" w:hAnsi="Times New Roman;Times;serif"/>
            <w:b w:val="false"/>
            <w:i w:val="false"/>
            <w:caps w:val="false"/>
            <w:smallCaps w:val="false"/>
            <w:sz w:val="24"/>
            <w:shd w:fill="FFFFFF" w:val="clear"/>
          </w:rPr>
          <w:t>Section 10.6.</w:t>
        </w:r>
      </w:hyperlink>
      <w:r>
        <w:rPr>
          <w:rFonts w:ascii="Times New Roman;Times;serif" w:hAnsi="Times New Roman;Times;serif"/>
          <w:sz w:val="24"/>
          <w:shd w:fill="FFFFFF" w:val="clear"/>
        </w:rPr>
        <w:tab/>
      </w:r>
      <w:hyperlink w:anchor="_Toc241229884">
        <w:r>
          <w:rPr>
            <w:rStyle w:val="InternetLink"/>
            <w:rFonts w:ascii="Times New Roman;Times;serif" w:hAnsi="Times New Roman;Times;serif"/>
            <w:b w:val="false"/>
            <w:i w:val="false"/>
            <w:caps w:val="false"/>
            <w:smallCaps w:val="false"/>
            <w:sz w:val="24"/>
            <w:shd w:fill="FFFFFF" w:val="clear"/>
          </w:rPr>
          <w:t>Permanent Inability to Determine Rate; Benchmark Replacement</w:t>
        </w:r>
      </w:hyperlink>
      <w:hyperlink w:anchor="_Toc241229884">
        <w:r>
          <w:rPr>
            <w:webHidden/>
          </w:rPr>
          <w:fldChar w:fldCharType="begin"/>
        </w:r>
        <w:r>
          <w:rPr>
            <w:webHidden/>
          </w:rPr>
          <w:instrText xml:space="preserve">PAGEREF _Toc241229884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97</w:t>
        </w:r>
        <w:r>
          <w:rPr>
            <w:webHidden/>
          </w:rPr>
          <w:fldChar w:fldCharType="end"/>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895"/>
                <wp:effectExtent l="0" t="0" r="0" b="0"/>
                <wp:wrapNone/>
                <wp:docPr id="114" name="Frame1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16.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85">
        <w:r>
          <w:rPr>
            <w:rStyle w:val="InternetLink"/>
            <w:rFonts w:ascii="Times New Roman;Times;serif" w:hAnsi="Times New Roman;Times;serif"/>
            <w:b w:val="false"/>
            <w:i w:val="false"/>
            <w:caps w:val="false"/>
            <w:smallCaps w:val="false"/>
            <w:sz w:val="24"/>
            <w:shd w:fill="FFFFFF" w:val="clear"/>
          </w:rPr>
          <w:t>SECTION 11.</w:t>
        </w:r>
      </w:hyperlink>
      <w:r>
        <w:rPr>
          <w:rFonts w:ascii="Times New Roman;Times;serif" w:hAnsi="Times New Roman;Times;serif"/>
          <w:sz w:val="24"/>
          <w:shd w:fill="FFFFFF" w:val="clear"/>
        </w:rPr>
        <w:tab/>
      </w:r>
      <w:hyperlink w:anchor="_Toc241229885">
        <w:r>
          <w:rPr>
            <w:rStyle w:val="InternetLink"/>
            <w:rFonts w:ascii="Times New Roman;Times;serif" w:hAnsi="Times New Roman;Times;serif"/>
            <w:b w:val="false"/>
            <w:i w:val="false"/>
            <w:caps w:val="false"/>
            <w:smallCaps w:val="false"/>
            <w:sz w:val="24"/>
            <w:shd w:fill="FFFFFF" w:val="clear"/>
          </w:rPr>
          <w:t>The Administrative Agent.</w:t>
        </w:r>
      </w:hyperlink>
      <w:hyperlink w:anchor="_Toc241229885">
        <w:r>
          <w:rPr>
            <w:webHidden/>
          </w:rPr>
          <w:fldChar w:fldCharType="begin"/>
        </w:r>
        <w:r>
          <w:rPr>
            <w:webHidden/>
          </w:rPr>
          <w:instrText xml:space="preserve">PAGEREF _Toc241229885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117">
                <wp:simplePos x="0" y="0"/>
                <wp:positionH relativeFrom="page">
                  <wp:posOffset>0</wp:posOffset>
                </wp:positionH>
                <wp:positionV relativeFrom="line">
                  <wp:posOffset>635</wp:posOffset>
                </wp:positionV>
                <wp:extent cx="6480175" cy="175895"/>
                <wp:effectExtent l="0" t="0" r="0" b="0"/>
                <wp:wrapNone/>
                <wp:docPr id="115" name="Frame1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6">
        <w:r>
          <w:rPr>
            <w:rStyle w:val="InternetLink"/>
            <w:rFonts w:ascii="Times New Roman;Times;serif" w:hAnsi="Times New Roman;Times;serif"/>
            <w:b w:val="false"/>
            <w:i w:val="false"/>
            <w:caps w:val="false"/>
            <w:smallCaps w:val="false"/>
            <w:sz w:val="24"/>
            <w:shd w:fill="FFFFFF" w:val="clear"/>
          </w:rPr>
          <w:t>Section 11.1.</w:t>
        </w:r>
      </w:hyperlink>
      <w:r>
        <w:rPr>
          <w:rFonts w:ascii="Times New Roman;Times;serif" w:hAnsi="Times New Roman;Times;serif"/>
          <w:sz w:val="24"/>
          <w:shd w:fill="FFFFFF" w:val="clear"/>
        </w:rPr>
        <w:tab/>
      </w:r>
      <w:hyperlink w:anchor="_Toc241229886">
        <w:r>
          <w:rPr>
            <w:rStyle w:val="InternetLink"/>
            <w:rFonts w:ascii="Times New Roman;Times;serif" w:hAnsi="Times New Roman;Times;serif"/>
            <w:b w:val="false"/>
            <w:i w:val="false"/>
            <w:caps w:val="false"/>
            <w:smallCaps w:val="false"/>
            <w:sz w:val="24"/>
            <w:shd w:fill="FFFFFF" w:val="clear"/>
          </w:rPr>
          <w:t>Appointment and Authority</w:t>
        </w:r>
      </w:hyperlink>
      <w:hyperlink w:anchor="_Toc241229886">
        <w:r>
          <w:rPr>
            <w:webHidden/>
          </w:rPr>
          <w:fldChar w:fldCharType="begin"/>
        </w:r>
        <w:r>
          <w:rPr>
            <w:webHidden/>
          </w:rPr>
          <w:instrText xml:space="preserve">PAGEREF _Toc241229886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895"/>
                <wp:effectExtent l="0" t="0" r="0" b="0"/>
                <wp:wrapNone/>
                <wp:docPr id="116" name="Frame1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7">
        <w:r>
          <w:rPr>
            <w:rStyle w:val="InternetLink"/>
            <w:rFonts w:ascii="Times New Roman;Times;serif" w:hAnsi="Times New Roman;Times;serif"/>
            <w:b w:val="false"/>
            <w:i w:val="false"/>
            <w:caps w:val="false"/>
            <w:smallCaps w:val="false"/>
            <w:sz w:val="24"/>
            <w:shd w:fill="FFFFFF" w:val="clear"/>
          </w:rPr>
          <w:t>Section 11.2.</w:t>
        </w:r>
      </w:hyperlink>
      <w:r>
        <w:rPr>
          <w:rFonts w:ascii="Times New Roman;Times;serif" w:hAnsi="Times New Roman;Times;serif"/>
          <w:sz w:val="24"/>
          <w:shd w:fill="FFFFFF" w:val="clear"/>
        </w:rPr>
        <w:tab/>
      </w:r>
      <w:hyperlink w:anchor="_Toc241229887">
        <w:r>
          <w:rPr>
            <w:rStyle w:val="InternetLink"/>
            <w:rFonts w:ascii="Times New Roman;Times;serif" w:hAnsi="Times New Roman;Times;serif"/>
            <w:b w:val="false"/>
            <w:i w:val="false"/>
            <w:caps w:val="false"/>
            <w:smallCaps w:val="false"/>
            <w:sz w:val="24"/>
            <w:shd w:fill="FFFFFF" w:val="clear"/>
          </w:rPr>
          <w:t>Rights as a Lender</w:t>
        </w:r>
      </w:hyperlink>
      <w:hyperlink w:anchor="_Toc241229887">
        <w:r>
          <w:rPr>
            <w:webHidden/>
          </w:rPr>
          <w:fldChar w:fldCharType="begin"/>
        </w:r>
        <w:r>
          <w:rPr>
            <w:webHidden/>
          </w:rPr>
          <w:instrText xml:space="preserve">PAGEREF _Toc241229887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895"/>
                <wp:effectExtent l="0" t="0" r="0" b="0"/>
                <wp:wrapNone/>
                <wp:docPr id="117" name="Frame1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8">
        <w:r>
          <w:rPr>
            <w:rStyle w:val="InternetLink"/>
            <w:rFonts w:ascii="Times New Roman;Times;serif" w:hAnsi="Times New Roman;Times;serif"/>
            <w:b w:val="false"/>
            <w:i w:val="false"/>
            <w:caps w:val="false"/>
            <w:smallCaps w:val="false"/>
            <w:sz w:val="24"/>
            <w:shd w:fill="FFFFFF" w:val="clear"/>
          </w:rPr>
          <w:t>Section 11.3.</w:t>
        </w:r>
      </w:hyperlink>
      <w:r>
        <w:rPr>
          <w:rFonts w:ascii="Times New Roman;Times;serif" w:hAnsi="Times New Roman;Times;serif"/>
          <w:sz w:val="24"/>
          <w:shd w:fill="FFFFFF" w:val="clear"/>
        </w:rPr>
        <w:tab/>
      </w:r>
      <w:hyperlink w:anchor="_Toc241229888">
        <w:r>
          <w:rPr>
            <w:rStyle w:val="InternetLink"/>
            <w:rFonts w:ascii="Times New Roman;Times;serif" w:hAnsi="Times New Roman;Times;serif"/>
            <w:b w:val="false"/>
            <w:i w:val="false"/>
            <w:caps w:val="false"/>
            <w:smallCaps w:val="false"/>
            <w:sz w:val="24"/>
            <w:shd w:fill="FFFFFF" w:val="clear"/>
          </w:rPr>
          <w:t>Action by Administrative Agent; Exculpatory Provisions</w:t>
        </w:r>
      </w:hyperlink>
      <w:hyperlink w:anchor="_Toc241229888">
        <w:r>
          <w:rPr>
            <w:webHidden/>
          </w:rPr>
          <w:fldChar w:fldCharType="begin"/>
        </w:r>
        <w:r>
          <w:rPr>
            <w:webHidden/>
          </w:rPr>
          <w:instrText xml:space="preserve">PAGEREF _Toc241229888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895"/>
                <wp:effectExtent l="0" t="0" r="0" b="0"/>
                <wp:wrapNone/>
                <wp:docPr id="118" name="Frame1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7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89">
        <w:r>
          <w:rPr>
            <w:rStyle w:val="InternetLink"/>
            <w:rFonts w:ascii="Times New Roman;Times;serif" w:hAnsi="Times New Roman;Times;serif"/>
            <w:b w:val="false"/>
            <w:i w:val="false"/>
            <w:caps w:val="false"/>
            <w:smallCaps w:val="false"/>
            <w:sz w:val="24"/>
            <w:shd w:fill="FFFFFF" w:val="clear"/>
          </w:rPr>
          <w:t>Section 11.4.</w:t>
        </w:r>
      </w:hyperlink>
      <w:r>
        <w:rPr>
          <w:rFonts w:ascii="Times New Roman;Times;serif" w:hAnsi="Times New Roman;Times;serif"/>
          <w:sz w:val="24"/>
          <w:shd w:fill="FFFFFF" w:val="clear"/>
        </w:rPr>
        <w:tab/>
      </w:r>
      <w:hyperlink w:anchor="_Toc241229889">
        <w:r>
          <w:rPr>
            <w:rStyle w:val="InternetLink"/>
            <w:rFonts w:ascii="Times New Roman;Times;serif" w:hAnsi="Times New Roman;Times;serif"/>
            <w:b w:val="false"/>
            <w:i w:val="false"/>
            <w:caps w:val="false"/>
            <w:smallCaps w:val="false"/>
            <w:sz w:val="24"/>
            <w:shd w:fill="FFFFFF" w:val="clear"/>
          </w:rPr>
          <w:t>Reliance by Administrative Agent</w:t>
        </w:r>
      </w:hyperlink>
      <w:hyperlink w:anchor="_Toc241229889">
        <w:r>
          <w:rPr>
            <w:webHidden/>
          </w:rPr>
          <w:fldChar w:fldCharType="begin"/>
        </w:r>
        <w:r>
          <w:rPr>
            <w:webHidden/>
          </w:rPr>
          <w:instrText xml:space="preserve">PAGEREF _Toc241229889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100</w:t>
        </w:r>
        <w:r>
          <w:rPr>
            <w:webHidden/>
          </w:rPr>
          <w:fldChar w:fldCharType="end"/>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895"/>
                <wp:effectExtent l="0" t="0" r="0" b="0"/>
                <wp:wrapNone/>
                <wp:docPr id="119" name="Frame1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0">
        <w:r>
          <w:rPr>
            <w:rStyle w:val="InternetLink"/>
            <w:rFonts w:ascii="Times New Roman;Times;serif" w:hAnsi="Times New Roman;Times;serif"/>
            <w:b w:val="false"/>
            <w:i w:val="false"/>
            <w:caps w:val="false"/>
            <w:smallCaps w:val="false"/>
            <w:sz w:val="24"/>
            <w:shd w:fill="FFFFFF" w:val="clear"/>
          </w:rPr>
          <w:t>Section 11.5.</w:t>
        </w:r>
      </w:hyperlink>
      <w:r>
        <w:rPr>
          <w:rFonts w:ascii="Times New Roman;Times;serif" w:hAnsi="Times New Roman;Times;serif"/>
          <w:sz w:val="24"/>
          <w:shd w:fill="FFFFFF" w:val="clear"/>
        </w:rPr>
        <w:tab/>
      </w:r>
      <w:hyperlink w:anchor="_Toc241229890">
        <w:r>
          <w:rPr>
            <w:rStyle w:val="InternetLink"/>
            <w:rFonts w:ascii="Times New Roman;Times;serif" w:hAnsi="Times New Roman;Times;serif"/>
            <w:b w:val="false"/>
            <w:i w:val="false"/>
            <w:caps w:val="false"/>
            <w:smallCaps w:val="false"/>
            <w:sz w:val="24"/>
            <w:shd w:fill="FFFFFF" w:val="clear"/>
          </w:rPr>
          <w:t>Delegation of Duties</w:t>
        </w:r>
      </w:hyperlink>
      <w:hyperlink w:anchor="_Toc241229890">
        <w:r>
          <w:rPr>
            <w:webHidden/>
          </w:rPr>
          <w:fldChar w:fldCharType="begin"/>
        </w:r>
        <w:r>
          <w:rPr>
            <w:webHidden/>
          </w:rPr>
          <w:instrText xml:space="preserve">PAGEREF _Toc241229890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101</w:t>
        </w:r>
        <w:r>
          <w:rPr>
            <w:webHidden/>
          </w:rPr>
          <w:fldChar w:fldCharType="end"/>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895"/>
                <wp:effectExtent l="0" t="0" r="0" b="0"/>
                <wp:wrapNone/>
                <wp:docPr id="120" name="Frame1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1">
        <w:r>
          <w:rPr>
            <w:rStyle w:val="InternetLink"/>
            <w:rFonts w:ascii="Times New Roman;Times;serif" w:hAnsi="Times New Roman;Times;serif"/>
            <w:b w:val="false"/>
            <w:i w:val="false"/>
            <w:caps w:val="false"/>
            <w:smallCaps w:val="false"/>
            <w:sz w:val="24"/>
            <w:shd w:fill="FFFFFF" w:val="clear"/>
          </w:rPr>
          <w:t>Section 11.6.</w:t>
        </w:r>
      </w:hyperlink>
      <w:r>
        <w:rPr>
          <w:rFonts w:ascii="Times New Roman;Times;serif" w:hAnsi="Times New Roman;Times;serif"/>
          <w:sz w:val="24"/>
          <w:shd w:fill="FFFFFF" w:val="clear"/>
        </w:rPr>
        <w:tab/>
      </w:r>
      <w:hyperlink w:anchor="_Toc241229891">
        <w:r>
          <w:rPr>
            <w:rStyle w:val="InternetLink"/>
            <w:rFonts w:ascii="Times New Roman;Times;serif" w:hAnsi="Times New Roman;Times;serif"/>
            <w:b w:val="false"/>
            <w:i w:val="false"/>
            <w:caps w:val="false"/>
            <w:smallCaps w:val="false"/>
            <w:sz w:val="24"/>
            <w:shd w:fill="FFFFFF" w:val="clear"/>
          </w:rPr>
          <w:t>Resignation of Administrative Agent; Removal of Administrative Agent</w:t>
        </w:r>
      </w:hyperlink>
      <w:hyperlink w:anchor="_Toc241229891">
        <w:r>
          <w:rPr>
            <w:webHidden/>
          </w:rPr>
          <w:fldChar w:fldCharType="begin"/>
        </w:r>
        <w:r>
          <w:rPr>
            <w:webHidden/>
          </w:rPr>
          <w:instrText xml:space="preserve">PAGEREF _Toc241229891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101</w:t>
        </w:r>
        <w:r>
          <w:rPr>
            <w:webHidden/>
          </w:rPr>
          <w:fldChar w:fldCharType="end"/>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895"/>
                <wp:effectExtent l="0" t="0" r="0" b="0"/>
                <wp:wrapNone/>
                <wp:docPr id="121" name="Frame1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5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2">
        <w:r>
          <w:rPr>
            <w:rStyle w:val="InternetLink"/>
            <w:rFonts w:ascii="Times New Roman;Times;serif" w:hAnsi="Times New Roman;Times;serif"/>
            <w:b w:val="false"/>
            <w:i w:val="false"/>
            <w:caps w:val="false"/>
            <w:smallCaps w:val="false"/>
            <w:sz w:val="24"/>
            <w:shd w:fill="FFFFFF" w:val="clear"/>
          </w:rPr>
          <w:t>Section 11.7.</w:t>
        </w:r>
      </w:hyperlink>
      <w:r>
        <w:rPr>
          <w:rFonts w:ascii="Times New Roman;Times;serif" w:hAnsi="Times New Roman;Times;serif"/>
          <w:sz w:val="24"/>
          <w:shd w:fill="FFFFFF" w:val="clear"/>
        </w:rPr>
        <w:tab/>
      </w:r>
      <w:hyperlink w:anchor="_Toc241229892">
        <w:r>
          <w:rPr>
            <w:rStyle w:val="InternetLink"/>
            <w:rFonts w:ascii="Times New Roman;Times;serif" w:hAnsi="Times New Roman;Times;serif"/>
            <w:b w:val="false"/>
            <w:i w:val="false"/>
            <w:caps w:val="false"/>
            <w:smallCaps w:val="false"/>
            <w:sz w:val="24"/>
            <w:shd w:fill="FFFFFF" w:val="clear"/>
          </w:rPr>
          <w:t>NonReliance on Administrative Agent and Other Lenders</w:t>
        </w:r>
      </w:hyperlink>
      <w:hyperlink w:anchor="_Toc241229892">
        <w:r>
          <w:rPr>
            <w:webHidden/>
          </w:rPr>
          <w:fldChar w:fldCharType="begin"/>
        </w:r>
        <w:r>
          <w:rPr>
            <w:webHidden/>
          </w:rPr>
          <w:instrText xml:space="preserve">PAGEREF _Toc241229892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102</w:t>
        </w:r>
        <w:r>
          <w:rPr>
            <w:webHidden/>
          </w:rPr>
          <w:fldChar w:fldCharType="end"/>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895"/>
                <wp:effectExtent l="0" t="0" r="0" b="0"/>
                <wp:wrapNone/>
                <wp:docPr id="122" name="Frame1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8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3">
        <w:r>
          <w:rPr>
            <w:rStyle w:val="InternetLink"/>
            <w:rFonts w:ascii="Times New Roman;Times;serif" w:hAnsi="Times New Roman;Times;serif"/>
            <w:b w:val="false"/>
            <w:i w:val="false"/>
            <w:caps w:val="false"/>
            <w:smallCaps w:val="false"/>
            <w:sz w:val="24"/>
            <w:shd w:fill="FFFFFF" w:val="clear"/>
          </w:rPr>
          <w:t>Section 11.8.</w:t>
        </w:r>
      </w:hyperlink>
      <w:r>
        <w:rPr>
          <w:rFonts w:ascii="Times New Roman;Times;serif" w:hAnsi="Times New Roman;Times;serif"/>
          <w:sz w:val="24"/>
          <w:shd w:fill="FFFFFF" w:val="clear"/>
        </w:rPr>
        <w:tab/>
      </w:r>
      <w:hyperlink w:anchor="_Toc241229893">
        <w:r>
          <w:rPr>
            <w:rStyle w:val="InternetLink"/>
            <w:rFonts w:ascii="Times New Roman;Times;serif" w:hAnsi="Times New Roman;Times;serif"/>
            <w:b w:val="false"/>
            <w:i w:val="false"/>
            <w:caps w:val="false"/>
            <w:smallCaps w:val="false"/>
            <w:sz w:val="24"/>
            <w:shd w:fill="FFFFFF" w:val="clear"/>
          </w:rPr>
          <w:t>L/C Issuer</w:t>
        </w:r>
      </w:hyperlink>
      <w:hyperlink w:anchor="_Toc241229893">
        <w:r>
          <w:rPr>
            <w:webHidden/>
          </w:rPr>
          <w:fldChar w:fldCharType="begin"/>
        </w:r>
        <w:r>
          <w:rPr>
            <w:webHidden/>
          </w:rPr>
          <w:instrText xml:space="preserve">PAGEREF _Toc241229893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103</w:t>
        </w:r>
        <w:r>
          <w:rPr>
            <w:webHidden/>
          </w:rPr>
          <w:fldChar w:fldCharType="end"/>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895"/>
                <wp:effectExtent l="0" t="0" r="0" b="0"/>
                <wp:wrapNone/>
                <wp:docPr id="123" name="Frame1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3.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4">
        <w:r>
          <w:rPr>
            <w:rStyle w:val="InternetLink"/>
            <w:rFonts w:ascii="Times New Roman;Times;serif" w:hAnsi="Times New Roman;Times;serif"/>
            <w:b w:val="false"/>
            <w:i w:val="false"/>
            <w:caps w:val="false"/>
            <w:smallCaps w:val="false"/>
            <w:sz w:val="24"/>
            <w:shd w:fill="FFFFFF" w:val="clear"/>
          </w:rPr>
          <w:t>Section 11.9.</w:t>
        </w:r>
      </w:hyperlink>
      <w:r>
        <w:rPr>
          <w:rFonts w:ascii="Times New Roman;Times;serif" w:hAnsi="Times New Roman;Times;serif"/>
          <w:sz w:val="24"/>
          <w:shd w:fill="FFFFFF" w:val="clear"/>
        </w:rPr>
        <w:tab/>
      </w:r>
      <w:hyperlink w:anchor="_Toc241229894">
        <w:r>
          <w:rPr>
            <w:rStyle w:val="InternetLink"/>
            <w:rFonts w:ascii="Times New Roman;Times;serif" w:hAnsi="Times New Roman;Times;serif"/>
            <w:b w:val="false"/>
            <w:i w:val="false"/>
            <w:caps w:val="false"/>
            <w:smallCaps w:val="false"/>
            <w:sz w:val="24"/>
            <w:shd w:fill="FFFFFF" w:val="clear"/>
          </w:rPr>
          <w:t>Hedging Liability and Funds Transfer and Deposit Account Liability</w:t>
        </w:r>
      </w:hyperlink>
      <w:hyperlink w:anchor="_Toc241229894">
        <w:r>
          <w:rPr>
            <w:webHidden/>
          </w:rPr>
          <w:fldChar w:fldCharType="begin"/>
        </w:r>
        <w:r>
          <w:rPr>
            <w:webHidden/>
          </w:rPr>
          <w:instrText xml:space="preserve">PAGEREF _Toc241229894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103</w:t>
        </w:r>
        <w:r>
          <w:rPr>
            <w:webHidden/>
          </w:rPr>
          <w:fldChar w:fldCharType="end"/>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895"/>
                <wp:effectExtent l="0" t="0" r="0" b="0"/>
                <wp:wrapNone/>
                <wp:docPr id="124" name="Frame1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3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5">
        <w:r>
          <w:rPr>
            <w:rStyle w:val="InternetLink"/>
            <w:rFonts w:ascii="Times New Roman;Times;serif" w:hAnsi="Times New Roman;Times;serif"/>
            <w:b w:val="false"/>
            <w:i w:val="false"/>
            <w:caps w:val="false"/>
            <w:smallCaps w:val="false"/>
            <w:sz w:val="24"/>
            <w:shd w:fill="FFFFFF" w:val="clear"/>
          </w:rPr>
          <w:t>Section 11.10.</w:t>
        </w:r>
      </w:hyperlink>
      <w:r>
        <w:rPr>
          <w:rFonts w:ascii="Times New Roman;Times;serif" w:hAnsi="Times New Roman;Times;serif"/>
          <w:sz w:val="24"/>
          <w:shd w:fill="FFFFFF" w:val="clear"/>
        </w:rPr>
        <w:tab/>
      </w:r>
      <w:hyperlink w:anchor="_Toc241229895">
        <w:r>
          <w:rPr>
            <w:rStyle w:val="InternetLink"/>
            <w:rFonts w:ascii="Times New Roman;Times;serif" w:hAnsi="Times New Roman;Times;serif"/>
            <w:b w:val="false"/>
            <w:i w:val="false"/>
            <w:caps w:val="false"/>
            <w:smallCaps w:val="false"/>
            <w:sz w:val="24"/>
            <w:shd w:fill="FFFFFF" w:val="clear"/>
          </w:rPr>
          <w:t>Designation of Additional Agents</w:t>
        </w:r>
      </w:hyperlink>
      <w:hyperlink w:anchor="_Toc241229895">
        <w:r>
          <w:rPr>
            <w:webHidden/>
          </w:rPr>
          <w:fldChar w:fldCharType="begin"/>
        </w:r>
        <w:r>
          <w:rPr>
            <w:webHidden/>
          </w:rPr>
          <w:instrText xml:space="preserve">PAGEREF _Toc241229895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104</w:t>
        </w:r>
        <w:r>
          <w:rPr>
            <w:webHidden/>
          </w:rPr>
          <w:fldChar w:fldCharType="end"/>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895"/>
                <wp:effectExtent l="0" t="0" r="0" b="0"/>
                <wp:wrapNone/>
                <wp:docPr id="125" name="Frame1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6">
        <w:r>
          <w:rPr>
            <w:rStyle w:val="InternetLink"/>
            <w:rFonts w:ascii="Times New Roman;Times;serif" w:hAnsi="Times New Roman;Times;serif"/>
            <w:b w:val="false"/>
            <w:i w:val="false"/>
            <w:caps w:val="false"/>
            <w:smallCaps w:val="false"/>
            <w:sz w:val="24"/>
            <w:shd w:fill="FFFFFF" w:val="clear"/>
          </w:rPr>
          <w:t>Section 11.11.</w:t>
        </w:r>
      </w:hyperlink>
      <w:r>
        <w:rPr>
          <w:rFonts w:ascii="Times New Roman;Times;serif" w:hAnsi="Times New Roman;Times;serif"/>
          <w:sz w:val="24"/>
          <w:shd w:fill="FFFFFF" w:val="clear"/>
        </w:rPr>
        <w:tab/>
      </w:r>
      <w:hyperlink w:anchor="_Toc241229896">
        <w:r>
          <w:rPr>
            <w:rStyle w:val="InternetLink"/>
            <w:rFonts w:ascii="Times New Roman;Times;serif" w:hAnsi="Times New Roman;Times;serif"/>
            <w:b w:val="false"/>
            <w:i w:val="false"/>
            <w:caps w:val="false"/>
            <w:smallCaps w:val="false"/>
            <w:sz w:val="24"/>
            <w:shd w:fill="FFFFFF" w:val="clear"/>
          </w:rPr>
          <w:t>Reserved</w:t>
        </w:r>
      </w:hyperlink>
      <w:hyperlink w:anchor="_Toc241229896">
        <w:r>
          <w:rPr>
            <w:webHidden/>
          </w:rPr>
          <w:fldChar w:fldCharType="begin"/>
        </w:r>
        <w:r>
          <w:rPr>
            <w:webHidden/>
          </w:rPr>
          <w:instrText xml:space="preserve">PAGEREF _Toc241229896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104</w:t>
        </w:r>
        <w:r>
          <w:rPr>
            <w:webHidden/>
          </w:rPr>
          <w:fldChar w:fldCharType="end"/>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895"/>
                <wp:effectExtent l="0" t="0" r="0" b="0"/>
                <wp:wrapNone/>
                <wp:docPr id="126" name="Frame1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7">
        <w:r>
          <w:rPr>
            <w:rStyle w:val="InternetLink"/>
            <w:rFonts w:ascii="Times New Roman;Times;serif" w:hAnsi="Times New Roman;Times;serif"/>
            <w:b w:val="false"/>
            <w:i w:val="false"/>
            <w:caps w:val="false"/>
            <w:smallCaps w:val="false"/>
            <w:sz w:val="24"/>
            <w:shd w:fill="FFFFFF" w:val="clear"/>
          </w:rPr>
          <w:t>Section 11.12.</w:t>
        </w:r>
      </w:hyperlink>
      <w:r>
        <w:rPr>
          <w:rFonts w:ascii="Times New Roman;Times;serif" w:hAnsi="Times New Roman;Times;serif"/>
          <w:sz w:val="24"/>
          <w:shd w:fill="FFFFFF" w:val="clear"/>
        </w:rPr>
        <w:tab/>
      </w:r>
      <w:hyperlink w:anchor="_Toc241229897">
        <w:r>
          <w:rPr>
            <w:rStyle w:val="InternetLink"/>
            <w:rFonts w:ascii="Times New Roman;Times;serif" w:hAnsi="Times New Roman;Times;serif"/>
            <w:b w:val="false"/>
            <w:i w:val="false"/>
            <w:caps w:val="false"/>
            <w:smallCaps w:val="false"/>
            <w:sz w:val="24"/>
            <w:shd w:fill="FFFFFF" w:val="clear"/>
          </w:rPr>
          <w:t>Authorization to Release Guaranties</w:t>
        </w:r>
      </w:hyperlink>
      <w:hyperlink w:anchor="_Toc241229897">
        <w:r>
          <w:rPr>
            <w:webHidden/>
          </w:rPr>
          <w:fldChar w:fldCharType="begin"/>
        </w:r>
        <w:r>
          <w:rPr>
            <w:webHidden/>
          </w:rPr>
          <w:instrText xml:space="preserve">PAGEREF _Toc241229897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104</w:t>
        </w:r>
        <w:r>
          <w:rPr>
            <w:webHidden/>
          </w:rPr>
          <w:fldChar w:fldCharType="end"/>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895"/>
                <wp:effectExtent l="0" t="0" r="0" b="0"/>
                <wp:wrapNone/>
                <wp:docPr id="127" name="Frame1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898">
        <w:r>
          <w:rPr>
            <w:rStyle w:val="InternetLink"/>
            <w:rFonts w:ascii="Times New Roman;Times;serif" w:hAnsi="Times New Roman;Times;serif"/>
            <w:b w:val="false"/>
            <w:i w:val="false"/>
            <w:caps w:val="false"/>
            <w:smallCaps w:val="false"/>
            <w:sz w:val="24"/>
            <w:shd w:fill="FFFFFF" w:val="clear"/>
          </w:rPr>
          <w:t>Section 11.13.</w:t>
        </w:r>
      </w:hyperlink>
      <w:r>
        <w:rPr>
          <w:rFonts w:ascii="Times New Roman;Times;serif" w:hAnsi="Times New Roman;Times;serif"/>
          <w:sz w:val="24"/>
          <w:shd w:fill="FFFFFF" w:val="clear"/>
        </w:rPr>
        <w:tab/>
      </w:r>
      <w:hyperlink w:anchor="_Toc241229898">
        <w:r>
          <w:rPr>
            <w:rStyle w:val="InternetLink"/>
            <w:rFonts w:ascii="Times New Roman;Times;serif" w:hAnsi="Times New Roman;Times;serif"/>
            <w:b w:val="false"/>
            <w:i w:val="false"/>
            <w:caps w:val="false"/>
            <w:smallCaps w:val="false"/>
            <w:sz w:val="24"/>
            <w:shd w:fill="FFFFFF" w:val="clear"/>
          </w:rPr>
          <w:t>Authorization of Administrative Agent to File Proofs of Claim</w:t>
        </w:r>
      </w:hyperlink>
      <w:hyperlink w:anchor="_Toc241229898">
        <w:r>
          <w:rPr>
            <w:webHidden/>
          </w:rPr>
          <w:fldChar w:fldCharType="begin"/>
        </w:r>
        <w:r>
          <w:rPr>
            <w:webHidden/>
          </w:rPr>
          <w:instrText xml:space="preserve">PAGEREF _Toc241229898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105</w:t>
        </w:r>
        <w:r>
          <w:rPr>
            <w:webHidden/>
          </w:rPr>
          <w:fldChar w:fldCharType="end"/>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895"/>
                <wp:effectExtent l="0" t="0" r="0" b="0"/>
                <wp:wrapNone/>
                <wp:docPr id="128" name="Frame1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0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899">
        <w:r>
          <w:rPr>
            <w:rStyle w:val="InternetLink"/>
            <w:rFonts w:ascii="Times New Roman;Times;serif" w:hAnsi="Times New Roman;Times;serif"/>
            <w:b w:val="false"/>
            <w:i w:val="false"/>
            <w:caps w:val="false"/>
            <w:smallCaps w:val="false"/>
            <w:sz w:val="24"/>
            <w:shd w:fill="FFFFFF" w:val="clear"/>
          </w:rPr>
          <w:t>SECTION 12.</w:t>
        </w:r>
      </w:hyperlink>
      <w:r>
        <w:rPr>
          <w:rFonts w:ascii="Times New Roman;Times;serif" w:hAnsi="Times New Roman;Times;serif"/>
          <w:sz w:val="24"/>
          <w:shd w:fill="FFFFFF" w:val="clear"/>
        </w:rPr>
        <w:tab/>
      </w:r>
      <w:hyperlink w:anchor="_Toc241229899">
        <w:r>
          <w:rPr>
            <w:rStyle w:val="InternetLink"/>
            <w:rFonts w:ascii="Times New Roman;Times;serif" w:hAnsi="Times New Roman;Times;serif"/>
            <w:b w:val="false"/>
            <w:i w:val="false"/>
            <w:smallCaps/>
            <w:sz w:val="24"/>
            <w:shd w:fill="FFFFFF" w:val="clear"/>
          </w:rPr>
          <w:t>Miscellaneous</w:t>
        </w:r>
      </w:hyperlink>
      <w:hyperlink w:anchor="_Toc241229899">
        <w:r>
          <w:rPr>
            <w:webHidden/>
          </w:rPr>
          <w:fldChar w:fldCharType="begin"/>
        </w:r>
        <w:r>
          <w:rPr>
            <w:webHidden/>
          </w:rPr>
          <w:instrText xml:space="preserve">PAGEREF _Toc241229899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w:t>
        </w:r>
        <w:r>
          <w:rPr>
            <w:webHidden/>
          </w:rPr>
          <w:fldChar w:fldCharType="end"/>
        </w:r>
      </w:hyperlink>
      <w:hyperlink w:anchor="_Toc241229899">
        <w:r>
          <w:rPr>
            <w:webHidden/>
          </w:rPr>
          <w:fldChar w:fldCharType="begin"/>
        </w:r>
        <w:r>
          <w:rPr>
            <w:webHidden/>
          </w:rPr>
          <w:instrText xml:space="preserve">PAGEREF _Toc241229899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105</w:t>
        </w:r>
        <w:r>
          <w:rPr>
            <w:webHidden/>
          </w:rPr>
          <w:fldChar w:fldCharType="end"/>
        </w:r>
      </w:hyperlink>
      <w:r>
        <mc:AlternateContent>
          <mc:Choice Requires="wps">
            <w:drawing>
              <wp:anchor behindDoc="0" distT="0" distB="0" distL="0" distR="0" simplePos="0" locked="0" layoutInCell="1" allowOverlap="1" relativeHeight="131">
                <wp:simplePos x="0" y="0"/>
                <wp:positionH relativeFrom="page">
                  <wp:posOffset>0</wp:posOffset>
                </wp:positionH>
                <wp:positionV relativeFrom="line">
                  <wp:posOffset>635</wp:posOffset>
                </wp:positionV>
                <wp:extent cx="6480175" cy="175895"/>
                <wp:effectExtent l="0" t="0" r="0" b="0"/>
                <wp:wrapNone/>
                <wp:docPr id="129" name="Frame1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360" w:right="0" w:hanging="0"/>
        <w:jc w:val="left"/>
        <w:rPr/>
      </w:pPr>
      <w:hyperlink w:anchor="_Toc241229900">
        <w:r>
          <w:rPr>
            <w:rStyle w:val="InternetLink"/>
            <w:rFonts w:ascii="Times New Roman;Times;serif" w:hAnsi="Times New Roman;Times;serif"/>
            <w:b w:val="false"/>
            <w:i w:val="false"/>
            <w:caps w:val="false"/>
            <w:smallCaps w:val="false"/>
            <w:sz w:val="24"/>
            <w:shd w:fill="FFFFFF" w:val="clear"/>
          </w:rPr>
          <w:t>Section 12.1.</w:t>
        </w:r>
      </w:hyperlink>
      <w:r>
        <w:rPr>
          <w:rFonts w:ascii="Times New Roman;Times;serif" w:hAnsi="Times New Roman;Times;serif"/>
          <w:sz w:val="24"/>
          <w:shd w:fill="FFFFFF" w:val="clear"/>
        </w:rPr>
        <w:tab/>
      </w:r>
      <w:hyperlink w:anchor="_Toc241229900">
        <w:r>
          <w:rPr>
            <w:rStyle w:val="InternetLink"/>
            <w:rFonts w:ascii="Times New Roman;Times;serif" w:hAnsi="Times New Roman;Times;serif"/>
            <w:b w:val="false"/>
            <w:i w:val="false"/>
            <w:caps w:val="false"/>
            <w:smallCaps w:val="false"/>
            <w:sz w:val="24"/>
            <w:shd w:fill="FFFFFF" w:val="clear"/>
          </w:rPr>
          <w:t>Withholding Taxes</w:t>
        </w:r>
      </w:hyperlink>
      <w:hyperlink w:anchor="_Toc241229900">
        <w:r>
          <w:rPr>
            <w:webHidden/>
          </w:rPr>
          <w:fldChar w:fldCharType="begin"/>
        </w:r>
        <w:r>
          <w:rPr>
            <w:webHidden/>
          </w:rPr>
          <w:instrText xml:space="preserve">PAGEREF _Toc241229900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105</w:t>
        </w:r>
        <w:r>
          <w:rPr>
            <w:webHidden/>
          </w:rPr>
          <w:fldChar w:fldCharType="end"/>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895"/>
                <wp:effectExtent l="0" t="0" r="0" b="0"/>
                <wp:wrapNone/>
                <wp:docPr id="130" name="Frame1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1">
        <w:r>
          <w:rPr>
            <w:rStyle w:val="InternetLink"/>
            <w:rFonts w:ascii="Times New Roman;Times;serif" w:hAnsi="Times New Roman;Times;serif"/>
            <w:b w:val="false"/>
            <w:i w:val="false"/>
            <w:caps w:val="false"/>
            <w:smallCaps w:val="false"/>
            <w:sz w:val="24"/>
            <w:shd w:fill="FFFFFF" w:val="clear"/>
          </w:rPr>
          <w:t>Section 12.2.</w:t>
        </w:r>
      </w:hyperlink>
      <w:r>
        <w:rPr>
          <w:rFonts w:ascii="Times New Roman;Times;serif" w:hAnsi="Times New Roman;Times;serif"/>
          <w:sz w:val="24"/>
          <w:shd w:fill="FFFFFF" w:val="clear"/>
        </w:rPr>
        <w:tab/>
      </w:r>
      <w:hyperlink w:anchor="_Toc241229901">
        <w:r>
          <w:rPr>
            <w:rStyle w:val="InternetLink"/>
            <w:rFonts w:ascii="Times New Roman;Times;serif" w:hAnsi="Times New Roman;Times;serif"/>
            <w:b w:val="false"/>
            <w:i w:val="false"/>
            <w:caps w:val="false"/>
            <w:smallCaps w:val="false"/>
            <w:sz w:val="24"/>
            <w:shd w:fill="FFFFFF" w:val="clear"/>
          </w:rPr>
          <w:t>No Waiver, Cumulative Remedies</w:t>
        </w:r>
      </w:hyperlink>
      <w:hyperlink w:anchor="_Toc241229901">
        <w:r>
          <w:rPr>
            <w:webHidden/>
          </w:rPr>
          <w:fldChar w:fldCharType="begin"/>
        </w:r>
        <w:r>
          <w:rPr>
            <w:webHidden/>
          </w:rPr>
          <w:instrText xml:space="preserve">PAGEREF _Toc241229901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895"/>
                <wp:effectExtent l="0" t="0" r="0" b="0"/>
                <wp:wrapNone/>
                <wp:docPr id="131" name="Frame1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2">
        <w:r>
          <w:rPr>
            <w:rStyle w:val="InternetLink"/>
            <w:rFonts w:ascii="Times New Roman;Times;serif" w:hAnsi="Times New Roman;Times;serif"/>
            <w:b w:val="false"/>
            <w:i w:val="false"/>
            <w:caps w:val="false"/>
            <w:smallCaps w:val="false"/>
            <w:sz w:val="24"/>
            <w:shd w:fill="FFFFFF" w:val="clear"/>
          </w:rPr>
          <w:t>Section 12.3.</w:t>
        </w:r>
      </w:hyperlink>
      <w:r>
        <w:rPr>
          <w:rFonts w:ascii="Times New Roman;Times;serif" w:hAnsi="Times New Roman;Times;serif"/>
          <w:sz w:val="24"/>
          <w:shd w:fill="FFFFFF" w:val="clear"/>
        </w:rPr>
        <w:tab/>
      </w:r>
      <w:hyperlink w:anchor="_Toc241229902">
        <w:r>
          <w:rPr>
            <w:rStyle w:val="InternetLink"/>
            <w:rFonts w:ascii="Times New Roman;Times;serif" w:hAnsi="Times New Roman;Times;serif"/>
            <w:b w:val="false"/>
            <w:i w:val="false"/>
            <w:caps w:val="false"/>
            <w:smallCaps w:val="false"/>
            <w:sz w:val="24"/>
            <w:shd w:fill="FFFFFF" w:val="clear"/>
          </w:rPr>
          <w:t>NonBusiness Days</w:t>
        </w:r>
      </w:hyperlink>
      <w:hyperlink w:anchor="_Toc241229902">
        <w:r>
          <w:rPr>
            <w:webHidden/>
          </w:rPr>
          <w:fldChar w:fldCharType="begin"/>
        </w:r>
        <w:r>
          <w:rPr>
            <w:webHidden/>
          </w:rPr>
          <w:instrText xml:space="preserve">PAGEREF _Toc241229902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895"/>
                <wp:effectExtent l="0" t="0" r="0" b="0"/>
                <wp:wrapNone/>
                <wp:docPr id="132" name="Frame1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4.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3">
        <w:r>
          <w:rPr>
            <w:rStyle w:val="InternetLink"/>
            <w:rFonts w:ascii="Times New Roman;Times;serif" w:hAnsi="Times New Roman;Times;serif"/>
            <w:b w:val="false"/>
            <w:i w:val="false"/>
            <w:caps w:val="false"/>
            <w:smallCaps w:val="false"/>
            <w:sz w:val="24"/>
            <w:shd w:fill="FFFFFF" w:val="clear"/>
          </w:rPr>
          <w:t>Section 12.4.</w:t>
        </w:r>
      </w:hyperlink>
      <w:r>
        <w:rPr>
          <w:rFonts w:ascii="Times New Roman;Times;serif" w:hAnsi="Times New Roman;Times;serif"/>
          <w:sz w:val="24"/>
          <w:shd w:fill="FFFFFF" w:val="clear"/>
        </w:rPr>
        <w:tab/>
      </w:r>
      <w:hyperlink w:anchor="_Toc241229903">
        <w:r>
          <w:rPr>
            <w:rStyle w:val="InternetLink"/>
            <w:rFonts w:ascii="Times New Roman;Times;serif" w:hAnsi="Times New Roman;Times;serif"/>
            <w:b w:val="false"/>
            <w:i w:val="false"/>
            <w:caps w:val="false"/>
            <w:smallCaps w:val="false"/>
            <w:sz w:val="24"/>
            <w:shd w:fill="FFFFFF" w:val="clear"/>
          </w:rPr>
          <w:t>Documentary Taxes</w:t>
        </w:r>
      </w:hyperlink>
      <w:hyperlink w:anchor="_Toc241229903">
        <w:r>
          <w:rPr>
            <w:webHidden/>
          </w:rPr>
          <w:fldChar w:fldCharType="begin"/>
        </w:r>
        <w:r>
          <w:rPr>
            <w:webHidden/>
          </w:rPr>
          <w:instrText xml:space="preserve">PAGEREF _Toc241229903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895"/>
                <wp:effectExtent l="0" t="0" r="0" b="0"/>
                <wp:wrapNone/>
                <wp:docPr id="133" name="Frame1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4">
        <w:r>
          <w:rPr>
            <w:rStyle w:val="InternetLink"/>
            <w:rFonts w:ascii="Times New Roman;Times;serif" w:hAnsi="Times New Roman;Times;serif"/>
            <w:b w:val="false"/>
            <w:i w:val="false"/>
            <w:caps w:val="false"/>
            <w:smallCaps w:val="false"/>
            <w:sz w:val="24"/>
            <w:shd w:fill="FFFFFF" w:val="clear"/>
          </w:rPr>
          <w:t>Section 12.5.</w:t>
        </w:r>
      </w:hyperlink>
      <w:r>
        <w:rPr>
          <w:rFonts w:ascii="Times New Roman;Times;serif" w:hAnsi="Times New Roman;Times;serif"/>
          <w:sz w:val="24"/>
          <w:shd w:fill="FFFFFF" w:val="clear"/>
        </w:rPr>
        <w:tab/>
      </w:r>
      <w:hyperlink w:anchor="_Toc241229904">
        <w:r>
          <w:rPr>
            <w:rStyle w:val="InternetLink"/>
            <w:rFonts w:ascii="Times New Roman;Times;serif" w:hAnsi="Times New Roman;Times;serif"/>
            <w:b w:val="false"/>
            <w:i w:val="false"/>
            <w:caps w:val="false"/>
            <w:smallCaps w:val="false"/>
            <w:sz w:val="24"/>
            <w:shd w:fill="FFFFFF" w:val="clear"/>
          </w:rPr>
          <w:t>Survival of Representations</w:t>
        </w:r>
      </w:hyperlink>
      <w:hyperlink w:anchor="_Toc241229904">
        <w:r>
          <w:rPr>
            <w:webHidden/>
          </w:rPr>
          <w:fldChar w:fldCharType="begin"/>
        </w:r>
        <w:r>
          <w:rPr>
            <w:webHidden/>
          </w:rPr>
          <w:instrText xml:space="preserve">PAGEREF _Toc241229904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895"/>
                <wp:effectExtent l="0" t="0" r="0" b="0"/>
                <wp:wrapNone/>
                <wp:docPr id="134" name="Frame1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5">
        <w:r>
          <w:rPr>
            <w:rStyle w:val="InternetLink"/>
            <w:rFonts w:ascii="Times New Roman;Times;serif" w:hAnsi="Times New Roman;Times;serif"/>
            <w:b w:val="false"/>
            <w:i w:val="false"/>
            <w:caps w:val="false"/>
            <w:smallCaps w:val="false"/>
            <w:sz w:val="24"/>
            <w:shd w:fill="FFFFFF" w:val="clear"/>
          </w:rPr>
          <w:t>Section 12.6.</w:t>
        </w:r>
      </w:hyperlink>
      <w:r>
        <w:rPr>
          <w:rFonts w:ascii="Times New Roman;Times;serif" w:hAnsi="Times New Roman;Times;serif"/>
          <w:sz w:val="24"/>
          <w:shd w:fill="FFFFFF" w:val="clear"/>
        </w:rPr>
        <w:tab/>
      </w:r>
      <w:hyperlink w:anchor="_Toc241229905">
        <w:r>
          <w:rPr>
            <w:rStyle w:val="InternetLink"/>
            <w:rFonts w:ascii="Times New Roman;Times;serif" w:hAnsi="Times New Roman;Times;serif"/>
            <w:b w:val="false"/>
            <w:i w:val="false"/>
            <w:caps w:val="false"/>
            <w:smallCaps w:val="false"/>
            <w:sz w:val="24"/>
            <w:shd w:fill="FFFFFF" w:val="clear"/>
          </w:rPr>
          <w:t>Survival of Indemnities</w:t>
        </w:r>
      </w:hyperlink>
      <w:hyperlink w:anchor="_Toc241229905">
        <w:r>
          <w:rPr>
            <w:webHidden/>
          </w:rPr>
          <w:fldChar w:fldCharType="begin"/>
        </w:r>
        <w:r>
          <w:rPr>
            <w:webHidden/>
          </w:rPr>
          <w:instrText xml:space="preserve">PAGEREF _Toc241229905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895"/>
                <wp:effectExtent l="0" t="0" r="0" b="0"/>
                <wp:wrapNone/>
                <wp:docPr id="135" name="Frame1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6">
        <w:r>
          <w:rPr>
            <w:rStyle w:val="InternetLink"/>
            <w:rFonts w:ascii="Times New Roman;Times;serif" w:hAnsi="Times New Roman;Times;serif"/>
            <w:b w:val="false"/>
            <w:i w:val="false"/>
            <w:caps w:val="false"/>
            <w:smallCaps w:val="false"/>
            <w:sz w:val="24"/>
            <w:shd w:fill="FFFFFF" w:val="clear"/>
          </w:rPr>
          <w:t>Section 12.7.</w:t>
        </w:r>
      </w:hyperlink>
      <w:r>
        <w:rPr>
          <w:rFonts w:ascii="Times New Roman;Times;serif" w:hAnsi="Times New Roman;Times;serif"/>
          <w:sz w:val="24"/>
          <w:shd w:fill="FFFFFF" w:val="clear"/>
        </w:rPr>
        <w:tab/>
      </w:r>
      <w:hyperlink w:anchor="_Toc241229906">
        <w:r>
          <w:rPr>
            <w:rStyle w:val="InternetLink"/>
            <w:rFonts w:ascii="Times New Roman;Times;serif" w:hAnsi="Times New Roman;Times;serif"/>
            <w:b w:val="false"/>
            <w:i w:val="false"/>
            <w:caps w:val="false"/>
            <w:smallCaps w:val="false"/>
            <w:sz w:val="24"/>
            <w:shd w:fill="FFFFFF" w:val="clear"/>
          </w:rPr>
          <w:t>Sharing of SetOff</w:t>
        </w:r>
      </w:hyperlink>
      <w:hyperlink w:anchor="_Toc241229906">
        <w:r>
          <w:rPr>
            <w:webHidden/>
          </w:rPr>
          <w:fldChar w:fldCharType="begin"/>
        </w:r>
        <w:r>
          <w:rPr>
            <w:webHidden/>
          </w:rPr>
          <w:instrText xml:space="preserve">PAGEREF _Toc241229906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108</w:t>
        </w:r>
        <w:r>
          <w:rPr>
            <w:webHidden/>
          </w:rPr>
          <w:fldChar w:fldCharType="end"/>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895"/>
                <wp:effectExtent l="0" t="0" r="0" b="0"/>
                <wp:wrapNone/>
                <wp:docPr id="136" name="Frame1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7">
        <w:r>
          <w:rPr>
            <w:rStyle w:val="InternetLink"/>
            <w:rFonts w:ascii="Times New Roman;Times;serif" w:hAnsi="Times New Roman;Times;serif"/>
            <w:b w:val="false"/>
            <w:i w:val="false"/>
            <w:caps w:val="false"/>
            <w:smallCaps w:val="false"/>
            <w:sz w:val="24"/>
            <w:shd w:fill="FFFFFF" w:val="clear"/>
          </w:rPr>
          <w:t>Section 12.8.</w:t>
        </w:r>
      </w:hyperlink>
      <w:r>
        <w:rPr>
          <w:rFonts w:ascii="Times New Roman;Times;serif" w:hAnsi="Times New Roman;Times;serif"/>
          <w:sz w:val="24"/>
          <w:shd w:fill="FFFFFF" w:val="clear"/>
        </w:rPr>
        <w:tab/>
      </w:r>
      <w:hyperlink w:anchor="_Toc241229907">
        <w:r>
          <w:rPr>
            <w:rStyle w:val="InternetLink"/>
            <w:rFonts w:ascii="Times New Roman;Times;serif" w:hAnsi="Times New Roman;Times;serif"/>
            <w:b w:val="false"/>
            <w:i w:val="false"/>
            <w:caps w:val="false"/>
            <w:smallCaps w:val="false"/>
            <w:sz w:val="24"/>
            <w:shd w:fill="FFFFFF" w:val="clear"/>
          </w:rPr>
          <w:t>Notices</w:t>
        </w:r>
      </w:hyperlink>
      <w:hyperlink w:anchor="_Toc241229907">
        <w:r>
          <w:rPr>
            <w:webHidden/>
          </w:rPr>
          <w:fldChar w:fldCharType="begin"/>
        </w:r>
        <w:r>
          <w:rPr>
            <w:webHidden/>
          </w:rPr>
          <w:instrText xml:space="preserve">PAGEREF _Toc241229907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109</w:t>
        </w:r>
        <w:r>
          <w:rPr>
            <w:webHidden/>
          </w:rPr>
          <w:fldChar w:fldCharType="end"/>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895"/>
                <wp:effectExtent l="0" t="0" r="0" b="0"/>
                <wp:wrapNone/>
                <wp:docPr id="137" name="Frame13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8">
        <w:r>
          <w:rPr>
            <w:rStyle w:val="InternetLink"/>
            <w:rFonts w:ascii="Times New Roman;Times;serif" w:hAnsi="Times New Roman;Times;serif"/>
            <w:b w:val="false"/>
            <w:i w:val="false"/>
            <w:caps w:val="false"/>
            <w:smallCaps w:val="false"/>
            <w:sz w:val="24"/>
            <w:shd w:fill="FFFFFF" w:val="clear"/>
          </w:rPr>
          <w:t>Section 12.9.</w:t>
        </w:r>
      </w:hyperlink>
      <w:r>
        <w:rPr>
          <w:rFonts w:ascii="Times New Roman;Times;serif" w:hAnsi="Times New Roman;Times;serif"/>
          <w:sz w:val="24"/>
          <w:shd w:fill="FFFFFF" w:val="clear"/>
        </w:rPr>
        <w:tab/>
      </w:r>
      <w:hyperlink w:anchor="_Toc241229908">
        <w:r>
          <w:rPr>
            <w:rStyle w:val="InternetLink"/>
            <w:rFonts w:ascii="Times New Roman;Times;serif" w:hAnsi="Times New Roman;Times;serif"/>
            <w:b w:val="false"/>
            <w:i w:val="false"/>
            <w:caps w:val="false"/>
            <w:smallCaps w:val="false"/>
            <w:sz w:val="24"/>
            <w:shd w:fill="FFFFFF" w:val="clear"/>
          </w:rPr>
          <w:t>Counterparts</w:t>
        </w:r>
      </w:hyperlink>
      <w:hyperlink w:anchor="_Toc241229908">
        <w:r>
          <w:rPr>
            <w:webHidden/>
          </w:rPr>
          <w:fldChar w:fldCharType="begin"/>
        </w:r>
        <w:r>
          <w:rPr>
            <w:webHidden/>
          </w:rPr>
          <w:instrText xml:space="preserve">PAGEREF _Toc241229908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110</w:t>
        </w:r>
        <w:r>
          <w:rPr>
            <w:webHidden/>
          </w:rPr>
          <w:fldChar w:fldCharType="end"/>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895"/>
                <wp:effectExtent l="0" t="0" r="0" b="0"/>
                <wp:wrapNone/>
                <wp:docPr id="138" name="Frame1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09">
        <w:r>
          <w:rPr>
            <w:rStyle w:val="InternetLink"/>
            <w:rFonts w:ascii="Times New Roman;Times;serif" w:hAnsi="Times New Roman;Times;serif"/>
            <w:b w:val="false"/>
            <w:i w:val="false"/>
            <w:caps w:val="false"/>
            <w:smallCaps w:val="false"/>
            <w:sz w:val="24"/>
            <w:shd w:fill="FFFFFF" w:val="clear"/>
          </w:rPr>
          <w:t>Section 12.10.</w:t>
        </w:r>
      </w:hyperlink>
      <w:r>
        <w:rPr>
          <w:rFonts w:ascii="Times New Roman;Times;serif" w:hAnsi="Times New Roman;Times;serif"/>
          <w:sz w:val="24"/>
          <w:shd w:fill="FFFFFF" w:val="clear"/>
        </w:rPr>
        <w:tab/>
      </w:r>
      <w:hyperlink w:anchor="_Toc241229909">
        <w:r>
          <w:rPr>
            <w:rStyle w:val="InternetLink"/>
            <w:rFonts w:ascii="Times New Roman;Times;serif" w:hAnsi="Times New Roman;Times;serif"/>
            <w:b w:val="false"/>
            <w:i w:val="false"/>
            <w:caps w:val="false"/>
            <w:smallCaps w:val="false"/>
            <w:sz w:val="24"/>
            <w:shd w:fill="FFFFFF" w:val="clear"/>
          </w:rPr>
          <w:t>Successors and Assigns</w:t>
        </w:r>
      </w:hyperlink>
      <w:hyperlink w:anchor="_Toc241229909">
        <w:r>
          <w:rPr>
            <w:webHidden/>
          </w:rPr>
          <w:fldChar w:fldCharType="begin"/>
        </w:r>
        <w:r>
          <w:rPr>
            <w:webHidden/>
          </w:rPr>
          <w:instrText xml:space="preserve">PAGEREF _Toc241229909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110</w:t>
        </w:r>
        <w:r>
          <w:rPr>
            <w:webHidden/>
          </w:rPr>
          <w:fldChar w:fldCharType="end"/>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895"/>
                <wp:effectExtent l="0" t="0" r="0" b="0"/>
                <wp:wrapNone/>
                <wp:docPr id="139" name="Frame1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0">
        <w:r>
          <w:rPr>
            <w:rStyle w:val="InternetLink"/>
            <w:rFonts w:ascii="Times New Roman;Times;serif" w:hAnsi="Times New Roman;Times;serif"/>
            <w:b w:val="false"/>
            <w:i w:val="false"/>
            <w:caps w:val="false"/>
            <w:smallCaps w:val="false"/>
            <w:sz w:val="24"/>
            <w:shd w:fill="FFFFFF" w:val="clear"/>
          </w:rPr>
          <w:t>Section 12.11.</w:t>
        </w:r>
      </w:hyperlink>
      <w:r>
        <w:rPr>
          <w:rFonts w:ascii="Times New Roman;Times;serif" w:hAnsi="Times New Roman;Times;serif"/>
          <w:sz w:val="24"/>
          <w:shd w:fill="FFFFFF" w:val="clear"/>
        </w:rPr>
        <w:tab/>
      </w:r>
      <w:hyperlink w:anchor="_Toc241229910">
        <w:r>
          <w:rPr>
            <w:rStyle w:val="InternetLink"/>
            <w:rFonts w:ascii="Times New Roman;Times;serif" w:hAnsi="Times New Roman;Times;serif"/>
            <w:b w:val="false"/>
            <w:i w:val="false"/>
            <w:caps w:val="false"/>
            <w:smallCaps w:val="false"/>
            <w:sz w:val="24"/>
            <w:shd w:fill="FFFFFF" w:val="clear"/>
          </w:rPr>
          <w:t>Participants</w:t>
        </w:r>
      </w:hyperlink>
      <w:hyperlink w:anchor="_Toc241229910">
        <w:r>
          <w:rPr>
            <w:webHidden/>
          </w:rPr>
          <w:fldChar w:fldCharType="begin"/>
        </w:r>
        <w:r>
          <w:rPr>
            <w:webHidden/>
          </w:rPr>
          <w:instrText xml:space="preserve">PAGEREF _Toc241229910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110</w:t>
        </w:r>
        <w:r>
          <w:rPr>
            <w:webHidden/>
          </w:rPr>
          <w:fldChar w:fldCharType="end"/>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895"/>
                <wp:effectExtent l="0" t="0" r="0" b="0"/>
                <wp:wrapNone/>
                <wp:docPr id="140" name="Frame1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9.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1">
        <w:r>
          <w:rPr>
            <w:rStyle w:val="InternetLink"/>
            <w:rFonts w:ascii="Times New Roman;Times;serif" w:hAnsi="Times New Roman;Times;serif"/>
            <w:b w:val="false"/>
            <w:i w:val="false"/>
            <w:caps w:val="false"/>
            <w:smallCaps w:val="false"/>
            <w:sz w:val="24"/>
            <w:shd w:fill="FFFFFF" w:val="clear"/>
          </w:rPr>
          <w:t>Section 12.12.</w:t>
        </w:r>
      </w:hyperlink>
      <w:r>
        <w:rPr>
          <w:rFonts w:ascii="Times New Roman;Times;serif" w:hAnsi="Times New Roman;Times;serif"/>
          <w:sz w:val="24"/>
          <w:shd w:fill="FFFFFF" w:val="clear"/>
        </w:rPr>
        <w:tab/>
      </w:r>
      <w:hyperlink w:anchor="_Toc241229911">
        <w:r>
          <w:rPr>
            <w:rStyle w:val="InternetLink"/>
            <w:rFonts w:ascii="Times New Roman;Times;serif" w:hAnsi="Times New Roman;Times;serif"/>
            <w:b w:val="false"/>
            <w:i w:val="false"/>
            <w:caps w:val="false"/>
            <w:smallCaps w:val="false"/>
            <w:sz w:val="24"/>
            <w:shd w:fill="FFFFFF" w:val="clear"/>
          </w:rPr>
          <w:t>Assignments</w:t>
        </w:r>
      </w:hyperlink>
      <w:hyperlink w:anchor="_Toc241229911">
        <w:r>
          <w:rPr>
            <w:webHidden/>
          </w:rPr>
          <w:fldChar w:fldCharType="begin"/>
        </w:r>
        <w:r>
          <w:rPr>
            <w:webHidden/>
          </w:rPr>
          <w:instrText xml:space="preserve">PAGEREF _Toc241229911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111</w:t>
        </w:r>
        <w:r>
          <w:rPr>
            <w:webHidden/>
          </w:rPr>
          <w:fldChar w:fldCharType="end"/>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895"/>
                <wp:effectExtent l="0" t="0" r="0" b="0"/>
                <wp:wrapNone/>
                <wp:docPr id="141" name="Frame1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2">
        <w:r>
          <w:rPr>
            <w:rStyle w:val="InternetLink"/>
            <w:rFonts w:ascii="Times New Roman;Times;serif" w:hAnsi="Times New Roman;Times;serif"/>
            <w:b w:val="false"/>
            <w:i w:val="false"/>
            <w:caps w:val="false"/>
            <w:smallCaps w:val="false"/>
            <w:sz w:val="24"/>
            <w:shd w:fill="FFFFFF" w:val="clear"/>
          </w:rPr>
          <w:t>Section 12.13.</w:t>
        </w:r>
      </w:hyperlink>
      <w:r>
        <w:rPr>
          <w:rFonts w:ascii="Times New Roman;Times;serif" w:hAnsi="Times New Roman;Times;serif"/>
          <w:sz w:val="24"/>
          <w:shd w:fill="FFFFFF" w:val="clear"/>
        </w:rPr>
        <w:tab/>
      </w:r>
      <w:hyperlink w:anchor="_Toc241229912">
        <w:r>
          <w:rPr>
            <w:rStyle w:val="InternetLink"/>
            <w:rFonts w:ascii="Times New Roman;Times;serif" w:hAnsi="Times New Roman;Times;serif"/>
            <w:b w:val="false"/>
            <w:i w:val="false"/>
            <w:caps w:val="false"/>
            <w:smallCaps w:val="false"/>
            <w:sz w:val="24"/>
            <w:shd w:fill="FFFFFF" w:val="clear"/>
          </w:rPr>
          <w:t>Amendments</w:t>
        </w:r>
      </w:hyperlink>
      <w:hyperlink w:anchor="_Toc241229912">
        <w:r>
          <w:rPr>
            <w:webHidden/>
          </w:rPr>
          <w:fldChar w:fldCharType="begin"/>
        </w:r>
        <w:r>
          <w:rPr>
            <w:webHidden/>
          </w:rPr>
          <w:instrText xml:space="preserve">PAGEREF _Toc241229912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113</w:t>
        </w:r>
        <w:r>
          <w:rPr>
            <w:webHidden/>
          </w:rPr>
          <w:fldChar w:fldCharType="end"/>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895"/>
                <wp:effectExtent l="0" t="0" r="0" b="0"/>
                <wp:wrapNone/>
                <wp:docPr id="142" name="Frame1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3">
        <w:r>
          <w:rPr>
            <w:rStyle w:val="InternetLink"/>
            <w:rFonts w:ascii="Times New Roman;Times;serif" w:hAnsi="Times New Roman;Times;serif"/>
            <w:b w:val="false"/>
            <w:i w:val="false"/>
            <w:caps w:val="false"/>
            <w:smallCaps w:val="false"/>
            <w:sz w:val="24"/>
            <w:shd w:fill="FFFFFF" w:val="clear"/>
          </w:rPr>
          <w:t>Section 12.14.</w:t>
        </w:r>
      </w:hyperlink>
      <w:r>
        <w:rPr>
          <w:rFonts w:ascii="Times New Roman;Times;serif" w:hAnsi="Times New Roman;Times;serif"/>
          <w:sz w:val="24"/>
          <w:shd w:fill="FFFFFF" w:val="clear"/>
        </w:rPr>
        <w:tab/>
      </w:r>
      <w:hyperlink w:anchor="_Toc241229913">
        <w:r>
          <w:rPr>
            <w:rStyle w:val="InternetLink"/>
            <w:rFonts w:ascii="Times New Roman;Times;serif" w:hAnsi="Times New Roman;Times;serif"/>
            <w:b w:val="false"/>
            <w:i w:val="false"/>
            <w:caps w:val="false"/>
            <w:smallCaps w:val="false"/>
            <w:sz w:val="24"/>
            <w:shd w:fill="FFFFFF" w:val="clear"/>
          </w:rPr>
          <w:t>Headings</w:t>
        </w:r>
      </w:hyperlink>
      <w:hyperlink w:anchor="_Toc241229913">
        <w:r>
          <w:rPr>
            <w:webHidden/>
          </w:rPr>
          <w:fldChar w:fldCharType="begin"/>
        </w:r>
        <w:r>
          <w:rPr>
            <w:webHidden/>
          </w:rPr>
          <w:instrText xml:space="preserve">PAGEREF _Toc241229913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115</w:t>
        </w:r>
        <w:r>
          <w:rPr>
            <w:webHidden/>
          </w:rPr>
          <w:fldChar w:fldCharType="end"/>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895"/>
                <wp:effectExtent l="0" t="0" r="0" b="0"/>
                <wp:wrapNone/>
                <wp:docPr id="143" name="Frame1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4">
        <w:r>
          <w:rPr>
            <w:rStyle w:val="InternetLink"/>
            <w:rFonts w:ascii="Times New Roman;Times;serif" w:hAnsi="Times New Roman;Times;serif"/>
            <w:b w:val="false"/>
            <w:i w:val="false"/>
            <w:caps w:val="false"/>
            <w:smallCaps w:val="false"/>
            <w:sz w:val="24"/>
            <w:shd w:fill="FFFFFF" w:val="clear"/>
          </w:rPr>
          <w:t>Section 12.15.</w:t>
        </w:r>
      </w:hyperlink>
      <w:r>
        <w:rPr>
          <w:rFonts w:ascii="Times New Roman;Times;serif" w:hAnsi="Times New Roman;Times;serif"/>
          <w:sz w:val="24"/>
          <w:shd w:fill="FFFFFF" w:val="clear"/>
        </w:rPr>
        <w:tab/>
      </w:r>
      <w:hyperlink w:anchor="_Toc241229914">
        <w:r>
          <w:rPr>
            <w:rStyle w:val="InternetLink"/>
            <w:rFonts w:ascii="Times New Roman;Times;serif" w:hAnsi="Times New Roman;Times;serif"/>
            <w:b w:val="false"/>
            <w:i w:val="false"/>
            <w:caps w:val="false"/>
            <w:smallCaps w:val="false"/>
            <w:sz w:val="24"/>
            <w:shd w:fill="FFFFFF" w:val="clear"/>
          </w:rPr>
          <w:t>Costs and Expenses; Indemnification</w:t>
        </w:r>
      </w:hyperlink>
      <w:hyperlink w:anchor="_Toc241229914">
        <w:r>
          <w:rPr>
            <w:webHidden/>
          </w:rPr>
          <w:fldChar w:fldCharType="begin"/>
        </w:r>
        <w:r>
          <w:rPr>
            <w:webHidden/>
          </w:rPr>
          <w:instrText xml:space="preserve">PAGEREF _Toc241229914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115</w:t>
        </w:r>
        <w:r>
          <w:rPr>
            <w:webHidden/>
          </w:rPr>
          <w:fldChar w:fldCharType="end"/>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895"/>
                <wp:effectExtent l="0" t="0" r="0" b="0"/>
                <wp:wrapNone/>
                <wp:docPr id="144" name="Frame1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1.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5">
        <w:r>
          <w:rPr>
            <w:rStyle w:val="InternetLink"/>
            <w:rFonts w:ascii="Times New Roman;Times;serif" w:hAnsi="Times New Roman;Times;serif"/>
            <w:b w:val="false"/>
            <w:i w:val="false"/>
            <w:caps w:val="false"/>
            <w:smallCaps w:val="false"/>
            <w:sz w:val="24"/>
            <w:shd w:fill="FFFFFF" w:val="clear"/>
          </w:rPr>
          <w:t>Section 12.16.</w:t>
        </w:r>
      </w:hyperlink>
      <w:r>
        <w:rPr>
          <w:rFonts w:ascii="Times New Roman;Times;serif" w:hAnsi="Times New Roman;Times;serif"/>
          <w:sz w:val="24"/>
          <w:shd w:fill="FFFFFF" w:val="clear"/>
        </w:rPr>
        <w:tab/>
      </w:r>
      <w:hyperlink w:anchor="_Toc241229915">
        <w:r>
          <w:rPr>
            <w:rStyle w:val="InternetLink"/>
            <w:rFonts w:ascii="Times New Roman;Times;serif" w:hAnsi="Times New Roman;Times;serif"/>
            <w:b w:val="false"/>
            <w:i w:val="false"/>
            <w:caps w:val="false"/>
            <w:smallCaps w:val="false"/>
            <w:sz w:val="24"/>
            <w:shd w:fill="FFFFFF" w:val="clear"/>
          </w:rPr>
          <w:t>Setoff</w:t>
        </w:r>
      </w:hyperlink>
      <w:hyperlink w:anchor="_Toc241229915">
        <w:r>
          <w:rPr>
            <w:webHidden/>
          </w:rPr>
          <w:fldChar w:fldCharType="begin"/>
        </w:r>
        <w:r>
          <w:rPr>
            <w:webHidden/>
          </w:rPr>
          <w:instrText xml:space="preserve">PAGEREF _Toc241229915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116</w:t>
        </w:r>
        <w:r>
          <w:rPr>
            <w:webHidden/>
          </w:rPr>
          <w:fldChar w:fldCharType="end"/>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895"/>
                <wp:effectExtent l="0" t="0" r="0" b="0"/>
                <wp:wrapNone/>
                <wp:docPr id="145" name="Frame1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6">
        <w:r>
          <w:rPr>
            <w:rStyle w:val="InternetLink"/>
            <w:rFonts w:ascii="Times New Roman;Times;serif" w:hAnsi="Times New Roman;Times;serif"/>
            <w:b w:val="false"/>
            <w:i w:val="false"/>
            <w:caps w:val="false"/>
            <w:smallCaps w:val="false"/>
            <w:sz w:val="24"/>
            <w:shd w:fill="FFFFFF" w:val="clear"/>
          </w:rPr>
          <w:t>Section 12.17.</w:t>
        </w:r>
      </w:hyperlink>
      <w:r>
        <w:rPr>
          <w:rFonts w:ascii="Times New Roman;Times;serif" w:hAnsi="Times New Roman;Times;serif"/>
          <w:sz w:val="24"/>
          <w:shd w:fill="FFFFFF" w:val="clear"/>
        </w:rPr>
        <w:tab/>
      </w:r>
      <w:hyperlink w:anchor="_Toc241229916">
        <w:r>
          <w:rPr>
            <w:rStyle w:val="InternetLink"/>
            <w:rFonts w:ascii="Times New Roman;Times;serif" w:hAnsi="Times New Roman;Times;serif"/>
            <w:b w:val="false"/>
            <w:i w:val="false"/>
            <w:caps w:val="false"/>
            <w:smallCaps w:val="false"/>
            <w:sz w:val="24"/>
            <w:shd w:fill="FFFFFF" w:val="clear"/>
          </w:rPr>
          <w:t>Entire Agreement</w:t>
        </w:r>
      </w:hyperlink>
      <w:hyperlink w:anchor="_Toc241229916">
        <w:r>
          <w:rPr>
            <w:webHidden/>
          </w:rPr>
          <w:fldChar w:fldCharType="begin"/>
        </w:r>
        <w:r>
          <w:rPr>
            <w:webHidden/>
          </w:rPr>
          <w:instrText xml:space="preserve">PAGEREF _Toc241229916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117</w:t>
        </w:r>
        <w:r>
          <w:rPr>
            <w:webHidden/>
          </w:rPr>
          <w:fldChar w:fldCharType="end"/>
        </w:r>
      </w:hyperlink>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895"/>
                <wp:effectExtent l="0" t="0" r="0" b="0"/>
                <wp:wrapNone/>
                <wp:docPr id="146" name="Frame1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7">
        <w:r>
          <w:rPr>
            <w:rStyle w:val="InternetLink"/>
            <w:rFonts w:ascii="Times New Roman;Times;serif" w:hAnsi="Times New Roman;Times;serif"/>
            <w:b w:val="false"/>
            <w:i w:val="false"/>
            <w:caps w:val="false"/>
            <w:smallCaps w:val="false"/>
            <w:sz w:val="24"/>
            <w:shd w:fill="FFFFFF" w:val="clear"/>
          </w:rPr>
          <w:t>Section 12.18.</w:t>
        </w:r>
      </w:hyperlink>
      <w:r>
        <w:rPr>
          <w:rFonts w:ascii="Times New Roman;Times;serif" w:hAnsi="Times New Roman;Times;serif"/>
          <w:sz w:val="24"/>
          <w:shd w:fill="FFFFFF" w:val="clear"/>
        </w:rPr>
        <w:tab/>
      </w:r>
      <w:hyperlink w:anchor="_Toc241229917">
        <w:r>
          <w:rPr>
            <w:rStyle w:val="InternetLink"/>
            <w:rFonts w:ascii="Times New Roman;Times;serif" w:hAnsi="Times New Roman;Times;serif"/>
            <w:b w:val="false"/>
            <w:i w:val="false"/>
            <w:caps w:val="false"/>
            <w:smallCaps w:val="false"/>
            <w:sz w:val="24"/>
            <w:shd w:fill="FFFFFF" w:val="clear"/>
          </w:rPr>
          <w:t>Governing Law</w:t>
        </w:r>
      </w:hyperlink>
      <w:hyperlink w:anchor="_Toc241229917">
        <w:r>
          <w:rPr>
            <w:webHidden/>
          </w:rPr>
          <w:fldChar w:fldCharType="begin"/>
        </w:r>
        <w:r>
          <w:rPr>
            <w:webHidden/>
          </w:rPr>
          <w:instrText xml:space="preserve">PAGEREF _Toc241229917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117</w:t>
        </w:r>
        <w:r>
          <w:rPr>
            <w:webHidden/>
          </w:rPr>
          <w:fldChar w:fldCharType="end"/>
        </w:r>
      </w:hyperlink>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895"/>
                <wp:effectExtent l="0" t="0" r="0" b="0"/>
                <wp:wrapNone/>
                <wp:docPr id="147" name="Frame1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8">
        <w:r>
          <w:rPr>
            <w:rStyle w:val="InternetLink"/>
            <w:rFonts w:ascii="Times New Roman;Times;serif" w:hAnsi="Times New Roman;Times;serif"/>
            <w:b w:val="false"/>
            <w:i w:val="false"/>
            <w:caps w:val="false"/>
            <w:smallCaps w:val="false"/>
            <w:sz w:val="24"/>
            <w:shd w:fill="FFFFFF" w:val="clear"/>
          </w:rPr>
          <w:t>Section 12.19.</w:t>
        </w:r>
      </w:hyperlink>
      <w:r>
        <w:rPr>
          <w:rFonts w:ascii="Times New Roman;Times;serif" w:hAnsi="Times New Roman;Times;serif"/>
          <w:sz w:val="24"/>
          <w:shd w:fill="FFFFFF" w:val="clear"/>
        </w:rPr>
        <w:tab/>
      </w:r>
      <w:hyperlink w:anchor="_Toc241229918">
        <w:r>
          <w:rPr>
            <w:rStyle w:val="InternetLink"/>
            <w:rFonts w:ascii="Times New Roman;Times;serif" w:hAnsi="Times New Roman;Times;serif"/>
            <w:b w:val="false"/>
            <w:i w:val="false"/>
            <w:caps w:val="false"/>
            <w:smallCaps w:val="false"/>
            <w:sz w:val="24"/>
            <w:shd w:fill="FFFFFF" w:val="clear"/>
          </w:rPr>
          <w:t>Severability of Provisions</w:t>
        </w:r>
      </w:hyperlink>
      <w:hyperlink w:anchor="_Toc241229918">
        <w:r>
          <w:rPr>
            <w:webHidden/>
          </w:rPr>
          <w:fldChar w:fldCharType="begin"/>
        </w:r>
        <w:r>
          <w:rPr>
            <w:webHidden/>
          </w:rPr>
          <w:instrText xml:space="preserve">PAGEREF _Toc241229918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117</w:t>
        </w:r>
        <w:r>
          <w:rPr>
            <w:webHidden/>
          </w:rPr>
          <w:fldChar w:fldCharType="end"/>
        </w:r>
      </w:hyperlink>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895"/>
                <wp:effectExtent l="0" t="0" r="0" b="0"/>
                <wp:wrapNone/>
                <wp:docPr id="148" name="Frame1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19">
        <w:r>
          <w:rPr>
            <w:rStyle w:val="InternetLink"/>
            <w:rFonts w:ascii="Times New Roman;Times;serif" w:hAnsi="Times New Roman;Times;serif"/>
            <w:b w:val="false"/>
            <w:i w:val="false"/>
            <w:caps w:val="false"/>
            <w:smallCaps w:val="false"/>
            <w:sz w:val="24"/>
            <w:shd w:fill="FFFFFF" w:val="clear"/>
          </w:rPr>
          <w:t>Section 12.20.</w:t>
        </w:r>
      </w:hyperlink>
      <w:r>
        <w:rPr>
          <w:rFonts w:ascii="Times New Roman;Times;serif" w:hAnsi="Times New Roman;Times;serif"/>
          <w:sz w:val="24"/>
          <w:shd w:fill="FFFFFF" w:val="clear"/>
        </w:rPr>
        <w:tab/>
      </w:r>
      <w:hyperlink w:anchor="_Toc241229919">
        <w:r>
          <w:rPr>
            <w:rStyle w:val="InternetLink"/>
            <w:rFonts w:ascii="Times New Roman;Times;serif" w:hAnsi="Times New Roman;Times;serif"/>
            <w:b w:val="false"/>
            <w:i w:val="false"/>
            <w:caps w:val="false"/>
            <w:smallCaps w:val="false"/>
            <w:sz w:val="24"/>
            <w:shd w:fill="FFFFFF" w:val="clear"/>
          </w:rPr>
          <w:t>Excess Interest</w:t>
        </w:r>
      </w:hyperlink>
      <w:hyperlink w:anchor="_Toc241229919">
        <w:r>
          <w:rPr>
            <w:webHidden/>
          </w:rPr>
          <w:fldChar w:fldCharType="begin"/>
        </w:r>
        <w:r>
          <w:rPr>
            <w:webHidden/>
          </w:rPr>
          <w:instrText xml:space="preserve">PAGEREF _Toc241229919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117</w:t>
        </w:r>
        <w:r>
          <w:rPr>
            <w:webHidden/>
          </w:rPr>
          <w:fldChar w:fldCharType="end"/>
        </w:r>
      </w:hyperlink>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895"/>
                <wp:effectExtent l="0" t="0" r="0" b="0"/>
                <wp:wrapNone/>
                <wp:docPr id="149" name="Frame1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0">
        <w:r>
          <w:rPr>
            <w:rStyle w:val="InternetLink"/>
            <w:rFonts w:ascii="Times New Roman;Times;serif" w:hAnsi="Times New Roman;Times;serif"/>
            <w:b w:val="false"/>
            <w:i w:val="false"/>
            <w:caps w:val="false"/>
            <w:smallCaps w:val="false"/>
            <w:sz w:val="24"/>
            <w:shd w:fill="FFFFFF" w:val="clear"/>
          </w:rPr>
          <w:t>Section 12.21.</w:t>
        </w:r>
      </w:hyperlink>
      <w:r>
        <w:rPr>
          <w:rFonts w:ascii="Times New Roman;Times;serif" w:hAnsi="Times New Roman;Times;serif"/>
          <w:sz w:val="24"/>
          <w:shd w:fill="FFFFFF" w:val="clear"/>
        </w:rPr>
        <w:tab/>
      </w:r>
      <w:hyperlink w:anchor="_Toc241229920">
        <w:r>
          <w:rPr>
            <w:rStyle w:val="InternetLink"/>
            <w:rFonts w:ascii="Times New Roman;Times;serif" w:hAnsi="Times New Roman;Times;serif"/>
            <w:b w:val="false"/>
            <w:i w:val="false"/>
            <w:caps w:val="false"/>
            <w:smallCaps w:val="false"/>
            <w:sz w:val="24"/>
            <w:shd w:fill="FFFFFF" w:val="clear"/>
          </w:rPr>
          <w:t>Construction</w:t>
        </w:r>
      </w:hyperlink>
      <w:hyperlink w:anchor="_Toc241229920">
        <w:r>
          <w:rPr>
            <w:webHidden/>
          </w:rPr>
          <w:fldChar w:fldCharType="begin"/>
        </w:r>
        <w:r>
          <w:rPr>
            <w:webHidden/>
          </w:rPr>
          <w:instrText xml:space="preserve">PAGEREF _Toc241229920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895"/>
                <wp:effectExtent l="0" t="0" r="0" b="0"/>
                <wp:wrapNone/>
                <wp:docPr id="150" name="Frame1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1">
        <w:r>
          <w:rPr>
            <w:rStyle w:val="InternetLink"/>
            <w:rFonts w:ascii="Times New Roman;Times;serif" w:hAnsi="Times New Roman;Times;serif"/>
            <w:b w:val="false"/>
            <w:i w:val="false"/>
            <w:caps w:val="false"/>
            <w:smallCaps w:val="false"/>
            <w:sz w:val="24"/>
            <w:shd w:fill="FFFFFF" w:val="clear"/>
          </w:rPr>
          <w:t>Section 12.22.</w:t>
        </w:r>
      </w:hyperlink>
      <w:r>
        <w:rPr>
          <w:rFonts w:ascii="Times New Roman;Times;serif" w:hAnsi="Times New Roman;Times;serif"/>
          <w:sz w:val="24"/>
          <w:shd w:fill="FFFFFF" w:val="clear"/>
        </w:rPr>
        <w:tab/>
      </w:r>
      <w:hyperlink w:anchor="_Toc241229921">
        <w:r>
          <w:rPr>
            <w:rStyle w:val="InternetLink"/>
            <w:rFonts w:ascii="Times New Roman;Times;serif" w:hAnsi="Times New Roman;Times;serif"/>
            <w:b w:val="false"/>
            <w:i w:val="false"/>
            <w:caps w:val="false"/>
            <w:smallCaps w:val="false"/>
            <w:sz w:val="24"/>
            <w:shd w:fill="FFFFFF" w:val="clear"/>
          </w:rPr>
          <w:t>Lender’s Obligations Several</w:t>
        </w:r>
      </w:hyperlink>
      <w:hyperlink w:anchor="_Toc241229921">
        <w:r>
          <w:rPr>
            <w:webHidden/>
          </w:rPr>
          <w:fldChar w:fldCharType="begin"/>
        </w:r>
        <w:r>
          <w:rPr>
            <w:webHidden/>
          </w:rPr>
          <w:instrText xml:space="preserve">PAGEREF _Toc241229921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895"/>
                <wp:effectExtent l="0" t="0" r="0" b="0"/>
                <wp:wrapNone/>
                <wp:docPr id="151" name="Frame1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2">
        <w:r>
          <w:rPr>
            <w:rStyle w:val="InternetLink"/>
            <w:rFonts w:ascii="Times New Roman;Times;serif" w:hAnsi="Times New Roman;Times;serif"/>
            <w:b w:val="false"/>
            <w:i w:val="false"/>
            <w:smallCaps/>
            <w:sz w:val="24"/>
            <w:shd w:fill="FFFFFF" w:val="clear"/>
          </w:rPr>
          <w:t>Section 12.23.</w:t>
        </w:r>
      </w:hyperlink>
      <w:r>
        <w:rPr>
          <w:rFonts w:ascii="Times New Roman;Times;serif" w:hAnsi="Times New Roman;Times;serif"/>
          <w:sz w:val="24"/>
          <w:shd w:fill="FFFFFF" w:val="clear"/>
        </w:rPr>
        <w:tab/>
      </w:r>
      <w:hyperlink w:anchor="_Toc241229922">
        <w:r>
          <w:rPr>
            <w:rStyle w:val="InternetLink"/>
            <w:rFonts w:ascii="Times New Roman;Times;serif" w:hAnsi="Times New Roman;Times;serif"/>
            <w:b w:val="false"/>
            <w:i w:val="false"/>
            <w:caps w:val="false"/>
            <w:smallCaps w:val="false"/>
            <w:sz w:val="24"/>
            <w:shd w:fill="FFFFFF" w:val="clear"/>
          </w:rPr>
          <w:t>Submission to Jurisdiction; Waiver of Jury Trial</w:t>
        </w:r>
      </w:hyperlink>
      <w:hyperlink w:anchor="_Toc241229922">
        <w:r>
          <w:rPr>
            <w:webHidden/>
          </w:rPr>
          <w:fldChar w:fldCharType="begin"/>
        </w:r>
        <w:r>
          <w:rPr>
            <w:webHidden/>
          </w:rPr>
          <w:instrText xml:space="preserve">PAGEREF _Toc241229922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895"/>
                <wp:effectExtent l="0" t="0" r="0" b="0"/>
                <wp:wrapNone/>
                <wp:docPr id="152" name="Frame1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3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3">
        <w:r>
          <w:rPr>
            <w:rStyle w:val="InternetLink"/>
            <w:rFonts w:ascii="Times New Roman;Times;serif" w:hAnsi="Times New Roman;Times;serif"/>
            <w:b w:val="false"/>
            <w:i w:val="false"/>
            <w:caps w:val="false"/>
            <w:smallCaps w:val="false"/>
            <w:sz w:val="24"/>
            <w:shd w:fill="FFFFFF" w:val="clear"/>
          </w:rPr>
          <w:t>Section 12.24.</w:t>
        </w:r>
      </w:hyperlink>
      <w:r>
        <w:rPr>
          <w:rFonts w:ascii="Times New Roman;Times;serif" w:hAnsi="Times New Roman;Times;serif"/>
          <w:sz w:val="24"/>
          <w:shd w:fill="FFFFFF" w:val="clear"/>
        </w:rPr>
        <w:tab/>
      </w:r>
      <w:hyperlink w:anchor="_Toc241229923">
        <w:r>
          <w:rPr>
            <w:rStyle w:val="InternetLink"/>
            <w:rFonts w:ascii="Times New Roman;Times;serif" w:hAnsi="Times New Roman;Times;serif"/>
            <w:b w:val="false"/>
            <w:i w:val="false"/>
            <w:caps w:val="false"/>
            <w:smallCaps w:val="false"/>
            <w:sz w:val="24"/>
            <w:shd w:fill="FFFFFF" w:val="clear"/>
          </w:rPr>
          <w:t>USA Patriot Act</w:t>
        </w:r>
      </w:hyperlink>
      <w:hyperlink w:anchor="_Toc241229923">
        <w:r>
          <w:rPr>
            <w:webHidden/>
          </w:rPr>
          <w:fldChar w:fldCharType="begin"/>
        </w:r>
        <w:r>
          <w:rPr>
            <w:webHidden/>
          </w:rPr>
          <w:instrText xml:space="preserve">PAGEREF _Toc241229923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895"/>
                <wp:effectExtent l="0" t="0" r="0" b="0"/>
                <wp:wrapNone/>
                <wp:docPr id="153" name="Frame1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4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4">
        <w:r>
          <w:rPr>
            <w:rStyle w:val="InternetLink"/>
            <w:rFonts w:ascii="Times New Roman;Times;serif" w:hAnsi="Times New Roman;Times;serif"/>
            <w:b w:val="false"/>
            <w:i w:val="false"/>
            <w:caps w:val="false"/>
            <w:smallCaps w:val="false"/>
            <w:sz w:val="24"/>
            <w:shd w:fill="FFFFFF" w:val="clear"/>
          </w:rPr>
          <w:t>Section 12.25.</w:t>
        </w:r>
      </w:hyperlink>
      <w:r>
        <w:rPr>
          <w:rFonts w:ascii="Times New Roman;Times;serif" w:hAnsi="Times New Roman;Times;serif"/>
          <w:sz w:val="24"/>
          <w:shd w:fill="FFFFFF" w:val="clear"/>
        </w:rPr>
        <w:tab/>
      </w:r>
      <w:hyperlink w:anchor="_Toc241229924">
        <w:r>
          <w:rPr>
            <w:rStyle w:val="InternetLink"/>
            <w:rFonts w:ascii="Times New Roman;Times;serif" w:hAnsi="Times New Roman;Times;serif"/>
            <w:b w:val="false"/>
            <w:i w:val="false"/>
            <w:caps w:val="false"/>
            <w:smallCaps w:val="false"/>
            <w:sz w:val="24"/>
            <w:shd w:fill="FFFFFF" w:val="clear"/>
          </w:rPr>
          <w:t>Confidentiality</w:t>
        </w:r>
      </w:hyperlink>
      <w:hyperlink w:anchor="_Toc241229924">
        <w:r>
          <w:rPr>
            <w:webHidden/>
          </w:rPr>
          <w:fldChar w:fldCharType="begin"/>
        </w:r>
        <w:r>
          <w:rPr>
            <w:webHidden/>
          </w:rPr>
          <w:instrText xml:space="preserve">PAGEREF _Toc241229924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118</w:t>
        </w:r>
        <w:r>
          <w:rPr>
            <w:webHidden/>
          </w:rPr>
          <w:fldChar w:fldCharType="end"/>
        </w:r>
      </w:hyperlink>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895"/>
                <wp:effectExtent l="0" t="0" r="0" b="0"/>
                <wp:wrapNone/>
                <wp:docPr id="154" name="Frame1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5">
        <w:r>
          <w:rPr>
            <w:rStyle w:val="InternetLink"/>
            <w:rFonts w:ascii="Times New Roman;Times;serif" w:hAnsi="Times New Roman;Times;serif"/>
            <w:b w:val="false"/>
            <w:i w:val="false"/>
            <w:caps w:val="false"/>
            <w:smallCaps w:val="false"/>
            <w:sz w:val="24"/>
            <w:shd w:fill="FFFFFF" w:val="clear"/>
          </w:rPr>
          <w:t>Section 12.26.</w:t>
        </w:r>
      </w:hyperlink>
      <w:r>
        <w:rPr>
          <w:rFonts w:ascii="Times New Roman;Times;serif" w:hAnsi="Times New Roman;Times;serif"/>
          <w:sz w:val="24"/>
          <w:shd w:fill="FFFFFF" w:val="clear"/>
        </w:rPr>
        <w:tab/>
      </w:r>
      <w:hyperlink w:anchor="_Toc241229925">
        <w:r>
          <w:rPr>
            <w:rStyle w:val="InternetLink"/>
            <w:rFonts w:ascii="Times New Roman;Times;serif" w:hAnsi="Times New Roman;Times;serif"/>
            <w:b w:val="false"/>
            <w:i w:val="false"/>
            <w:caps w:val="false"/>
            <w:smallCaps w:val="false"/>
            <w:sz w:val="24"/>
            <w:shd w:fill="FFFFFF" w:val="clear"/>
          </w:rPr>
          <w:t>Limitation of Recourse</w:t>
        </w:r>
      </w:hyperlink>
      <w:hyperlink w:anchor="_Toc241229925">
        <w:r>
          <w:rPr>
            <w:webHidden/>
          </w:rPr>
          <w:fldChar w:fldCharType="begin"/>
        </w:r>
        <w:r>
          <w:rPr>
            <w:webHidden/>
          </w:rPr>
          <w:instrText xml:space="preserve">PAGEREF _Toc241229925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120</w:t>
        </w:r>
        <w:r>
          <w:rPr>
            <w:webHidden/>
          </w:rPr>
          <w:fldChar w:fldCharType="end"/>
        </w:r>
      </w:hyperlink>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895"/>
                <wp:effectExtent l="0" t="0" r="0" b="0"/>
                <wp:wrapNone/>
                <wp:docPr id="155" name="Frame15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6">
        <w:r>
          <w:rPr>
            <w:rStyle w:val="InternetLink"/>
            <w:rFonts w:ascii="Times New Roman;Times;serif" w:hAnsi="Times New Roman;Times;serif"/>
            <w:b w:val="false"/>
            <w:i w:val="false"/>
            <w:caps w:val="false"/>
            <w:smallCaps w:val="false"/>
            <w:sz w:val="24"/>
            <w:shd w:fill="FFFFFF" w:val="clear"/>
          </w:rPr>
          <w:t>Section 12.27.</w:t>
        </w:r>
      </w:hyperlink>
      <w:r>
        <w:rPr>
          <w:rFonts w:ascii="Times New Roman;Times;serif" w:hAnsi="Times New Roman;Times;serif"/>
          <w:sz w:val="24"/>
          <w:shd w:fill="FFFFFF" w:val="clear"/>
        </w:rPr>
        <w:tab/>
      </w:r>
      <w:hyperlink w:anchor="_Toc241229926">
        <w:r>
          <w:rPr>
            <w:rStyle w:val="InternetLink"/>
            <w:rFonts w:ascii="Times New Roman;Times;serif" w:hAnsi="Times New Roman;Times;serif"/>
            <w:b w:val="false"/>
            <w:i w:val="false"/>
            <w:caps w:val="false"/>
            <w:smallCaps w:val="false"/>
            <w:sz w:val="24"/>
            <w:shd w:fill="FFFFFF" w:val="clear"/>
          </w:rPr>
          <w:t>Other Taxes.</w:t>
        </w:r>
      </w:hyperlink>
      <w:hyperlink w:anchor="_Toc241229926">
        <w:r>
          <w:rPr>
            <w:webHidden/>
          </w:rPr>
          <w:fldChar w:fldCharType="begin"/>
        </w:r>
        <w:r>
          <w:rPr>
            <w:webHidden/>
          </w:rPr>
          <w:instrText xml:space="preserve">PAGEREF _Toc241229926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120</w:t>
        </w:r>
        <w:r>
          <w:rPr>
            <w:webHidden/>
          </w:rPr>
          <w:fldChar w:fldCharType="end"/>
        </w:r>
      </w:hyperlink>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895"/>
                <wp:effectExtent l="0" t="0" r="0" b="0"/>
                <wp:wrapNone/>
                <wp:docPr id="156" name="Frame1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7">
        <w:r>
          <w:rPr>
            <w:rStyle w:val="InternetLink"/>
            <w:rFonts w:ascii="Times New Roman;Times;serif" w:hAnsi="Times New Roman;Times;serif"/>
            <w:b w:val="false"/>
            <w:i w:val="false"/>
            <w:caps w:val="false"/>
            <w:smallCaps w:val="false"/>
            <w:sz w:val="24"/>
            <w:shd w:fill="FFFFFF" w:val="clear"/>
          </w:rPr>
          <w:t>Section 12.28.</w:t>
        </w:r>
      </w:hyperlink>
      <w:r>
        <w:rPr>
          <w:rFonts w:ascii="Times New Roman;Times;serif" w:hAnsi="Times New Roman;Times;serif"/>
          <w:sz w:val="24"/>
          <w:shd w:fill="FFFFFF" w:val="clear"/>
        </w:rPr>
        <w:tab/>
      </w:r>
      <w:hyperlink w:anchor="_Toc241229927">
        <w:r>
          <w:rPr>
            <w:rStyle w:val="InternetLink"/>
            <w:rFonts w:ascii="Times New Roman;Times;serif" w:hAnsi="Times New Roman;Times;serif"/>
            <w:b w:val="false"/>
            <w:i w:val="false"/>
            <w:caps w:val="false"/>
            <w:smallCaps w:val="false"/>
            <w:sz w:val="24"/>
            <w:shd w:fill="FFFFFF" w:val="clear"/>
          </w:rPr>
          <w:t>Amendment and Restatement; No Novation; Reallocation of Existing Term Loans</w:t>
        </w:r>
      </w:hyperlink>
      <w:hyperlink w:anchor="_Toc241229927">
        <w:r>
          <w:rPr>
            <w:webHidden/>
          </w:rPr>
          <w:fldChar w:fldCharType="begin"/>
        </w:r>
        <w:r>
          <w:rPr>
            <w:webHidden/>
          </w:rPr>
          <w:instrText xml:space="preserve">PAGEREF _Toc241229927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120</w:t>
        </w:r>
        <w:r>
          <w:rPr>
            <w:webHidden/>
          </w:rPr>
          <w:fldChar w:fldCharType="end"/>
        </w:r>
      </w:hyperlink>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895"/>
                <wp:effectExtent l="0" t="0" r="0" b="0"/>
                <wp:wrapNone/>
                <wp:docPr id="157" name="Frame1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8">
        <w:r>
          <w:rPr>
            <w:rStyle w:val="InternetLink"/>
            <w:rFonts w:ascii="Times New Roman;Times;serif" w:hAnsi="Times New Roman;Times;serif"/>
            <w:b w:val="false"/>
            <w:i w:val="false"/>
            <w:caps w:val="false"/>
            <w:smallCaps w:val="false"/>
            <w:sz w:val="24"/>
            <w:shd w:fill="FFFFFF" w:val="clear"/>
          </w:rPr>
          <w:t>Section 12.29.</w:t>
        </w:r>
      </w:hyperlink>
      <w:r>
        <w:rPr>
          <w:rFonts w:ascii="Times New Roman;Times;serif" w:hAnsi="Times New Roman;Times;serif"/>
          <w:sz w:val="24"/>
          <w:shd w:fill="FFFFFF" w:val="clear"/>
        </w:rPr>
        <w:tab/>
      </w:r>
      <w:hyperlink w:anchor="_Toc241229928">
        <w:r>
          <w:rPr>
            <w:rStyle w:val="InternetLink"/>
            <w:rFonts w:ascii="Times New Roman;Times;serif" w:hAnsi="Times New Roman;Times;serif"/>
            <w:b w:val="false"/>
            <w:i w:val="false"/>
            <w:caps w:val="false"/>
            <w:smallCaps w:val="false"/>
            <w:sz w:val="24"/>
            <w:shd w:fill="FFFFFF" w:val="clear"/>
          </w:rPr>
          <w:t>Acknowledgement and Consent to Bail-In of Affected Financial Institutions</w:t>
        </w:r>
      </w:hyperlink>
      <w:hyperlink w:anchor="_Toc241229928">
        <w:r>
          <w:rPr>
            <w:webHidden/>
          </w:rPr>
          <w:fldChar w:fldCharType="begin"/>
        </w:r>
        <w:r>
          <w:rPr>
            <w:webHidden/>
          </w:rPr>
          <w:instrText xml:space="preserve">PAGEREF _Toc241229928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121</w:t>
        </w:r>
        <w:r>
          <w:rPr>
            <w:webHidden/>
          </w:rPr>
          <w:fldChar w:fldCharType="end"/>
        </w:r>
      </w:hyperlink>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895"/>
                <wp:effectExtent l="0" t="0" r="0" b="0"/>
                <wp:wrapNone/>
                <wp:docPr id="158" name="Frame15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29">
        <w:r>
          <w:rPr>
            <w:rStyle w:val="InternetLink"/>
            <w:rFonts w:ascii="Times New Roman;Times;serif" w:hAnsi="Times New Roman;Times;serif"/>
            <w:b w:val="false"/>
            <w:i w:val="false"/>
            <w:caps w:val="false"/>
            <w:smallCaps w:val="false"/>
            <w:sz w:val="24"/>
            <w:shd w:fill="FFFFFF" w:val="clear"/>
          </w:rPr>
          <w:t>Section 12.30.</w:t>
        </w:r>
      </w:hyperlink>
      <w:r>
        <w:rPr>
          <w:rFonts w:ascii="Times New Roman;Times;serif" w:hAnsi="Times New Roman;Times;serif"/>
          <w:sz w:val="24"/>
          <w:shd w:fill="FFFFFF" w:val="clear"/>
        </w:rPr>
        <w:tab/>
      </w:r>
      <w:hyperlink w:anchor="_Toc241229929">
        <w:r>
          <w:rPr>
            <w:rStyle w:val="InternetLink"/>
            <w:rFonts w:ascii="Times New Roman;Times;serif" w:hAnsi="Times New Roman;Times;serif"/>
            <w:b w:val="false"/>
            <w:i w:val="false"/>
            <w:caps w:val="false"/>
            <w:smallCaps w:val="false"/>
            <w:sz w:val="24"/>
            <w:shd w:fill="FFFFFF" w:val="clear"/>
          </w:rPr>
          <w:t>Acknowledgement Regarding Any Supported QFCs</w:t>
        </w:r>
      </w:hyperlink>
      <w:hyperlink w:anchor="_Toc241229929">
        <w:r>
          <w:rPr>
            <w:webHidden/>
          </w:rPr>
          <w:fldChar w:fldCharType="begin"/>
        </w:r>
        <w:r>
          <w:rPr>
            <w:webHidden/>
          </w:rPr>
          <w:instrText xml:space="preserve">PAGEREF _Toc241229929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122</w:t>
        </w:r>
        <w:r>
          <w:rPr>
            <w:webHidden/>
          </w:rPr>
          <w:fldChar w:fldCharType="end"/>
        </w:r>
      </w:hyperlink>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895"/>
                <wp:effectExtent l="0" t="0" r="0" b="0"/>
                <wp:wrapNone/>
                <wp:docPr id="159" name="Frame1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0">
        <w:r>
          <w:rPr>
            <w:rStyle w:val="InternetLink"/>
            <w:rFonts w:ascii="Times New Roman;Times;serif" w:hAnsi="Times New Roman;Times;serif"/>
            <w:b w:val="false"/>
            <w:i w:val="false"/>
            <w:caps w:val="false"/>
            <w:smallCaps w:val="false"/>
            <w:sz w:val="24"/>
            <w:shd w:fill="FFFFFF" w:val="clear"/>
          </w:rPr>
          <w:t>Section 12.31.</w:t>
        </w:r>
      </w:hyperlink>
      <w:r>
        <w:rPr>
          <w:rFonts w:ascii="Times New Roman;Times;serif" w:hAnsi="Times New Roman;Times;serif"/>
          <w:sz w:val="24"/>
          <w:shd w:fill="FFFFFF" w:val="clear"/>
        </w:rPr>
        <w:tab/>
      </w:r>
      <w:hyperlink w:anchor="_Toc241229930">
        <w:r>
          <w:rPr>
            <w:rStyle w:val="InternetLink"/>
            <w:rFonts w:ascii="Times New Roman;Times;serif" w:hAnsi="Times New Roman;Times;serif"/>
            <w:b w:val="false"/>
            <w:i w:val="false"/>
            <w:caps w:val="false"/>
            <w:smallCaps w:val="false"/>
            <w:sz w:val="24"/>
            <w:shd w:fill="FFFFFF" w:val="clear"/>
          </w:rPr>
          <w:t>Erroneous Payment</w:t>
        </w:r>
      </w:hyperlink>
      <w:hyperlink w:anchor="_Toc241229930">
        <w:r>
          <w:rPr>
            <w:webHidden/>
          </w:rPr>
          <w:fldChar w:fldCharType="begin"/>
        </w:r>
        <w:r>
          <w:rPr>
            <w:webHidden/>
          </w:rPr>
          <w:instrText xml:space="preserve">PAGEREF _Toc241229930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123</w:t>
        </w:r>
        <w:r>
          <w:rPr>
            <w:webHidden/>
          </w:rPr>
          <w:fldChar w:fldCharType="end"/>
        </w:r>
      </w:hyperlink>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895"/>
                <wp:effectExtent l="0" t="0" r="0" b="0"/>
                <wp:wrapNone/>
                <wp:docPr id="160" name="Frame1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120" w:after="120"/>
        <w:ind w:left="0" w:right="0" w:hanging="0"/>
        <w:jc w:val="left"/>
        <w:rPr/>
      </w:pPr>
      <w:hyperlink w:anchor="_Toc241229931">
        <w:r>
          <w:rPr>
            <w:rStyle w:val="InternetLink"/>
            <w:rFonts w:ascii="Times New Roman;Times;serif" w:hAnsi="Times New Roman;Times;serif"/>
            <w:b w:val="false"/>
            <w:i w:val="false"/>
            <w:caps w:val="false"/>
            <w:smallCaps w:val="false"/>
            <w:sz w:val="24"/>
            <w:shd w:fill="FFFFFF" w:val="clear"/>
          </w:rPr>
          <w:t>SECTION 13.</w:t>
        </w:r>
      </w:hyperlink>
      <w:r>
        <w:rPr>
          <w:rFonts w:ascii="Times New Roman;Times;serif" w:hAnsi="Times New Roman;Times;serif"/>
          <w:sz w:val="24"/>
          <w:shd w:fill="FFFFFF" w:val="clear"/>
        </w:rPr>
        <w:tab/>
      </w:r>
      <w:hyperlink w:anchor="_Toc241229931">
        <w:r>
          <w:rPr>
            <w:rStyle w:val="InternetLink"/>
            <w:rFonts w:ascii="Times New Roman;Times;serif" w:hAnsi="Times New Roman;Times;serif"/>
            <w:b w:val="false"/>
            <w:i w:val="false"/>
            <w:caps w:val="false"/>
            <w:smallCaps w:val="false"/>
            <w:sz w:val="24"/>
            <w:shd w:fill="FFFFFF" w:val="clear"/>
          </w:rPr>
          <w:t>The Guarantees.</w:t>
        </w:r>
      </w:hyperlink>
      <w:hyperlink w:anchor="_Toc241229931">
        <w:r>
          <w:rPr>
            <w:webHidden/>
          </w:rPr>
          <w:fldChar w:fldCharType="begin"/>
        </w:r>
        <w:r>
          <w:rPr>
            <w:webHidden/>
          </w:rPr>
          <w:instrText xml:space="preserve">PAGEREF _Toc241229931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126</w:t>
        </w:r>
        <w:r>
          <w:rPr>
            <w:webHidden/>
          </w:rPr>
          <w:fldChar w:fldCharType="end"/>
        </w:r>
      </w:hyperlink>
      <w:r>
        <mc:AlternateContent>
          <mc:Choice Requires="wps">
            <w:drawing>
              <wp:anchor behindDoc="0" distT="0" distB="0" distL="0" distR="0" simplePos="0" locked="0" layoutInCell="1" allowOverlap="1" relativeHeight="163">
                <wp:simplePos x="0" y="0"/>
                <wp:positionH relativeFrom="page">
                  <wp:posOffset>0</wp:posOffset>
                </wp:positionH>
                <wp:positionV relativeFrom="line">
                  <wp:posOffset>635</wp:posOffset>
                </wp:positionV>
                <wp:extent cx="6480175" cy="175895"/>
                <wp:effectExtent l="0" t="0" r="0" b="0"/>
                <wp:wrapNone/>
                <wp:docPr id="161" name="Frame1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relative:page">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2">
        <w:r>
          <w:rPr>
            <w:rStyle w:val="InternetLink"/>
            <w:rFonts w:ascii="Times New Roman;Times;serif" w:hAnsi="Times New Roman;Times;serif"/>
            <w:b w:val="false"/>
            <w:i w:val="false"/>
            <w:caps w:val="false"/>
            <w:smallCaps w:val="false"/>
            <w:sz w:val="24"/>
            <w:shd w:fill="FFFFFF" w:val="clear"/>
          </w:rPr>
          <w:t>Section 13.1.</w:t>
        </w:r>
      </w:hyperlink>
      <w:r>
        <w:rPr>
          <w:rFonts w:ascii="Times New Roman;Times;serif" w:hAnsi="Times New Roman;Times;serif"/>
          <w:sz w:val="24"/>
          <w:shd w:fill="FFFFFF" w:val="clear"/>
        </w:rPr>
        <w:tab/>
      </w:r>
      <w:hyperlink w:anchor="_Toc241229932">
        <w:r>
          <w:rPr>
            <w:rStyle w:val="InternetLink"/>
            <w:rFonts w:ascii="Times New Roman;Times;serif" w:hAnsi="Times New Roman;Times;serif"/>
            <w:b w:val="false"/>
            <w:i w:val="false"/>
            <w:caps w:val="false"/>
            <w:smallCaps w:val="false"/>
            <w:sz w:val="24"/>
            <w:shd w:fill="FFFFFF" w:val="clear"/>
          </w:rPr>
          <w:t>The Guarantees</w:t>
        </w:r>
      </w:hyperlink>
      <w:hyperlink w:anchor="_Toc241229932">
        <w:r>
          <w:rPr>
            <w:webHidden/>
          </w:rPr>
          <w:fldChar w:fldCharType="begin"/>
        </w:r>
        <w:r>
          <w:rPr>
            <w:webHidden/>
          </w:rPr>
          <w:instrText xml:space="preserve">PAGEREF _Toc241229932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126</w:t>
        </w:r>
        <w:r>
          <w:rPr>
            <w:webHidden/>
          </w:rPr>
          <w:fldChar w:fldCharType="end"/>
        </w:r>
      </w:hyperlink>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895"/>
                <wp:effectExtent l="0" t="0" r="0" b="0"/>
                <wp:wrapNone/>
                <wp:docPr id="162" name="Frame1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3">
        <w:r>
          <w:rPr>
            <w:rStyle w:val="InternetLink"/>
            <w:rFonts w:ascii="Times New Roman;Times;serif" w:hAnsi="Times New Roman;Times;serif"/>
            <w:b w:val="false"/>
            <w:i w:val="false"/>
            <w:caps w:val="false"/>
            <w:smallCaps w:val="false"/>
            <w:sz w:val="24"/>
            <w:shd w:fill="FFFFFF" w:val="clear"/>
          </w:rPr>
          <w:t>Section 13.2.</w:t>
        </w:r>
      </w:hyperlink>
      <w:r>
        <w:rPr>
          <w:rFonts w:ascii="Times New Roman;Times;serif" w:hAnsi="Times New Roman;Times;serif"/>
          <w:sz w:val="24"/>
          <w:shd w:fill="FFFFFF" w:val="clear"/>
        </w:rPr>
        <w:tab/>
      </w:r>
      <w:hyperlink w:anchor="_Toc241229933">
        <w:r>
          <w:rPr>
            <w:rStyle w:val="InternetLink"/>
            <w:rFonts w:ascii="Times New Roman;Times;serif" w:hAnsi="Times New Roman;Times;serif"/>
            <w:b w:val="false"/>
            <w:i w:val="false"/>
            <w:caps w:val="false"/>
            <w:smallCaps w:val="false"/>
            <w:sz w:val="24"/>
            <w:shd w:fill="FFFFFF" w:val="clear"/>
          </w:rPr>
          <w:t>Guarantee Unconditional</w:t>
        </w:r>
      </w:hyperlink>
      <w:hyperlink w:anchor="_Toc241229933">
        <w:r>
          <w:rPr>
            <w:webHidden/>
          </w:rPr>
          <w:fldChar w:fldCharType="begin"/>
        </w:r>
        <w:r>
          <w:rPr>
            <w:webHidden/>
          </w:rPr>
          <w:instrText xml:space="preserve">PAGEREF _Toc241229933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126</w:t>
        </w:r>
        <w:r>
          <w:rPr>
            <w:webHidden/>
          </w:rPr>
          <w:fldChar w:fldCharType="end"/>
        </w:r>
      </w:hyperlink>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895"/>
                <wp:effectExtent l="0" t="0" r="0" b="0"/>
                <wp:wrapNone/>
                <wp:docPr id="163" name="Frame1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4">
        <w:r>
          <w:rPr>
            <w:rStyle w:val="InternetLink"/>
            <w:rFonts w:ascii="Times New Roman;Times;serif" w:hAnsi="Times New Roman;Times;serif"/>
            <w:b w:val="false"/>
            <w:i w:val="false"/>
            <w:caps w:val="false"/>
            <w:smallCaps w:val="false"/>
            <w:sz w:val="24"/>
            <w:shd w:fill="FFFFFF" w:val="clear"/>
          </w:rPr>
          <w:t>Section 13.3.</w:t>
        </w:r>
      </w:hyperlink>
      <w:r>
        <w:rPr>
          <w:rFonts w:ascii="Times New Roman;Times;serif" w:hAnsi="Times New Roman;Times;serif"/>
          <w:sz w:val="24"/>
          <w:shd w:fill="FFFFFF" w:val="clear"/>
        </w:rPr>
        <w:tab/>
      </w:r>
      <w:hyperlink w:anchor="_Toc241229934">
        <w:r>
          <w:rPr>
            <w:rStyle w:val="InternetLink"/>
            <w:rFonts w:ascii="Times New Roman;Times;serif" w:hAnsi="Times New Roman;Times;serif"/>
            <w:b w:val="false"/>
            <w:i w:val="false"/>
            <w:caps w:val="false"/>
            <w:smallCaps w:val="false"/>
            <w:sz w:val="24"/>
            <w:shd w:fill="FFFFFF" w:val="clear"/>
          </w:rPr>
          <w:t>Discharge Only upon Payment in Full; Reinstatement in Certain Circumstances</w:t>
        </w:r>
      </w:hyperlink>
      <w:hyperlink w:anchor="_Toc241229934">
        <w:r>
          <w:rPr>
            <w:webHidden/>
          </w:rPr>
          <w:fldChar w:fldCharType="begin"/>
        </w:r>
        <w:r>
          <w:rPr>
            <w:webHidden/>
          </w:rPr>
          <w:instrText xml:space="preserve">PAGEREF _Toc241229934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127</w:t>
        </w:r>
        <w:r>
          <w:rPr>
            <w:webHidden/>
          </w:rPr>
          <w:fldChar w:fldCharType="end"/>
        </w:r>
      </w:hyperlink>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895"/>
                <wp:effectExtent l="0" t="0" r="0" b="0"/>
                <wp:wrapNone/>
                <wp:docPr id="164" name="Frame1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6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5">
        <w:r>
          <w:rPr>
            <w:rStyle w:val="InternetLink"/>
            <w:rFonts w:ascii="Times New Roman;Times;serif" w:hAnsi="Times New Roman;Times;serif"/>
            <w:b w:val="false"/>
            <w:i w:val="false"/>
            <w:caps w:val="false"/>
            <w:smallCaps w:val="false"/>
            <w:sz w:val="24"/>
            <w:shd w:fill="FFFFFF" w:val="clear"/>
          </w:rPr>
          <w:t>Section 13.4.</w:t>
        </w:r>
      </w:hyperlink>
      <w:r>
        <w:rPr>
          <w:rFonts w:ascii="Times New Roman;Times;serif" w:hAnsi="Times New Roman;Times;serif"/>
          <w:sz w:val="24"/>
          <w:shd w:fill="FFFFFF" w:val="clear"/>
        </w:rPr>
        <w:tab/>
      </w:r>
      <w:hyperlink w:anchor="_Toc241229935">
        <w:r>
          <w:rPr>
            <w:rStyle w:val="InternetLink"/>
            <w:rFonts w:ascii="Times New Roman;Times;serif" w:hAnsi="Times New Roman;Times;serif"/>
            <w:b w:val="false"/>
            <w:i w:val="false"/>
            <w:caps w:val="false"/>
            <w:smallCaps w:val="false"/>
            <w:sz w:val="24"/>
            <w:shd w:fill="FFFFFF" w:val="clear"/>
          </w:rPr>
          <w:t>Subrogation</w:t>
        </w:r>
      </w:hyperlink>
      <w:hyperlink w:anchor="_Toc241229935">
        <w:r>
          <w:rPr>
            <w:webHidden/>
          </w:rPr>
          <w:fldChar w:fldCharType="begin"/>
        </w:r>
        <w:r>
          <w:rPr>
            <w:webHidden/>
          </w:rPr>
          <w:instrText xml:space="preserve">PAGEREF _Toc241229935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127</w:t>
        </w:r>
        <w:r>
          <w:rPr>
            <w:webHidden/>
          </w:rPr>
          <w:fldChar w:fldCharType="end"/>
        </w:r>
      </w:hyperlink>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895"/>
                <wp:effectExtent l="0" t="0" r="0" b="0"/>
                <wp:wrapNone/>
                <wp:docPr id="165" name="Frame1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6">
        <w:r>
          <w:rPr>
            <w:rStyle w:val="InternetLink"/>
            <w:rFonts w:ascii="Times New Roman;Times;serif" w:hAnsi="Times New Roman;Times;serif"/>
            <w:b w:val="false"/>
            <w:i w:val="false"/>
            <w:caps w:val="false"/>
            <w:smallCaps w:val="false"/>
            <w:sz w:val="24"/>
            <w:shd w:fill="FFFFFF" w:val="clear"/>
          </w:rPr>
          <w:t>Section 13.5.</w:t>
        </w:r>
      </w:hyperlink>
      <w:r>
        <w:rPr>
          <w:rFonts w:ascii="Times New Roman;Times;serif" w:hAnsi="Times New Roman;Times;serif"/>
          <w:sz w:val="24"/>
          <w:shd w:fill="FFFFFF" w:val="clear"/>
        </w:rPr>
        <w:tab/>
      </w:r>
      <w:hyperlink w:anchor="_Toc241229936">
        <w:r>
          <w:rPr>
            <w:rStyle w:val="InternetLink"/>
            <w:rFonts w:ascii="Times New Roman;Times;serif" w:hAnsi="Times New Roman;Times;serif"/>
            <w:b w:val="false"/>
            <w:i w:val="false"/>
            <w:caps w:val="false"/>
            <w:smallCaps w:val="false"/>
            <w:sz w:val="24"/>
            <w:shd w:fill="FFFFFF" w:val="clear"/>
          </w:rPr>
          <w:t>Waivers</w:t>
        </w:r>
      </w:hyperlink>
      <w:hyperlink w:anchor="_Toc241229936">
        <w:r>
          <w:rPr>
            <w:webHidden/>
          </w:rPr>
          <w:fldChar w:fldCharType="begin"/>
        </w:r>
        <w:r>
          <w:rPr>
            <w:webHidden/>
          </w:rPr>
          <w:instrText xml:space="preserve">PAGEREF _Toc241229936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128</w:t>
        </w:r>
        <w:r>
          <w:rPr>
            <w:webHidden/>
          </w:rPr>
          <w:fldChar w:fldCharType="end"/>
        </w:r>
      </w:hyperlink>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895"/>
                <wp:effectExtent l="0" t="0" r="0" b="0"/>
                <wp:wrapNone/>
                <wp:docPr id="166" name="Frame1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3.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7">
        <w:r>
          <w:rPr>
            <w:rStyle w:val="InternetLink"/>
            <w:rFonts w:ascii="Times New Roman;Times;serif" w:hAnsi="Times New Roman;Times;serif"/>
            <w:b w:val="false"/>
            <w:i w:val="false"/>
            <w:caps w:val="false"/>
            <w:smallCaps w:val="false"/>
            <w:sz w:val="24"/>
            <w:shd w:fill="FFFFFF" w:val="clear"/>
          </w:rPr>
          <w:t>Section 13.6.</w:t>
        </w:r>
      </w:hyperlink>
      <w:r>
        <w:rPr>
          <w:rFonts w:ascii="Times New Roman;Times;serif" w:hAnsi="Times New Roman;Times;serif"/>
          <w:sz w:val="24"/>
          <w:shd w:fill="FFFFFF" w:val="clear"/>
        </w:rPr>
        <w:tab/>
      </w:r>
      <w:hyperlink w:anchor="_Toc241229937">
        <w:r>
          <w:rPr>
            <w:rStyle w:val="InternetLink"/>
            <w:rFonts w:ascii="Times New Roman;Times;serif" w:hAnsi="Times New Roman;Times;serif"/>
            <w:b w:val="false"/>
            <w:i w:val="false"/>
            <w:caps w:val="false"/>
            <w:smallCaps w:val="false"/>
            <w:sz w:val="24"/>
            <w:shd w:fill="FFFFFF" w:val="clear"/>
          </w:rPr>
          <w:t>Limit on Recovery</w:t>
        </w:r>
      </w:hyperlink>
      <w:hyperlink w:anchor="_Toc241229937">
        <w:r>
          <w:rPr>
            <w:webHidden/>
          </w:rPr>
          <w:fldChar w:fldCharType="begin"/>
        </w:r>
        <w:r>
          <w:rPr>
            <w:webHidden/>
          </w:rPr>
          <w:instrText xml:space="preserve">PAGEREF _Toc241229937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128</w:t>
        </w:r>
        <w:r>
          <w:rPr>
            <w:webHidden/>
          </w:rPr>
          <w:fldChar w:fldCharType="end"/>
        </w:r>
      </w:hyperlink>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895"/>
                <wp:effectExtent l="0" t="0" r="0" b="0"/>
                <wp:wrapNone/>
                <wp:docPr id="167" name="Frame1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8">
        <w:r>
          <w:rPr>
            <w:rStyle w:val="InternetLink"/>
            <w:rFonts w:ascii="Times New Roman;Times;serif" w:hAnsi="Times New Roman;Times;serif"/>
            <w:b w:val="false"/>
            <w:i w:val="false"/>
            <w:caps w:val="false"/>
            <w:smallCaps w:val="false"/>
            <w:sz w:val="24"/>
            <w:shd w:fill="FFFFFF" w:val="clear"/>
          </w:rPr>
          <w:t>Section 13.7.</w:t>
        </w:r>
      </w:hyperlink>
      <w:r>
        <w:rPr>
          <w:rFonts w:ascii="Times New Roman;Times;serif" w:hAnsi="Times New Roman;Times;serif"/>
          <w:sz w:val="24"/>
          <w:shd w:fill="FFFFFF" w:val="clear"/>
        </w:rPr>
        <w:tab/>
      </w:r>
      <w:hyperlink w:anchor="_Toc241229938">
        <w:r>
          <w:rPr>
            <w:rStyle w:val="InternetLink"/>
            <w:rFonts w:ascii="Times New Roman;Times;serif" w:hAnsi="Times New Roman;Times;serif"/>
            <w:b w:val="false"/>
            <w:i w:val="false"/>
            <w:caps w:val="false"/>
            <w:smallCaps w:val="false"/>
            <w:sz w:val="24"/>
            <w:shd w:fill="FFFFFF" w:val="clear"/>
          </w:rPr>
          <w:t>Stay of Acceleration</w:t>
        </w:r>
      </w:hyperlink>
      <w:hyperlink w:anchor="_Toc241229938">
        <w:r>
          <w:rPr>
            <w:webHidden/>
          </w:rPr>
          <w:fldChar w:fldCharType="begin"/>
        </w:r>
        <w:r>
          <w:rPr>
            <w:webHidden/>
          </w:rPr>
          <w:instrText xml:space="preserve">PAGEREF _Toc241229938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128</w:t>
        </w:r>
        <w:r>
          <w:rPr>
            <w:webHidden/>
          </w:rPr>
          <w:fldChar w:fldCharType="end"/>
        </w:r>
      </w:hyperlink>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895"/>
                <wp:effectExtent l="0" t="0" r="0" b="0"/>
                <wp:wrapNone/>
                <wp:docPr id="168" name="Frame1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39">
        <w:r>
          <w:rPr>
            <w:rStyle w:val="InternetLink"/>
            <w:rFonts w:ascii="Times New Roman;Times;serif" w:hAnsi="Times New Roman;Times;serif"/>
            <w:b w:val="false"/>
            <w:i w:val="false"/>
            <w:caps w:val="false"/>
            <w:smallCaps w:val="false"/>
            <w:sz w:val="24"/>
            <w:shd w:fill="FFFFFF" w:val="clear"/>
          </w:rPr>
          <w:t>Section 13.8.</w:t>
        </w:r>
      </w:hyperlink>
      <w:r>
        <w:rPr>
          <w:rFonts w:ascii="Times New Roman;Times;serif" w:hAnsi="Times New Roman;Times;serif"/>
          <w:sz w:val="24"/>
          <w:shd w:fill="FFFFFF" w:val="clear"/>
        </w:rPr>
        <w:tab/>
      </w:r>
      <w:hyperlink w:anchor="_Toc241229939">
        <w:r>
          <w:rPr>
            <w:rStyle w:val="InternetLink"/>
            <w:rFonts w:ascii="Times New Roman;Times;serif" w:hAnsi="Times New Roman;Times;serif"/>
            <w:b w:val="false"/>
            <w:i w:val="false"/>
            <w:caps w:val="false"/>
            <w:smallCaps w:val="false"/>
            <w:sz w:val="24"/>
            <w:shd w:fill="FFFFFF" w:val="clear"/>
          </w:rPr>
          <w:t>Benefit to Guarantors</w:t>
        </w:r>
      </w:hyperlink>
      <w:hyperlink w:anchor="_Toc241229939">
        <w:r>
          <w:rPr>
            <w:webHidden/>
          </w:rPr>
          <w:fldChar w:fldCharType="begin"/>
        </w:r>
        <w:r>
          <w:rPr>
            <w:webHidden/>
          </w:rPr>
          <w:instrText xml:space="preserve">PAGEREF _Toc241229939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128</w:t>
        </w:r>
        <w:r>
          <w:rPr>
            <w:webHidden/>
          </w:rPr>
          <w:fldChar w:fldCharType="end"/>
        </w:r>
      </w:hyperlink>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895"/>
                <wp:effectExtent l="0" t="0" r="0" b="0"/>
                <wp:wrapNone/>
                <wp:docPr id="169" name="Frame1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40">
        <w:r>
          <w:rPr>
            <w:rStyle w:val="InternetLink"/>
            <w:rFonts w:ascii="Times New Roman;Times;serif" w:hAnsi="Times New Roman;Times;serif"/>
            <w:b w:val="false"/>
            <w:i w:val="false"/>
            <w:caps w:val="false"/>
            <w:smallCaps w:val="false"/>
            <w:sz w:val="24"/>
            <w:shd w:fill="FFFFFF" w:val="clear"/>
          </w:rPr>
          <w:t>Section 13.9.</w:t>
        </w:r>
      </w:hyperlink>
      <w:r>
        <w:rPr>
          <w:rFonts w:ascii="Times New Roman;Times;serif" w:hAnsi="Times New Roman;Times;serif"/>
          <w:sz w:val="24"/>
          <w:shd w:fill="FFFFFF" w:val="clear"/>
        </w:rPr>
        <w:tab/>
      </w:r>
      <w:hyperlink w:anchor="_Toc241229940">
        <w:r>
          <w:rPr>
            <w:rStyle w:val="InternetLink"/>
            <w:rFonts w:ascii="Times New Roman;Times;serif" w:hAnsi="Times New Roman;Times;serif"/>
            <w:b w:val="false"/>
            <w:i w:val="false"/>
            <w:caps w:val="false"/>
            <w:smallCaps w:val="false"/>
            <w:sz w:val="24"/>
            <w:shd w:fill="FFFFFF" w:val="clear"/>
          </w:rPr>
          <w:t>Guarantor Covenants</w:t>
        </w:r>
      </w:hyperlink>
      <w:hyperlink w:anchor="_Toc241229940">
        <w:r>
          <w:rPr>
            <w:webHidden/>
          </w:rPr>
          <w:fldChar w:fldCharType="begin"/>
        </w:r>
        <w:r>
          <w:rPr>
            <w:webHidden/>
          </w:rPr>
          <w:instrText xml:space="preserve">PAGEREF _Toc241229940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128</w:t>
        </w:r>
        <w:r>
          <w:rPr>
            <w:webHidden/>
          </w:rPr>
          <w:fldChar w:fldCharType="end"/>
        </w:r>
      </w:hyperlink>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895"/>
                <wp:effectExtent l="0" t="0" r="0" b="0"/>
                <wp:wrapNone/>
                <wp:docPr id="170" name="Frame1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5.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before="0" w:after="0"/>
        <w:ind w:left="360" w:right="0" w:hanging="0"/>
        <w:jc w:val="left"/>
        <w:rPr/>
      </w:pPr>
      <w:hyperlink w:anchor="_Toc241229941">
        <w:r>
          <w:rPr>
            <w:rStyle w:val="InternetLink"/>
            <w:rFonts w:ascii="Times New Roman;Times;serif" w:hAnsi="Times New Roman;Times;serif"/>
            <w:b w:val="false"/>
            <w:i w:val="false"/>
            <w:caps w:val="false"/>
            <w:smallCaps w:val="false"/>
            <w:sz w:val="24"/>
            <w:shd w:fill="FFFFFF" w:val="clear"/>
          </w:rPr>
          <w:t>Section 13.10.</w:t>
        </w:r>
      </w:hyperlink>
      <w:r>
        <w:rPr>
          <w:rFonts w:ascii="Times New Roman;Times;serif" w:hAnsi="Times New Roman;Times;serif"/>
          <w:sz w:val="24"/>
          <w:shd w:fill="FFFFFF" w:val="clear"/>
        </w:rPr>
        <w:tab/>
      </w:r>
      <w:hyperlink w:anchor="_Toc241229941">
        <w:r>
          <w:rPr>
            <w:rStyle w:val="InternetLink"/>
            <w:rFonts w:ascii="Times New Roman;Times;serif" w:hAnsi="Times New Roman;Times;serif"/>
            <w:b w:val="false"/>
            <w:i w:val="false"/>
            <w:caps w:val="false"/>
            <w:smallCaps w:val="false"/>
            <w:sz w:val="24"/>
            <w:shd w:fill="FFFFFF" w:val="clear"/>
          </w:rPr>
          <w:t>Keepwell</w:t>
        </w:r>
      </w:hyperlink>
      <w:hyperlink w:anchor="_Toc241229941">
        <w:r>
          <w:rPr>
            <w:webHidden/>
          </w:rPr>
          <w:fldChar w:fldCharType="begin"/>
        </w:r>
        <w:r>
          <w:rPr>
            <w:webHidden/>
          </w:rPr>
          <w:instrText xml:space="preserve">PAGEREF _Toc241229941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128</w:t>
        </w:r>
        <w:r>
          <w:rPr>
            <w:webHidden/>
          </w:rPr>
          <w:fldChar w:fldCharType="end"/>
        </w:r>
      </w:hyperlink>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895"/>
                <wp:effectExtent l="0" t="0" r="0" b="0"/>
                <wp:wrapNone/>
                <wp:docPr id="171" name="Frame1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0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A</w:t>
      </w:r>
      <w:r>
        <w:rPr>
          <w:rFonts w:ascii="Times New Roman;Times;serif" w:hAnsi="Times New Roman;Times;serif"/>
          <w:sz w:val="24"/>
        </w:rPr>
        <w:t>—Notice of Payment Request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B</w:t>
      </w:r>
      <w:r>
        <w:rPr>
          <w:rFonts w:ascii="Times New Roman;Times;serif" w:hAnsi="Times New Roman;Times;serif"/>
          <w:sz w:val="24"/>
        </w:rPr>
        <w:t>—Notice of Borrowing</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C</w:t>
      </w:r>
      <w:r>
        <w:rPr>
          <w:rFonts w:ascii="Times New Roman;Times;serif" w:hAnsi="Times New Roman;Times;serif"/>
          <w:sz w:val="24"/>
        </w:rPr>
        <w:t>—Notice of Continuation/Conversion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D-1</w:t>
      </w:r>
      <w:r>
        <w:rPr>
          <w:rFonts w:ascii="Times New Roman;Times;serif" w:hAnsi="Times New Roman;Times;serif"/>
          <w:sz w:val="24"/>
        </w:rPr>
        <w:t>—Revolving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D-2</w:t>
      </w:r>
      <w:r>
        <w:rPr>
          <w:rFonts w:ascii="Times New Roman;Times;serif" w:hAnsi="Times New Roman;Times;serif"/>
          <w:sz w:val="24"/>
        </w:rPr>
        <w:t>—Term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D-3</w:t>
      </w:r>
      <w:r>
        <w:rPr>
          <w:rFonts w:ascii="Times New Roman;Times;serif" w:hAnsi="Times New Roman;Times;serif"/>
          <w:smallCaps/>
          <w:sz w:val="24"/>
        </w:rPr>
        <w:t>—</w:t>
      </w:r>
      <w:r>
        <w:rPr>
          <w:rFonts w:ascii="Times New Roman;Times;serif" w:hAnsi="Times New Roman;Times;serif"/>
          <w:sz w:val="24"/>
        </w:rPr>
        <w:t>Incremental Term Note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E</w:t>
      </w:r>
      <w:r>
        <w:rPr>
          <w:rFonts w:ascii="Times New Roman;Times;serif" w:hAnsi="Times New Roman;Times;serif"/>
          <w:sz w:val="24"/>
        </w:rPr>
        <w:t>—Compliance Certificate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Exhibit F</w:t>
      </w:r>
      <w:r>
        <w:rPr>
          <w:rFonts w:ascii="Times New Roman;Times;serif" w:hAnsi="Times New Roman;Times;serif"/>
          <w:sz w:val="24"/>
        </w:rPr>
        <w:t>—Assignment and Acceptance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G</w:t>
      </w:r>
      <w:r>
        <w:rPr>
          <w:rFonts w:ascii="Times New Roman;Times;serif" w:hAnsi="Times New Roman;Times;serif"/>
          <w:sz w:val="24"/>
        </w:rPr>
        <w:t>—Additional Guarantor Supplement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 xml:space="preserve">Exhibit </w:t>
      </w:r>
      <w:r>
        <w:rPr>
          <w:rFonts w:ascii="Times New Roman;Times;serif" w:hAnsi="Times New Roman;Times;serif"/>
          <w:b w:val="false"/>
          <w:i w:val="false"/>
          <w:caps w:val="false"/>
          <w:smallCaps w:val="false"/>
          <w:sz w:val="24"/>
        </w:rPr>
        <w:t>H</w:t>
      </w:r>
      <w:r>
        <w:rPr>
          <w:rFonts w:ascii="Times New Roman;Times;serif" w:hAnsi="Times New Roman;Times;serif"/>
          <w:sz w:val="24"/>
        </w:rPr>
        <w:t>—Commitment Increase Request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1</w:t>
      </w:r>
      <w:r>
        <w:rPr>
          <w:rFonts w:ascii="Times New Roman;Times;serif" w:hAnsi="Times New Roman;Times;serif"/>
          <w:sz w:val="24"/>
        </w:rPr>
        <w:t>—Commitments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 1.1</w:t>
      </w:r>
      <w:r>
        <w:rPr>
          <w:rFonts w:ascii="Times New Roman;Times;serif" w:hAnsi="Times New Roman;Times;serif"/>
          <w:sz w:val="24"/>
        </w:rPr>
        <w:t>—Initial Unencumbered Assets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6.2</w:t>
      </w:r>
      <w:r>
        <w:rPr>
          <w:rFonts w:ascii="Times New Roman;Times;serif" w:hAnsi="Times New Roman;Times;serif"/>
          <w:sz w:val="24"/>
        </w:rPr>
        <w:t>—Subsidiaries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6.6</w:t>
      </w:r>
      <w:r>
        <w:rPr>
          <w:rFonts w:ascii="Times New Roman;Times;serif" w:hAnsi="Times New Roman;Times;serif"/>
          <w:sz w:val="24"/>
        </w:rPr>
        <w:t>—Material Adverse Effect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6.11</w:t>
      </w:r>
      <w:r>
        <w:rPr>
          <w:rFonts w:ascii="Times New Roman;Times;serif" w:hAnsi="Times New Roman;Times;serif"/>
          <w:sz w:val="24"/>
        </w:rPr>
        <w:t>—Litigation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6.17</w:t>
      </w:r>
      <w:r>
        <w:rPr>
          <w:rFonts w:ascii="Times New Roman;Times;serif" w:hAnsi="Times New Roman;Times;serif"/>
          <w:sz w:val="24"/>
        </w:rPr>
        <w:t>—Environmental Issues</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w:t>
      </w:r>
      <w:r>
        <w:rPr>
          <w:rFonts w:ascii="Times New Roman;Times;serif" w:hAnsi="Times New Roman;Times;serif"/>
          <w:caps w:val="false"/>
          <w:smallCaps w:val="false"/>
          <w:sz w:val="24"/>
        </w:rPr>
        <w:t> </w:t>
      </w:r>
      <w:r>
        <w:rPr>
          <w:rFonts w:ascii="Times New Roman;Times;serif" w:hAnsi="Times New Roman;Times;serif"/>
          <w:b w:val="false"/>
          <w:i w:val="false"/>
          <w:caps w:val="false"/>
          <w:smallCaps w:val="false"/>
          <w:sz w:val="24"/>
        </w:rPr>
        <w:t>6.23</w:t>
      </w:r>
      <w:r>
        <w:rPr>
          <w:rFonts w:ascii="Times New Roman;Times;serif" w:hAnsi="Times New Roman;Times;serif"/>
          <w:sz w:val="24"/>
        </w:rPr>
        <w:t>—Maintenance and Condition</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smallCaps/>
          <w:sz w:val="24"/>
        </w:rPr>
        <w:t>Schedule 8.7</w:t>
      </w:r>
      <w:r>
        <w:rPr>
          <w:rFonts w:ascii="Times New Roman;Times;serif" w:hAnsi="Times New Roman;Times;serif"/>
          <w:sz w:val="24"/>
        </w:rPr>
        <w:t>—Existing Liens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mallCaps/>
          <w:sz w:val="24"/>
        </w:rPr>
      </w:pPr>
      <w:r>
        <w:rPr>
          <w:rFonts w:ascii="Times New Roman Bold" w:hAnsi="Times New Roman Bold"/>
          <w:b/>
          <w:i/>
          <w:caps/>
          <w:sz w:val="24"/>
        </w:rPr>
        <w:t>The loan evidenced by this amended and restated credit agreement is not secured by an interest in florida real property and has been executed and delivered outside of the state of florida. consequently, no florida documentary stamp tax is due and payable with respect to this credit agreement</w:t>
      </w:r>
      <w:r>
        <w:rPr>
          <w:rFonts w:ascii="Times New Roman;Times;serif" w:hAnsi="Times New Roman;Times;serif"/>
          <w:b/>
          <w:i/>
          <w:smallCaps/>
          <w:sz w:val="24"/>
        </w:rPr>
        <w:t>.</w:t>
      </w:r>
    </w:p>
    <w:p>
      <w:pPr>
        <w:pStyle w:val="TextBody"/>
        <w:bidi w:val="0"/>
        <w:spacing w:before="24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Amended and Restated Credit Agreement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This Amended and Restated Credit Agreement (this “</w:t>
      </w:r>
      <w:r>
        <w:rPr>
          <w:rFonts w:ascii="Times New Roman;Times;serif" w:hAnsi="Times New Roman;Times;serif"/>
          <w:b/>
          <w:i/>
          <w:sz w:val="24"/>
        </w:rPr>
        <w:t>Agreement</w:t>
      </w:r>
      <w:r>
        <w:rPr>
          <w:rFonts w:ascii="Times New Roman;Times;serif" w:hAnsi="Times New Roman;Times;serif"/>
          <w:sz w:val="24"/>
        </w:rPr>
        <w:t xml:space="preserve">”) is entered into as of September 29, 2026, by and among </w:t>
      </w:r>
      <w:r>
        <w:rPr>
          <w:rFonts w:ascii="Times New Roman;Times;serif" w:hAnsi="Times New Roman;Times;serif"/>
          <w:b/>
          <w:smallCaps/>
          <w:sz w:val="24"/>
        </w:rPr>
        <w:t>CTO Realty Growth, Inc.</w:t>
      </w:r>
      <w:r>
        <w:rPr>
          <w:rFonts w:ascii="Times New Roman;Times;serif" w:hAnsi="Times New Roman;Times;serif"/>
          <w:sz w:val="24"/>
        </w:rPr>
        <w:t>, a Maryland corporation (the “</w:t>
      </w:r>
      <w:r>
        <w:rPr>
          <w:rFonts w:ascii="Times New Roman;Times;serif" w:hAnsi="Times New Roman;Times;serif"/>
          <w:b/>
          <w:i/>
          <w:sz w:val="24"/>
        </w:rPr>
        <w:t>Borrower</w:t>
      </w:r>
      <w:r>
        <w:rPr>
          <w:rFonts w:ascii="Times New Roman;Times;serif" w:hAnsi="Times New Roman;Times;serif"/>
          <w:sz w:val="24"/>
        </w:rPr>
        <w:t xml:space="preserve">”), and each Material Subsidiary from time to time party to this Agreement, as Guarantors, the several financial institutions from time to time party to this Agreement, as Lenders, and </w:t>
      </w:r>
      <w:r>
        <w:rPr>
          <w:rFonts w:ascii="Times New Roman;Times;serif" w:hAnsi="Times New Roman;Times;serif"/>
          <w:b/>
          <w:smallCaps/>
          <w:sz w:val="24"/>
        </w:rPr>
        <w:t>KeyBank National Association (“</w:t>
      </w:r>
      <w:r>
        <w:rPr>
          <w:rFonts w:ascii="Times New Roman;Times;serif" w:hAnsi="Times New Roman;Times;serif"/>
          <w:sz w:val="24"/>
          <w:u w:val="single"/>
        </w:rPr>
        <w:t>KeyBank</w:t>
      </w:r>
      <w:r>
        <w:rPr>
          <w:rFonts w:ascii="Times New Roman;Times;serif" w:hAnsi="Times New Roman;Times;serif"/>
          <w:sz w:val="24"/>
        </w:rPr>
        <w:t>”</w:t>
      </w:r>
      <w:r>
        <w:rPr>
          <w:rFonts w:ascii="Times New Roman;Times;serif" w:hAnsi="Times New Roman;Times;serif"/>
          <w:b/>
          <w:smallCaps/>
          <w:sz w:val="24"/>
        </w:rPr>
        <w:t>)</w:t>
      </w:r>
      <w:r>
        <w:rPr>
          <w:rFonts w:ascii="Times New Roman;Times;serif" w:hAnsi="Times New Roman;Times;serif"/>
          <w:smallCaps/>
          <w:sz w:val="24"/>
        </w:rPr>
        <w:t xml:space="preserve">, </w:t>
      </w:r>
      <w:r>
        <w:rPr>
          <w:rFonts w:ascii="Times New Roman;Times;serif" w:hAnsi="Times New Roman;Times;serif"/>
          <w:sz w:val="24"/>
        </w:rPr>
        <w:t>as Administrative Agent.  All capitalized terms used herein without definition shall have the same meanings herein as such terms are defined in Section 5.1 hereof.</w:t>
      </w:r>
    </w:p>
    <w:p>
      <w:pPr>
        <w:pStyle w:val="TextBody"/>
        <w:bidi w:val="0"/>
        <w:spacing w:before="0" w:after="240"/>
        <w:ind w:left="0" w:right="0" w:hanging="0"/>
        <w:jc w:val="center"/>
        <w:rPr>
          <w:smallCaps/>
        </w:rPr>
      </w:pPr>
      <w:r>
        <w:rPr>
          <w:smallCaps/>
        </w:rPr>
        <w:t>​</w:t>
      </w:r>
    </w:p>
    <w:p>
      <w:pPr>
        <w:pStyle w:val="TextBody"/>
        <w:bidi w:val="0"/>
        <w:spacing w:before="0" w:after="240"/>
        <w:ind w:left="0" w:right="0" w:hanging="0"/>
        <w:jc w:val="center"/>
        <w:rPr>
          <w:rFonts w:ascii="Times New Roman;Times;serif" w:hAnsi="Times New Roman;Times;serif"/>
          <w:b/>
          <w:smallCaps/>
          <w:sz w:val="24"/>
        </w:rPr>
      </w:pPr>
      <w:r>
        <w:rPr>
          <w:rFonts w:ascii="Times New Roman;Times;serif" w:hAnsi="Times New Roman;Times;serif"/>
          <w:b/>
          <w:smallCaps/>
          <w:sz w:val="24"/>
        </w:rPr>
        <w:t>Preliminary Statement</w:t>
      </w:r>
    </w:p>
    <w:p>
      <w:pPr>
        <w:pStyle w:val="TextBody"/>
        <w:bidi w:val="0"/>
        <w:spacing w:before="0" w:after="240"/>
        <w:ind w:left="0" w:right="0" w:firstLine="720"/>
        <w:jc w:val="both"/>
        <w:rPr>
          <w:rFonts w:ascii="Times" w:hAnsi="Times"/>
          <w:sz w:val="24"/>
        </w:rPr>
      </w:pPr>
      <w:r>
        <w:rPr>
          <w:rFonts w:ascii="Times" w:hAnsi="Times"/>
          <w:sz w:val="24"/>
        </w:rPr>
        <w:t>The Borrower has requested, and the Lenders have agreed to extend, certain credit facilities on the terms and conditions of this Agreement.</w:t>
      </w:r>
    </w:p>
    <w:p>
      <w:pPr>
        <w:pStyle w:val="TextBody"/>
        <w:bidi w:val="0"/>
        <w:spacing w:before="0" w:after="240"/>
        <w:ind w:left="0" w:right="0" w:firstLine="720"/>
        <w:jc w:val="both"/>
        <w:rPr>
          <w:rFonts w:ascii="Times" w:hAnsi="Times"/>
          <w:sz w:val="24"/>
        </w:rPr>
      </w:pPr>
      <w:r>
        <w:rPr>
          <w:rFonts w:ascii="Times" w:hAnsi="Times"/>
          <w:smallCaps/>
          <w:sz w:val="24"/>
        </w:rPr>
        <w:t>Whereas</w:t>
      </w:r>
      <w:r>
        <w:rPr>
          <w:rFonts w:ascii="Times" w:hAnsi="Times"/>
          <w:sz w:val="24"/>
        </w:rPr>
        <w:t>, the Borrower and certain Material Subsidiaries of the Borrower, as Guarantors, the financial institutions party thereto as “Lenders” and KeyBank, as Administrative Agent, previously entered into a Credit Agreement dated as of September 30, 2024, as amended by that certain First Amendment to Credit Agreement and Joinder dated as of December 20, 2024, and as further amended by that certain Second Amendment to Credit Agreement dated as of September 25, 2025 (as heretofore extended, renewed, amended, modified, amended and restated or supplemented, the “</w:t>
      </w:r>
      <w:r>
        <w:rPr>
          <w:rFonts w:ascii="Times" w:hAnsi="Times"/>
          <w:i/>
          <w:sz w:val="24"/>
        </w:rPr>
        <w:t>Original Credit Agreement”</w:t>
      </w:r>
      <w:r>
        <w:rPr>
          <w:rFonts w:ascii="Times" w:hAnsi="Times"/>
          <w:sz w:val="24"/>
        </w:rPr>
        <w:t>).</w:t>
      </w:r>
    </w:p>
    <w:p>
      <w:pPr>
        <w:pStyle w:val="TextBody"/>
        <w:bidi w:val="0"/>
        <w:spacing w:before="0" w:after="240"/>
        <w:ind w:left="0" w:right="0" w:firstLine="720"/>
        <w:jc w:val="both"/>
        <w:rPr>
          <w:rFonts w:ascii="Times" w:hAnsi="Times"/>
          <w:sz w:val="24"/>
        </w:rPr>
      </w:pPr>
      <w:r>
        <w:rPr>
          <w:rFonts w:ascii="Times" w:hAnsi="Times"/>
          <w:smallCaps/>
          <w:sz w:val="24"/>
        </w:rPr>
        <w:t>Now, Therefore,</w:t>
      </w:r>
      <w:r>
        <w:rPr>
          <w:rFonts w:ascii="Times" w:hAnsi="Times"/>
          <w:sz w:val="24"/>
        </w:rPr>
        <w:t xml:space="preserve"> in consideration of the mutual agreements contained herein, and other good and valuable consideration, the receipt and sufficiency of which are hereby acknowledged, the parties hereto hereby agree to amend and restate the Original Credit Agreement in its entirety as follows:</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w:t>
      </w:r>
      <w:bookmarkStart w:id="18" w:name="_Toc241229778"/>
      <w:bookmarkEnd w:id="18"/>
      <w:r>
        <w:rPr>
          <w:rFonts w:ascii="Times New Roman;Times;serif" w:hAnsi="Times New Roman;Times;serif"/>
          <w:caps/>
          <w:sz w:val="24"/>
        </w:rPr>
        <w:t>The Credit Facility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w:t>
      </w:r>
      <w:bookmarkStart w:id="19" w:name="_Toc241229779"/>
      <w:bookmarkEnd w:id="19"/>
      <w:r>
        <w:rPr>
          <w:rFonts w:ascii="Times New Roman;Times;serif" w:hAnsi="Times New Roman;Times;serif"/>
          <w:i w:val="false"/>
          <w:caps w:val="false"/>
          <w:smallCaps w:val="false"/>
          <w:sz w:val="24"/>
          <w:u w:val="single"/>
        </w:rPr>
        <w:t>Revolving Credit Commitments</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(a)Subject to the terms and conditions hereof, each Revolving Lender, by its acceptance hereof, severally agrees to make a loan or loans (individually a “Revolving Loan” and collectively for all the Revolving Lenders the “Revolving Loans”) in U.S. Dollars to the Borrower from time to time on a revolving basis up to the amount of such Revolving Lender’s Revolving Credit Commitment, subject to any reductions thereof pursuant to the terms hereof, before the Revolving Credit Termination Date.  The sum of the aggregate principal amount of Revolving Loans and L/C Obligations at any time outstanding, (x) may at no time exceed the Revolving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Credit Commitments and (y) when taken together with the aggregate principal amount of Term Loans then outstanding, shall not exceed the Adjusted Availability as then determined and computed.  Each Borrowing of Revolving Loans shall be made ratably by the Revolving Lenders in proportion to their respective Applicable Percentages.  As provided in Section 1.6(a) hereof, the Borrower may elect that each Borrowing of Revolving Loans be either Base Rate Loans or SOFR Loans.  Revolving Loans may be repaid and the principal amount thereof reborrowed before the Revolving Credit Termination Date, subject to the terms and conditions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w:t>
      </w:r>
      <w:bookmarkStart w:id="20" w:name="_Toc241229780"/>
      <w:bookmarkEnd w:id="20"/>
      <w:r>
        <w:rPr>
          <w:rFonts w:ascii="Times New Roman;Times;serif" w:hAnsi="Times New Roman;Times;serif"/>
          <w:i w:val="false"/>
          <w:caps w:val="false"/>
          <w:smallCaps w:val="false"/>
          <w:sz w:val="24"/>
          <w:u w:val="single"/>
        </w:rPr>
        <w:t>Term Loans</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(a)Certain of the 2029 Term Lenders made 2029 Term Loans to the Borrower under and as defined in the Original Credit Agreement, which are subject to the provisions of Section 12.28.  As of the Restatement Date, the 2029 Term Loans outstanding under the Original Credit Agreement and held by the Lenders under the Original Credit Agreement shall continue and be deemed outstanding as 2029 Term Loans hereunder, in an aggregate principal amount equal to the outstanding principal amount thereof immediately prior to the Restatement Date; </w:t>
      </w:r>
      <w:r>
        <w:rPr>
          <w:rFonts w:ascii="Times New Roman;Times;serif" w:hAnsi="Times New Roman;Times;serif"/>
          <w:sz w:val="24"/>
          <w:u w:val="single"/>
        </w:rPr>
        <w:t>provided</w:t>
      </w:r>
      <w:r>
        <w:rPr>
          <w:rFonts w:ascii="Times New Roman;Times;serif" w:hAnsi="Times New Roman;Times;serif"/>
          <w:sz w:val="24"/>
        </w:rPr>
        <w:t xml:space="preserve">, however, that the outstanding principal amount of such 2029 Term Loans may be reallocated among the 2029 Term Lenders in accordance with Section 12.28, such that, after giving effect to such reallocation and the funding of any new 2029 Term Loans under this Section 1.2(a) on the Restatement Date, all 2029 Term Loans will be held by the 2029 Term Lenders in accordance with their respective Applicable Percentages as set forth on Schedule 1 attached hereto. Subject to the terms and conditions set forth herein, each of the 2029 Term Loan Lenders severally agree to make an additional 2029 Term Loan to the Borrower on the Restatement Date in an aggregate principal amount not to exceed the unused portion of its 2029 Term Loan Commitment (as in effect on the Restatement Date); </w:t>
      </w:r>
      <w:r>
        <w:rPr>
          <w:rFonts w:ascii="Times New Roman;Times;serif" w:hAnsi="Times New Roman;Times;serif"/>
          <w:i/>
          <w:sz w:val="24"/>
        </w:rPr>
        <w:t xml:space="preserve">provided </w:t>
      </w:r>
      <w:r>
        <w:rPr>
          <w:rFonts w:ascii="Times New Roman;Times;serif" w:hAnsi="Times New Roman;Times;serif"/>
          <w:sz w:val="24"/>
        </w:rPr>
        <w:t>that, after giving effect to such 2029 Term Loans being made on the Restatement Date, (i) the aggregate principal amount of the 2029 Term Loans shall not exceed the 2029 Aggregate Term Facility Amount, (ii) the outstanding amount of each 2029 Term Lender’s 2029 Term Loans shall not exceed such Term Lender’s Applicable Percentage of the 2029 Term Facility and (iii) the Total Outstandings shall not exceed the Adjusted Availability as then determined and computed. The Borrowing shall consist of 2029 Term Loans made simultaneously by the 2029 Term Loan Lenders with unused 2029 Term Loan Commitment on the Restatement Date in accordance with their respective Applicable Percentage of the 2029 Term Credit Facility.  As provided in Section 1.6(a) hereof, the Borrower may elect that the 2029 Term Loans be outstanding as Base Rate Loans or SOFR Loans.  No amount repaid or prepaid on the 2029 Term Loan may be borrowed again.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(b)Certain of the 2030 Term Lenders made 2030 Term Loans to the Borrower under and as defined in the Original Credit Agreement, which are subject to the provisions of Section 12.28.  As of the Restatement Date, the 2030 Term Loans outstanding under the Original Credit Agreement and held by the Lenders under the Original Credit Agreement shall continue and be deemed outstanding as 2030 Term Loans hereunder, in an aggregate principal amount equal to the outstanding principal amount thereof immediately prior to the Restatement Date; </w:t>
      </w:r>
      <w:r>
        <w:rPr>
          <w:rFonts w:ascii="Times New Roman;Times;serif" w:hAnsi="Times New Roman;Times;serif"/>
          <w:sz w:val="24"/>
          <w:u w:val="single"/>
        </w:rPr>
        <w:t>provided</w:t>
      </w:r>
      <w:r>
        <w:rPr>
          <w:rFonts w:ascii="Times New Roman;Times;serif" w:hAnsi="Times New Roman;Times;serif"/>
          <w:sz w:val="24"/>
        </w:rPr>
        <w:t xml:space="preserve">, however, that the outstanding principal amount of such 2030 Term Loans may be reallocated among the 2030 Term Lenders in accordance with Section 12.28, such that, after giving effect to such reallocation and the funding of any new 2030 Term Loans under this Section 1.2(b) on the Restatement Date, all 2030 Term Loans will be held by the 2030 Term Lenders in accordance with their respective Applicable Percentages as set forth on Schedule 1 attached hereto. Subject to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terms and conditions set forth herein, each of the 2030 Term Loan Lenders severally agree to make an additional 2030 Term Loan to the Borrower on the Restatement Date in an aggregate principal amount not to exceed the unused portion of its 2030 Term Loan Commitment (as in effect on the Restatement Date); </w:t>
      </w:r>
      <w:r>
        <w:rPr>
          <w:rFonts w:ascii="Times New Roman;Times;serif" w:hAnsi="Times New Roman;Times;serif"/>
          <w:i/>
          <w:sz w:val="24"/>
        </w:rPr>
        <w:t xml:space="preserve">provided </w:t>
      </w:r>
      <w:r>
        <w:rPr>
          <w:rFonts w:ascii="Times New Roman;Times;serif" w:hAnsi="Times New Roman;Times;serif"/>
          <w:sz w:val="24"/>
        </w:rPr>
        <w:t>that, after giving effect to such 2030 Term Loans being made on the Restatement Date, (i) the aggregate principal amount of the 2030 Term Loans shall not exceed the 2030 Aggregate Term Facility Amount, (ii) the outstanding amount of each 2030 Term Lender’s 2030 Term Loans shall not exceed such Term Lender’s Applicable Percentage of the 2030 Term Facility and (iii) the Total Outstandings shall not exceed the Adjusted Availability as then determined and computed. The Borrowing shall consist of 2030 Term Loans made simultaneously by the 2030 Term Loan Lenders with unused 2030 Term Loan Commitment on the Restatement Date in accordance with their respective Applicable Percentage of the 2030 Term Credit Facility.  As provided in Section 1.6(a) hereof, the Borrower may elect that the 2030 Term Loans be outstanding as Base Rate Loans or SOFR Loans.  No amount repaid or prepaid on the 2030 Term Loan may be borrowed again.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(c)Subject to the terms and conditions hereof, each 2031 Term Lender, by its acceptance hereof, severally agrees to make a term loan (each such loan, a “</w:t>
      </w:r>
      <w:r>
        <w:rPr>
          <w:rFonts w:ascii="Times New Roman;Times;serif" w:hAnsi="Times New Roman;Times;serif"/>
          <w:sz w:val="24"/>
          <w:u w:val="single"/>
        </w:rPr>
        <w:t>2031 Term Loan</w:t>
      </w:r>
      <w:r>
        <w:rPr>
          <w:rFonts w:ascii="Times New Roman;Times;serif" w:hAnsi="Times New Roman;Times;serif"/>
          <w:sz w:val="24"/>
        </w:rPr>
        <w:t>” and collectively, the “</w:t>
      </w:r>
      <w:r>
        <w:rPr>
          <w:rFonts w:ascii="Times New Roman;Times;serif" w:hAnsi="Times New Roman;Times;serif"/>
          <w:sz w:val="24"/>
          <w:u w:val="single"/>
        </w:rPr>
        <w:t>2031 Term Loans</w:t>
      </w:r>
      <w:r>
        <w:rPr>
          <w:rFonts w:ascii="Times New Roman;Times;serif" w:hAnsi="Times New Roman;Times;serif"/>
          <w:sz w:val="24"/>
        </w:rPr>
        <w:t>”) in U.S. Dollars to the Borrower on the Restatement Date in an aggregate original principal amount not to exceed its Applicable Percentage of the 2031 Term Facility; provided that, after giving effect to such 2031 Term Borrowing, (i) the aggregate principal amount of the 2031 Term Loans shall not exceed the aggregate amount of the 2031 Term Loan Commitment, (ii) the outstanding amount of each 2031 Term Lender’s 2031 Term Loans shall not exceed such Term Lender’s Applicable Percentage of the 2031 Term Facility and (iii) the Total Outstandings shall not exceed the Adjusted Availability as then determined and computed. The Borrowing shall consist of the 2031 Term Loans made simultaneously by the 2031 Term Lenders in accordance with their respective Applicable Percentage of the 2031 Term Facility; provided that, if for any reason the full amount of the 2031 Term Facility is not fully drawn by Borrower on the Restatement Date, the undrawn portion thereof shall automatically be cancelled. Upon a Term Lender’s funding of its 2031 Term Loan, such Term Lender’s unfunded 2031 Term Loan Commitment shall be permanently reduced to zero and terminate. Amounts borrowed under this Section 1.2(c) and repaid or prepaid may not be reborrowed. The 2031 Term Loans may be Base Rate Loans, Daily Simple SOFR Loans, or Term SOFR Loans, as further provided 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(d)Subject to the terms and conditions hereof, each 2032 Term Lender, by its acceptance hereof, severally agrees to make a term loan (each such loan, a “</w:t>
      </w:r>
      <w:r>
        <w:rPr>
          <w:rFonts w:ascii="Times New Roman;Times;serif" w:hAnsi="Times New Roman;Times;serif"/>
          <w:sz w:val="24"/>
          <w:u w:val="single"/>
        </w:rPr>
        <w:t>2032 Term Loan</w:t>
      </w:r>
      <w:r>
        <w:rPr>
          <w:rFonts w:ascii="Times New Roman;Times;serif" w:hAnsi="Times New Roman;Times;serif"/>
          <w:sz w:val="24"/>
        </w:rPr>
        <w:t>” and collectively, the “</w:t>
      </w:r>
      <w:r>
        <w:rPr>
          <w:rFonts w:ascii="Times New Roman;Times;serif" w:hAnsi="Times New Roman;Times;serif"/>
          <w:sz w:val="24"/>
          <w:u w:val="single"/>
        </w:rPr>
        <w:t>2032 Term Loans</w:t>
      </w:r>
      <w:r>
        <w:rPr>
          <w:rFonts w:ascii="Times New Roman;Times;serif" w:hAnsi="Times New Roman;Times;serif"/>
          <w:sz w:val="24"/>
        </w:rPr>
        <w:t xml:space="preserve">”) in U.S. Dollars to the Borrower on the Restatement Date in an aggregate original principal amount not to exceed its Applicable Percentage of the 2032 Term Facility; provided that, after giving effect to such 2032 Term Borrowing, (i) the aggregate principal amount of the 2032 Term Loans shall not exceed the aggregate amount of the 2032 Term Loan Commitment, and (ii) the outstanding amount of each 2032 Term Lender’s 2032 Term Loans shall not exceed such Term Lender’s Applicable Percentage of the 2032 Term Facility and (iii) the Total Outstandings shall not exceed the Adjusted Availability as then determined and computed. The Borrowing shall consist of the 2032 Term Loans made simultaneously by the 2032 Term Lenders in accordance with their respective Applicable Percentage of the 2032 Term Facility; provided that, if for any reason the full amount of the 2032 Term Facility is not fully drawn by Borrower on the Restatement Date, the undrawn portion thereof shall automatically be cancelled. Upon a Term Lender’s funding of its 2032 Term Loan, such Term Lender’s unfunded 2032 Term Loan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Commitment shall be permanently reduced to zero and terminate. Amounts borrowed under this Section 1.2(d) and repaid or prepaid may not be reborrowed. The 2032 Term Loans may be Base Rate Loans, Daily Simple SOFR Loans, or Term SOFR Loans, as further provided herein.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w:t>
      </w:r>
      <w:bookmarkStart w:id="21" w:name="_Toc241229781"/>
      <w:bookmarkEnd w:id="21"/>
      <w:r>
        <w:rPr>
          <w:rFonts w:ascii="Times New Roman;Times;serif" w:hAnsi="Times New Roman;Times;serif"/>
          <w:i w:val="false"/>
          <w:caps w:val="false"/>
          <w:smallCaps w:val="false"/>
          <w:sz w:val="24"/>
          <w:u w:val="single"/>
        </w:rPr>
        <w:t>Letters of Credit</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General Terms</w:t>
      </w:r>
      <w:r>
        <w:rPr>
          <w:rFonts w:ascii="Times New Roman;Times;serif" w:hAnsi="Times New Roman;Times;serif"/>
          <w:i/>
          <w:sz w:val="24"/>
        </w:rPr>
        <w:t>.</w:t>
      </w:r>
      <w:r>
        <w:rPr>
          <w:rFonts w:ascii="Times New Roman;Times;serif" w:hAnsi="Times New Roman;Times;serif"/>
          <w:sz w:val="24"/>
        </w:rPr>
        <w:t xml:space="preserve">  Subject to the terms and conditions hereof, as part of the Revolving Facility, the L/C Issuer shall issue standby letters of credit (each a “</w:t>
      </w:r>
      <w:r>
        <w:rPr>
          <w:rFonts w:ascii="Times New Roman;Times;serif" w:hAnsi="Times New Roman;Times;serif"/>
          <w:i/>
          <w:sz w:val="24"/>
        </w:rPr>
        <w:t>Letter of Credit”</w:t>
      </w:r>
      <w:r>
        <w:rPr>
          <w:rFonts w:ascii="Times New Roman;Times;serif" w:hAnsi="Times New Roman;Times;serif"/>
          <w:sz w:val="24"/>
        </w:rPr>
        <w:t>) or amend or extend Letters of Credit issued by it for the account of the Borrower or for the account of the Borrower and one or more of its Subsidiaries in an aggregate undrawn face amount up to the L/C Sublimit.  Each Letter of Credit shall be issued by the L/C Issuer, but each Revolving Lender shall be obligated to reimburse the L/C Issuer for such Revolving Lender’s Applicable Percentage of the amount of each drawing thereunder and, accordingly, each Letter of Credit shall constitute usage of the Revolving Credit Commitment of each Revolving Lender pro rata in an amount equal to its Applicable Percentage of the L/C Obligations then outstanding.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Applications</w:t>
      </w:r>
      <w:r>
        <w:rPr>
          <w:rFonts w:ascii="Times New Roman;Times;serif" w:hAnsi="Times New Roman;Times;serif"/>
          <w:sz w:val="24"/>
        </w:rPr>
        <w:t xml:space="preserve">.  At any time before the Revolving Credit Termination Date, the L/C Issuer shall, at the request of the Borrower, issue one or more Letters of Credit in U.S. Dollars, in a form satisfactory to the L/C Issuer, with expiration dates no later than the earlier of 12 months from the date of issuance (or which are cancelable not later than 12 months from the date of issuance and each renewal) or thirty (30) days prior to the Revolving Credit Termination Date (provided that such expiration date may extend up to 12 months beyond the Revolving Credit Termination Date if any such Letter of Credit is cash collateralized at one hundred three percent (103%) of its face amount (to cash collateralize fees and interest as well as the amount of the Letter of Credit) in the manner set forth in Section 9.4 no less than thirty (30) days prior to the Revolving Credit Termination Date), in an aggregate face amount as set forth above, upon the receipt of an application duly executed by the Borrower and, if such Letter of Credit is for the account of one of its Subsidiaries, such Subsidiary for the relevant Letter of Credit, in the form then customarily prescribed by the L/C Issuer for the Letter of Credit requested (each an “Application”).  Notwithstanding anything contained in any Application to the contrary:  (i) the Borrower shall pay fees in connection with each Letter of Credit as set forth in Section 2.1(b) hereof, (ii) except as otherwise provided in Section 1.8(b) or Section 1.14 hereof, unless an Event of Default exists, the L/C Issuer will not call for the funding by the Borrower of any amount under a Letter of Credit before being presented with a drawing thereunder, and (iii) if the L/C Issuer is not timely reimbursed for the amount of any drawing under a Letter of Credit on the date such drawing is paid, the Borrower’s obligation to reimburse the L/C Issuer for the amount of such drawing shall bear interest (which the Borrower hereby promises to pay) from and after the date such drawing is paid at a rate per annum equal to the sum of the Applicable Margin for Revolving Loans plus the Base Rate from time to time in effect (computed on the basis of a year of 365 or 366 days, as the case may be, and the actual number of days elapsed).  If the L/C Issuer issues any Letter of Credit with an expiration date that is automatically extended unless the L/C Issuer gives notice that the expiration date will not so extend beyond its then scheduled expiration date, then the L/C Issuer will give such notice of non renewal before the time necessary to prevent such automatic extension if before such required notice date:  (i) the expiration date of such Letter of Credit if so extended would be after the date that is thirty (30) days prior to the Revolving Credit Termination Date (provided that such expiration date may extend up to 12 months beyond the Revolving Credit Termination Date if any such Letter of Credit is cash collateralized at one hundred three percent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(103%) of its face amount (to cash collateralize fees and interest as well as the amount of the Letter of Credit) in the manner set forth in Section 9.4 no less than thirty (30) days prior to the Revolving Credit Termination Date), (ii) the Revolving Credit Commitments have been terminated, or (iii) a Default or an Event of Default exists and either the Administrative Agent or the Required Lenders (with notice to the Administrative Agent) have given the L/C Issuer instructions to not permit the extension of the expiration date of such Letter of Credit.  The L/C Issuer agrees to issue amendments to the Letter(s) of Credit increasing the amount, or extending the expiration date, thereof at the request of the Borrower subject to the conditions of Section 7 hereof and the other terms of this Section 1.3.  Notwithstanding anything contained herein to the contrary, if a default of any Revolving Lender’s obligations to fund under Section 1.3(c) exists or any Revolving Lender is at such time a Defaulting Lender hereunder, the L/C Issuer shall be under no obligation to issue, extend or amend any Letter of Credit unless the L/C Issuer has entered into arrangements with Borrower (including for cash collateralization as set forth above) or such Revolving Lender satisfactory to the L/C Issuer to eliminate the L/C Issuer’s risk with respect to such Revolving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The Reimbursement Obligations</w:t>
      </w:r>
      <w:r>
        <w:rPr>
          <w:rFonts w:ascii="Times New Roman;Times;serif" w:hAnsi="Times New Roman;Times;serif"/>
          <w:sz w:val="24"/>
        </w:rPr>
        <w:t>.  Upon receipt from the beneficiary of any Letter of Credit of any notice of a drawing under such Letter of Credit, the L/C Issuer shall promptly notify the Borrower and the Administrative Agent thereof.  Subject to Section 1.3(b) hereof, the obligation of the Borrower to reimburse the L/C Issuer for all drawings under a Letter of Credit (a “</w:t>
      </w:r>
      <w:r>
        <w:rPr>
          <w:rFonts w:ascii="Times New Roman;Times;serif" w:hAnsi="Times New Roman;Times;serif"/>
          <w:sz w:val="24"/>
          <w:u w:val="single"/>
        </w:rPr>
        <w:t>Reimbursement Obligation</w:t>
      </w:r>
      <w:r>
        <w:rPr>
          <w:rFonts w:ascii="Times New Roman;Times;serif" w:hAnsi="Times New Roman;Times;serif"/>
          <w:sz w:val="24"/>
        </w:rPr>
        <w:t>”) shall be governed by the Application related to such Letter of Credit, except that reimbursement shall be made by no later than 1:00 p.m. (Chicago time) on the date when each drawing is to be paid if the Borrower has been informed of such drawing by the L/C Issuer on or before 11:00 a.m. (Chicago time) on the date when such drawing is to be paid or, if notice of such drawing is given to the Borrower after 11:00 a.m. (Chicago time) on the date when such drawing is to be paid, by no later than 12:00 Noon (Chicago time) on the following Business Day, in immediately available funds at the Administrative Agent’s principal office in Cleveland, Ohio or such other office as the Administrative Agent may designate in writing to the Borrower (who shall thereafter cause to be distributed to the L/C Issuer such amount(s) in like funds).  If the Borrower does not make any such reimbursement payment on the date due and the Participating Lenders fund their participations therein in the manner set forth in Section 1.3(e) below, then all payments thereafter received by the Administrative Agent in discharge of any of the relevant Reimbursement Obligations shall be distributed in accordance with Section 1.3(e) below; provided, however, if the Borrower does not make any such reimbursement payment on the due date, the Borrower shall be deemed to have requested a Borrowing of Base Rate Loans under the Revolving Facility and, subject to satisfaction of the conditions set forth in Section 7.1 except for 7.1(c) hereof, a Revolving Loan shall be made on such date in the amount of the Reimbursement Obligations then due which Revolving Loan proceeds shall be applied to pay the Reimbursement Obligations then due.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Obligations Absolute</w:t>
      </w:r>
      <w:r>
        <w:rPr>
          <w:rFonts w:ascii="Times New Roman;Times;serif" w:hAnsi="Times New Roman;Times;serif"/>
          <w:sz w:val="24"/>
        </w:rPr>
        <w:t xml:space="preserve">.  The Borrower's obligation to reimburse L/C Obligations as provided in subsection (c) of this Section shall be absolute, unconditional and irrevocable, and shall be performed strictly in accordance with the terms of this Agreement and the relevant Application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respect, (iii) payment by the L/C Issuer under a Letter of Credit against presentation of a draft or other document that does not strictly comply with the terms of such Letter of Credit, or (iv) any other event or circumstance whatsoever, whether or not similar to any of the foregoing, that might, but for the provisions of this Section 1.3, constitute a legal or equitable discharge of, or provide a right of setoff against, the Borrower's obligations hereunder, except for events or circumstances arising from the willful misconduct or gross negligence on behalf of the L/C Issuer. None of the Administrative Agent, the Revolving Lenders, or the L/C Issuer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L/C Issuer; provided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(i) failure to exercise care when determining whether drafts and other documents presented under a Letter of Credit comply with the terms thereof or (ii) willful misconduct or gross negligence.  The parties hereto expressly agree that, in the absence of gross negligence or willful misconduct on the part of the L/C Issuer (as finally determined by a court of competent jurisdiction), the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L/C Issuer may, in its sole good faith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The Participating Interests</w:t>
      </w:r>
      <w:r>
        <w:rPr>
          <w:rFonts w:ascii="Times New Roman;Times;serif" w:hAnsi="Times New Roman;Times;serif"/>
          <w:sz w:val="24"/>
        </w:rPr>
        <w:t xml:space="preserve">.  Each Revolving Lender (other than the Revolving Lender acting as L/C Issuer in issuing the relevant Letter of Credit), by its acceptance hereof, severally agrees to purchase from the L/C Issuer, and the L/C Issuer hereby agrees to sell to each such Revolving Lender (a “Participating Lender”), an undivided percentage participating interest (a “Participating Interest”), to the extent of its Applicable Percentage, in each Letter of Credit issued by, and each Reimbursement Obligation owed to, the L/C Issuer.  Upon any failure by the Borrower to pay any Reimbursement Obligation at the time required on the date the related drawing is to be paid, as set forth in Section 1.3(c) above, or if the L/C Issuer is required at any time to return to the Borrower or to a trustee, receiver, liquidator, custodian or other Person any portion of any payment of any Reimbursement Obligation, each Participating Lender shall, not later than the Business Day it receives a certificate in the form of Exhibit A hereto from the L/C Issuer (with a copy to the Administrative Agent) to such effect, if such certificate is received before 1:00 p.m. (Chicago time), or not later than 1:00 p.m. (Chicago time) the following Business Day, if such certificate is received after such time, pay to the Administrative Agent for the account of the L/C Issuer an amount equal to such Participating Lender’s Applicable Percentage of such unpaid or recaptured Reimbursement Obligation together with interest on such amount accrued from the date the related payment was made by the L/C Issuer to the date of such payment by such Participating Lender at a rate per annum equal to:  (i) from the date the related payment was made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by the L/C Issuer to the date two (2) Business Days after payment by such Participating Lender is due hereunder, the Federal Funds Rate for each such day and (ii) from the date two (2) Business Days after the date such payment is due from such Participating Lender to the date such payment is made by such Participating Lender, the Base Rate in effect for each such day.  Each such Participating Lender shall thereafter be entitled to receive its Applicable Percentage of each payment received in respect of the relevant Reimbursement Obligation and of interest paid thereon, with the L/C Issuer retaining its Applicable Percentage thereof as a Revolving Lender hereunder.  The several obligations of the Participating Lenders to the L/C Issuer under this Section 1.3 shall be absolute, irrevocable, and unconditional under any and all circumstances whatsoever and shall not be subject to any set off, counterclaim or defense to payment which any Participating Lender may have or have had against the Borrower, the L/C Issuer, the Administrative Agent, any Revolving Lender or any other Person whatsoever.  Without limiting the generality of the foregoing, such obligations shall not be affected by any Default or Event of Default or by any reduction or termination of any Revolving Credit Commitment of any Revolving Lender, and each payment by a Participating Lender under this Section 1.3 shall be made without any offset, abatement, withholding or reduction whatsoever.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Indemnification</w:t>
      </w:r>
      <w:r>
        <w:rPr>
          <w:rFonts w:ascii="Times New Roman;Times;serif" w:hAnsi="Times New Roman;Times;serif"/>
          <w:sz w:val="24"/>
        </w:rPr>
        <w:t>.  The Participating Lenders shall, to the extent of their respective Applicable Percentages, indemnify the L/C Issuer (to the extent not reimbursed by the Borrower) against any cost, expense (including reasonable counsel fees and disbursements), claim, demand, action, loss or liability (except such as result from such L/C Issuer’s gross negligence or willful misconduct) that the L/C Issuer may suffer or incur in connection with any Letter of Credit issued by it.  The obligations of the Participating Lenders under this Section 1.3(f) and all other parts of this Section 1.3 shall survive termination of this Agreement and of all Applications, Letters of Credit, and all drafts and other documents presented in connection with drawings 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Manner of Requesting a Letter of Credit</w:t>
      </w:r>
      <w:r>
        <w:rPr>
          <w:rFonts w:ascii="Times New Roman;Times;serif" w:hAnsi="Times New Roman;Times;serif"/>
          <w:sz w:val="24"/>
        </w:rPr>
        <w:t>.  The Borrower shall provide at least five (5) Business Days’ advance written notice to the Administrative Agent of each request for the issuance of a Letter of Credit, such notice in each case to be accompanied by an Application for such Letter of Credit properly completed and executed by the Borrower and, in the case of an extension or amendment or an increase in the amount of a Letter of Credit, a written request therefor, in a form acceptable to the Administrative Agent and the L/C Issuer, in each case, together with the fees called for by this Agreement.  The Administrative Agent shall promptly notify the L/C Issuer of the Administrative Agent’s receipt of each such notice (and the L/C Issuer shall be entitled to assume that the conditions precedent to any such issuance, extension, amendment or increase have been satisfied unless notified to the contrary by the Administrative Agent or the Required Revolving Lenders) and the L/C Issuer shall promptly notify the Administrative Agent and the Revolving Lenders of the issuance of the Letter of Credit so requested.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Replacement of the L/C Issuer</w:t>
      </w:r>
      <w:r>
        <w:rPr>
          <w:rFonts w:ascii="Times New Roman;Times;serif" w:hAnsi="Times New Roman;Times;serif"/>
          <w:sz w:val="24"/>
        </w:rPr>
        <w:t xml:space="preserve">.  The L/C Issuer may be replaced at any time by written agreement among the Borrower, the Administrative Agent, the replaced L/C Issuer and the successor L/C Issuer.  The Administrative Agent shall notify the Revolving Lenders of any such replacement of the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the L/C Issuer under this Agreement with respect to Letters of Credit to be issued thereafter and (ii) references herein to the term “L/C Issuer” shall be deemed to refer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such successor or to any previous L/C Issuer, or to such successor and all previous L/C Issuers, as the context shall require.  After the replacement of a L/C Issuer hereunder, the replaced L/C Issuer shall remain a party hereto and shall continue to have all the rights and obligations of a L/C Issuer under this Agreement with respect to Letters of Credit issued by it prior to such replacement, but shall not be required to issue additional Letters of Credit.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1.4.</w:t>
      </w:r>
      <w:bookmarkStart w:id="22" w:name="_Toc241229782"/>
      <w:bookmarkStart w:id="23" w:name="_Ref99960901"/>
      <w:bookmarkEnd w:id="22"/>
      <w:bookmarkEnd w:id="23"/>
      <w:r>
        <w:rPr>
          <w:rFonts w:ascii="Times New Roman;Times;serif" w:hAnsi="Times New Roman;Times;serif"/>
          <w:i w:val="false"/>
          <w:caps w:val="false"/>
          <w:smallCaps w:val="false"/>
          <w:sz w:val="24"/>
          <w:u w:val="single"/>
        </w:rPr>
        <w:t>Applicable Interest Rates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Base Rate Loans</w:t>
      </w:r>
      <w:r>
        <w:rPr>
          <w:rFonts w:ascii="Times New Roman;Times;serif" w:hAnsi="Times New Roman;Times;serif"/>
          <w:i/>
          <w:sz w:val="24"/>
        </w:rPr>
        <w:t>.</w:t>
      </w:r>
      <w:r>
        <w:rPr>
          <w:rFonts w:ascii="Times New Roman;Times;serif" w:hAnsi="Times New Roman;Times;serif"/>
          <w:sz w:val="24"/>
        </w:rPr>
        <w:t xml:space="preserve">  Each Base Rate Loan of each Class made or maintained by a Lender shall bear interest (computed on the basis of a year of 365 or 366 days, as the case may be, and the actual days elapsed) on the unpaid principal amount thereof from the date such Loan is advanced, or created by conversion from a (i) Daily Simple SOFR Loan or (ii) Term SOFR Loan, until maturity (whether by acceleration or otherwise) at a rate per annum equal to the sum of the Applicable Margin for the applicable Class plus the Base Rate from time to time in effect, payable by the Borrower on each Interest Payment Date and at maturity (whether by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Daily Simple SOFR Loans</w:t>
      </w:r>
      <w:r>
        <w:rPr>
          <w:rFonts w:ascii="Times New Roman;Times;serif" w:hAnsi="Times New Roman;Times;serif"/>
          <w:i/>
          <w:sz w:val="24"/>
        </w:rPr>
        <w:t>.</w:t>
      </w:r>
      <w:r>
        <w:rPr>
          <w:rFonts w:ascii="Times New Roman;Times;serif" w:hAnsi="Times New Roman;Times;serif"/>
          <w:sz w:val="24"/>
        </w:rPr>
        <w:t xml:space="preserve">  Each Daily Simple SOFR Loan of each Class made or maintained by a Lender shall bear interest (computed on the basis of a year of 365 or 366 days, as the case may be, and the actual days elapsed) on the unpaid principal amount thereof from the date such Loan is advanced, or created by conversion from a Term SOFR Loan or Base Rate Loan, until maturity (whether by acceleration or otherwise) at a rate per annum equal to the sum of the Applicable Margin for the applicable Class plus the Daily Simple SOFR from time to time in effect, payable by the Borrower on each Interest Payment Date and at maturity (whether by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Term SOFR Loans</w:t>
      </w:r>
      <w:r>
        <w:rPr>
          <w:rFonts w:ascii="Times New Roman;Times;serif" w:hAnsi="Times New Roman;Times;serif"/>
          <w:i/>
          <w:sz w:val="24"/>
        </w:rPr>
        <w:t>.</w:t>
      </w:r>
      <w:r>
        <w:rPr>
          <w:rFonts w:ascii="Times New Roman;Times;serif" w:hAnsi="Times New Roman;Times;serif"/>
          <w:sz w:val="24"/>
        </w:rPr>
        <w:t xml:space="preserve">  Each Term SOFR Loan of each Class made or maintained by a Lender shall bear interest during each Interest Period it is outstanding (computed on the basis of a year of 360 days and actual days elapsed) on the unpaid principal amount thereof from the date such Loan is advanced or continued, or created by conversion from a Base Rate Loan or Daily Simple SOFR Loan, until maturity (whether by acceleration or otherwise) at a rate per annum equal to the sum of the Applicable Margin for the applicable Class plus the Term SOFR applicable for such Interest Period, payable by the Borrower on each Interest Payment Date and at maturity (whether by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Rate Determinations</w:t>
      </w:r>
      <w:r>
        <w:rPr>
          <w:rFonts w:ascii="Times New Roman;Times;serif" w:hAnsi="Times New Roman;Times;serif"/>
          <w:i/>
          <w:sz w:val="24"/>
        </w:rPr>
        <w:t xml:space="preserve">. </w:t>
      </w:r>
      <w:r>
        <w:rPr>
          <w:rFonts w:ascii="Times New Roman;Times;serif" w:hAnsi="Times New Roman;Times;serif"/>
          <w:sz w:val="24"/>
        </w:rPr>
        <w:t>The Administrative Agent shall determine each interest rate applicable to the Loans of any Class and the Reimbursement Obligations hereunder, and its determination thereof shall be conclusive and binding except in the case of manifest error.  In connection with the use or administration of Term SOFR and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or Daily Simple SOFR.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1.5.</w:t>
      </w:r>
      <w:bookmarkStart w:id="24" w:name="_Toc241229783"/>
      <w:bookmarkStart w:id="25" w:name="_Ref70340760"/>
      <w:bookmarkStart w:id="26" w:name="_Ref70340601"/>
      <w:bookmarkEnd w:id="24"/>
      <w:bookmarkEnd w:id="25"/>
      <w:bookmarkEnd w:id="26"/>
      <w:r>
        <w:rPr>
          <w:rFonts w:ascii="Times New Roman;Times;serif" w:hAnsi="Times New Roman;Times;serif"/>
          <w:i w:val="false"/>
          <w:caps w:val="false"/>
          <w:smallCaps w:val="false"/>
          <w:sz w:val="24"/>
          <w:u w:val="single"/>
        </w:rPr>
        <w:t>Minimum Borrowing Amounts; Maximum Term SOFR Loans</w:t>
      </w:r>
      <w:r>
        <w:rPr>
          <w:rFonts w:ascii="Times New Roman;Times;serif" w:hAnsi="Times New Roman;Times;serif"/>
          <w:i/>
          <w:sz w:val="24"/>
        </w:rPr>
        <w:t>.  </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Each Borrowing of Base Rate Loans shall be in an amount not less than $100,000.  Each Borrowing of Term SOFR Loans advanced, continued or converted to a Term SOFR Loan shall be in an amount equal to $100,000 or such greater amount which is an integral multiple of $100,000.  Without the Administrative Agent’s consent, there shall not be more than eight (8) Borrowings of Term SOFR Loans outstanding hereunder.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1.6.</w:t>
      </w:r>
      <w:bookmarkStart w:id="27" w:name="_Toc241229784"/>
      <w:bookmarkEnd w:id="27"/>
      <w:r>
        <w:rPr>
          <w:rFonts w:ascii="Times New Roman;Times;serif" w:hAnsi="Times New Roman;Times;serif"/>
          <w:i w:val="false"/>
          <w:caps w:val="false"/>
          <w:smallCaps w:val="false"/>
          <w:sz w:val="24"/>
          <w:u w:val="single"/>
        </w:rPr>
        <w:t>Manner of Borrowing Loans and Designating Applicable Interest Rates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28" w:name="_Ref70340620"/>
      <w:bookmarkEnd w:id="28"/>
      <w:r>
        <w:rPr>
          <w:rFonts w:ascii="Times New Roman;Times;serif" w:hAnsi="Times New Roman;Times;serif"/>
          <w:sz w:val="24"/>
          <w:u w:val="single"/>
        </w:rPr>
        <w:t>Notice to the Administrative Agent</w:t>
      </w:r>
      <w:r>
        <w:rPr>
          <w:rFonts w:ascii="Times New Roman;Times;serif" w:hAnsi="Times New Roman;Times;serif"/>
          <w:i/>
          <w:sz w:val="24"/>
        </w:rPr>
        <w:t>.</w:t>
      </w:r>
      <w:r>
        <w:rPr>
          <w:rFonts w:ascii="Times New Roman;Times;serif" w:hAnsi="Times New Roman;Times;serif"/>
          <w:sz w:val="24"/>
        </w:rPr>
        <w:t xml:space="preserve">  The Borrower shall give notice to the Administrative Agent by no later than 10:00 a.m. (Chicago time):  (i) at least three (3) Business Days before the date on which the Borrower requests the Lenders to advance a Borrowing of Term SOFR Loans of any Class and (ii) on the date the Borrower requests the Lenders to advance a Borrowing of Base Rate Loans or Daily Simple SOFR Loans of any Class.  The Loans included in such Borrowing shall bear interest initially at the type of rate specified in such notice of a Borrowing.  Thereafter, subject to the terms and conditions hereof, the Borrower may from time to time elect to change or continue the type of interest rate borne by each Borrowing or, subject to the minimum amount requirement for each outstanding Borrowing set forth in Section 1.5 hereof, a portion thereof, as follows:  (i) if such Borrowing is of Term SOFR Loans, on the last day of the Interest Period applicable thereto, the Borrower may continue part or all of such Borrowing as Term SOFR Loans or convert part or all of such Borrowing into Base Rate Loans or Daily Simple SOFR Loans, or (ii) if such Borrowing is of Base Rate Loans or Daily Simple SOFR Loans, on any Business Day, the Borrower may convert all or part of such Borrowing into Term SOFR Loans for an Interest Period or Interest Periods specified by the Borrower.  The Borrower shall give all such notices requesting an advance, continuation or conversion of a Borrowing of any Class to the Administrative Agent by telephone, telecopy, or other telecommunication device acceptable to the Administrative Agent (which notice shall be irrevocable once given and, if by telephone, shall be promptly confirmed in writing), substantially in the form attached hereto as Exhibit B (Notice of Borrowing) or Exhibit C (Notice of Continuation/Conversion), as applicable, or in such other form acceptable to the Administrative Agent.  Notice of the continuation of a Borrowing of Term SOFR Loans for an additional Interest Period or of the conversion of part or all of a Borrowing of Base Rate Loans or Daily Simple SOFR Loans into Term SOFR Loans must be given by no later than 10:00 a.m. (Chicago time) at least three (3) Business Days before the date of the requested continuation or conversion.  All such notices concerning an advance, continuation or conversion of a Borrowing shall specify, as applicable, the date of the advance, continuation or conversion of a Borrowing (which shall be a Business Day), the Class and amount of requested Borrowing to be advanced, continued or converted, the type of Loans to comprise such continued or converted Borrowing, and, if such Borrowing is to be comprised of Term SOFR Loans, the Interest Period applicable thereto.  No Borrowing of Term SOFR Loans or Daily Simple SOFR Loans of any Class shall be advanced, continued, or created by conversion if any Default or Event of Default then exists.  The Borrower agrees that the Administrative Agent may rely on any such telephonic, telecopy or other telecommunication notice given by any person the Administrative Agent in good faith believes is an Authorized Representative without the necessity of independent investigation, and in the event any such notice by telephone conflicts with any written confirmation such telephonic notice shall govern if the Administrative Agent has acted in reliance thereon.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Notice to the Lenders</w:t>
      </w:r>
      <w:r>
        <w:rPr>
          <w:rFonts w:ascii="Times New Roman;Times;serif" w:hAnsi="Times New Roman;Times;serif"/>
          <w:sz w:val="24"/>
        </w:rPr>
        <w:t>.  The Administrative Agent shall give prompt telephonic, telecopy or other telecommunication notice to each Lender of any notice from the Borrower received pursuant to Section 1.6(a) above and, if such notice requests the Lenders to make Term SOFR Loans, the Administrative Agent shall give notice to the Borrower and each Lender by like means of the interest rate applicable thereto promptly after the Administrative Agent has made such determination.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Borrower’s Failure to Notify</w:t>
      </w:r>
      <w:r>
        <w:rPr>
          <w:rFonts w:ascii="Times New Roman;Times;serif" w:hAnsi="Times New Roman;Times;serif"/>
          <w:sz w:val="24"/>
        </w:rPr>
        <w:t xml:space="preserve">.  If the Borrower fails to give notice pursuant to Section 1.6(a) above of the continuation or conversion of any outstanding principal amount of a Borrowing of Term SOFR Loans of any Class before the last day of its then current Interest Period within the period required by Section 1.6(a) and such Borrowing is not prepaid in accordance with Section 1.8, the Borrower shall be deemed to have given the notice three (3) Business Days prior to the end of the then current Interest Period and such Borrowing shall automatically be continued as a Borrowing of a Term SOFR Loan of the same Class with a one (1) month Interest Period; </w:t>
      </w:r>
      <w:r>
        <w:rPr>
          <w:rFonts w:ascii="Times New Roman;Times;serif" w:hAnsi="Times New Roman;Times;serif"/>
          <w:i/>
          <w:sz w:val="24"/>
        </w:rPr>
        <w:t xml:space="preserve">provided </w:t>
      </w:r>
      <w:r>
        <w:rPr>
          <w:rFonts w:ascii="Times New Roman;Times;serif" w:hAnsi="Times New Roman;Times;serif"/>
          <w:sz w:val="24"/>
        </w:rPr>
        <w:t>that all Lenders are able to accommodate such one (1) month Interest Period and such Term SOFR Loan shall be subject to the funding indemnity set forth in Section 1.11 hereof in the event it is prepaid prior to the end of the Interest Period.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Disbursement of Loans</w:t>
      </w:r>
      <w:r>
        <w:rPr>
          <w:rFonts w:ascii="Times New Roman;Times;serif" w:hAnsi="Times New Roman;Times;serif"/>
          <w:sz w:val="24"/>
        </w:rPr>
        <w:t>.  Not later than 1:00 p.m. (Chicago time) on the date of any requested advance of a new Borrowing of any Class, subject to Section 7 hereof, each applicable Lender shall make available its Loan of such Class comprising its Applicable Percentage of such Borrowing in funds immediately available at the principal office of the Administrative Agent in Cleveland, Ohio (or at such other location as the Administrative Agent shall designate).  The Administrative Agent shall make the proceeds of each new Borrowing available to the Borrower no later than 2:00 p.m. (Chicago time) on the date of such Borrowing as instructed by the Borrower.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Administrative Agent Reliance on Lender Funding</w:t>
      </w:r>
      <w:r>
        <w:rPr>
          <w:rFonts w:ascii="Times New Roman;Times;serif" w:hAnsi="Times New Roman;Times;serif"/>
          <w:i/>
          <w:sz w:val="24"/>
        </w:rPr>
        <w:t>.</w:t>
      </w:r>
      <w:r>
        <w:rPr>
          <w:rFonts w:ascii="Times New Roman;Times;serif" w:hAnsi="Times New Roman;Times;serif"/>
          <w:sz w:val="24"/>
        </w:rPr>
        <w:t xml:space="preserve">  Unless the Administrative Agent shall have been notified by a Lender prior to (or, in the case of a Borrowing of Base Rate Loans or Daily Simple SOFR Loans, by 1:00 p.m. (Chicago time) on the date on which such Lender is scheduled to make payment to the Administrative Agent of the proceeds of a Loan (which notice shall be effective upon receipt) that such Lender does not intend to make such payment, the Administrative Agent may assume that such Lender has made such payment when due and the Administrative Agent may in reliance upon such assumption (but shall not be required to) make available to the Borrower the proceeds of the Loan to be made by such Lender and, if any Lender has not in fact made such payment to the Administrative Agent, (1) such Lender shall, on demand, pay to the Administrative Agent the amount made available to the Borrower attributable to such Lender together with interest thereon in respect of each day during the period commencing on the date such amount was made available to the Borrower and ending on (but excluding) the date such Lender pays such amount to the Administrative Agent at a rate per annum equal to:  (i) from the date the related advance was made by the Administrative Agent to the date two (2) Business Days after payment by such Lender is due hereunder, the Federal Funds Rate for each such day and (ii) from the date two (2) Business Days after the date such payment is due from such Lender to the date such payment is made by such Lender, the Base Rate or Daily Simple SOFR, as applicable, in effect for each such day, and (2) the Administrative Agent shall notify the Borrower of such Lender’s failure to pay.  If such amount is not received from such Lender by the Administrative Agent immediately upon demand, the Borrower will, on demand, promptly, and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 event later than 11:00 a.m. (Chicago time) on the date that is two (2) Business Days following such demand, repay to the Administrative Agent the proceeds of the Loan attributable to such Lender with interest thereon at a rate per annum equal to the interest rate applicable to the relevant Loan, which payment may be in the form of a Base Rate Loan or Daily Simple SOFR Loan under this Agreement, but without such payment being considered a payment or prepayment of a Loan under Section 1.11 hereof so that the Borrower will have no liability under such Section with respect to such payment.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1.7.</w:t>
      </w:r>
      <w:bookmarkStart w:id="29" w:name="_Toc241229785"/>
      <w:bookmarkEnd w:id="29"/>
      <w:r>
        <w:rPr>
          <w:rFonts w:ascii="Times New Roman;Times;serif" w:hAnsi="Times New Roman;Times;serif"/>
          <w:i w:val="false"/>
          <w:caps w:val="false"/>
          <w:smallCaps w:val="false"/>
          <w:sz w:val="24"/>
          <w:u w:val="single"/>
        </w:rPr>
        <w:t>Maturity of Loans</w:t>
      </w:r>
      <w:r>
        <w:rPr>
          <w:rFonts w:ascii="Times New Roman;Times;serif" w:hAnsi="Times New Roman;Times;serif"/>
          <w:i w:val="false"/>
          <w:caps w:val="false"/>
          <w:smallCaps w:val="false"/>
          <w:sz w:val="24"/>
        </w:rPr>
        <w:t>.</w:t>
      </w:r>
      <w:r>
        <w:rPr>
          <w:rFonts w:ascii="Times New Roman;Times;serif" w:hAnsi="Times New Roman;Times;serif"/>
          <w:i/>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Revolving Loans</w:t>
      </w:r>
      <w:r>
        <w:rPr>
          <w:rFonts w:ascii="Times New Roman;Times;serif" w:hAnsi="Times New Roman;Times;serif"/>
          <w:sz w:val="24"/>
        </w:rPr>
        <w:t>.  Each Revolving Loan, both for principal and interest not sooner paid or accelerated after the occurrence of an Event of Default, shall mature and be due and payable by the Borrower on the Revolving Credit Termination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2029 Term Loans</w:t>
      </w:r>
      <w:r>
        <w:rPr>
          <w:rFonts w:ascii="Times New Roman;Times;serif" w:hAnsi="Times New Roman;Times;serif"/>
          <w:sz w:val="24"/>
        </w:rPr>
        <w:t>. Borrower shall repay to the 2029 Term Lenders on the Term Loan Maturity Date for the 2029 Term Facility the aggregate principal amount of all 2029 Term Loans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2030 Term Loans</w:t>
      </w:r>
      <w:r>
        <w:rPr>
          <w:rFonts w:ascii="Times New Roman;Times;serif" w:hAnsi="Times New Roman;Times;serif"/>
          <w:sz w:val="24"/>
        </w:rPr>
        <w:t>. Borrower shall repay to the 2030 Term Lenders on the Term Loan Maturity Date for the 2030 Term Facility the aggregate principal amount of all 2030 Term Loans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2031 Term Loans</w:t>
      </w:r>
      <w:r>
        <w:rPr>
          <w:rFonts w:ascii="Times New Roman;Times;serif" w:hAnsi="Times New Roman;Times;serif"/>
          <w:sz w:val="24"/>
        </w:rPr>
        <w:t>. Borrower shall repay to the 2031 Term Lenders on the Term Loan Maturity Date for the 2031 Term Facility the aggregate principal amount of all 2031 Term Loans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2032 Term Loans</w:t>
      </w:r>
      <w:r>
        <w:rPr>
          <w:rFonts w:ascii="Times New Roman;Times;serif" w:hAnsi="Times New Roman;Times;serif"/>
          <w:sz w:val="24"/>
        </w:rPr>
        <w:t>. Borrower shall repay to the 2032 Term Lenders on the Term Loan Maturity Date for the 2032 Term Facility the aggregate principal amount of all 2032 Term Loans outstanding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Incremental Loans</w:t>
      </w:r>
      <w:r>
        <w:rPr>
          <w:rFonts w:ascii="Times New Roman;Times;serif" w:hAnsi="Times New Roman;Times;serif"/>
          <w:sz w:val="24"/>
        </w:rPr>
        <w:t>.  Borrower shall repay to the applicable Incremental Term Lenders on the applicable Term Loan Maturity Date for the Incremental Term Loan Facility, the aggregate principal amount of all Incremental Term Loans of the applicable tranche outstanding under such Incremental Term Loan Facility on such date.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1.8.</w:t>
      </w:r>
      <w:bookmarkStart w:id="30" w:name="_Toc241229786"/>
      <w:bookmarkStart w:id="31" w:name="_Ref70340671"/>
      <w:bookmarkEnd w:id="30"/>
      <w:bookmarkEnd w:id="31"/>
      <w:r>
        <w:rPr>
          <w:rFonts w:ascii="Times New Roman;Times;serif" w:hAnsi="Times New Roman;Times;serif"/>
          <w:i w:val="false"/>
          <w:caps w:val="false"/>
          <w:smallCaps w:val="false"/>
          <w:sz w:val="24"/>
          <w:u w:val="single"/>
        </w:rPr>
        <w:t>Prepayments</w:t>
      </w:r>
      <w:r>
        <w:rPr>
          <w:rFonts w:ascii="Times New Roman;Times;serif" w:hAnsi="Times New Roman;Times;serif"/>
          <w:i w:val="false"/>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Optional</w:t>
      </w:r>
      <w:r>
        <w:rPr>
          <w:rFonts w:ascii="Times New Roman;Times;serif" w:hAnsi="Times New Roman;Times;serif"/>
          <w:sz w:val="24"/>
        </w:rPr>
        <w:t xml:space="preserve">.  The Borrower may prepay any Loan in whole or in part (but, if in part, then:  (i) if such Borrowing is of Base Rate Loans, in an amount not less than $100,000, (ii) if such Borrowing is of Term SOFR Loans or Daily Simple SOFR Loans, in an amount not less than $100,000, and (iii) in each case, in an amount such that the minimum amount required for a Borrowing pursuant to Section 1.5 hereof remains outstanding) any Borrowing of Term SOFR Loans at any time upon three (3) Business Days prior notice by the Borrower to the Administrative Agent or, in the case of a Borrowing of Base Rate Loans or Daily Simple SOFR Loans, notice delivered by the Borrower to the Administrative Agent no later than 10:00 a.m. (Chicago time) on the date of prepayment (or, in any case, such shorter period of time then agreed to by the Administrative Agent), such prepayment to be made by the payment of the principal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amount to be prepaid and, in the case of any Term SOFR Loans, accrued interest thereon to the date fixed for prepayment plus any amounts due the Lenders under Section 1.11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32" w:name="_Ref70340899"/>
      <w:bookmarkEnd w:id="32"/>
      <w:r>
        <w:rPr>
          <w:rFonts w:ascii="Times New Roman;Times;serif" w:hAnsi="Times New Roman;Times;serif"/>
          <w:sz w:val="24"/>
          <w:u w:val="single"/>
        </w:rPr>
        <w:t>Mandatory</w:t>
      </w:r>
      <w:r>
        <w:rPr>
          <w:rFonts w:ascii="Times New Roman;Times;serif" w:hAnsi="Times New Roman;Times;serif"/>
          <w:sz w:val="24"/>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(i)If at any time the sum of the unpaid principal balance of the Revolving Loans and the L/C Obligations then outstanding shall be in excess of the Revolving Credit Commitment, the Borrower shall promptly, and in no event later than 11:00 a.m. (Chicago time) on such Business Day, and without notice or demand pay the amount of the excess to the Administrative Agent for the account of the Lenders as a mandatory prepayment on such Obligations, with each such prepayment first to be applied to the Revolving Loans until paid in full, with any remaining balance to be held by the Administrative Agent in the Collateral Account as security for the Obligations owing with respect to the Letters of Credit.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(ii)Unless the Borrower otherwise directs, prepayments of Loans under this Section 1.8(b) shall be applied first to Borrowings of Base Rate Loans until payment in full thereof, second to Daily Simple SOFR Loans until payment in full thereof, with any balance applied to Borrowings of Term SOFR Loans in the order in which their Interest Periods expire.  Each prepayment of Loans under this Section 1.8(b) shall be made by the payment of the principal amount to be prepaid and, in the case of any Term SOFR Loans, accrued interest thereon to the date of prepayment together with any amounts due the Lenders under Section 1.11 hereof.  Each prefunding of L/C Obligations shall be made in accordance with Section 9.4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Reborrowing</w:t>
      </w:r>
      <w:r>
        <w:rPr>
          <w:rFonts w:ascii="Times New Roman;Times;serif" w:hAnsi="Times New Roman;Times;serif"/>
          <w:i/>
          <w:sz w:val="24"/>
        </w:rPr>
        <w:t>.</w:t>
      </w:r>
      <w:r>
        <w:rPr>
          <w:rFonts w:ascii="Times New Roman;Times;serif" w:hAnsi="Times New Roman;Times;serif"/>
          <w:sz w:val="24"/>
        </w:rPr>
        <w:t xml:space="preserve"> Any amount of Revolving Loans paid or prepaid before the Revolving Credit Termination Date may, subject to the terms and conditions of this Agreement, be borrowed, repaid and borrowed again. Any amount of the Term Loans or Incremental Term Loans paid or prepaid may not be reborrowed.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1.9.</w:t>
      </w:r>
      <w:bookmarkStart w:id="33" w:name="_Toc241229787"/>
      <w:bookmarkStart w:id="34" w:name="_Ref70340964"/>
      <w:bookmarkStart w:id="35" w:name="_Ref70340963"/>
      <w:bookmarkEnd w:id="33"/>
      <w:bookmarkEnd w:id="34"/>
      <w:bookmarkEnd w:id="35"/>
      <w:r>
        <w:rPr>
          <w:rFonts w:ascii="Times New Roman;Times;serif" w:hAnsi="Times New Roman;Times;serif"/>
          <w:i w:val="false"/>
          <w:caps w:val="false"/>
          <w:smallCaps w:val="false"/>
          <w:sz w:val="24"/>
          <w:u w:val="single"/>
        </w:rPr>
        <w:t>Default Rate</w:t>
      </w:r>
      <w:r>
        <w:rPr>
          <w:rFonts w:ascii="Times New Roman;Times;serif" w:hAnsi="Times New Roman;Times;serif"/>
          <w:i w:val="false"/>
          <w:caps w:val="false"/>
          <w:smallCaps w:val="false"/>
          <w:sz w:val="24"/>
        </w:rPr>
        <w:t>.  Notwithstanding anything to the contrary contained herein, while any Event of Default exists or after acceleration, if so directed by the Required Lenders, the Borrower shall pay interest (after as well as before entry of judgment thereon to the extent permitted by law) on the principal amount of all Loans of each Class and Reimbursement Obligations, and letter of credit fees at a rate per annum equal 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(a)for any Base Rate Loan (including any Revolving Loans made pursuant to Section 1.3(c)), the sum of 3.0% </w:t>
      </w:r>
      <w:r>
        <w:rPr>
          <w:rFonts w:ascii="Times New Roman;Times;serif" w:hAnsi="Times New Roman;Times;serif"/>
          <w:i/>
          <w:sz w:val="24"/>
        </w:rPr>
        <w:t>plus</w:t>
      </w:r>
      <w:r>
        <w:rPr>
          <w:rFonts w:ascii="Times New Roman;Times;serif" w:hAnsi="Times New Roman;Times;serif"/>
          <w:sz w:val="24"/>
        </w:rPr>
        <w:t xml:space="preserve"> the Applicable Margin for the applicable Class </w:t>
      </w:r>
      <w:r>
        <w:rPr>
          <w:rFonts w:ascii="Times New Roman;Times;serif" w:hAnsi="Times New Roman;Times;serif"/>
          <w:i/>
          <w:sz w:val="24"/>
        </w:rPr>
        <w:t>plus</w:t>
      </w:r>
      <w:r>
        <w:rPr>
          <w:rFonts w:ascii="Times New Roman;Times;serif" w:hAnsi="Times New Roman;Times;serif"/>
          <w:sz w:val="24"/>
        </w:rPr>
        <w:t xml:space="preserve"> the Base Rate from time to time in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(b)for any Daily Simple SOFR Loan, the sum of 3.0% plus the Applicable Margin for the applicable Class plus the Daily Simple SOFR from time to time in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(c)for any Term SOFR Loan, the sum of 3.0% </w:t>
      </w:r>
      <w:r>
        <w:rPr>
          <w:rFonts w:ascii="Times New Roman;Times;serif" w:hAnsi="Times New Roman;Times;serif"/>
          <w:i/>
          <w:sz w:val="24"/>
        </w:rPr>
        <w:t>plus</w:t>
      </w:r>
      <w:r>
        <w:rPr>
          <w:rFonts w:ascii="Times New Roman;Times;serif" w:hAnsi="Times New Roman;Times;serif"/>
          <w:sz w:val="24"/>
        </w:rPr>
        <w:t xml:space="preserve"> the rate of interest in effect thereon at the time of such default until the end of the Interest Period applicable thereto </w:t>
      </w:r>
      <w:r>
        <w:rPr>
          <w:rFonts w:ascii="Times New Roman;Times;serif" w:hAnsi="Times New Roman;Times;serif"/>
          <w:i/>
          <w:sz w:val="24"/>
        </w:rPr>
        <w:t>plus</w:t>
      </w:r>
      <w:r>
        <w:rPr>
          <w:rFonts w:ascii="Times New Roman;Times;serif" w:hAnsi="Times New Roman;Times;serif"/>
          <w:sz w:val="24"/>
        </w:rPr>
        <w:t xml:space="preserve"> the Applicable Margin for the applicable Class and, thereafter, at a rate per annum equal to the sum of 3.0% </w:t>
      </w:r>
      <w:r>
        <w:rPr>
          <w:rFonts w:ascii="Times New Roman;Times;serif" w:hAnsi="Times New Roman;Times;serif"/>
          <w:i/>
          <w:sz w:val="24"/>
        </w:rPr>
        <w:t>plus</w:t>
      </w:r>
      <w:r>
        <w:rPr>
          <w:rFonts w:ascii="Times New Roman;Times;serif" w:hAnsi="Times New Roman;Times;serif"/>
          <w:sz w:val="24"/>
        </w:rPr>
        <w:t xml:space="preserve"> the Applicable Margin for Base Rate Loans of the applicable Class </w:t>
      </w:r>
      <w:r>
        <w:rPr>
          <w:rFonts w:ascii="Times New Roman;Times;serif" w:hAnsi="Times New Roman;Times;serif"/>
          <w:i/>
          <w:sz w:val="24"/>
        </w:rPr>
        <w:t>plus</w:t>
      </w:r>
      <w:r>
        <w:rPr>
          <w:rFonts w:ascii="Times New Roman;Times;serif" w:hAnsi="Times New Roman;Times;serif"/>
          <w:sz w:val="24"/>
        </w:rPr>
        <w:t xml:space="preserve"> the Base Rate from time to time in effect;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(d)for any Reimbursement Obligation, the sum of 3.0% </w:t>
      </w:r>
      <w:r>
        <w:rPr>
          <w:rFonts w:ascii="Times New Roman;Times;serif" w:hAnsi="Times New Roman;Times;serif"/>
          <w:i/>
          <w:sz w:val="24"/>
        </w:rPr>
        <w:t>plus</w:t>
      </w:r>
      <w:r>
        <w:rPr>
          <w:rFonts w:ascii="Times New Roman;Times;serif" w:hAnsi="Times New Roman;Times;serif"/>
          <w:sz w:val="24"/>
        </w:rPr>
        <w:t xml:space="preserve"> the amounts due under Section 1.3 with respect to such Reimbursement Obligation;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(e)for any Letter of Credit, the sum of 3.0% </w:t>
      </w:r>
      <w:r>
        <w:rPr>
          <w:rFonts w:ascii="Times New Roman;Times;serif" w:hAnsi="Times New Roman;Times;serif"/>
          <w:i/>
          <w:sz w:val="24"/>
        </w:rPr>
        <w:t>plus</w:t>
      </w:r>
      <w:r>
        <w:rPr>
          <w:rFonts w:ascii="Times New Roman;Times;serif" w:hAnsi="Times New Roman;Times;serif"/>
          <w:sz w:val="24"/>
        </w:rPr>
        <w:t xml:space="preserve"> the letter of credit fee due under Section 2.1(b) with respect to such Letter of Credit; </w:t>
      </w:r>
    </w:p>
    <w:p>
      <w:pPr>
        <w:pStyle w:val="TextBody"/>
        <w:bidi w:val="0"/>
        <w:spacing w:before="0" w:after="240"/>
        <w:ind w:left="0" w:right="0" w:hanging="0"/>
        <w:jc w:val="both"/>
        <w:rPr>
          <w:rFonts w:ascii="Times" w:hAnsi="Times"/>
          <w:sz w:val="24"/>
        </w:rPr>
      </w:pPr>
      <w:r>
        <w:rPr>
          <w:rFonts w:ascii="Times" w:hAnsi="Times"/>
          <w:i/>
          <w:sz w:val="24"/>
        </w:rPr>
        <w:t xml:space="preserve">provided, however, </w:t>
      </w:r>
      <w:r>
        <w:rPr>
          <w:rFonts w:ascii="Times" w:hAnsi="Times"/>
          <w:sz w:val="24"/>
        </w:rPr>
        <w:t xml:space="preserve">that in the absence of acceleration, any adjustments pursuant to this Section 1.9 shall be made by the Administrative Agent, acting at the request or with the consent of the Required Lenders, with written notice to the Borrower.  While any Event of Default exists or after acceleration, interest shall be paid on the demand of the Administrative Agent at the request or with the consent of the Required Lenders.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1.10.</w:t>
      </w:r>
      <w:bookmarkStart w:id="36" w:name="_Toc241229788"/>
      <w:bookmarkEnd w:id="36"/>
      <w:r>
        <w:rPr>
          <w:rFonts w:ascii="Times New Roman;Times;serif" w:hAnsi="Times New Roman;Times;serif"/>
          <w:i w:val="false"/>
          <w:caps w:val="false"/>
          <w:smallCaps w:val="false"/>
          <w:sz w:val="24"/>
          <w:u w:val="single"/>
        </w:rPr>
        <w:t>Evidence of Indebtedness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(a)Each Lender shall maintain in accordance with its usual practice an account or accounts evidencing the indebtedness of the Borrower to such Lender resulting from each Loan made by such Lender from time to time, including the amounts of principal and interest payable and paid to such Lender from time to time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Administrative Agent shall also maintain accounts in which it will record (i) the amount of each Loan made hereunder, the Class and type thereof and the Interest Period with respect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(c)The entries maintained in the accounts maintained pursuant to paragraphs (a) and (b) above shall be </w:t>
      </w:r>
      <w:r>
        <w:rPr>
          <w:rFonts w:ascii="Times New Roman;Times;serif" w:hAnsi="Times New Roman;Times;serif"/>
          <w:i/>
          <w:sz w:val="24"/>
        </w:rPr>
        <w:t>prima facie</w:t>
      </w:r>
      <w:r>
        <w:rPr>
          <w:rFonts w:ascii="Times New Roman;Times;serif" w:hAnsi="Times New Roman;Times;serif"/>
          <w:sz w:val="24"/>
        </w:rPr>
        <w:t xml:space="preserve"> evidence of the existence and amounts of the Obligations therein recorded absent manifest error; </w:t>
      </w:r>
      <w:r>
        <w:rPr>
          <w:rFonts w:ascii="Times New Roman;Times;serif" w:hAnsi="Times New Roman;Times;serif"/>
          <w:i/>
          <w:sz w:val="24"/>
        </w:rPr>
        <w:t xml:space="preserve">provided, however, </w:t>
      </w:r>
      <w:r>
        <w:rPr>
          <w:rFonts w:ascii="Times New Roman;Times;serif" w:hAnsi="Times New Roman;Times;serif"/>
          <w:sz w:val="24"/>
        </w:rPr>
        <w:t>that the failure of the Administrative Agent or any Lender to maintain such accounts or any error therein shall not in any manner affect the obligation of the Borrower to repay the Obligations in accordance with their terms.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(d)Any Lender may request that its Loans of any Class be evidenced by a promissory note or notes in the forms of Exhibit D-1 (in the case of its Revolving Loans, a “Revolving Note” and collectively, the “</w:t>
      </w:r>
      <w:r>
        <w:rPr>
          <w:rFonts w:ascii="Times New Roman;Times;serif" w:hAnsi="Times New Roman;Times;serif"/>
          <w:i/>
          <w:sz w:val="24"/>
        </w:rPr>
        <w:t>Revolving Notes</w:t>
      </w:r>
      <w:r>
        <w:rPr>
          <w:rFonts w:ascii="Times New Roman;Times;serif" w:hAnsi="Times New Roman;Times;serif"/>
          <w:sz w:val="24"/>
        </w:rPr>
        <w:t>”),  Exhibit D-2 (in the case of its Term Loan and referred to herein as a “</w:t>
      </w:r>
      <w:r>
        <w:rPr>
          <w:rFonts w:ascii="Times New Roman;Times;serif" w:hAnsi="Times New Roman;Times;serif"/>
          <w:i/>
          <w:sz w:val="24"/>
        </w:rPr>
        <w:t>Term Note</w:t>
      </w:r>
      <w:r>
        <w:rPr>
          <w:rFonts w:ascii="Times New Roman;Times;serif" w:hAnsi="Times New Roman;Times;serif"/>
          <w:sz w:val="24"/>
        </w:rPr>
        <w:t>” and collectively the “</w:t>
      </w:r>
      <w:r>
        <w:rPr>
          <w:rFonts w:ascii="Times New Roman;Times;serif" w:hAnsi="Times New Roman;Times;serif"/>
          <w:i/>
          <w:sz w:val="24"/>
        </w:rPr>
        <w:t>Term Notes</w:t>
      </w:r>
      <w:r>
        <w:rPr>
          <w:rFonts w:ascii="Times New Roman;Times;serif" w:hAnsi="Times New Roman;Times;serif"/>
          <w:sz w:val="24"/>
        </w:rPr>
        <w:t>”) or Exhibit D-3 (in the case of its Incremental Term Loans and referred to herein as a “</w:t>
      </w:r>
      <w:r>
        <w:rPr>
          <w:rFonts w:ascii="Times New Roman;Times;serif" w:hAnsi="Times New Roman;Times;serif"/>
          <w:i/>
          <w:sz w:val="24"/>
        </w:rPr>
        <w:t>Incremental Term Note</w:t>
      </w:r>
      <w:r>
        <w:rPr>
          <w:rFonts w:ascii="Times New Roman;Times;serif" w:hAnsi="Times New Roman;Times;serif"/>
          <w:sz w:val="24"/>
        </w:rPr>
        <w:t>” and collectively the “</w:t>
      </w:r>
      <w:r>
        <w:rPr>
          <w:rFonts w:ascii="Times New Roman;Times;serif" w:hAnsi="Times New Roman;Times;serif"/>
          <w:i/>
          <w:sz w:val="24"/>
        </w:rPr>
        <w:t>Incremental Term Notes</w:t>
      </w:r>
      <w:r>
        <w:rPr>
          <w:rFonts w:ascii="Times New Roman;Times;serif" w:hAnsi="Times New Roman;Times;serif"/>
          <w:sz w:val="24"/>
        </w:rPr>
        <w:t>”) as applicable (Revolving Notes, Term Notes and Incremental Term Notes being herein referred to collectively as the “</w:t>
      </w:r>
      <w:r>
        <w:rPr>
          <w:rFonts w:ascii="Times New Roman;Times;serif" w:hAnsi="Times New Roman;Times;serif"/>
          <w:i/>
          <w:sz w:val="24"/>
        </w:rPr>
        <w:t>Notes</w:t>
      </w:r>
      <w:r>
        <w:rPr>
          <w:rFonts w:ascii="Times New Roman;Times;serif" w:hAnsi="Times New Roman;Times;serif"/>
          <w:sz w:val="24"/>
        </w:rPr>
        <w:t>” and individually as a “</w:t>
      </w:r>
      <w:r>
        <w:rPr>
          <w:rFonts w:ascii="Times New Roman;Times;serif" w:hAnsi="Times New Roman;Times;serif"/>
          <w:i/>
          <w:sz w:val="24"/>
        </w:rPr>
        <w:t>Note</w:t>
      </w:r>
      <w:r>
        <w:rPr>
          <w:rFonts w:ascii="Times New Roman;Times;serif" w:hAnsi="Times New Roman;Times;serif"/>
          <w:sz w:val="24"/>
        </w:rPr>
        <w:t xml:space="preserve">”).  In such event, the Borrower shall prepare, execute and deliver to such Lender a Note payable to such Lender or its registered assigns in the amount of the relevant Revolving Credit Commitment, Term Loan Commitment, or Term Loan, as then applicable, or Incremental Term Loan or Incremental Term Loan Commitment, as then applicable.  Thereafter, the Loans evidenced by such Note or Notes and interest thereon shall at all times (including after any assignment pursuant to Section 12.12) be represented by one or more Notes payable to the order of the payee named therein or any assignee pursuant to Section 12.12, except to the extent that any such Lender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or assignee subsequently returns any such Note for cancellation and requests that such Loans once again be evidenced as described above.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w:t>
      </w:r>
      <w:bookmarkStart w:id="37" w:name="_Toc241229789"/>
      <w:bookmarkStart w:id="38" w:name="_Ref70340943"/>
      <w:bookmarkStart w:id="39" w:name="_Ref70340785"/>
      <w:bookmarkStart w:id="40" w:name="_Ref70340725"/>
      <w:bookmarkStart w:id="41" w:name="_Ref70340695"/>
      <w:bookmarkEnd w:id="37"/>
      <w:bookmarkEnd w:id="38"/>
      <w:bookmarkEnd w:id="39"/>
      <w:bookmarkEnd w:id="40"/>
      <w:bookmarkEnd w:id="41"/>
      <w:r>
        <w:rPr>
          <w:rFonts w:ascii="Times New Roman;Times;serif" w:hAnsi="Times New Roman;Times;serif"/>
          <w:i w:val="false"/>
          <w:caps w:val="false"/>
          <w:smallCaps w:val="false"/>
          <w:sz w:val="24"/>
          <w:u w:val="single"/>
        </w:rPr>
        <w:t>Funding Indemnity</w:t>
      </w:r>
      <w:r>
        <w:rPr>
          <w:rFonts w:ascii="Times New Roman;Times;serif" w:hAnsi="Times New Roman;Times;serif"/>
          <w:i w:val="false"/>
          <w:caps w:val="false"/>
          <w:smallCaps w:val="false"/>
          <w:sz w:val="24"/>
        </w:rPr>
        <w:t>.  If any Lender shall incur any loss, cost or reasonable expense (including, without limitation, any loss, cost or reasonable expense incurred by reason of the liquidation or re-employment of deposits or other funds acquired by such Lender to fund or maintain any Term SOFR Loan</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or the relending or reinvesting of such deposits or amounts paid or prepaid to such Lender) as a result 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(a)any payment, prepayment or conversion of a Term SOFR Loan on a date other than the last day of its Interest Period,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(b)any failure (because of a failure to meet the conditions of Section 7 or otherwise) by the Borrower to borrow or continue a Term SOFR Loan, or to convert a Base Rate Loan into a Term SOFR Loan, on the date specified in a notice given pursuant to Section 1.6(a)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(c)any failure by the Borrower to make any payment of principal on any Term SOFR Loan when due (whether by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(d)any acceleration of the maturity of a Term SOFR Loan as a result of the occurrence of any Event of Default hereunder,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assignment of any Term SOFR Loan on a date other than the last day of the Interest Period applicable thereto as a result of a request by the Borrower pursuant to Section 1.13;</w:t>
      </w:r>
    </w:p>
    <w:p>
      <w:pPr>
        <w:pStyle w:val="TextBody"/>
        <w:bidi w:val="0"/>
        <w:spacing w:before="0" w:after="240"/>
        <w:ind w:left="0" w:right="0" w:hanging="0"/>
        <w:jc w:val="both"/>
        <w:rPr>
          <w:rFonts w:ascii="Times" w:hAnsi="Times"/>
          <w:sz w:val="24"/>
        </w:rPr>
      </w:pPr>
      <w:r>
        <w:rPr>
          <w:rFonts w:ascii="Times" w:hAnsi="Times"/>
          <w:sz w:val="24"/>
        </w:rPr>
        <w:t>then, upon the demand of such Lender, the Borrower shall pay to such Lender such amount as will reimburse such Lender for such loss, cost or reasonable expense.  If any Lender makes such a claim for compensation, it shall provide to the Borrower, with a copy to the Administrative Agent, a certificate setting forth the amount of such loss, cost or reasonable expense in reasonable detail and the amounts shown on such certificate shall be conclusive if reasonably determined absent manifest error.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1.12.</w:t>
      </w:r>
      <w:bookmarkStart w:id="42" w:name="_Toc241229790"/>
      <w:bookmarkEnd w:id="42"/>
      <w:r>
        <w:rPr>
          <w:rFonts w:ascii="Times New Roman;Times;serif" w:hAnsi="Times New Roman;Times;serif"/>
          <w:i w:val="false"/>
          <w:caps w:val="false"/>
          <w:smallCaps w:val="false"/>
          <w:sz w:val="24"/>
          <w:u w:val="single"/>
        </w:rPr>
        <w:t>Commitment Terminations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Optional Revolving Credit Terminations</w:t>
      </w:r>
      <w:r>
        <w:rPr>
          <w:rFonts w:ascii="Times New Roman;Times;serif" w:hAnsi="Times New Roman;Times;serif"/>
          <w:sz w:val="24"/>
        </w:rPr>
        <w:t>.  The Borrower shall have the right at any time and from time to time, upon five (5) Business Days prior written notice to the Administrative Agent (or such shorter period of time agreed to by the Administrative Agent), to terminate the Revolving Credit Commitments without premium or penalty and in whole or in part, any partial termination to be (i) in an amount not less than $1,000,000 and (ii) allocated ratably among the Revolving Lenders in proportion to their respective Applicable Percentages, provided that the Revolving Credit Commitments may not be reduced to an amount less than the sum of the aggregate principal amount of Revolving Loans, and L/C Obligations then outstanding.  Any termination of the Revolving Credit Commitments below the L/C Sublimit then in effect shall reduce the L/C Sublimit by a like amount.  The Administrative Agent shall give prompt notice to each Revolving Lender of any such termination of the Revolving Credit Commitments.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(b)Any termination of the Revolving Credit Commitments pursuant to this Section 1.12 may not be reinstated.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1.13.</w:t>
      </w:r>
      <w:bookmarkStart w:id="43" w:name="_Hlk220518273"/>
      <w:bookmarkStart w:id="44" w:name="_Toc241229791"/>
      <w:bookmarkStart w:id="45" w:name="_Ref99962250"/>
      <w:bookmarkEnd w:id="43"/>
      <w:bookmarkEnd w:id="44"/>
      <w:bookmarkEnd w:id="45"/>
      <w:r>
        <w:rPr>
          <w:rFonts w:ascii="Times New Roman;Times;serif" w:hAnsi="Times New Roman;Times;serif"/>
          <w:i w:val="false"/>
          <w:caps w:val="false"/>
          <w:smallCaps w:val="false"/>
          <w:sz w:val="24"/>
          <w:u w:val="single"/>
        </w:rPr>
        <w:t>Substitution of Lenders</w:t>
      </w:r>
      <w:r>
        <w:rPr>
          <w:rFonts w:ascii="Times New Roman;Times;serif" w:hAnsi="Times New Roman;Times;serif"/>
          <w:i w:val="false"/>
          <w:caps w:val="false"/>
          <w:smallCaps w:val="false"/>
          <w:sz w:val="24"/>
        </w:rPr>
        <w:t>.</w:t>
      </w:r>
      <w:r>
        <w:rPr>
          <w:rFonts w:ascii="Times New Roman;Times;serif" w:hAnsi="Times New Roman;Times;serif"/>
          <w:i/>
          <w:sz w:val="24"/>
        </w:rPr>
        <w:t xml:space="preserve">  </w:t>
      </w:r>
      <w:r>
        <w:rPr>
          <w:rFonts w:ascii="Times New Roman;Times;serif" w:hAnsi="Times New Roman;Times;serif"/>
          <w:i w:val="false"/>
          <w:caps w:val="false"/>
          <w:smallCaps w:val="false"/>
          <w:sz w:val="24"/>
        </w:rPr>
        <w:t xml:space="preserve">In the event (a) the Borrower receives a claim from any Lender for compensation under Section 10.3 or 12.1 hereof, (b) the Borrower receives notice from any Lender of any illegality pursuant to Section 10.1 hereof, (c) any Lender is then a Defaulting Lender or such Lender is a Subsidiary or Affiliate of a Person who has been deemed insolvent or becomes the subject of a bankruptcy or insolvency proceeding or a receiver or conservator has been appointed for any such Person, or (d) a Lender fails to consent to an amendment or waiver requested under Section 12.13 hereof at a time when the Required Lenders have approved such amendment or waiver (any such Lender referred to in clause (a), (b), (c), or (d) above being hereinafter referred to as an </w:t>
      </w:r>
      <w:r>
        <w:rPr>
          <w:rFonts w:ascii="Times New Roman;Times;serif" w:hAnsi="Times New Roman;Times;serif"/>
          <w:i/>
          <w:sz w:val="24"/>
        </w:rPr>
        <w:t>“Affected Lender”</w:t>
      </w:r>
      <w:r>
        <w:rPr>
          <w:rFonts w:ascii="Times New Roman;Times;serif" w:hAnsi="Times New Roman;Times;serif"/>
          <w:i w:val="false"/>
          <w:caps w:val="false"/>
          <w:smallCaps w:val="false"/>
          <w:sz w:val="24"/>
        </w:rPr>
        <w:t xml:space="preserve">), the Borrower may, in addition to any other rights the Borrower may have hereunder or under applicable law, require, at its expense, any such Affected Lender to assign, at par, without recourse (other than with respect to claims or Liens arising by, through or under such Affected Lender), all of its interest, rights, and obligations hereunder (including all of its Revolving Credit Commitments, if any,  Term Loan Commitments, if any, and Incremental Term Loan Commitments, if any, and the Loans and participation interests in Letters of Credit and other amounts at any time owing to it hereunder and the other Loan Documents) to an Eligible Assignee specified by the Borrower, </w:t>
      </w:r>
      <w:r>
        <w:rPr>
          <w:rFonts w:ascii="Times New Roman;Times;serif" w:hAnsi="Times New Roman;Times;serif"/>
          <w:i/>
          <w:sz w:val="24"/>
        </w:rPr>
        <w:t>provided</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(i) such assignment shall not conflict with or violate any law, rule or regulation or order of any court or other governmental authority, (ii) the Borrower shall have paid to the Affected Lender all monies (together with amounts due such Affected Lender under Section 1.11 hereof as if the Loans owing to it were prepaid rather than assigned) other than such principal owing to it hereunder, and (iii) the assignment is entered into in accordance with, and subject to the consents required by, Section 12.12 hereof (provided any reimbursable expenses due thereunder shall be paid by the Borrower and any assignment fees shall be waived).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1.14.</w:t>
      </w:r>
      <w:bookmarkStart w:id="46" w:name="_Toc241229792"/>
      <w:bookmarkEnd w:id="46"/>
      <w:r>
        <w:rPr>
          <w:rFonts w:ascii="Times New Roman;Times;serif" w:hAnsi="Times New Roman;Times;serif"/>
          <w:i w:val="false"/>
          <w:caps w:val="false"/>
          <w:smallCaps w:val="false"/>
          <w:sz w:val="24"/>
          <w:u w:val="single"/>
        </w:rPr>
        <w:t>Defaulting Lenders</w:t>
      </w:r>
      <w:r>
        <w:rPr>
          <w:rFonts w:ascii="Times New Roman;Times;serif" w:hAnsi="Times New Roman;Times;serif"/>
          <w:i/>
          <w:sz w:val="24"/>
        </w:rPr>
        <w:t>.  </w:t>
      </w:r>
      <w:r>
        <w:rPr>
          <w:rFonts w:ascii="Times New Roman;Times;serif" w:hAnsi="Times New Roman;Times;serif"/>
          <w:i w:val="false"/>
          <w:caps w:val="false"/>
          <w:smallCaps w:val="false"/>
          <w:sz w:val="24"/>
        </w:rPr>
        <w:t>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2"/>
          <w:u w:val="single"/>
        </w:rPr>
        <w:t>Waivers and Amendments</w:t>
      </w:r>
      <w:r>
        <w:rPr>
          <w:rFonts w:ascii="Times New Roman;Times;serif" w:hAnsi="Times New Roman;Times;serif"/>
          <w:sz w:val="22"/>
        </w:rPr>
        <w:t>.  </w:t>
      </w:r>
      <w:r>
        <w:rPr>
          <w:rFonts w:ascii="Times New Roman;Times;serif" w:hAnsi="Times New Roman;Times;serif"/>
          <w:sz w:val="24"/>
        </w:rPr>
        <w:t>Such Defaulting Lender’s right to approve or disapprove any amendment, waiver or consent with respect to this Agreement shall be restricted as set forth in the definition of Required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Defaulting Lender Waterfall</w:t>
      </w:r>
      <w:r>
        <w:rPr>
          <w:rFonts w:ascii="Times New Roman;Times;serif" w:hAnsi="Times New Roman;Times;serif"/>
          <w:sz w:val="24"/>
        </w:rPr>
        <w:t xml:space="preserve">.  Any payment of principal, interest, Fees or other amounts received by the Administrative Agent for the account of such Defaulting Lender (whether voluntary or mandatory, at maturity, pursuant to Section 9 or otherwise) or received by the Administrative Agent from a Defaulting Lender pursuant to Section 12.16 shall be applied at such time or times as may be determined by the Administrative Agent as follows: </w:t>
      </w:r>
      <w:r>
        <w:rPr>
          <w:rFonts w:ascii="Times New Roman;Times;serif" w:hAnsi="Times New Roman;Times;serif"/>
          <w:sz w:val="24"/>
          <w:u w:val="single"/>
        </w:rPr>
        <w:t>first</w:t>
      </w:r>
      <w:r>
        <w:rPr>
          <w:rFonts w:ascii="Times New Roman;Times;serif" w:hAnsi="Times New Roman;Times;serif"/>
          <w:sz w:val="24"/>
        </w:rPr>
        <w:t xml:space="preserve">, to the payment of any amounts owing by such Defaulting Lender to the Administrative Agent hereunder; </w:t>
      </w:r>
      <w:r>
        <w:rPr>
          <w:rFonts w:ascii="Times New Roman;Times;serif" w:hAnsi="Times New Roman;Times;serif"/>
          <w:sz w:val="24"/>
          <w:u w:val="single"/>
        </w:rPr>
        <w:t>second</w:t>
      </w:r>
      <w:r>
        <w:rPr>
          <w:rFonts w:ascii="Times New Roman;Times;serif" w:hAnsi="Times New Roman;Times;serif"/>
          <w:sz w:val="24"/>
        </w:rPr>
        <w:t xml:space="preserve">, in the case of a Defaulting Lender that is a Revolving Lender, to the payment on a pro rata basis of any amounts owing by such Defaulting Lender to the L/C Issuer hereunder; </w:t>
      </w:r>
      <w:r>
        <w:rPr>
          <w:rFonts w:ascii="Times New Roman;Times;serif" w:hAnsi="Times New Roman;Times;serif"/>
          <w:sz w:val="24"/>
          <w:u w:val="single"/>
        </w:rPr>
        <w:t>third</w:t>
      </w:r>
      <w:r>
        <w:rPr>
          <w:rFonts w:ascii="Times New Roman;Times;serif" w:hAnsi="Times New Roman;Times;serif"/>
          <w:sz w:val="24"/>
        </w:rPr>
        <w:t xml:space="preserve">, in the case of a Defaulting Lender that is a Revolving Lender, to Cash Collateralize the L/C Issuer’s Fronting Exposure with respect to such Defaulting Lender in accordance with subsection (e) below; </w:t>
      </w:r>
      <w:r>
        <w:rPr>
          <w:rFonts w:ascii="Times New Roman;Times;serif" w:hAnsi="Times New Roman;Times;serif"/>
          <w:sz w:val="24"/>
          <w:u w:val="single"/>
        </w:rPr>
        <w:t>fourth</w:t>
      </w:r>
      <w:r>
        <w:rPr>
          <w:rFonts w:ascii="Times New Roman;Times;serif" w:hAnsi="Times New Roman;Times;serif"/>
          <w:sz w:val="24"/>
        </w:rPr>
        <w:t xml:space="preserve">, as the Borrower may request (so long as no Default or Event of Default exists),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the funding of any Loan in respect of which such Defaulting Lender has failed to fund its portion thereof as required by this Agreement, as determined by the Administrative Agent; </w:t>
      </w:r>
      <w:r>
        <w:rPr>
          <w:rFonts w:ascii="Times New Roman;Times;serif" w:hAnsi="Times New Roman;Times;serif"/>
          <w:sz w:val="24"/>
          <w:u w:val="single"/>
        </w:rPr>
        <w:t>fifth</w:t>
      </w:r>
      <w:r>
        <w:rPr>
          <w:rFonts w:ascii="Times New Roman;Times;serif" w:hAnsi="Times New Roman;Times;serif"/>
          <w:sz w:val="24"/>
        </w:rPr>
        <w:t xml:space="preserve">, if so determined by the Administrative Agent and the Borrower, to be held in a deposit account and released pro rata in order to (x) satisfy such Defaulting Lender’s potential future funding obligations with respect to Revolving Loans under this Agreement and (y) in the case of a Defaulting Lender that is a Revolving Lender, Cash Collateralize the L/C Issuer’s future Fronting Exposure with respect to such Defaulting Lender with respect to future Letters of Credit issued under this Agreement, in accordance with subsection (e) below; </w:t>
      </w:r>
      <w:r>
        <w:rPr>
          <w:rFonts w:ascii="Times New Roman;Times;serif" w:hAnsi="Times New Roman;Times;serif"/>
          <w:sz w:val="24"/>
          <w:u w:val="single"/>
        </w:rPr>
        <w:t>sixth</w:t>
      </w:r>
      <w:r>
        <w:rPr>
          <w:rFonts w:ascii="Times New Roman;Times;serif" w:hAnsi="Times New Roman;Times;serif"/>
          <w:sz w:val="24"/>
        </w:rPr>
        <w:t xml:space="preserve">, to the payment of any amounts owing to the Lenders or the L/C Issuer as a result of any judgment of a court of competent jurisdiction obtained by any Lender or the L/C Issuer against such Defaulting Lender as a result of such Defaulting Lender’s breach of its obligations under this Agreement; </w:t>
      </w:r>
      <w:r>
        <w:rPr>
          <w:rFonts w:ascii="Times New Roman;Times;serif" w:hAnsi="Times New Roman;Times;serif"/>
          <w:sz w:val="24"/>
          <w:u w:val="single"/>
        </w:rPr>
        <w:t>seventh</w:t>
      </w:r>
      <w:r>
        <w:rPr>
          <w:rFonts w:ascii="Times New Roman;Times;serif" w:hAnsi="Times New Roman;Times;serif"/>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sz w:val="24"/>
          <w:u w:val="single"/>
        </w:rPr>
        <w:t>eighth</w:t>
      </w:r>
      <w:r>
        <w:rPr>
          <w:rFonts w:ascii="Times New Roman;Times;serif" w:hAnsi="Times New Roman;Times;serif"/>
          <w:sz w:val="24"/>
        </w:rPr>
        <w:t xml:space="preserve">, to such Defaulting Lender or as otherwise directed by a court of competent jurisdiction; </w:t>
      </w:r>
      <w:r>
        <w:rPr>
          <w:rFonts w:ascii="Times New Roman;Times;serif" w:hAnsi="Times New Roman;Times;serif"/>
          <w:sz w:val="24"/>
          <w:u w:val="single"/>
        </w:rPr>
        <w:t>provided</w:t>
      </w:r>
      <w:r>
        <w:rPr>
          <w:rFonts w:ascii="Times New Roman;Times;serif" w:hAnsi="Times New Roman;Times;serif"/>
          <w:sz w:val="24"/>
        </w:rPr>
        <w:t xml:space="preserve"> that if (x) such payment is a payment of the principal amount of any Loans of any Class or amounts owing by such Defaulting Lender under Section 1.3 in respect of Letters of Credit (such amounts “L</w:t>
      </w:r>
      <w:r>
        <w:rPr>
          <w:rFonts w:ascii="Times New Roman;Times;serif" w:hAnsi="Times New Roman;Times;serif"/>
          <w:i/>
          <w:sz w:val="24"/>
        </w:rPr>
        <w:t>/C Disbursements</w:t>
      </w:r>
      <w:r>
        <w:rPr>
          <w:rFonts w:ascii="Times New Roman;Times;serif" w:hAnsi="Times New Roman;Times;serif"/>
          <w:sz w:val="24"/>
        </w:rPr>
        <w:t>”), in respect of which such Defaulting Lender has not fully funded its appropriate share, and (y) such Loans were made or the related Letters of Credit were issued at a time when the conditions set forth in Section 7 were satisfied or waived, such payment shall be applied solely to pay the Loans of such Class of, and L/C Disbursements owed to, all Non-Defaulting Lenders on a pro rata basis prior to being applied to the payment of any Loans of, or L/C Disbursements owed to, such Defaulting Lender until such time as all Loans of such Class and, as applicable, funded and unfunded participations in L/C Obligations are held by the Revolving Lenders pro rata in accordance with their respective Applicable Percentages (determined without giving effect to the immediately following subsection (d)) and all Term Loans of each Class are held by the Term Lenders of such Class pro rata as if there had been no Defaulting Lenders that are Term Lenders of such Class.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Certain Fees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(i)No Defaulting Lender shall be entitled to receive any Fee payable under Section 2.1(a)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(ii)Each Defaulting Lender that is a Revolving Lender shall be entitled to receive the Fee payable under Section 2.1(b) for any period during which that Lender is a Defaulting Lender only to the extent allocable to its Applicable Percentage of the stated amount of Letters of Credit for which it has provided Cash Collateral pursuant to the immediately following subsection (e).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(iii)With respect to any Fee not required to be paid to any Defaulting Lender that is a Revolving Lender pursuant to the immediately preceding clause (ii),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Borrower shall (x) pay to each Non-Defaulting Lender that is a Revolving Lender that portion of any such Fee otherwise payable to such Defaulting Lender with respect to such Defaulting Lender’s participation in L/C Obligations that has been reallocated to such Non-Defaulting Lender pursuant to the immediately following subsection (d), (y) pay to the L/C Issuer the amount of any such Fee otherwise payable to such Defaulting Lender to the extent allocable to the L/C Issuer’s Fronting Exposure to such Defaulting Lender, and (z) not be required to pay the remaining amount of any such Fee.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Reallocation of Participations to Reduce Fronting Exposure</w:t>
      </w:r>
      <w:r>
        <w:rPr>
          <w:rFonts w:ascii="Times New Roman;Times;serif" w:hAnsi="Times New Roman;Times;serif"/>
          <w:sz w:val="24"/>
        </w:rPr>
        <w:t>.  In the case of a Defaulting Lender that is a Revolving Lender, all or any part of such Defaulting Lender’s participation in L/C Obligations shall be reallocated among the Non-Defaulting Lenders in accordance with their respective Applicable Percentages of the Revolving Facility (determined without regard to such Defaulting Lender’s Revolving Credit Commitment) but only to the extent that such reallocation does not cause the aggregate Revolving Loans and participations in L/C Obligations of any Non-Defaulting Lender that is a Revolving Lender to exceed such Non-Defaulting Lender’s Revolving Credit Commitment.  Subject to Section 12.29, no reallocation hereunder shall constitute a waiver or release of any claim of any party hereunder against a Defaulting Lender arising from that Revolving Lender having become a Defaulting Lender, including any claim of a Non-Defaulting Lender as a result of such Non-Defaulting Lender’s increased exposure following such reallocation.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Cash Collateral</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(i)If the reallocation described in the immediately preceding subsection (d) above cannot, or can only partially, be effected, the Borrower shall, without prejudice to any right or remedy available to it hereunder or under law, Cash Collateralize each L/C Issuer’s Fronting Exposure in accordance with the procedures set forth in this subsection.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(ii)At any time that there shall exist a Defaulting Lender that is a Revolving Lender, within 1 Business Day following the written request of the Administrative Agent or the applicable L/C Issuer (with a copy to the Administrative Agent), the Borrower shall Cash Collateralize such L/C Issuer’s Fronting Exposure with respect to such Defaulting Lender (determined after giving effect to the immediately preceding subsection (d) and any Cash Collateral provided by such Defaulting Lender) in an amount not less than the aggregate Fronting Exposure of such L/C Issuer with respect to Letters of Credit issued by such L/C Issuer and outstanding at such time.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(iii)The Borrower, and to the extent provided by any Defaulting Lender that is a Revolving Lender, such Defaulting Lender, hereby grant to the Administrative Agent, for the benefit of the applicable L/C Issuer, and agree to maintain, a first priority security interest in all such Cash Collateral as security for the obligation of Defaulting Lenders that are Revolving Lenders to fund participations in respect of L/C Obligations, to be applied pursuant to the immediately following clause (iv).  If at any time the Administrative Agent determines that Cash Collateral is subject to any right or claim of any Person other than the Administrative Agent and the applicable L/C Issuer as herein provided, or that the total amount of such Cash Collateral is less than the aggregate Fronting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Exposure of the applicable L/C Issuer with respect to Letters of Credit issued by such L/C Issuer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 that is a Revolving Lender).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(iv)Notwithstanding anything to the contrary contained in this Agreement, Cash Collateral provided under this Section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(v)Cash Collateral (or the appropriate portion thereof) provided to reduce the L/C Issuers’ Fronting Exposure shall no longer be required to be held as Cash Collateral pursuant to this subsection following (x) the elimination of the applicable Fronting Exposure (including by the termination of Defaulting Lender status of the applicable Revolving Lender), or (y) the determination by the Administrative Agent and the applicable L/C Issuer that there exists excess Cash Collateral; </w:t>
      </w:r>
      <w:r>
        <w:rPr>
          <w:rFonts w:ascii="Times New Roman;Times;serif" w:hAnsi="Times New Roman;Times;serif"/>
          <w:sz w:val="24"/>
          <w:u w:val="single"/>
        </w:rPr>
        <w:t>provided</w:t>
      </w:r>
      <w:r>
        <w:rPr>
          <w:rFonts w:ascii="Times New Roman;Times;serif" w:hAnsi="Times New Roman;Times;serif"/>
          <w:sz w:val="24"/>
        </w:rPr>
        <w:t xml:space="preserve"> that, subject to the immediately preceding subsection (b), the Person providing Cash Collateral and the applicable L/C Issuer may (but shall not be obligated to) agree that Cash Collateral shall be held to support future anticipated Fronting Exposure or other obligations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xml:space="preserve"> that to the extent that such Cash Collateral was provided by the Borrower, such Cash Collateral shall remain subject to the security interest granted pursuant to the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Defaulting Lender Cure</w:t>
      </w:r>
      <w:r>
        <w:rPr>
          <w:rFonts w:ascii="Times New Roman;Times;serif" w:hAnsi="Times New Roman;Times;serif"/>
          <w:sz w:val="24"/>
        </w:rPr>
        <w:t xml:space="preserve">.  If the Borrower and the Administrative Agent, and solely in the case of a Defaulting Lender that is a Revolving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as applicable, (i) the Revolving Loans and funded and unfunded participations in Letters of Credit to be held pro rata by the Revolving Lenders in accordance with their respective Applicable Percentages (determined without giving effect to the immediately preceding subsection (d)) and (ii) the Term Loans of each Class to be held by the Term Lenders of such Class pro rata as if there had been no Defaulting Lenders of such Class, whereupon such Lender will cease to be a Defaulting Lender; </w:t>
      </w:r>
      <w:r>
        <w:rPr>
          <w:rFonts w:ascii="Times New Roman;Times;serif" w:hAnsi="Times New Roman;Times;serif"/>
          <w:sz w:val="24"/>
          <w:u w:val="single"/>
        </w:rPr>
        <w:t>provided</w:t>
      </w:r>
      <w:r>
        <w:rPr>
          <w:rFonts w:ascii="Times New Roman;Times;serif" w:hAnsi="Times New Roman;Times;serif"/>
          <w:sz w:val="24"/>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New Letters of Credit</w:t>
      </w:r>
      <w:r>
        <w:rPr>
          <w:rFonts w:ascii="Times New Roman;Times;serif" w:hAnsi="Times New Roman;Times;serif"/>
          <w:sz w:val="24"/>
        </w:rPr>
        <w:t>.  So long as any Revolving Lender is a Defaulting Lender, no L/C Issuer shall be required to issue, extend, renew or increase any Letter of Credit unless it is satisfied that it will have no Fronting Exposure after giving effect thereto.</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1.15.</w:t>
      </w:r>
      <w:bookmarkStart w:id="47" w:name="_Toc241229793"/>
      <w:bookmarkEnd w:id="47"/>
      <w:r>
        <w:rPr>
          <w:rFonts w:ascii="Times New Roman;Times;serif" w:hAnsi="Times New Roman;Times;serif"/>
          <w:i w:val="false"/>
          <w:caps w:val="false"/>
          <w:smallCaps w:val="false"/>
          <w:sz w:val="24"/>
          <w:u w:val="single"/>
        </w:rPr>
        <w:t>Increase in Revolving Credit Commitments and Incremental Term Loan Commitments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Conditions to Effective of Increase</w:t>
      </w:r>
      <w:r>
        <w:rPr>
          <w:rFonts w:ascii="Times New Roman;Times;serif" w:hAnsi="Times New Roman;Times;serif"/>
          <w:sz w:val="24"/>
        </w:rPr>
        <w:t xml:space="preserve">. Upon notice to Administrative Agent (which shall promptly notify the Lenders), the Borrower may from time to time, request an </w:t>
      </w:r>
      <w:r>
        <w:rPr>
          <w:rFonts w:ascii="Times" w:hAnsi="Times"/>
          <w:sz w:val="24"/>
        </w:rPr>
        <w:t xml:space="preserve">increase in the aggregate amount of the Revolving Credit Commitments </w:t>
      </w:r>
      <w:r>
        <w:rPr>
          <w:rFonts w:ascii="Times New Roman;Times;serif" w:hAnsi="Times New Roman;Times;serif"/>
          <w:sz w:val="24"/>
        </w:rPr>
        <w:t>(a “</w:t>
      </w:r>
      <w:r>
        <w:rPr>
          <w:rFonts w:ascii="Times New Roman;Times;serif" w:hAnsi="Times New Roman;Times;serif"/>
          <w:i/>
          <w:sz w:val="24"/>
        </w:rPr>
        <w:t>Revolving Credit Commitment Amount Increase</w:t>
      </w:r>
      <w:r>
        <w:rPr>
          <w:rFonts w:ascii="Times New Roman;Times;serif" w:hAnsi="Times New Roman;Times;serif"/>
          <w:sz w:val="24"/>
        </w:rPr>
        <w:t xml:space="preserve">”) and/or </w:t>
      </w:r>
      <w:r>
        <w:rPr>
          <w:rFonts w:ascii="Times" w:hAnsi="Times"/>
          <w:sz w:val="24"/>
        </w:rPr>
        <w:t xml:space="preserve">to establish one or more tranches of term loans </w:t>
      </w:r>
      <w:r>
        <w:rPr>
          <w:rFonts w:ascii="Times New Roman;Times;serif" w:hAnsi="Times New Roman;Times;serif"/>
          <w:sz w:val="24"/>
        </w:rPr>
        <w:t>(each an “</w:t>
      </w:r>
      <w:r>
        <w:rPr>
          <w:rFonts w:ascii="Times New Roman;Times;serif" w:hAnsi="Times New Roman;Times;serif"/>
          <w:i/>
          <w:sz w:val="24"/>
        </w:rPr>
        <w:t>Incremental Term Loan Facility</w:t>
      </w:r>
      <w:r>
        <w:rPr>
          <w:rFonts w:ascii="Times New Roman;Times;serif" w:hAnsi="Times New Roman;Times;serif"/>
          <w:sz w:val="24"/>
        </w:rPr>
        <w:t>”; and the term loans made pursuant thereto, each an “</w:t>
      </w:r>
      <w:r>
        <w:rPr>
          <w:rFonts w:ascii="Times New Roman;Times;serif" w:hAnsi="Times New Roman;Times;serif"/>
          <w:i/>
          <w:sz w:val="24"/>
        </w:rPr>
        <w:t>Incremental Term Loan</w:t>
      </w:r>
      <w:r>
        <w:rPr>
          <w:rFonts w:ascii="Times New Roman;Times;serif" w:hAnsi="Times New Roman;Times;serif"/>
          <w:sz w:val="24"/>
        </w:rPr>
        <w:t>” and the commitment made pursuant thereto, an “</w:t>
      </w:r>
      <w:r>
        <w:rPr>
          <w:rFonts w:ascii="Times New Roman;Times;serif" w:hAnsi="Times New Roman;Times;serif"/>
          <w:i/>
          <w:sz w:val="24"/>
        </w:rPr>
        <w:t>Incremental Term Loan Commitment</w:t>
      </w:r>
      <w:r>
        <w:rPr>
          <w:rFonts w:ascii="Times New Roman;Times;serif" w:hAnsi="Times New Roman;Times;serif"/>
          <w:sz w:val="24"/>
        </w:rPr>
        <w:t>”) (each such increase or additional tranche, a “</w:t>
      </w:r>
      <w:r>
        <w:rPr>
          <w:rFonts w:ascii="Times New Roman;Times;serif" w:hAnsi="Times New Roman;Times;serif"/>
          <w:i/>
          <w:sz w:val="24"/>
        </w:rPr>
        <w:t>Commitment Increase</w:t>
      </w:r>
      <w:r>
        <w:rPr>
          <w:rFonts w:ascii="Times New Roman;Times;serif" w:hAnsi="Times New Roman;Times;serif"/>
          <w:sz w:val="24"/>
        </w:rPr>
        <w:t xml:space="preserve">”), by delivering a Commitment Increase Request substantially in the form attached hereto as Exhibit H or in such other form acceptable to the Administrative Agent at least ten days prior to the desired effective date of such Commitment Increase; </w:t>
      </w:r>
      <w:r>
        <w:rPr>
          <w:rFonts w:ascii="Times New Roman;Times;serif" w:hAnsi="Times New Roman;Times;serif"/>
          <w:i/>
          <w:sz w:val="24"/>
        </w:rPr>
        <w:t>provided, however,</w:t>
      </w:r>
      <w:r>
        <w:rPr>
          <w:rFonts w:ascii="Times New Roman;Times;serif" w:hAnsi="Times New Roman;Times;serif"/>
          <w:sz w:val="24"/>
        </w:rPr>
        <w:t xml:space="preserve"> that (i) the aggregate amount of the Revolving Credit Commitments and all Term Loan Commitments shall not be increased to an amount in excess of $1,500,000,000, (ii) each Revolving Credit Commitment Amount Increase or Incremental Term Loan request shall be in an amount of not less than $5,000,000 or such lesser amount as approved by the Administrative Agent, (iii) no Default or Event of Default shall have occurred and be continuing at the time of the request or  the effective date of the Commitment Increase, (iv)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at the time of such request and on the effective date of such Commitment Increase,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(v) upon the reasonable request of any additional Lender made at least five (5) days prior to the effective date of such Commitment Increase, Borrower shall have provided to such additional Lender, and such additional Lender shall be reasonably satisfied with, the documentation and other information so requested in connection with applicable “know your customer” and anti-money-laundering rules and regulations, including the Act, in each case at least three (3) days prior to the effective date of such Commitment Increase and, at least three (3) days prior to the effective date of such Commitment Increase, if Borrower qualifies as a “legal entity customer” under the Beneficial Ownership Regulation shall have delivered, to each Lender that so requests, a Beneficial Ownership Certification.  The effective date of the Commitment Increase shall be agreed upon by the Borrower and the Administrative Agent.  Upon the effectiveness thereof, the new Lender(s) (or, if applicable, existing Lender(s)) shall advance Revolving Loans or Incremental Term Loans in an amount sufficient such that after giving effect to its advance each Lender shall have outstanding its Applicable Percentage of Revolving Loans and Applicable Percentage of Incremental Term Loans, as applicable.  It shall be a condition to such effectiveness that if any Term SOFR Loans are outstanding on the date of such effectiveness, such Term SOFR Loans shall be deemed to be prepaid on such date and the Borrower shall pay any amounts owing to the Lenders pursuant to Section 1.12 hereof.  In the event that the Borrower shall have terminated any portion of the Revolving Credit Commitments pursuant to Section 1.12 hereof,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amount available for a Revolving Credit Commitment Amount Increase shall be reduced by the terminated commitment amount.  The Borrower agrees to pay any reasonable expenses of the Administrative Agent relating to any Commitment Increase and arrangement fees related thereto as agreed upon in writing between Administrative Agent and the Borrower, if any.  Notwithstanding anything herein to the contrary, (x) no Lender shall have any obligation to increase its Revolving Credit Commitment or to provide an Incremental Term Loan Commitment and no Lender’s Revolving Credit Commitment shall be increased without its consent thereto, and each Lender may at its option, unconditionally and without cause, decline to increase its Revolving Credit Commitment or to provide any Incremental Term Loan Commitment, (y) no declining Lender shall have any consent rights with respect to such Revolving Credit Commitment Amount Increase or such Incremental Term Loan Commitment, as applicable, and (z) any new Lender shall be acceptable to the Administrative Agent (to the extent the consent of the Administrative Agent would be required in connection with an assignment to such new Lender under Section 12.12(a)(iii) hereof) with such consent not to be unreasonably withheld or delayed.  Upon the effectiveness thereof, </w:t>
      </w:r>
      <w:r>
        <w:rPr>
          <w:rFonts w:ascii="Times New Roman;Times;serif" w:hAnsi="Times New Roman;Times;serif"/>
          <w:sz w:val="24"/>
          <w:u w:val="single"/>
        </w:rPr>
        <w:t>Schedule 1</w:t>
      </w:r>
      <w:r>
        <w:rPr>
          <w:rFonts w:ascii="Times New Roman;Times;serif" w:hAnsi="Times New Roman;Times;serif"/>
          <w:sz w:val="24"/>
        </w:rPr>
        <w:t xml:space="preserve"> shall be deemed amended to reflect any Revolving Credit Commitment Amount Increase and any Incremental Term Loan Commitment, as applicable. </w:t>
      </w:r>
      <w:r>
        <w:rPr>
          <w:rFonts w:ascii="Times New Roman;Times;serif" w:hAnsi="Times New Roman;Times;serif"/>
          <w:sz w:val="24"/>
          <w:shd w:fill="FFFFFF" w:val="clear"/>
        </w:rPr>
        <w:t>Subject to Section 7.1 hereof, on the effective date of any new Incremental Term Loan Commitments, any new or existing Lender with an Incremental Term Loan Commitment shall advance in a single Borrowing an Incremental Term Loan in the amount of its new Incremental Term Loan Commitment.  The Borrower shall deliver or cause to be delivered any documents reasonably requested by the Administrative Agent in connection with any such transaction and consistent with Section 7.2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Incremental Term Loan Amendment</w:t>
      </w:r>
      <w:r>
        <w:rPr>
          <w:rFonts w:ascii="Times New Roman;Times;serif" w:hAnsi="Times New Roman;Times;serif"/>
          <w:sz w:val="24"/>
        </w:rPr>
        <w:t>.  Each Commitment Increase for an Incremental Term Loan Facility may be made hereunder pursuant to an amendment or an amendment and restatement (each, an “</w:t>
      </w:r>
      <w:r>
        <w:rPr>
          <w:rFonts w:ascii="Times New Roman;Times;serif" w:hAnsi="Times New Roman;Times;serif"/>
          <w:i/>
          <w:sz w:val="24"/>
        </w:rPr>
        <w:t>Incremental Term Loan Amendment</w:t>
      </w:r>
      <w:r>
        <w:rPr>
          <w:rFonts w:ascii="Times New Roman;Times;serif" w:hAnsi="Times New Roman;Times;serif"/>
          <w:sz w:val="24"/>
        </w:rPr>
        <w:t xml:space="preserve">”) of this Agreement and, as appropriate, the other Loan Documents, executed by Borrower, each Incremental Term Lender participating in such tranche and the Administrative Agent.  The Borrower shall deliver or cause to be delivered any documents reasonably requested by the Administrative Agent in connection with any such transaction and consistent with Section 7.2 hereof.  Each Incremental Term Loan Amendment may, without the consent of any other Lenders, effect such amendments to this Agreement and the other Loan Documents as may be necessary or appropriate, in the reasonable opinion of the Administrative Agent, to effect the provisions of this Section 1.15.  All Incremental Term Loans (i) shall rank pari passu in right of payment with Revolving Loans and the existing Term Loans and shall not be secured by any collateral or guaranteed by any additional Guarantors than the existing Term Loans, (ii) shall not mature earlier than the latest Maturity Date for any then-existing Facility (but may have amortization prior to such date), and (iii) shall be treated substantially the same as (and in any event no more favorably than) the Revolving Loans, the existing Term Loans and each other tranche of Incremental Term Loans; </w:t>
      </w:r>
      <w:r>
        <w:rPr>
          <w:rFonts w:ascii="Times New Roman;Times;serif" w:hAnsi="Times New Roman;Times;serif"/>
          <w:sz w:val="24"/>
          <w:u w:val="single"/>
        </w:rPr>
        <w:t>provided</w:t>
      </w:r>
      <w:r>
        <w:rPr>
          <w:rFonts w:ascii="Times New Roman;Times;serif" w:hAnsi="Times New Roman;Times;serif"/>
          <w:sz w:val="24"/>
        </w:rPr>
        <w:t xml:space="preserve"> that (I) the terms and conditions applicable to any tranche of Incremental Term Loans maturing after the Maturity Date for each then-existing Term Facility may provide for material additional or different financial or other covenants or prepayment requirements applicable only during periods after the Maturity Date for such existing Term Facility and (II) each tranche of Incremental Term Loans may be priced differently than the 2029 Term Loans, 2030 Term Loans, 2031 Term Loans, 2032 Term Loans and any other tranche of Incremental Term Loans.  Each applicable Incremental Term Lender shall fund the applicable Incremental Term Loans in accordance with the requirements of the applicable Incremental Term Loan Amendment.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1.16.</w:t>
      </w:r>
      <w:bookmarkStart w:id="48" w:name="_Toc241229794"/>
      <w:bookmarkEnd w:id="48"/>
      <w:r>
        <w:rPr>
          <w:rFonts w:ascii="Times New Roman;Times;serif" w:hAnsi="Times New Roman;Times;serif"/>
          <w:i w:val="false"/>
          <w:caps w:val="false"/>
          <w:smallCaps w:val="false"/>
          <w:sz w:val="24"/>
          <w:u w:val="single"/>
        </w:rPr>
        <w:t>Extension of Revolving Credit Termination Date</w:t>
      </w:r>
      <w:r>
        <w:rPr>
          <w:rFonts w:ascii="Times New Roman;Times;serif" w:hAnsi="Times New Roman;Times;serif"/>
          <w:i w:val="false"/>
          <w:caps w:val="false"/>
          <w:smallCaps w:val="false"/>
          <w:sz w:val="24"/>
        </w:rPr>
        <w:t>.  Borrower may, by written notice to Administrative Agent (which shall promptly deliver a copy to each of the Lenders) given at least thirty (30) days and not more than ninety (90) days prior to the then Revolving Credit Termination Date pursuant to clause (i) thereof (the “</w:t>
      </w:r>
      <w:r>
        <w:rPr>
          <w:rFonts w:ascii="Times New Roman;Times;serif" w:hAnsi="Times New Roman;Times;serif"/>
          <w:i/>
          <w:sz w:val="24"/>
        </w:rPr>
        <w:t>Existing Commitment Termination Date</w:t>
      </w:r>
      <w:r>
        <w:rPr>
          <w:rFonts w:ascii="Times New Roman;Times;serif" w:hAnsi="Times New Roman;Times;serif"/>
          <w:i/>
          <w:caps w:val="false"/>
          <w:smallCaps w:val="false"/>
          <w:sz w:val="24"/>
        </w:rPr>
        <w:t>”</w:t>
      </w:r>
      <w:r>
        <w:rPr>
          <w:rFonts w:ascii="Times New Roman;Times;serif" w:hAnsi="Times New Roman;Times;serif"/>
          <w:i w:val="false"/>
          <w:caps w:val="false"/>
          <w:smallCaps w:val="false"/>
          <w:sz w:val="24"/>
        </w:rPr>
        <w:t>), request that Lenders extend the Existing Commitment Termination Date for two additional six month periods.  Upon the Borrower’s timely delivery of such notice to Administrative Agent and provided, that (i) no Default or Event of Default has occurred and is continuing (both on the date the notice is delivered and on the then Existing Commitment Termination Date), (ii) the Borrower and the Subsidiaries are in compliance with all covenants contained in Section 8 hereof, (iii) all representations and warranties contained in Section 6 hereof shall be true and correct in all material respects (except in the case of a representation or warranty qualified by materiality in which case such representation or warranty shall be true and correct in all respects) on the date the notice is delivered and on the then Existing Commitment Termination Date except for representations and warranties that relate to a prior date, which shall have been true and correct in all material respects (except in the case of a representation or warranty qualified by materiality in which case such representation or warranty shall be true and correct in all respects) as of the applicable date on which they were made and (iv) the Borrower has paid in immediately available funds the Extension Fee on or prior to the first day of any requested extension period, then the Revolving Credit Termination Date shall be extended to the date that is six months after of the then Existing Commitment Termination Date.  Should the Revolving Credit Termination Date be extended, the terms and conditions of this Agreement will apply during any such extension period, and from and after the date of such extension, the term Revolving Credit Termination Date shall mean the last day of the extended term.</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2.</w:t>
      </w:r>
      <w:bookmarkStart w:id="49" w:name="_Toc241229795"/>
      <w:bookmarkEnd w:id="49"/>
      <w:r>
        <w:rPr>
          <w:rFonts w:ascii="Times New Roman;Times;serif" w:hAnsi="Times New Roman;Times;serif"/>
          <w:caps/>
          <w:sz w:val="24"/>
        </w:rPr>
        <w:t>Fees.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2.1.</w:t>
      </w:r>
      <w:bookmarkStart w:id="50" w:name="_Toc241229796"/>
      <w:bookmarkEnd w:id="50"/>
      <w:r>
        <w:rPr>
          <w:rFonts w:ascii="Times New Roman;Times;serif" w:hAnsi="Times New Roman;Times;serif"/>
          <w:i/>
          <w:sz w:val="24"/>
        </w:rPr>
        <w:t>Fees.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Facility Fee</w:t>
      </w:r>
      <w:r>
        <w:rPr>
          <w:rFonts w:ascii="Times New Roman;Times;serif" w:hAnsi="Times New Roman;Times;serif"/>
          <w:sz w:val="24"/>
        </w:rPr>
        <w:t>.  The Borrower shall pay to the Administrative Agent for the ratable account of the Revolving Lenders in accordance with their Applicable Percentages a facility fee in an amount equal to (i) a rate per annum equal to Facility Fee Rate then in effect multiplied by (ii) the aggregate amount of the Revolving Credit Commitments. Such facility fee shall be payable in arrears on the last day of each calendar month (commencing on the first such date occurring after the Restatement Date) and on the Revolving Credit Termination Date, unless the Revolving Credit Commitments are terminated in whole on an earlier date, in which event the facility fee for the period to the date of such termination in whole shall be calculated and paid on the date of such termination.  The Borrower acknowledges that the facility fee payable hereunder is a bona fide commitment fee and is intended as reasonable compensation to the Revolving Lenders for committing to make funds available to the Borrower as described herein and for no other purposes.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Letter of Credit Fees.</w:t>
      </w:r>
      <w:r>
        <w:rPr>
          <w:rFonts w:ascii="Times New Roman;Times;serif" w:hAnsi="Times New Roman;Times;serif"/>
          <w:sz w:val="24"/>
        </w:rPr>
        <w:t xml:space="preserve">  On the date of issuance or extension, or increase in the amount, of any Letter of Credit pursuant to Section 1.3 hereof, the Borrower shall pay to the L/C Issuer for its own account a fronting fee equal to 0.10% of the face amount of (or of the increase in the face amount of) such Letter of Credit.  Monthly in arrears, on the last day of each calendar month, commencing on the first such date occurring after the date hereof, the Borrower shall pay to the Administrative Agent, for the ratable benefit of the Revolving Lenders in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accordance with their Applicable Percentages, a letter of credit fee at a rate per annum equal to the Applicable Margin for Revolving Loans that are SOFR Loans (computed on the basis of a year of 365 or 366 days, as the case may be, and the actual number of days elapsed) in effect during each day of such month applied to the daily average face amount of Letters of Credit outstanding during such month.  If no Letters of Credit were outstanding during such month, no such fee shall be owed.  In addition, the Borrower shall pay to the L/C Issuer for its own account the L/C Issuer’s standard issuance, drawing, negotiation, amendment, cancellation, assignment, and other administrative fees for each Letter of Credit as established by the L/C Issuer from time to time.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i/>
          <w:sz w:val="24"/>
        </w:rPr>
        <w:t>Administrative Agent and Other Fees</w:t>
      </w:r>
      <w:r>
        <w:rPr>
          <w:rFonts w:ascii="Times New Roman;Times;serif" w:hAnsi="Times New Roman;Times;serif"/>
          <w:sz w:val="24"/>
        </w:rPr>
        <w:t>.  The Borrower shall pay to the Administrative Agent, for its own use and benefit and for the benefit of the Lenders, as applicable, the fees agreed to between the Administrative Agent and the Borrower in the Fee Letter, or as otherwise agreed to in writing between them.</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3.</w:t>
      </w:r>
      <w:bookmarkStart w:id="51" w:name="_Toc241229797"/>
      <w:bookmarkEnd w:id="51"/>
      <w:r>
        <w:rPr>
          <w:rFonts w:ascii="Times New Roman;Times;serif" w:hAnsi="Times New Roman;Times;serif"/>
          <w:caps/>
          <w:sz w:val="24"/>
        </w:rPr>
        <w:t>Place and Application of Payments.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3.1.</w:t>
      </w:r>
      <w:bookmarkStart w:id="52" w:name="_Toc241229798"/>
      <w:bookmarkStart w:id="53" w:name="_Ref83736280"/>
      <w:bookmarkEnd w:id="52"/>
      <w:bookmarkEnd w:id="53"/>
      <w:r>
        <w:rPr>
          <w:rFonts w:ascii="Times New Roman;Times;serif" w:hAnsi="Times New Roman;Times;serif"/>
          <w:i w:val="false"/>
          <w:caps w:val="false"/>
          <w:smallCaps w:val="false"/>
          <w:sz w:val="24"/>
          <w:u w:val="single"/>
        </w:rPr>
        <w:t>Place and Application of Payments.</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All payments of principal of and interest on the Loans and the Reimbursement Obligations, and of all other Obligations payable by the Borrower under this Agreement and the other Loan Documents, shall be made by the Borrower to the Administrative Agent by no later than 12:00 Noon (Chicago time) on the due date thereof at the office of the Administrative Agent in Cleveland, Ohio (or such other location as the Administrative Agent may designate to the Borrower) for the benefit of the Lender(s) or L/C Issuer entitled thereto.  Any payments received after such time shall be deemed to have been received by the Administrative Agent on the next Business Day.  All such payments shall be made in U.S. Dollars, in immediately available funds at the place of payment, in each case without set off or counterclaim.  The Administrative Agent will promptly thereafter cause to be distributed like funds relating to the payment of principal or interest on Loans and on Reimbursement Obligations in which the Lenders have purchased Participating Interests ratably to the Lenders and like funds relating to the payment of any other amount payable to any Lender to such Lender, in each case to be applied in accordance with the terms of this Agreement.  If the Administrative Agent causes amounts to be distributed to the Lenders in reliance upon the assumption that the Borrower will make a scheduled payment and such scheduled payment is not so made, each Lender shall, on demand, repay to the Administrative Agent the amount distributed to such Lender together with interest thereon in respect of each day during the period commencing on the date such amount was distributed to such Lender and ending on (but excluding) the date such Lender repays such amount to the Administrative Agent, at a rate per annum equal to:  (i) from the date the distribution was made to the date two (2) Business Days after payment by such Lender is due hereunder, the Federal Funds Rate for each such day and (ii) from the date two (2) Business Days after the date such payment is due from such Lender to the date such payment is made by such Lender, the Base Rate in effect for each such day.</w:t>
      </w:r>
    </w:p>
    <w:p>
      <w:pPr>
        <w:pStyle w:val="TextBody"/>
        <w:bidi w:val="0"/>
        <w:spacing w:before="0" w:after="0"/>
        <w:ind w:left="0" w:right="0" w:firstLine="720"/>
        <w:jc w:val="both"/>
        <w:rPr>
          <w:rFonts w:ascii="Times" w:hAnsi="Times"/>
          <w:sz w:val="24"/>
        </w:rPr>
      </w:pPr>
      <w:r>
        <w:rPr>
          <w:rFonts w:ascii="Times" w:hAnsi="Times"/>
          <w:sz w:val="24"/>
        </w:rPr>
        <w:t xml:space="preserve">Anything contained herein to the contrary notwithstanding (including, without limitation, Section 1.8(b) hereof), all payments and collections received in respect of the Obligations by the Administrative Agent or any of the Lenders after acceleration or the final maturity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Obligations or termination of the Revolving Credit Commitments as a result of an Event of Default shall be remitted to the Administrative Agent and distributed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(a)first, to the payment of any outstanding costs and expenses incurred by the Administrative Agent in protecting, preserving or enforcing rights under the Loan Documents, and in any event including all costs and expenses of a character which the Borrower has agreed to pay the Administrative Agent under Section 12.15 hereof (such funds to be retained by the Administrative Agent for its own account unless it has previously been reimbursed for such costs and expenses by the Lenders, in which event such amounts shall be remitted to the Lenders to reimburse them for payments theretofore made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(b)second, to the payment of any outstanding interest and fees due under the Loan Documents to be allocated pro rata in accordance with the aggregate unpaid amounts owing to each holder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(c)third, to the payment of principal on the Term Loans, Incremental Term Loans (if any), the Revolving Loans, unpaid Reimbursement Obligations, together with amounts to be held by the Administrative Agent as collateral security for any outstanding L/C Obligations pursuant to Section 9.4 hereof (until the Administrative Agent is holding an amount of cash equal to the then outstanding amount of all such L/C Obligations), Hedging Liability, and Funds Transfer and Deposit Account Liability, with the aggregate amount paid to, or held as collateral security for, the Lenders, each Qualifying Counterparty and L/C Issuer and, in the case of Hedging Liability, their Affiliates, to be allocated </w:t>
      </w:r>
      <w:r>
        <w:rPr>
          <w:rFonts w:ascii="Times New Roman;Times;serif" w:hAnsi="Times New Roman;Times;serif"/>
          <w:i/>
          <w:sz w:val="24"/>
        </w:rPr>
        <w:t>pro rata</w:t>
      </w:r>
      <w:r>
        <w:rPr>
          <w:rFonts w:ascii="Times New Roman;Times;serif" w:hAnsi="Times New Roman;Times;serif"/>
          <w:sz w:val="24"/>
        </w:rPr>
        <w:t xml:space="preserve"> in accordance with the aggregate unpaid amounts owing to each holder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(d)fourth, to the payment of all other unpaid Obligations and all other indebtedness, obligations, and liabilities of the Borrower and its Subsidiaries evidenced by the Loan Documents (including, without limitation, Funds Transfer and Deposit Account Liability) to be allocated pro rata in accordance with the aggregate unpaid amounts owing to each holder thereof;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(e)finally, to the Borrower or whoever else may be lawfully entitled thereto.</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4.</w:t>
      </w:r>
      <w:bookmarkStart w:id="54" w:name="_Toc241229799"/>
      <w:bookmarkEnd w:id="54"/>
      <w:r>
        <w:rPr>
          <w:rFonts w:ascii="Times New Roman;Times;serif" w:hAnsi="Times New Roman;Times;serif"/>
          <w:caps/>
          <w:sz w:val="24"/>
        </w:rPr>
        <w:t>Guaranties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4.1.</w:t>
      </w:r>
      <w:bookmarkStart w:id="55" w:name="_Toc241229800"/>
      <w:bookmarkEnd w:id="55"/>
      <w:r>
        <w:rPr>
          <w:rFonts w:ascii="Times New Roman;Times;serif" w:hAnsi="Times New Roman;Times;serif"/>
          <w:i w:val="false"/>
          <w:caps w:val="false"/>
          <w:smallCaps w:val="false"/>
          <w:sz w:val="24"/>
          <w:u w:val="single"/>
        </w:rPr>
        <w:t>Guaranties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payment and performance of the Obligations, Hedging Liability, and Funds Transfer and Deposit Account Liability shall, subject to Section 4.3, at all times be guaranteed by each direct and indirect Material</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Subsidiary of the Borrower pursuant to Section 13 hereof or pursuant to one or more guaranty agreements in form and substance acceptable to the Administrative Agent, as the same may be amended, modified or supplemented from time to time (individually a </w:t>
      </w:r>
      <w:r>
        <w:rPr>
          <w:rFonts w:ascii="Times New Roman;Times;serif" w:hAnsi="Times New Roman;Times;serif"/>
          <w:i/>
          <w:sz w:val="24"/>
        </w:rPr>
        <w:t>“Guaranty”</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collectively the </w:t>
      </w:r>
      <w:r>
        <w:rPr>
          <w:rFonts w:ascii="Times New Roman;Times;serif" w:hAnsi="Times New Roman;Times;serif"/>
          <w:i/>
          <w:sz w:val="24"/>
        </w:rPr>
        <w:t>“Guaranties”</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each such Material Subsidiary executing and delivering a Guaranty being referred to herein as a </w:t>
      </w:r>
      <w:r>
        <w:rPr>
          <w:rFonts w:ascii="Times New Roman;Times;serif" w:hAnsi="Times New Roman;Times;serif"/>
          <w:i/>
          <w:sz w:val="24"/>
        </w:rPr>
        <w:t>“Guarantor”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collectively the </w:t>
      </w:r>
      <w:r>
        <w:rPr>
          <w:rFonts w:ascii="Times New Roman;Times;serif" w:hAnsi="Times New Roman;Times;serif"/>
          <w:i/>
          <w:sz w:val="24"/>
        </w:rPr>
        <w:t>“Guarantors”</w:t>
      </w:r>
      <w:r>
        <w:rPr>
          <w:rFonts w:ascii="Times New Roman;Times;serif" w:hAnsi="Times New Roman;Times;serif"/>
          <w:i w:val="false"/>
          <w:caps w:val="false"/>
          <w:smallCaps w:val="false"/>
          <w:sz w:val="24"/>
        </w:rPr>
        <w:t xml:space="preserve">);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that, with respect to any Guarantor, Hedging Liability guaranteed by such Guarantor shall exclude all Excluded Swap Obligations.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4.2.</w:t>
      </w:r>
      <w:bookmarkStart w:id="56" w:name="_Toc241229801"/>
      <w:bookmarkEnd w:id="56"/>
      <w:r>
        <w:rPr>
          <w:rFonts w:ascii="Times New Roman;Times;serif" w:hAnsi="Times New Roman;Times;serif"/>
          <w:i w:val="false"/>
          <w:caps w:val="false"/>
          <w:smallCaps w:val="false"/>
          <w:sz w:val="24"/>
          <w:u w:val="single"/>
        </w:rPr>
        <w:t>Further Assurances.</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 xml:space="preserve">In the event the Borrower or any Guarantor forms or acquires any other Material Subsidiary after the date hereof, except as otherwise provided in Section 4.1, the Borrower shall promptly upon such formation or acquisition cause such newly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formed or acquired Material Subsidiary to execute a Guaranty or an Additional Guarantor Supplement in the form of Exhibit G attached hereto (the </w:t>
      </w:r>
      <w:r>
        <w:rPr>
          <w:rFonts w:ascii="Times New Roman;Times;serif" w:hAnsi="Times New Roman;Times;serif"/>
          <w:sz w:val="24"/>
        </w:rPr>
        <w:t>“</w:t>
      </w:r>
      <w:r>
        <w:rPr>
          <w:rFonts w:ascii="Times New Roman;Times;serif" w:hAnsi="Times New Roman;Times;serif"/>
          <w:b w:val="false"/>
          <w:i/>
          <w:sz w:val="24"/>
        </w:rPr>
        <w:t>Additional Guarantor Supplement”</w:t>
      </w:r>
      <w:r>
        <w:rPr>
          <w:rFonts w:ascii="Times New Roman;Times;serif" w:hAnsi="Times New Roman;Times;serif"/>
          <w:b w:val="false"/>
          <w:i w:val="false"/>
          <w:caps w:val="false"/>
          <w:smallCaps w:val="false"/>
          <w:sz w:val="24"/>
        </w:rPr>
        <w:t>) as the Administrative Agent may then require, and the Borrower shall also deliver to the Administrative Agent, or cause such Material Subsidiary to deliver to the Administrative Agent, at the Borrower’s cost and expense, such other instruments, documents, certificates, and opinions reasonably required by the Administrative Agent in connection therewith.</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4.3.</w:t>
      </w:r>
      <w:bookmarkStart w:id="57" w:name="_Ref186451583"/>
      <w:bookmarkStart w:id="58" w:name="_Toc241229802"/>
      <w:bookmarkEnd w:id="57"/>
      <w:bookmarkEnd w:id="58"/>
      <w:r>
        <w:rPr>
          <w:rFonts w:ascii="Times New Roman;Times;serif" w:hAnsi="Times New Roman;Times;serif"/>
          <w:i w:val="false"/>
          <w:caps w:val="false"/>
          <w:smallCaps w:val="false"/>
          <w:sz w:val="24"/>
          <w:u w:val="single"/>
        </w:rPr>
        <w:t>Investment Grade Release</w:t>
      </w:r>
      <w:r>
        <w:rPr>
          <w:rFonts w:ascii="Times New Roman;Times;serif" w:hAnsi="Times New Roman;Times;serif"/>
          <w:i w:val="false"/>
          <w:caps w:val="false"/>
          <w:smallCaps w:val="false"/>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Notwithstanding the terms of Section 4.1, from and after the Investment Grade Rating Date, Administrative Agent shall promptly release all of the Guarantors from their obligations under the Guaranty (the “Investment Grade Release”), subject to satisfaction of the following conditions: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4"/>
        </w:rPr>
        <w:t>Borrower shall have delivered to Administrative Agent, on or prior to the date that is ten (10) Business Days (or such shorter period of time as agreed to by Administrative Agent) before the date on which the Investment Grade Release is to be effected, written notice that it is requesting the Investment Grade Release, which notice shall identify the Guarantors to be released and the proposed effective date for the Investment Grade Release;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z w:val="24"/>
        </w:rPr>
        <w:t>On the date the Investment Grade Release is to become effective, Administrative Agent shall have received a certificate signed by a Responsible Officer, certifying that (A) no Guarantor requested to be released is a borrower or guarantor of, or otherwise has a payment obligation in respect of, any Unsecured Indebtedness (other than Unsecured Indebtedness in respect of which such Subsidiary Guarantor shall be released as a borrower or guarantor or other obligor substantially concurrently with the release hereunder); (B) immediately before and immediately after giving effect to the Investment Grade Release, no Default or Event of Default has occurred and is continuing or would result therefrom; and (C) immediately before and immediately after giving effect to the Investment Grade Release,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as of such date, with the same effect as if made at and as of that date, except to the extent that such representations and warranties related solely to an earlier date (in which case such representations and warranties shall be true and correct in all material respects on and as of such earlier date).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(iii)</w:t>
      </w:r>
      <w:r>
        <w:rPr>
          <w:rFonts w:ascii="Times New Roman;Times;serif" w:hAnsi="Times New Roman;Times;serif"/>
          <w:sz w:val="24"/>
        </w:rPr>
        <w:t>In the event that at any time after the Investment Grade Release, any such Guarantor released pursuant to Section 4.3</w:t>
      </w:r>
      <w:r>
        <w:rPr>
          <w:rFonts w:ascii="Times New Roman;Times;serif" w:hAnsi="Times New Roman;Times;serif"/>
          <w:sz w:val="22"/>
        </w:rPr>
        <w:t xml:space="preserve"> </w:t>
      </w:r>
      <w:r>
        <w:rPr>
          <w:rFonts w:ascii="Times New Roman;Times;serif" w:hAnsi="Times New Roman;Times;serif"/>
          <w:sz w:val="24"/>
        </w:rPr>
        <w:t>is the primary obligor under, or provides a guaranty to any holder of, Unsecured Indebtedness, Borrower shall within ten (10) Business Days after such occurrence cause such Subsidiary Guarantor to satisfy within such ten (10) Business Day period all of the provisions of Section 4.1 that would be applicable to the addition of a new Guarantor.</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5.</w:t>
      </w:r>
      <w:bookmarkStart w:id="59" w:name="_Toc241229803"/>
      <w:bookmarkEnd w:id="59"/>
      <w:r>
        <w:rPr>
          <w:rFonts w:ascii="Times New Roman;Times;serif" w:hAnsi="Times New Roman;Times;serif"/>
          <w:caps/>
          <w:sz w:val="24"/>
        </w:rPr>
        <w:t>Definitions; Interpretation.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5.1.</w:t>
      </w:r>
      <w:bookmarkStart w:id="60" w:name="_Toc241229804"/>
      <w:bookmarkStart w:id="61" w:name="_Ref70340498"/>
      <w:bookmarkEnd w:id="60"/>
      <w:bookmarkEnd w:id="61"/>
      <w:r>
        <w:rPr>
          <w:rFonts w:ascii="Times New Roman;Times;serif" w:hAnsi="Times New Roman;Times;serif"/>
          <w:i w:val="false"/>
          <w:caps w:val="false"/>
          <w:smallCaps w:val="false"/>
          <w:sz w:val="24"/>
          <w:u w:val="single"/>
        </w:rPr>
        <w:t>Definitions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The following terms when used herein shall have the following meanings:</w:t>
      </w:r>
    </w:p>
    <w:p>
      <w:pPr>
        <w:pStyle w:val="TextBody"/>
        <w:bidi w:val="0"/>
        <w:spacing w:before="0" w:after="240"/>
        <w:ind w:left="0" w:right="0" w:firstLine="720"/>
        <w:jc w:val="both"/>
        <w:rPr/>
      </w:pPr>
      <w:r>
        <w:rPr/>
        <w:t>“</w:t>
      </w:r>
      <w:r>
        <w:rPr>
          <w:rFonts w:ascii="Times" w:hAnsi="Times"/>
          <w:i/>
          <w:sz w:val="24"/>
        </w:rPr>
        <w:t xml:space="preserve">1031 Cash Proceeds” </w:t>
      </w:r>
      <w:r>
        <w:rPr>
          <w:rFonts w:ascii="Times" w:hAnsi="Times"/>
          <w:sz w:val="24"/>
        </w:rPr>
        <w:t xml:space="preserve">means cash proceeds from the sale of Property in a transaction under Section 1031 of the Code held by a qualifying intermediary; </w:t>
      </w:r>
      <w:r>
        <w:rPr>
          <w:rFonts w:ascii="Times" w:hAnsi="Times"/>
          <w:i/>
          <w:sz w:val="24"/>
        </w:rPr>
        <w:t>provided</w:t>
      </w:r>
      <w:r>
        <w:rPr>
          <w:rFonts w:ascii="Times" w:hAnsi="Times"/>
          <w:sz w:val="24"/>
        </w:rPr>
        <w:t>, that, such proceeds shall cease to be 1031 Cash Proceeds as of the last day on which Borrower or the applicable Subsidiary can consummate a tax-deferred transaction under Section 1031 of the Code.</w:t>
      </w:r>
    </w:p>
    <w:p>
      <w:pPr>
        <w:pStyle w:val="TextBody"/>
        <w:bidi w:val="0"/>
        <w:spacing w:before="0" w:after="240"/>
        <w:ind w:left="0" w:right="0" w:firstLine="720"/>
        <w:jc w:val="both"/>
        <w:rPr/>
      </w:pPr>
      <w:r>
        <w:rPr/>
        <w:t>“</w:t>
      </w:r>
      <w:r>
        <w:rPr>
          <w:rFonts w:ascii="Times" w:hAnsi="Times"/>
          <w:i/>
          <w:sz w:val="24"/>
        </w:rPr>
        <w:t>1031 Property”</w:t>
      </w:r>
      <w:r>
        <w:rPr>
          <w:rFonts w:ascii="Times" w:hAnsi="Times"/>
          <w:sz w:val="24"/>
        </w:rPr>
        <w:t xml:space="preserve"> means, as of any Unencumbered Pool Determination Date, any Property owned by a 1031 Property Holder which is intended to qualify for tax treatment under Section 1031 of the Code and which satisfies the following conditions:</w:t>
      </w:r>
    </w:p>
    <w:p>
      <w:pPr>
        <w:pStyle w:val="TextBody"/>
        <w:bidi w:val="0"/>
        <w:spacing w:before="0" w:after="240"/>
        <w:ind w:left="720" w:right="0" w:hanging="0"/>
        <w:jc w:val="both"/>
        <w:rPr>
          <w:rFonts w:ascii="Times" w:hAnsi="Times"/>
          <w:sz w:val="24"/>
        </w:rPr>
      </w:pPr>
      <w:r>
        <w:rPr>
          <w:rFonts w:ascii="Times" w:hAnsi="Times"/>
          <w:sz w:val="24"/>
        </w:rPr>
        <w:t>(i)the Property meets all of the requirements of the definition of Eligible Property; and</w:t>
      </w:r>
    </w:p>
    <w:p>
      <w:pPr>
        <w:pStyle w:val="TextBody"/>
        <w:bidi w:val="0"/>
        <w:spacing w:before="0" w:after="240"/>
        <w:ind w:left="720" w:right="0" w:hanging="0"/>
        <w:jc w:val="both"/>
        <w:rPr>
          <w:rFonts w:ascii="Times" w:hAnsi="Times"/>
          <w:sz w:val="24"/>
        </w:rPr>
      </w:pPr>
      <w:r>
        <w:rPr>
          <w:rFonts w:ascii="Times" w:hAnsi="Times"/>
          <w:sz w:val="24"/>
        </w:rPr>
        <w:t>(ii)the Borrower or a Guarantor has the unconditional contractual right to require and cause fee simple title to such Property to be transferred at any time to any Person as directed by the Borrower or a Guarantor.</w:t>
      </w:r>
    </w:p>
    <w:p>
      <w:pPr>
        <w:pStyle w:val="TextBody"/>
        <w:bidi w:val="0"/>
        <w:spacing w:before="0" w:after="240"/>
        <w:ind w:left="0" w:right="0" w:firstLine="720"/>
        <w:jc w:val="both"/>
        <w:rPr>
          <w:rFonts w:ascii="Times" w:hAnsi="Times"/>
          <w:sz w:val="24"/>
        </w:rPr>
      </w:pPr>
      <w:r>
        <w:rPr>
          <w:rFonts w:ascii="Times" w:hAnsi="Times"/>
          <w:sz w:val="24"/>
        </w:rPr>
        <w:t>For purposes of determining Total Asset Value, such 1031 Property shall be deemed to have been owned or leased by the Borrower or a Guarantor from the date acquired by the 1031 Property Holder that owns such 1031 Property.</w:t>
      </w:r>
    </w:p>
    <w:p>
      <w:pPr>
        <w:pStyle w:val="TextBody"/>
        <w:bidi w:val="0"/>
        <w:spacing w:before="0" w:after="240"/>
        <w:ind w:left="0" w:right="0" w:firstLine="720"/>
        <w:jc w:val="both"/>
        <w:rPr/>
      </w:pPr>
      <w:r>
        <w:rPr/>
        <w:t>“</w:t>
      </w:r>
      <w:r>
        <w:rPr>
          <w:rFonts w:ascii="Times" w:hAnsi="Times"/>
          <w:i/>
          <w:sz w:val="24"/>
        </w:rPr>
        <w:t>1031 Property Holder”</w:t>
      </w:r>
      <w:r>
        <w:rPr>
          <w:rFonts w:ascii="Times" w:hAnsi="Times"/>
          <w:sz w:val="24"/>
        </w:rPr>
        <w:t xml:space="preserve"> means the “qualified intermediary” or “exchange accommodation titleholder” with respect to a 1031 Property as contemplated under Section 1031 of the Code, the regulations of the U.S. Department of Treasury adopted thereunder and related revenue procedures related thereto.</w:t>
      </w:r>
    </w:p>
    <w:p>
      <w:pPr>
        <w:pStyle w:val="TextBody"/>
        <w:bidi w:val="0"/>
        <w:spacing w:before="0" w:after="240"/>
        <w:ind w:left="0" w:right="0" w:firstLine="720"/>
        <w:jc w:val="both"/>
        <w:rPr/>
      </w:pPr>
      <w:bookmarkStart w:id="62" w:name="_Hlk219724025"/>
      <w:bookmarkEnd w:id="62"/>
      <w:r>
        <w:rPr/>
        <w:t>“</w:t>
      </w:r>
      <w:r>
        <w:rPr>
          <w:rFonts w:ascii="Times" w:hAnsi="Times"/>
          <w:i/>
          <w:sz w:val="24"/>
        </w:rPr>
        <w:t xml:space="preserve">2029 Aggregate Term Facility Amount” </w:t>
      </w:r>
      <w:r>
        <w:rPr>
          <w:rFonts w:ascii="Times" w:hAnsi="Times"/>
          <w:sz w:val="24"/>
        </w:rPr>
        <w:t>means as of the Restatement Date, $150,000,000.</w:t>
      </w:r>
    </w:p>
    <w:p>
      <w:pPr>
        <w:pStyle w:val="TextBody"/>
        <w:bidi w:val="0"/>
        <w:spacing w:before="0" w:after="240"/>
        <w:ind w:left="0" w:right="0" w:firstLine="720"/>
        <w:jc w:val="both"/>
        <w:rPr/>
      </w:pPr>
      <w:r>
        <w:rPr/>
        <w:t>“</w:t>
      </w:r>
      <w:r>
        <w:rPr>
          <w:rFonts w:ascii="Times" w:hAnsi="Times"/>
          <w:i/>
          <w:sz w:val="24"/>
        </w:rPr>
        <w:t>2029 Term Loan”</w:t>
      </w:r>
      <w:r>
        <w:rPr>
          <w:rFonts w:ascii="Times" w:hAnsi="Times"/>
          <w:sz w:val="24"/>
        </w:rPr>
        <w:t xml:space="preserve"> means each Term Loan made by a 2029 Term Lender in the amount of such Lender’s 2029 Term Loan Commitment pursuant to Section 1.2(a) hereof.</w:t>
      </w:r>
    </w:p>
    <w:p>
      <w:pPr>
        <w:pStyle w:val="TextBody"/>
        <w:bidi w:val="0"/>
        <w:spacing w:before="0" w:after="240"/>
        <w:ind w:left="0" w:right="0" w:firstLine="720"/>
        <w:jc w:val="both"/>
        <w:rPr/>
      </w:pPr>
      <w:r>
        <w:rPr/>
        <w:t>“</w:t>
      </w:r>
      <w:r>
        <w:rPr>
          <w:rFonts w:ascii="Times" w:hAnsi="Times"/>
          <w:i/>
          <w:sz w:val="24"/>
        </w:rPr>
        <w:t>2029 Term Loan Commitment”</w:t>
      </w:r>
      <w:r>
        <w:rPr>
          <w:rFonts w:ascii="Times" w:hAnsi="Times"/>
          <w:sz w:val="24"/>
        </w:rPr>
        <w:t xml:space="preserve"> means, as to any Lender, the obligation of such Lender to make or maintain its 2029 Term Loan on the Restatement Date in the principal amount not to exceed the amount set forth opposite such Lender’s name under the heading 2029 Term Loan Commitment on Schedule 1 attached hereto and made a part hereof.  The Borrower and the Lenders acknowledge and agree that the 2029 Term Loan Commitments of the Lenders aggregate $150,000,000 as of the date hereof.</w:t>
      </w:r>
    </w:p>
    <w:p>
      <w:pPr>
        <w:pStyle w:val="TextBody"/>
        <w:bidi w:val="0"/>
        <w:spacing w:before="0" w:after="240"/>
        <w:ind w:left="0" w:right="0" w:firstLine="720"/>
        <w:jc w:val="both"/>
        <w:rPr/>
      </w:pPr>
      <w:r>
        <w:rPr/>
        <w:t>“</w:t>
      </w:r>
      <w:r>
        <w:rPr>
          <w:rFonts w:ascii="Times" w:hAnsi="Times"/>
          <w:i/>
          <w:sz w:val="24"/>
        </w:rPr>
        <w:t>2029 Term Facility</w:t>
      </w:r>
      <w:r>
        <w:rPr>
          <w:rFonts w:ascii="Times" w:hAnsi="Times"/>
          <w:sz w:val="24"/>
        </w:rPr>
        <w:t>” means, the aggregate principal amount of the 2029 Term Loans of all 2029 Term Lenders outstanding at such time.</w:t>
      </w:r>
    </w:p>
    <w:p>
      <w:pPr>
        <w:pStyle w:val="TextBody"/>
        <w:bidi w:val="0"/>
        <w:spacing w:before="0" w:after="240"/>
        <w:ind w:left="0" w:right="0" w:firstLine="720"/>
        <w:jc w:val="both"/>
        <w:rPr/>
      </w:pPr>
      <w:r>
        <w:rPr/>
        <w:t>“</w:t>
      </w:r>
      <w:r>
        <w:rPr>
          <w:rFonts w:ascii="Times" w:hAnsi="Times"/>
          <w:i/>
          <w:sz w:val="24"/>
        </w:rPr>
        <w:t>2029 Term Lender</w:t>
      </w:r>
      <w:r>
        <w:rPr>
          <w:rFonts w:ascii="Times" w:hAnsi="Times"/>
          <w:sz w:val="24"/>
        </w:rPr>
        <w:t>” means, each Lender that holds a 2029 Term Loan or 2029 Term Loan Commitment.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2030 Aggregate Term Facility Amount” </w:t>
      </w:r>
      <w:r>
        <w:rPr>
          <w:rFonts w:ascii="Times" w:hAnsi="Times"/>
          <w:sz w:val="24"/>
        </w:rPr>
        <w:t>means as of the Restatement Date, $150,000,000.</w:t>
      </w:r>
    </w:p>
    <w:p>
      <w:pPr>
        <w:pStyle w:val="TextBody"/>
        <w:bidi w:val="0"/>
        <w:spacing w:before="0" w:after="240"/>
        <w:ind w:left="0" w:right="0" w:firstLine="720"/>
        <w:jc w:val="both"/>
        <w:rPr/>
      </w:pPr>
      <w:r>
        <w:rPr/>
        <w:t>“</w:t>
      </w:r>
      <w:r>
        <w:rPr>
          <w:rFonts w:ascii="Times" w:hAnsi="Times"/>
          <w:i/>
          <w:sz w:val="24"/>
        </w:rPr>
        <w:t>2030 Term Loan”</w:t>
      </w:r>
      <w:r>
        <w:rPr>
          <w:rFonts w:ascii="Times" w:hAnsi="Times"/>
          <w:sz w:val="24"/>
        </w:rPr>
        <w:t xml:space="preserve"> means each Term Loan made by a 2030 Term Lender in the amount of such Lender’s 2030 Term Loan Commitment pursuant to Section 1.2(b) hereof.</w:t>
      </w:r>
    </w:p>
    <w:p>
      <w:pPr>
        <w:pStyle w:val="TextBody"/>
        <w:bidi w:val="0"/>
        <w:spacing w:before="0" w:after="240"/>
        <w:ind w:left="0" w:right="0" w:firstLine="720"/>
        <w:jc w:val="both"/>
        <w:rPr/>
      </w:pPr>
      <w:r>
        <w:rPr/>
        <w:t>“</w:t>
      </w:r>
      <w:r>
        <w:rPr>
          <w:rFonts w:ascii="Times" w:hAnsi="Times"/>
          <w:i/>
          <w:sz w:val="24"/>
        </w:rPr>
        <w:t>2030 Term Loan Commitment”</w:t>
      </w:r>
      <w:r>
        <w:rPr>
          <w:rFonts w:ascii="Times" w:hAnsi="Times"/>
          <w:sz w:val="24"/>
        </w:rPr>
        <w:t xml:space="preserve"> means, as to any Lender, the obligation of such Lender to make or maintain its 2030 Term Loan on the Restatement Date in the principal amount not to exceed amount set forth opposite such Lender’s name under the heading 2030 Term Loan Commitment on Schedule 1 attached hereto and made a part hereof.  The Borrower and the Lenders acknowledge and agree that the 2030 Term Loan Commitments of the Lenders aggregate $150,000,000 as of the date hereof.</w:t>
      </w:r>
    </w:p>
    <w:p>
      <w:pPr>
        <w:pStyle w:val="TextBody"/>
        <w:bidi w:val="0"/>
        <w:spacing w:before="0" w:after="240"/>
        <w:ind w:left="0" w:right="0" w:firstLine="720"/>
        <w:jc w:val="both"/>
        <w:rPr/>
      </w:pPr>
      <w:r>
        <w:rPr/>
        <w:t>“</w:t>
      </w:r>
      <w:r>
        <w:rPr>
          <w:rFonts w:ascii="Times" w:hAnsi="Times"/>
          <w:i/>
          <w:sz w:val="24"/>
        </w:rPr>
        <w:t>2030 Term Facility</w:t>
      </w:r>
      <w:r>
        <w:rPr>
          <w:rFonts w:ascii="Times" w:hAnsi="Times"/>
          <w:sz w:val="24"/>
        </w:rPr>
        <w:t>” means, the aggregate principal amount of the 2030 Term Loans of all 2030 Term Lenders outstanding at such time.</w:t>
      </w:r>
    </w:p>
    <w:p>
      <w:pPr>
        <w:pStyle w:val="TextBody"/>
        <w:bidi w:val="0"/>
        <w:spacing w:before="0" w:after="240"/>
        <w:ind w:left="0" w:right="0" w:firstLine="720"/>
        <w:jc w:val="both"/>
        <w:rPr/>
      </w:pPr>
      <w:r>
        <w:rPr/>
        <w:t>“</w:t>
      </w:r>
      <w:r>
        <w:rPr>
          <w:rFonts w:ascii="Times" w:hAnsi="Times"/>
          <w:i/>
          <w:sz w:val="24"/>
        </w:rPr>
        <w:t>2030</w:t>
      </w:r>
      <w:r>
        <w:rPr>
          <w:rFonts w:ascii="Times" w:hAnsi="Times"/>
          <w:sz w:val="24"/>
        </w:rPr>
        <w:t xml:space="preserve"> </w:t>
      </w:r>
      <w:r>
        <w:rPr>
          <w:rFonts w:ascii="Times" w:hAnsi="Times"/>
          <w:i/>
          <w:sz w:val="24"/>
        </w:rPr>
        <w:t>Term Lender</w:t>
      </w:r>
      <w:r>
        <w:rPr>
          <w:rFonts w:ascii="Times" w:hAnsi="Times"/>
          <w:sz w:val="24"/>
        </w:rPr>
        <w:t>” means, each Lender that holds a 2030 Term Loan or 2030 Term Loan Commitment.</w:t>
      </w:r>
    </w:p>
    <w:p>
      <w:pPr>
        <w:pStyle w:val="TextBody"/>
        <w:bidi w:val="0"/>
        <w:spacing w:before="0" w:after="240"/>
        <w:ind w:left="0" w:right="0" w:firstLine="720"/>
        <w:jc w:val="both"/>
        <w:rPr/>
      </w:pPr>
      <w:r>
        <w:rPr/>
        <w:t>“</w:t>
      </w:r>
      <w:r>
        <w:rPr>
          <w:rFonts w:ascii="Times" w:hAnsi="Times"/>
          <w:i/>
          <w:sz w:val="24"/>
        </w:rPr>
        <w:t>2031 Term Loan”</w:t>
      </w:r>
      <w:r>
        <w:rPr>
          <w:rFonts w:ascii="Times" w:hAnsi="Times"/>
          <w:sz w:val="24"/>
        </w:rPr>
        <w:t xml:space="preserve"> means each Term Loan made by a 2031 Term Lender in the amount of such Lender’s 2031 Term Loan Commitment pursuant to Section 1.2(c) hereof.</w:t>
      </w:r>
    </w:p>
    <w:p>
      <w:pPr>
        <w:pStyle w:val="TextBody"/>
        <w:bidi w:val="0"/>
        <w:spacing w:before="0" w:after="240"/>
        <w:ind w:left="0" w:right="0" w:firstLine="720"/>
        <w:jc w:val="both"/>
        <w:rPr/>
      </w:pPr>
      <w:r>
        <w:rPr/>
        <w:t>“</w:t>
      </w:r>
      <w:r>
        <w:rPr>
          <w:rFonts w:ascii="Times" w:hAnsi="Times"/>
          <w:i/>
          <w:sz w:val="24"/>
        </w:rPr>
        <w:t>2031 Term Loan Commitment”</w:t>
      </w:r>
      <w:r>
        <w:rPr>
          <w:rFonts w:ascii="Times" w:hAnsi="Times"/>
          <w:sz w:val="24"/>
        </w:rPr>
        <w:t xml:space="preserve"> means, as to any Lender, the obligation of such Lender to make its 2031 Term Loan on the Restatement Date in the principal amount not to exceed the amount set forth opposite such Lender’s name under the heading 2031 Term Loan Commitment on Schedule 1 attached hereto and made a part hereof.  The Borrower and the Lenders acknowledge and agree that the 2031 Term Loan Commitments of the Lenders aggregate $150,000,000 as of the date hereof.</w:t>
      </w:r>
    </w:p>
    <w:p>
      <w:pPr>
        <w:pStyle w:val="TextBody"/>
        <w:bidi w:val="0"/>
        <w:spacing w:before="0" w:after="240"/>
        <w:ind w:left="0" w:right="0" w:firstLine="720"/>
        <w:jc w:val="both"/>
        <w:rPr/>
      </w:pPr>
      <w:r>
        <w:rPr/>
        <w:t>“</w:t>
      </w:r>
      <w:r>
        <w:rPr>
          <w:rFonts w:ascii="Times" w:hAnsi="Times"/>
          <w:i/>
          <w:sz w:val="24"/>
        </w:rPr>
        <w:t>2031 Term Facility</w:t>
      </w:r>
      <w:r>
        <w:rPr>
          <w:rFonts w:ascii="Times" w:hAnsi="Times"/>
          <w:sz w:val="24"/>
        </w:rPr>
        <w:t>” means, the aggregate principal amount of the 2031 Term Loans of all 2031 Term Lenders outstanding at such time.</w:t>
      </w:r>
    </w:p>
    <w:p>
      <w:pPr>
        <w:pStyle w:val="TextBody"/>
        <w:bidi w:val="0"/>
        <w:spacing w:before="0" w:after="240"/>
        <w:ind w:left="0" w:right="0" w:firstLine="720"/>
        <w:jc w:val="both"/>
        <w:rPr/>
      </w:pPr>
      <w:r>
        <w:rPr/>
        <w:t>“</w:t>
      </w:r>
      <w:r>
        <w:rPr>
          <w:rFonts w:ascii="Times" w:hAnsi="Times"/>
          <w:i/>
          <w:sz w:val="24"/>
        </w:rPr>
        <w:t>2031</w:t>
      </w:r>
      <w:r>
        <w:rPr>
          <w:rFonts w:ascii="Times" w:hAnsi="Times"/>
          <w:sz w:val="24"/>
        </w:rPr>
        <w:t xml:space="preserve"> </w:t>
      </w:r>
      <w:r>
        <w:rPr>
          <w:rFonts w:ascii="Times" w:hAnsi="Times"/>
          <w:i/>
          <w:sz w:val="24"/>
        </w:rPr>
        <w:t>Term Lender</w:t>
      </w:r>
      <w:r>
        <w:rPr>
          <w:rFonts w:ascii="Times" w:hAnsi="Times"/>
          <w:sz w:val="24"/>
        </w:rPr>
        <w:t>” means, each Lender that holds a 2031 Term Loan or 2031 Term Loan Commitment.</w:t>
      </w:r>
    </w:p>
    <w:p>
      <w:pPr>
        <w:pStyle w:val="TextBody"/>
        <w:bidi w:val="0"/>
        <w:spacing w:before="0" w:after="240"/>
        <w:ind w:left="0" w:right="0" w:firstLine="720"/>
        <w:jc w:val="both"/>
        <w:rPr/>
      </w:pPr>
      <w:r>
        <w:rPr/>
        <w:t>“</w:t>
      </w:r>
      <w:r>
        <w:rPr>
          <w:rFonts w:ascii="Times" w:hAnsi="Times"/>
          <w:i/>
          <w:sz w:val="24"/>
        </w:rPr>
        <w:t>2032 Term Loan”</w:t>
      </w:r>
      <w:r>
        <w:rPr>
          <w:rFonts w:ascii="Times" w:hAnsi="Times"/>
          <w:sz w:val="24"/>
        </w:rPr>
        <w:t xml:space="preserve"> means each Term Loan made by a 2032 Term Lender in the amount of such Lender’s 2032 Term Loan Commitment pursuant to Section 1.2(d) hereof.</w:t>
      </w:r>
    </w:p>
    <w:p>
      <w:pPr>
        <w:pStyle w:val="TextBody"/>
        <w:bidi w:val="0"/>
        <w:spacing w:before="0" w:after="240"/>
        <w:ind w:left="0" w:right="0" w:firstLine="720"/>
        <w:jc w:val="both"/>
        <w:rPr/>
      </w:pPr>
      <w:r>
        <w:rPr/>
        <w:t>“</w:t>
      </w:r>
      <w:r>
        <w:rPr>
          <w:rFonts w:ascii="Times" w:hAnsi="Times"/>
          <w:i/>
          <w:sz w:val="24"/>
        </w:rPr>
        <w:t>2032 Term Loan Commitment”</w:t>
      </w:r>
      <w:r>
        <w:rPr>
          <w:rFonts w:ascii="Times" w:hAnsi="Times"/>
          <w:sz w:val="24"/>
        </w:rPr>
        <w:t xml:space="preserve"> means, as to any Lender, the obligation of such Lender to make its 2032 Term Loan on the Restatement Date in the principal amount not to exceed the amount set forth opposite such Lender’s name under the heading 2032 Term Loan Commitment on Schedule 1 attached hereto and made a part hereof.  The Borrower and the Lenders acknowledge and agree that the 2032 Term Loan Commitments of the Lenders aggregate $150,000,000 as of the date hereof.</w:t>
      </w:r>
    </w:p>
    <w:p>
      <w:pPr>
        <w:pStyle w:val="TextBody"/>
        <w:bidi w:val="0"/>
        <w:spacing w:before="0" w:after="240"/>
        <w:ind w:left="0" w:right="0" w:firstLine="720"/>
        <w:jc w:val="both"/>
        <w:rPr/>
      </w:pPr>
      <w:r>
        <w:rPr/>
        <w:t>“</w:t>
      </w:r>
      <w:r>
        <w:rPr>
          <w:rFonts w:ascii="Times" w:hAnsi="Times"/>
          <w:i/>
          <w:sz w:val="24"/>
        </w:rPr>
        <w:t>2032 Term Facility</w:t>
      </w:r>
      <w:r>
        <w:rPr>
          <w:rFonts w:ascii="Times" w:hAnsi="Times"/>
          <w:sz w:val="24"/>
        </w:rPr>
        <w:t>” means, the aggregate principal amount of the 2032 Term Loans of all 2032 Term Lenders outstanding at such time.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2032 Term Lender</w:t>
      </w:r>
      <w:r>
        <w:rPr>
          <w:rFonts w:ascii="Times" w:hAnsi="Times"/>
          <w:sz w:val="24"/>
        </w:rPr>
        <w:t>” means, each Lender that holds a 2032 Term Loan or 2032 Term Loan Commitment.</w:t>
      </w:r>
    </w:p>
    <w:p>
      <w:pPr>
        <w:pStyle w:val="TextBody"/>
        <w:bidi w:val="0"/>
        <w:spacing w:before="0" w:after="240"/>
        <w:ind w:left="0" w:right="0" w:firstLine="720"/>
        <w:jc w:val="both"/>
        <w:rPr/>
      </w:pPr>
      <w:r>
        <w:rPr/>
        <w:t>“</w:t>
      </w:r>
      <w:r>
        <w:rPr>
          <w:rFonts w:ascii="Times" w:hAnsi="Times"/>
          <w:i/>
          <w:sz w:val="24"/>
        </w:rPr>
        <w:t>Acceptable Leasehold Interest</w:t>
      </w:r>
      <w:r>
        <w:rPr>
          <w:rFonts w:ascii="Times" w:hAnsi="Times"/>
          <w:sz w:val="24"/>
        </w:rPr>
        <w:t>” means a ground leasehold interest where the Borrower or its Subsidiary is the lessee thereunder, as to which no default (other than a default which remains subject to grace or cure periods) or event of default has occurred or with the passage of time or the giving of notice would occur, and containing (a) the following terms and conditions: (i) a remaining term (including any unexercised extension options that the lessee can unilaterally exercise without the need to obtain the consent of the lessor or to pay the lessor any amount as a condition to the effectiveness of such extension) of 30 years or more from the Restatement Date; (ii) the right of the lessee to mortgage and encumber its interest in the leased property without the consent of the lessor; (iii)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(iv) reasonable transferability of the lessee’s interest under such lease, including ability to sublease; and (v) such other rights customarily required by mortgagees making a loan secured by the interest of the holder of the leasehold estate demised pursuant to a ground lease as reasonably approved by the Administrative Agent; or (b) terms and conditions otherwise reasonably acceptable to the Administrative Agent.</w:t>
      </w:r>
    </w:p>
    <w:p>
      <w:pPr>
        <w:pStyle w:val="TextBody"/>
        <w:bidi w:val="0"/>
        <w:spacing w:before="0" w:after="240"/>
        <w:ind w:left="0" w:right="0" w:firstLine="720"/>
        <w:jc w:val="both"/>
        <w:rPr/>
      </w:pPr>
      <w:r>
        <w:rPr/>
        <w:t>“</w:t>
      </w:r>
      <w:r>
        <w:rPr>
          <w:rFonts w:ascii="Times" w:hAnsi="Times"/>
          <w:i/>
          <w:sz w:val="24"/>
        </w:rPr>
        <w:t>Additional Guarantor Supplement”</w:t>
      </w:r>
      <w:r>
        <w:rPr>
          <w:rFonts w:ascii="Times" w:hAnsi="Times"/>
          <w:sz w:val="24"/>
        </w:rPr>
        <w:t xml:space="preserve"> is defined in Section 4.2 hereof.</w:t>
      </w:r>
    </w:p>
    <w:p>
      <w:pPr>
        <w:pStyle w:val="TextBody"/>
        <w:bidi w:val="0"/>
        <w:spacing w:before="0" w:after="240"/>
        <w:ind w:left="0" w:right="0" w:firstLine="720"/>
        <w:jc w:val="both"/>
        <w:rPr/>
      </w:pPr>
      <w:r>
        <w:rPr/>
        <w:t>“</w:t>
      </w:r>
      <w:r>
        <w:rPr>
          <w:rFonts w:ascii="Times" w:hAnsi="Times"/>
          <w:i/>
          <w:sz w:val="24"/>
        </w:rPr>
        <w:t xml:space="preserve">Adjusted EBITDA” </w:t>
      </w:r>
      <w:r>
        <w:rPr>
          <w:rFonts w:ascii="Times" w:hAnsi="Times"/>
          <w:sz w:val="24"/>
        </w:rPr>
        <w:t xml:space="preserve">means, for any period, EBITDA for such period </w:t>
      </w:r>
      <w:r>
        <w:rPr>
          <w:rFonts w:ascii="Times" w:hAnsi="Times"/>
          <w:i/>
          <w:sz w:val="24"/>
        </w:rPr>
        <w:t xml:space="preserve">minus </w:t>
      </w:r>
      <w:r>
        <w:rPr>
          <w:rFonts w:ascii="Times" w:hAnsi="Times"/>
          <w:sz w:val="24"/>
        </w:rPr>
        <w:t xml:space="preserve">the Annual Capital Expenditure Reserve. </w:t>
      </w:r>
    </w:p>
    <w:p>
      <w:pPr>
        <w:pStyle w:val="TextBody"/>
        <w:bidi w:val="0"/>
        <w:spacing w:before="0" w:after="240"/>
        <w:ind w:left="0" w:right="0" w:firstLine="720"/>
        <w:jc w:val="both"/>
        <w:rPr/>
      </w:pPr>
      <w:r>
        <w:rPr/>
        <w:t>“</w:t>
      </w:r>
      <w:r>
        <w:rPr>
          <w:rFonts w:ascii="Times" w:hAnsi="Times"/>
          <w:i/>
          <w:sz w:val="24"/>
        </w:rPr>
        <w:t>Adjusted Availability</w:t>
      </w:r>
      <w:r>
        <w:rPr>
          <w:rFonts w:ascii="Times" w:hAnsi="Times"/>
          <w:sz w:val="24"/>
        </w:rPr>
        <w:t xml:space="preserve">” means, at any time of determination, an amount equal to (x) the Gross Availability </w:t>
      </w:r>
      <w:r>
        <w:rPr>
          <w:rFonts w:ascii="Times" w:hAnsi="Times"/>
          <w:i/>
          <w:sz w:val="24"/>
        </w:rPr>
        <w:t>minus</w:t>
      </w:r>
      <w:r>
        <w:rPr>
          <w:rFonts w:ascii="Times" w:hAnsi="Times"/>
          <w:sz w:val="24"/>
        </w:rPr>
        <w:t xml:space="preserve"> (y) the aggregate Other Unsecured Indebtedness outstanding on such date. </w:t>
      </w:r>
    </w:p>
    <w:p>
      <w:pPr>
        <w:pStyle w:val="TextBody"/>
        <w:bidi w:val="0"/>
        <w:spacing w:before="0" w:after="240"/>
        <w:ind w:left="0" w:right="0" w:firstLine="720"/>
        <w:jc w:val="both"/>
        <w:rPr/>
      </w:pPr>
      <w:r>
        <w:rPr/>
        <w:t>“</w:t>
      </w:r>
      <w:r>
        <w:rPr>
          <w:rFonts w:ascii="Times" w:hAnsi="Times"/>
          <w:i/>
          <w:sz w:val="24"/>
        </w:rPr>
        <w:t xml:space="preserve">Administrative Agent” </w:t>
      </w:r>
      <w:r>
        <w:rPr>
          <w:rFonts w:ascii="Times" w:hAnsi="Times"/>
          <w:sz w:val="24"/>
        </w:rPr>
        <w:t>means KeyBank National Association, in its capacity as Administrative Agent hereunder, and any successor in such capacity pursuant to Section 11.6 hereof.</w:t>
      </w:r>
    </w:p>
    <w:p>
      <w:pPr>
        <w:pStyle w:val="TextBody"/>
        <w:bidi w:val="0"/>
        <w:spacing w:before="0" w:after="240"/>
        <w:ind w:left="0" w:right="0" w:firstLine="720"/>
        <w:jc w:val="both"/>
        <w:rPr/>
      </w:pPr>
      <w:r>
        <w:rPr/>
        <w:t>“</w:t>
      </w:r>
      <w:r>
        <w:rPr>
          <w:rFonts w:ascii="Times" w:hAnsi="Times"/>
          <w:i/>
          <w:sz w:val="24"/>
        </w:rPr>
        <w:t xml:space="preserve">Administrative Questionnaire” </w:t>
      </w:r>
      <w:r>
        <w:rPr>
          <w:rFonts w:ascii="Times" w:hAnsi="Times"/>
          <w:sz w:val="24"/>
        </w:rPr>
        <w:t>means an Administrative Questionnaire in a form supplied by the Administrative Agent.</w:t>
      </w:r>
    </w:p>
    <w:p>
      <w:pPr>
        <w:pStyle w:val="TextBody"/>
        <w:bidi w:val="0"/>
        <w:spacing w:before="0" w:after="240"/>
        <w:ind w:left="0" w:right="0" w:firstLine="720"/>
        <w:jc w:val="both"/>
        <w:rPr/>
      </w:pPr>
      <w:r>
        <w:rPr/>
        <w:t>“</w:t>
      </w:r>
      <w:r>
        <w:rPr>
          <w:rFonts w:ascii="Times" w:hAnsi="Times"/>
          <w:i/>
          <w:sz w:val="24"/>
        </w:rPr>
        <w:t xml:space="preserve">Affected Financial Institution” </w:t>
      </w:r>
      <w:r>
        <w:rPr>
          <w:rFonts w:ascii="Times" w:hAnsi="Times"/>
          <w:sz w:val="24"/>
        </w:rPr>
        <w:t>means (a) any EEA Financial Institution or (b) any UK Financial Institution.</w:t>
      </w:r>
    </w:p>
    <w:p>
      <w:pPr>
        <w:pStyle w:val="TextBody"/>
        <w:bidi w:val="0"/>
        <w:spacing w:before="0" w:after="240"/>
        <w:ind w:left="0" w:right="0" w:firstLine="720"/>
        <w:jc w:val="both"/>
        <w:rPr/>
      </w:pPr>
      <w:r>
        <w:rPr/>
        <w:t>“</w:t>
      </w:r>
      <w:r>
        <w:rPr>
          <w:rFonts w:ascii="Times" w:hAnsi="Times"/>
          <w:i/>
          <w:sz w:val="24"/>
        </w:rPr>
        <w:t>Affected Lender”</w:t>
      </w:r>
      <w:r>
        <w:rPr>
          <w:rFonts w:ascii="Times" w:hAnsi="Times"/>
          <w:sz w:val="24"/>
        </w:rPr>
        <w:t xml:space="preserve"> is defined in Section 1.13 hereof.</w:t>
      </w:r>
    </w:p>
    <w:p>
      <w:pPr>
        <w:pStyle w:val="TextBody"/>
        <w:bidi w:val="0"/>
        <w:spacing w:before="0" w:after="0"/>
        <w:ind w:left="0" w:right="0" w:firstLine="720"/>
        <w:jc w:val="both"/>
        <w:rPr/>
      </w:pPr>
      <w:r>
        <w:rPr/>
        <w:t>“</w:t>
      </w:r>
      <w:r>
        <w:rPr>
          <w:rFonts w:ascii="Times" w:hAnsi="Times"/>
          <w:i/>
          <w:sz w:val="24"/>
        </w:rPr>
        <w:t>Affiliate”</w:t>
      </w:r>
      <w:r>
        <w:rPr>
          <w:rFonts w:ascii="Times" w:hAnsi="Times"/>
          <w:sz w:val="24"/>
        </w:rPr>
        <w:t xml:space="preserv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 </w:t>
      </w:r>
      <w:r>
        <w:rPr>
          <w:rFonts w:ascii="Times" w:hAnsi="Times"/>
          <w:i/>
          <w:sz w:val="24"/>
        </w:rPr>
        <w:t>provided that</w:t>
      </w:r>
      <w:r>
        <w:rPr>
          <w:rFonts w:ascii="Times" w:hAnsi="Times"/>
          <w:sz w:val="24"/>
        </w:rPr>
        <w:t xml:space="preserve">, in any event for purposes of this definition, any Person that owns, directly or indirectly, 20% or more of the securities having the ordinary voting power for the election of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directors or governing body of a corporation or 20% or more of the partnership or other ownership interest of any other Person (other than as a limited partner of such other Person) will be deemed to control such corporation or other Person.</w:t>
      </w:r>
    </w:p>
    <w:p>
      <w:pPr>
        <w:pStyle w:val="TextBody"/>
        <w:bidi w:val="0"/>
        <w:spacing w:before="0" w:after="240"/>
        <w:ind w:left="0" w:right="0" w:firstLine="720"/>
        <w:jc w:val="both"/>
        <w:rPr/>
      </w:pPr>
      <w:r>
        <w:rPr/>
        <w:t>“</w:t>
      </w:r>
      <w:r>
        <w:rPr>
          <w:rFonts w:ascii="Times" w:hAnsi="Times"/>
          <w:i/>
          <w:sz w:val="24"/>
        </w:rPr>
        <w:t>Agreement”</w:t>
      </w:r>
      <w:r>
        <w:rPr>
          <w:rFonts w:ascii="Times" w:hAnsi="Times"/>
          <w:sz w:val="24"/>
        </w:rPr>
        <w:t xml:space="preserve"> means this Amended and Restated Credit Agreement, as the same may be amended, modified, restated or supplemented from time to time pursuant to the terms hereof.</w:t>
      </w:r>
    </w:p>
    <w:p>
      <w:pPr>
        <w:pStyle w:val="TextBody"/>
        <w:bidi w:val="0"/>
        <w:spacing w:before="0" w:after="240"/>
        <w:ind w:left="0" w:right="0" w:firstLine="720"/>
        <w:jc w:val="both"/>
        <w:rPr/>
      </w:pPr>
      <w:r>
        <w:rPr/>
        <w:t>“</w:t>
      </w:r>
      <w:r>
        <w:rPr>
          <w:rFonts w:ascii="Times New Roman;Times;serif" w:hAnsi="Times New Roman;Times;serif"/>
          <w:i/>
          <w:sz w:val="24"/>
        </w:rPr>
        <w:t>Alpine</w:t>
      </w:r>
      <w:r>
        <w:rPr>
          <w:rFonts w:ascii="Times" w:hAnsi="Times"/>
          <w:sz w:val="24"/>
        </w:rPr>
        <w:t xml:space="preserve">” </w:t>
      </w:r>
      <w:r>
        <w:rPr>
          <w:rFonts w:ascii="Times New Roman;Times;serif" w:hAnsi="Times New Roman;Times;serif"/>
          <w:sz w:val="24"/>
        </w:rPr>
        <w:t>means Alpine Income Property Trust, Inc., a Maryland corporation.</w:t>
      </w:r>
    </w:p>
    <w:p>
      <w:pPr>
        <w:pStyle w:val="TextBody"/>
        <w:bidi w:val="0"/>
        <w:spacing w:before="0" w:after="240"/>
        <w:ind w:left="0" w:right="0" w:firstLine="720"/>
        <w:jc w:val="both"/>
        <w:rPr/>
      </w:pPr>
      <w:r>
        <w:rPr/>
        <w:t>“</w:t>
      </w:r>
      <w:r>
        <w:rPr>
          <w:rFonts w:ascii="Times" w:hAnsi="Times"/>
          <w:i/>
          <w:sz w:val="24"/>
        </w:rPr>
        <w:t>Annual Capital Expenditure Reserve”</w:t>
      </w:r>
      <w:r>
        <w:rPr>
          <w:rFonts w:ascii="Times" w:hAnsi="Times"/>
          <w:sz w:val="24"/>
        </w:rPr>
        <w:t xml:space="preserve"> means the sum of (a) an amount equal to the product of (i) $0.15 </w:t>
      </w:r>
      <w:r>
        <w:rPr>
          <w:rFonts w:ascii="Times" w:hAnsi="Times"/>
          <w:i/>
          <w:sz w:val="24"/>
        </w:rPr>
        <w:t>multiplied by</w:t>
      </w:r>
      <w:r>
        <w:rPr>
          <w:rFonts w:ascii="Times" w:hAnsi="Times"/>
          <w:sz w:val="24"/>
        </w:rPr>
        <w:t xml:space="preserve"> (ii) the aggregate gross leasable area, determined on a square footage basis, for retail properties and Retail Mixed-Use Properties, </w:t>
      </w:r>
      <w:r>
        <w:rPr>
          <w:rFonts w:ascii="Times" w:hAnsi="Times"/>
          <w:i/>
          <w:sz w:val="24"/>
        </w:rPr>
        <w:t>plus</w:t>
      </w:r>
      <w:r>
        <w:rPr>
          <w:rFonts w:ascii="Times" w:hAnsi="Times"/>
          <w:sz w:val="24"/>
        </w:rPr>
        <w:t xml:space="preserve"> (b) an amount equal to the product of (i) $0.50 </w:t>
      </w:r>
      <w:r>
        <w:rPr>
          <w:rFonts w:ascii="Times" w:hAnsi="Times"/>
          <w:i/>
          <w:sz w:val="24"/>
        </w:rPr>
        <w:t>multiplied by</w:t>
      </w:r>
      <w:r>
        <w:rPr>
          <w:rFonts w:ascii="Times" w:hAnsi="Times"/>
          <w:sz w:val="24"/>
        </w:rPr>
        <w:t xml:space="preserve"> (ii) the aggregate gross leasable area, determined on a square footage basis, for all other properties; </w:t>
      </w:r>
      <w:r>
        <w:rPr>
          <w:rFonts w:ascii="Times" w:hAnsi="Times"/>
          <w:i/>
          <w:sz w:val="24"/>
        </w:rPr>
        <w:t>provided, however</w:t>
      </w:r>
      <w:r>
        <w:rPr>
          <w:rFonts w:ascii="Times" w:hAnsi="Times"/>
          <w:sz w:val="24"/>
        </w:rPr>
        <w:t>, this definition of Annual Capital Expenditure Reserve shall not apply to any Land Assets, Assets Under Development, or any Properties subject to Ground Leases with Borrower or a Subsidiary as lessor so long as the Borrower is not obligated for such Capital Expenditures.</w:t>
      </w:r>
    </w:p>
    <w:p>
      <w:pPr>
        <w:pStyle w:val="TextBody"/>
        <w:bidi w:val="0"/>
        <w:spacing w:before="0" w:after="240"/>
        <w:ind w:left="0" w:right="0" w:firstLine="720"/>
        <w:jc w:val="both"/>
        <w:rPr/>
      </w:pPr>
      <w:r>
        <w:rPr/>
        <w:t>“</w:t>
      </w:r>
      <w:r>
        <w:rPr>
          <w:rFonts w:ascii="Times" w:hAnsi="Times"/>
          <w:i/>
          <w:sz w:val="24"/>
        </w:rPr>
        <w:t>Anti-Corruption Law”</w:t>
      </w:r>
      <w:r>
        <w:rPr>
          <w:rFonts w:ascii="Times" w:hAnsi="Times"/>
          <w:sz w:val="24"/>
        </w:rPr>
        <w:t xml:space="preserve"> means the FCPA and any law, rule or regulation of any jurisdiction applicable to the Loan Parties or any of their Subsidiaries or Affiliates from time to time concerning or relating to bribery or corruption. </w:t>
      </w:r>
    </w:p>
    <w:p>
      <w:pPr>
        <w:pStyle w:val="TextBody"/>
        <w:bidi w:val="0"/>
        <w:spacing w:before="0" w:after="240"/>
        <w:ind w:left="0" w:right="0" w:firstLine="720"/>
        <w:jc w:val="both"/>
        <w:rPr/>
      </w:pPr>
      <w:r>
        <w:rPr/>
        <w:t>“</w:t>
      </w:r>
      <w:r>
        <w:rPr>
          <w:rFonts w:ascii="Times" w:hAnsi="Times"/>
          <w:i/>
          <w:sz w:val="24"/>
        </w:rPr>
        <w:t>Applicable Margin”</w:t>
      </w:r>
      <w:r>
        <w:rPr>
          <w:rFonts w:ascii="Times" w:hAnsi="Times"/>
          <w:sz w:val="24"/>
        </w:rPr>
        <w:t xml:space="preserve"> means, with respect to Loans of any Class, Reimbursement Obligations, and the letter of credit fees payable under Section 2.1 hereof, until the first Pricing Date, the rates shown opposite Level III below, and thereafter, (x) prior to the Investment Grade Rating Date, from one Pricing Date to the next the rates per annum determined in accordance with the following schedule:</w:t>
      </w:r>
    </w:p>
    <w:tbl>
      <w:tblPr>
        <w:tblW w:w="10205" w:type="dxa"/>
        <w:jc w:val="center"/>
        <w:tblInd w:w="0" w:type="dxa"/>
        <w:tblLayout w:type="fixed"/>
        <w:tblCellMar>
          <w:top w:w="0" w:type="dxa"/>
          <w:left w:w="0" w:type="dxa"/>
          <w:bottom w:w="0" w:type="dxa"/>
          <w:right w:w="0" w:type="dxa"/>
        </w:tblCellMar>
      </w:tblPr>
      <w:tblGrid>
        <w:gridCol w:w="766"/>
        <w:gridCol w:w="2039"/>
        <w:gridCol w:w="1878"/>
        <w:gridCol w:w="1843"/>
        <w:gridCol w:w="1835"/>
        <w:gridCol w:w="1844"/>
      </w:tblGrid>
      <w:tr>
        <w:trPr/>
        <w:tc>
          <w:tcPr>
            <w:tcW w:w="766"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Level</w:t>
            </w:r>
          </w:p>
        </w:tc>
        <w:tc>
          <w:tcPr>
            <w:tcW w:w="2039"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1878"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Revolving Loans that are Base Rate Loans shall be:</w:t>
            </w:r>
          </w:p>
        </w:tc>
        <w:tc>
          <w:tcPr>
            <w:tcW w:w="1843"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Revolving Loans that are SOFR Loans Shall Be:</w:t>
            </w:r>
          </w:p>
        </w:tc>
        <w:tc>
          <w:tcPr>
            <w:tcW w:w="1835"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Term Loans that are Base Rate Loans shall be:</w:t>
            </w:r>
          </w:p>
        </w:tc>
        <w:tc>
          <w:tcPr>
            <w:tcW w:w="1844"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term loans that are SOFR Loans Shall Be:</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Less than 0.35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1.00%</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0.15%</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1.15%</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II</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Greater than or equal to 0.35 to 1.00, but less than 0.40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0.05%</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1.05%</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0.20%</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1.20%</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III</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Greater than or equal to 0.40 to 1.00, but less than 0.45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0.10%</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1.10%</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0.25%</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1.25%</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766"/>
        <w:gridCol w:w="2039"/>
        <w:gridCol w:w="1878"/>
        <w:gridCol w:w="1843"/>
        <w:gridCol w:w="1835"/>
        <w:gridCol w:w="1844"/>
      </w:tblGrid>
      <w:tr>
        <w:trPr/>
        <w:tc>
          <w:tcPr>
            <w:tcW w:w="766"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Level</w:t>
            </w:r>
          </w:p>
        </w:tc>
        <w:tc>
          <w:tcPr>
            <w:tcW w:w="2039"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Total Indebtedness to Total Asset Value Ratio for Such Pricing Date</w:t>
            </w:r>
          </w:p>
        </w:tc>
        <w:tc>
          <w:tcPr>
            <w:tcW w:w="1878"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Revolving Loans that are Base Rate Loans shall be:</w:t>
            </w:r>
          </w:p>
        </w:tc>
        <w:tc>
          <w:tcPr>
            <w:tcW w:w="1843"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Revolving Loans that are SOFR Loans Shall Be:</w:t>
            </w:r>
          </w:p>
        </w:tc>
        <w:tc>
          <w:tcPr>
            <w:tcW w:w="1835"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Term Loans that are Base Rate Loans shall be:</w:t>
            </w:r>
          </w:p>
        </w:tc>
        <w:tc>
          <w:tcPr>
            <w:tcW w:w="1844"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term loans that are SOFR Loans Shall Be:</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IV</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Greater than or equal to 0.45 to 1.00, but less than 0.50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0.20%</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1.20%</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0.35%</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1.35%</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V</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Greater than or equal to 0.50 to 1.00, but less than 0.55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0.25%</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1.25%</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0.45%</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1.45%</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VI</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Greater than or equal to 0.55 to 1.00, but less than 0.60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0.45%</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1.45%</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0.60%</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1.60%</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VII</w:t>
            </w:r>
          </w:p>
        </w:tc>
        <w:tc>
          <w:tcPr>
            <w:tcW w:w="2039" w:type="dxa"/>
            <w:tcBorders/>
            <w:vAlign w:val="center"/>
          </w:tcPr>
          <w:p>
            <w:pPr>
              <w:pStyle w:val="TableContents"/>
              <w:bidi w:val="0"/>
              <w:spacing w:before="0" w:after="120"/>
              <w:ind w:left="0" w:right="0" w:hanging="0"/>
              <w:jc w:val="both"/>
              <w:rPr>
                <w:rFonts w:ascii="Times" w:hAnsi="Times"/>
                <w:sz w:val="24"/>
              </w:rPr>
            </w:pPr>
            <w:r>
              <w:rPr>
                <w:rFonts w:ascii="Times" w:hAnsi="Times"/>
                <w:sz w:val="24"/>
              </w:rPr>
              <w:t>Greater than or equal to 0.60 to 1.00</w:t>
            </w:r>
          </w:p>
        </w:tc>
        <w:tc>
          <w:tcPr>
            <w:tcW w:w="187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0.60%</w:t>
            </w:r>
          </w:p>
        </w:tc>
        <w:tc>
          <w:tcPr>
            <w:tcW w:w="184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1.60%</w:t>
            </w:r>
          </w:p>
        </w:tc>
        <w:tc>
          <w:tcPr>
            <w:tcW w:w="1835"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0.75%</w:t>
            </w:r>
          </w:p>
        </w:tc>
        <w:tc>
          <w:tcPr>
            <w:tcW w:w="1844"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1.75%</w:t>
            </w:r>
          </w:p>
        </w:tc>
      </w:tr>
    </w:tbl>
    <w:p>
      <w:pPr>
        <w:pStyle w:val="TextBody"/>
        <w:bidi w:val="0"/>
        <w:spacing w:before="0" w:after="0"/>
        <w:ind w:left="0" w:right="0" w:hanging="0"/>
        <w:jc w:val="both"/>
        <w:rPr>
          <w:rFonts w:ascii="Times" w:hAnsi="Times"/>
          <w:sz w:val="24"/>
        </w:rPr>
      </w:pPr>
      <w:r>
        <w:rPr>
          <w:rFonts w:ascii="Times" w:hAnsi="Times"/>
          <w:sz w:val="24"/>
        </w:rPr>
        <w:t>For purposes hereof, the term “</w:t>
      </w:r>
      <w:r>
        <w:rPr>
          <w:rFonts w:ascii="Times" w:hAnsi="Times"/>
          <w:i/>
          <w:sz w:val="24"/>
        </w:rPr>
        <w:t>Pricing Date”</w:t>
      </w:r>
      <w:r>
        <w:rPr>
          <w:rFonts w:ascii="Times" w:hAnsi="Times"/>
          <w:sz w:val="24"/>
        </w:rPr>
        <w:t xml:space="preserve"> means, for any fiscal quarter of the Borrower, the last date on which the Borrower’s most recent Compliance Certificate and financial statements (and, in the case of the year-end financial statements, audit report) for the fiscal quarter then ended are due, pursuant to Section 8.5 hereof.  The Applicable Margin shall be established based on the Total Indebtedness to Total Asset Value ratio for the most recently completed fiscal quarter and the Applicable Margin established on a Pricing Date shall remain in effect until the next Pricing Date.  If the Borrower has not delivered its Compliance Certificate and financial statements by the date the Compliance Certificate and financial statements (and, in the case of the year-end financial statements, audit report) are required to be delivered under Section 8.5 hereof, then until such Compliance Certificate and financial statements and/or audit report are delivered, the Applicable Margin shall be the highest Applicable Margin (</w:t>
      </w:r>
      <w:r>
        <w:rPr>
          <w:rFonts w:ascii="Times" w:hAnsi="Times"/>
          <w:i/>
          <w:sz w:val="24"/>
        </w:rPr>
        <w:t>i.e.,</w:t>
      </w:r>
      <w:r>
        <w:rPr>
          <w:rFonts w:ascii="Times" w:hAnsi="Times"/>
          <w:sz w:val="24"/>
        </w:rPr>
        <w:t xml:space="preserve"> Level VII shall apply).  If the Borrower subsequently delivers such Compliance Certificate and financial statements before the next Pricing Date, the Applicable Margin established by such late delivered Compliance Certificate and financial statements shall take effect from the date of delivery until the next Pricing Date.  In all other circumstances, the Applicable Margin established by such Compliance Certificate and financial statements shall be in effect from the Pricing Date that occurs immediately after the end of the fiscal quarter covered by such financial statements until the next Pricing Date.  Borrower, Administrative Agent, L/C Issuer, and Lenders understand that the applicable interest rate for the Obligations and certain fees set forth herein may be determined and/or adjusted from time to time based upon certain financial ratios and/or other information to be provided or certified to the Administrative Agent and Lenders by Borrower (the </w:t>
      </w:r>
      <w:r>
        <w:rPr>
          <w:rFonts w:ascii="Times" w:hAnsi="Times"/>
          <w:i/>
          <w:sz w:val="24"/>
        </w:rPr>
        <w:t>"Borrower Information"</w:t>
      </w:r>
      <w:r>
        <w:rPr>
          <w:rFonts w:ascii="Times" w:hAnsi="Times"/>
          <w:sz w:val="24"/>
        </w:rPr>
        <w:t xml:space="preserve">).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recalculated using correct Borrower Information; </w:t>
      </w:r>
      <w:r>
        <w:rPr>
          <w:rFonts w:ascii="Times" w:hAnsi="Times"/>
          <w:i/>
          <w:sz w:val="24"/>
        </w:rPr>
        <w:t>provided</w:t>
      </w:r>
      <w:r>
        <w:rPr>
          <w:rFonts w:ascii="Times" w:hAnsi="Times"/>
          <w:sz w:val="24"/>
        </w:rPr>
        <w:t xml:space="preserve"> that no recalculation shall be done for any period that is more than 2 years earlier than the date of recalculation.  The Administrative Agent shall promptly notify Borrower in writing of any additional interest and fees due because of such recalculation, and the Borrower shall pay such additional interest or fees due to the Administrative Agent, for the account of each Lender or the L/C Issuer, within five (5) Business Days of receipt of such written notice.  Any recalculation of interest or fees required by this provision shall survive the termination of this Agreement, and this provision shall not in any way limit any of the Administrative Agent's, the L/C Issuer’s, or any Lender's other rights under this Agreement.  Each determination of the Applicable Margin made by the Administrative Agent in accordance with the foregoing shall be conclusive, absent manifest error, and binding on the Borrower and the Lenders if reasonably determined. Any Incremental Term Loan shall bear interest at an “applicable margin” based upon the then determined Applicable Margin set forth in each Incremental Term Loan Amendment for each Incremental Term Loan Facility.</w:t>
      </w:r>
    </w:p>
    <w:p>
      <w:pPr>
        <w:pStyle w:val="TextBody"/>
        <w:bidi w:val="0"/>
        <w:spacing w:before="0" w:after="240"/>
        <w:ind w:left="0" w:right="0" w:hanging="0"/>
        <w:jc w:val="both"/>
        <w:rPr>
          <w:rFonts w:ascii="Times" w:hAnsi="Times"/>
          <w:sz w:val="24"/>
        </w:rPr>
      </w:pPr>
      <w:r>
        <w:rPr>
          <w:rFonts w:ascii="Times" w:hAnsi="Times"/>
          <w:sz w:val="24"/>
        </w:rPr>
        <w:t>(y) On, and at all times after, the Investment Grade Rating Date, the rates per annum determined in accordance with the following schedule:</w:t>
      </w:r>
    </w:p>
    <w:tbl>
      <w:tblPr>
        <w:tblW w:w="10205" w:type="dxa"/>
        <w:jc w:val="center"/>
        <w:tblInd w:w="0" w:type="dxa"/>
        <w:tblLayout w:type="fixed"/>
        <w:tblCellMar>
          <w:top w:w="0" w:type="dxa"/>
          <w:left w:w="0" w:type="dxa"/>
          <w:bottom w:w="0" w:type="dxa"/>
          <w:right w:w="0" w:type="dxa"/>
        </w:tblCellMar>
      </w:tblPr>
      <w:tblGrid>
        <w:gridCol w:w="1243"/>
        <w:gridCol w:w="2299"/>
        <w:gridCol w:w="2238"/>
        <w:gridCol w:w="2223"/>
        <w:gridCol w:w="2202"/>
      </w:tblGrid>
      <w:tr>
        <w:trPr/>
        <w:tc>
          <w:tcPr>
            <w:tcW w:w="1243"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Rating</w:t>
            </w:r>
          </w:p>
        </w:tc>
        <w:tc>
          <w:tcPr>
            <w:tcW w:w="2299"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Revolving Loans that are Base Rate Loans shall be:</w:t>
            </w:r>
          </w:p>
        </w:tc>
        <w:tc>
          <w:tcPr>
            <w:tcW w:w="2238"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Revolving Loans that are SOFR Loans Shall Be:</w:t>
            </w:r>
          </w:p>
        </w:tc>
        <w:tc>
          <w:tcPr>
            <w:tcW w:w="2223"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Term Loans that are Base Rate Loans shall be:</w:t>
            </w:r>
          </w:p>
        </w:tc>
        <w:tc>
          <w:tcPr>
            <w:tcW w:w="2202"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Applicable Margin for term loans that are SOFR Loans Shall Be:</w:t>
            </w:r>
          </w:p>
        </w:tc>
      </w:tr>
      <w:tr>
        <w:trPr/>
        <w:tc>
          <w:tcPr>
            <w:tcW w:w="1243" w:type="dxa"/>
            <w:tcBorders/>
            <w:vAlign w:val="center"/>
          </w:tcPr>
          <w:p>
            <w:pPr>
              <w:pStyle w:val="TableContents"/>
              <w:bidi w:val="0"/>
              <w:spacing w:before="0" w:after="120"/>
              <w:ind w:left="0" w:right="0" w:hanging="0"/>
              <w:jc w:val="left"/>
              <w:rPr>
                <w:rFonts w:ascii="Times" w:hAnsi="Times"/>
                <w:sz w:val="24"/>
              </w:rPr>
            </w:pPr>
            <w:r>
              <w:rPr>
                <w:rFonts w:ascii="Times" w:hAnsi="Times"/>
                <w:sz w:val="24"/>
              </w:rPr>
              <w:t>A- / A3 or higher</w:t>
            </w:r>
          </w:p>
        </w:tc>
        <w:tc>
          <w:tcPr>
            <w:tcW w:w="2299"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3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0.675%</w:t>
            </w:r>
          </w:p>
        </w:tc>
        <w:tc>
          <w:tcPr>
            <w:tcW w:w="222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02"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0.75%</w:t>
            </w:r>
          </w:p>
        </w:tc>
      </w:tr>
      <w:tr>
        <w:trPr/>
        <w:tc>
          <w:tcPr>
            <w:tcW w:w="1243" w:type="dxa"/>
            <w:tcBorders/>
            <w:vAlign w:val="center"/>
          </w:tcPr>
          <w:p>
            <w:pPr>
              <w:pStyle w:val="TableContents"/>
              <w:bidi w:val="0"/>
              <w:spacing w:before="0" w:after="120"/>
              <w:ind w:left="0" w:right="0" w:hanging="0"/>
              <w:jc w:val="left"/>
              <w:rPr>
                <w:rFonts w:ascii="Times" w:hAnsi="Times"/>
                <w:sz w:val="24"/>
              </w:rPr>
            </w:pPr>
            <w:r>
              <w:rPr>
                <w:rFonts w:ascii="Times" w:hAnsi="Times"/>
                <w:sz w:val="24"/>
              </w:rPr>
              <w:t>BBB+ / Baa1</w:t>
            </w:r>
          </w:p>
        </w:tc>
        <w:tc>
          <w:tcPr>
            <w:tcW w:w="2299"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3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0.725%</w:t>
            </w:r>
          </w:p>
        </w:tc>
        <w:tc>
          <w:tcPr>
            <w:tcW w:w="222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02"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0.80%</w:t>
            </w:r>
          </w:p>
        </w:tc>
      </w:tr>
      <w:tr>
        <w:trPr/>
        <w:tc>
          <w:tcPr>
            <w:tcW w:w="1243" w:type="dxa"/>
            <w:tcBorders/>
            <w:vAlign w:val="center"/>
          </w:tcPr>
          <w:p>
            <w:pPr>
              <w:pStyle w:val="TableContents"/>
              <w:bidi w:val="0"/>
              <w:spacing w:before="0" w:after="120"/>
              <w:ind w:left="0" w:right="0" w:hanging="0"/>
              <w:jc w:val="left"/>
              <w:rPr>
                <w:rFonts w:ascii="Times" w:hAnsi="Times"/>
                <w:sz w:val="24"/>
              </w:rPr>
            </w:pPr>
            <w:r>
              <w:rPr>
                <w:rFonts w:ascii="Times" w:hAnsi="Times"/>
                <w:sz w:val="24"/>
              </w:rPr>
              <w:t>BBB / Baa2</w:t>
            </w:r>
          </w:p>
        </w:tc>
        <w:tc>
          <w:tcPr>
            <w:tcW w:w="2299"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3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0.80%</w:t>
            </w:r>
          </w:p>
        </w:tc>
        <w:tc>
          <w:tcPr>
            <w:tcW w:w="222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02"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0.90%</w:t>
            </w:r>
          </w:p>
        </w:tc>
      </w:tr>
      <w:tr>
        <w:trPr/>
        <w:tc>
          <w:tcPr>
            <w:tcW w:w="1243" w:type="dxa"/>
            <w:tcBorders/>
            <w:vAlign w:val="center"/>
          </w:tcPr>
          <w:p>
            <w:pPr>
              <w:pStyle w:val="TableContents"/>
              <w:bidi w:val="0"/>
              <w:spacing w:before="0" w:after="120"/>
              <w:ind w:left="0" w:right="0" w:hanging="0"/>
              <w:jc w:val="left"/>
              <w:rPr>
                <w:rFonts w:ascii="Times" w:hAnsi="Times"/>
                <w:sz w:val="24"/>
              </w:rPr>
            </w:pPr>
            <w:r>
              <w:rPr>
                <w:rFonts w:ascii="Times" w:hAnsi="Times"/>
                <w:sz w:val="24"/>
              </w:rPr>
              <w:t>BBB- / Baa3</w:t>
            </w:r>
          </w:p>
        </w:tc>
        <w:tc>
          <w:tcPr>
            <w:tcW w:w="2299"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0.00%</w:t>
            </w:r>
          </w:p>
        </w:tc>
        <w:tc>
          <w:tcPr>
            <w:tcW w:w="2238"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1.00%</w:t>
            </w:r>
          </w:p>
        </w:tc>
        <w:tc>
          <w:tcPr>
            <w:tcW w:w="2223"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0.15%</w:t>
            </w:r>
          </w:p>
        </w:tc>
        <w:tc>
          <w:tcPr>
            <w:tcW w:w="2202"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1.15%</w:t>
            </w:r>
          </w:p>
        </w:tc>
      </w:tr>
      <w:tr>
        <w:trPr/>
        <w:tc>
          <w:tcPr>
            <w:tcW w:w="1243" w:type="dxa"/>
            <w:tcBorders/>
            <w:vAlign w:val="center"/>
          </w:tcPr>
          <w:p>
            <w:pPr>
              <w:pStyle w:val="TableContents"/>
              <w:bidi w:val="0"/>
              <w:spacing w:before="0" w:after="120"/>
              <w:ind w:left="0" w:right="0" w:hanging="0"/>
              <w:jc w:val="left"/>
              <w:rPr>
                <w:rFonts w:ascii="Times" w:hAnsi="Times"/>
                <w:sz w:val="24"/>
              </w:rPr>
            </w:pPr>
            <w:r>
              <w:rPr>
                <w:rFonts w:ascii="Times" w:hAnsi="Times"/>
                <w:sz w:val="24"/>
              </w:rPr>
              <w:t>Less than BBB- / Baa3 (or not rated)</w:t>
            </w:r>
          </w:p>
        </w:tc>
        <w:tc>
          <w:tcPr>
            <w:tcW w:w="2299" w:type="dxa"/>
            <w:tcBorders/>
            <w:vAlign w:val="center"/>
          </w:tcPr>
          <w:p>
            <w:pPr>
              <w:pStyle w:val="TableContents"/>
              <w:bidi w:val="0"/>
              <w:spacing w:before="0" w:after="240"/>
              <w:ind w:left="0" w:right="0" w:hanging="0"/>
              <w:jc w:val="center"/>
              <w:rPr/>
            </w:pPr>
            <w:r>
              <w:rPr/>
              <w:t>​</w:t>
            </w:r>
          </w:p>
          <w:p>
            <w:pPr>
              <w:pStyle w:val="TableContents"/>
              <w:bidi w:val="0"/>
              <w:spacing w:before="0" w:after="120"/>
              <w:ind w:left="0" w:right="0" w:hanging="0"/>
              <w:jc w:val="center"/>
              <w:rPr>
                <w:rFonts w:ascii="Times" w:hAnsi="Times"/>
                <w:sz w:val="24"/>
              </w:rPr>
            </w:pPr>
            <w:r>
              <w:rPr>
                <w:rFonts w:ascii="Times" w:hAnsi="Times"/>
                <w:sz w:val="24"/>
              </w:rPr>
              <w:t>0.35%</w:t>
            </w:r>
          </w:p>
        </w:tc>
        <w:tc>
          <w:tcPr>
            <w:tcW w:w="2238" w:type="dxa"/>
            <w:tcBorders/>
            <w:vAlign w:val="center"/>
          </w:tcPr>
          <w:p>
            <w:pPr>
              <w:pStyle w:val="TableContents"/>
              <w:bidi w:val="0"/>
              <w:spacing w:before="0" w:after="240"/>
              <w:ind w:left="0" w:right="0" w:hanging="0"/>
              <w:jc w:val="center"/>
              <w:rPr/>
            </w:pPr>
            <w:r>
              <w:rPr/>
              <w:t>​</w:t>
            </w:r>
          </w:p>
          <w:p>
            <w:pPr>
              <w:pStyle w:val="TableContents"/>
              <w:bidi w:val="0"/>
              <w:spacing w:before="0" w:after="120"/>
              <w:ind w:left="0" w:right="0" w:hanging="0"/>
              <w:jc w:val="center"/>
              <w:rPr>
                <w:rFonts w:ascii="Times" w:hAnsi="Times"/>
                <w:sz w:val="24"/>
              </w:rPr>
            </w:pPr>
            <w:r>
              <w:rPr>
                <w:rFonts w:ascii="Times" w:hAnsi="Times"/>
                <w:sz w:val="24"/>
              </w:rPr>
              <w:t>1.35%</w:t>
            </w:r>
          </w:p>
        </w:tc>
        <w:tc>
          <w:tcPr>
            <w:tcW w:w="2223" w:type="dxa"/>
            <w:tcBorders/>
            <w:vAlign w:val="center"/>
          </w:tcPr>
          <w:p>
            <w:pPr>
              <w:pStyle w:val="TableContents"/>
              <w:bidi w:val="0"/>
              <w:spacing w:before="0" w:after="240"/>
              <w:ind w:left="0" w:right="0" w:hanging="0"/>
              <w:jc w:val="center"/>
              <w:rPr/>
            </w:pPr>
            <w:r>
              <w:rPr/>
              <w:t>​</w:t>
            </w:r>
          </w:p>
          <w:p>
            <w:pPr>
              <w:pStyle w:val="TableContents"/>
              <w:bidi w:val="0"/>
              <w:spacing w:before="0" w:after="120"/>
              <w:ind w:left="0" w:right="0" w:hanging="0"/>
              <w:jc w:val="center"/>
              <w:rPr>
                <w:rFonts w:ascii="Times" w:hAnsi="Times"/>
                <w:sz w:val="24"/>
              </w:rPr>
            </w:pPr>
            <w:r>
              <w:rPr>
                <w:rFonts w:ascii="Times" w:hAnsi="Times"/>
                <w:sz w:val="24"/>
              </w:rPr>
              <w:t>0.55%</w:t>
            </w:r>
          </w:p>
        </w:tc>
        <w:tc>
          <w:tcPr>
            <w:tcW w:w="2202" w:type="dxa"/>
            <w:tcBorders/>
            <w:vAlign w:val="center"/>
          </w:tcPr>
          <w:p>
            <w:pPr>
              <w:pStyle w:val="TableContents"/>
              <w:bidi w:val="0"/>
              <w:spacing w:before="0" w:after="240"/>
              <w:ind w:left="0" w:right="0" w:hanging="0"/>
              <w:jc w:val="center"/>
              <w:rPr/>
            </w:pPr>
            <w:r>
              <w:rPr/>
              <w:t>​</w:t>
            </w:r>
          </w:p>
          <w:p>
            <w:pPr>
              <w:pStyle w:val="TableContents"/>
              <w:bidi w:val="0"/>
              <w:spacing w:before="0" w:after="120"/>
              <w:ind w:left="0" w:right="0" w:hanging="0"/>
              <w:jc w:val="center"/>
              <w:rPr>
                <w:rFonts w:ascii="Times" w:hAnsi="Times"/>
                <w:sz w:val="24"/>
              </w:rPr>
            </w:pPr>
            <w:r>
              <w:rPr>
                <w:rFonts w:ascii="Times" w:hAnsi="Times"/>
                <w:sz w:val="24"/>
              </w:rPr>
              <w:t>1.55%</w:t>
            </w:r>
          </w:p>
        </w:tc>
      </w:tr>
    </w:tbl>
    <w:p>
      <w:pPr>
        <w:pStyle w:val="TextBody"/>
        <w:bidi w:val="0"/>
        <w:spacing w:before="0" w:after="0"/>
        <w:ind w:left="0" w:right="0" w:hanging="0"/>
        <w:jc w:val="both"/>
        <w:rPr>
          <w:rFonts w:ascii="Times" w:hAnsi="Times"/>
          <w:sz w:val="24"/>
        </w:rPr>
      </w:pPr>
      <w:r>
        <w:rPr>
          <w:rFonts w:ascii="Times" w:hAnsi="Times"/>
          <w:sz w:val="24"/>
        </w:rPr>
        <w:t xml:space="preserve">During any period for which the Borrower has received three (3) Ratings which are not equivalent, the Applicable Margin will be determined by (a) the highest Rating if they differ by only one level and (b) the average of the two highest Ratings if they differ by two or more levels (unless the average is not a recognized level, in which case the Applicable Margin will be based on the level corresponding to the second highest Rating). During any period for which the Borrower has received only two (2) Ratings and such Ratings are not equivalent, the Applicable Margin will be determined by (i) the highest Rating if they differ by only one level and (ii) if they differ by two or more levels, the Applicable Margin will be based on the Rating one level higher than the lower of the applicable Ratings. During any period for which the Borrower has received a Rating from only one rating agency, the Applicable Margin shall be determined based on such Rating so long as such Rating is from either S&amp;P or Moody’s. During any period for which the Borrower does not have a Rating from any rating agency, or during any other period not otherwise covered by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this definition, the Applicable Margin shall be determined based on the Less than BBB- /Baa3 (or not rated) level.</w:t>
      </w:r>
    </w:p>
    <w:p>
      <w:pPr>
        <w:pStyle w:val="TextBody"/>
        <w:bidi w:val="0"/>
        <w:spacing w:before="0" w:after="240"/>
        <w:ind w:left="0" w:right="0" w:firstLine="720"/>
        <w:jc w:val="both"/>
        <w:rPr/>
      </w:pPr>
      <w:r>
        <w:rPr/>
        <w:t>“</w:t>
      </w:r>
      <w:r>
        <w:rPr>
          <w:rFonts w:ascii="Times" w:hAnsi="Times"/>
          <w:i/>
          <w:sz w:val="24"/>
        </w:rPr>
        <w:t>Applicable Percentage</w:t>
      </w:r>
      <w:r>
        <w:rPr>
          <w:rFonts w:ascii="Times" w:hAnsi="Times"/>
          <w:sz w:val="24"/>
        </w:rPr>
        <w:t>” means, (a) with respect to any 2029 Term Lender at any time, the percentage of the 2029 Term Facility represented by such 2029 Term Lender’s 2029 Term Loan Commitment at such time, (b) with respect to any 2030 Term Lender at any time, the percentage of the 2030 Term Facility represented by such 2030 Term Lender’s 2030 Term Loan Commitment at such time, (c) with respect to any 2031 Term Lender at any time, the percentage of the 2031 Term Facility represented by such 2031 Term Lender’s 2031 Term Loan Commitment at such time, (d) with respect to any 2032 Term Lender at any time, the percentage of the 2032 Term Facility represented by such 2032 Term Lender’s 2032 Term Loan Commitment at such time, (e) with respect to any Incremental Term Lender at any time, the percentage of the applicable Incremental Term Loan Facility represented by the sum of such Incremental Term Lender’s unfunded Incremental Term Loan Commitments (if any) for the applicable Incremental Term Facility and the principal amount of such Incremental Term Lender’s Incremental Term Loans for the applicable Incremental Term Loan Facility at such time, and (f) with respect to any Revolving Lender at any time, the percentage of the Revolving Credit Commitments represented by such Lender’s Revolving Credit Commitment or, if the Revolving Credit Commitments have been terminated, the percentage held by such Lender (including through participation interests in Reimbursement Obligations) of the aggregate principal amount of all Revolving Loans and L/C Obligations then outstanding. The initial Applicable Percentage of each Lender in respect of the Revolving Facility and each Term Facility is set forth opposite the name of such Lender on Schedule 1 or in the Assignment and Assumption pursuant to which such Lender becomes a party hereto, as applicable.</w:t>
      </w:r>
    </w:p>
    <w:p>
      <w:pPr>
        <w:pStyle w:val="TextBody"/>
        <w:bidi w:val="0"/>
        <w:spacing w:before="0" w:after="240"/>
        <w:ind w:left="0" w:right="0" w:firstLine="720"/>
        <w:jc w:val="both"/>
        <w:rPr/>
      </w:pPr>
      <w:r>
        <w:rPr/>
        <w:t>“</w:t>
      </w:r>
      <w:r>
        <w:rPr>
          <w:rFonts w:ascii="Times" w:hAnsi="Times"/>
          <w:i/>
          <w:sz w:val="24"/>
        </w:rPr>
        <w:t xml:space="preserve">Application” </w:t>
      </w:r>
      <w:r>
        <w:rPr>
          <w:rFonts w:ascii="Times" w:hAnsi="Times"/>
          <w:sz w:val="24"/>
        </w:rPr>
        <w:t>is defined in Section 1.3(b) hereof.</w:t>
      </w:r>
    </w:p>
    <w:p>
      <w:pPr>
        <w:pStyle w:val="TextBody"/>
        <w:bidi w:val="0"/>
        <w:spacing w:before="0" w:after="240"/>
        <w:ind w:left="0" w:right="0" w:firstLine="720"/>
        <w:jc w:val="both"/>
        <w:rPr/>
      </w:pPr>
      <w:r>
        <w:rPr/>
        <w:t>“</w:t>
      </w:r>
      <w:r>
        <w:rPr>
          <w:rFonts w:ascii="Times" w:hAnsi="Times"/>
          <w:i/>
          <w:sz w:val="24"/>
        </w:rPr>
        <w:t xml:space="preserve">Approved Fund” </w:t>
      </w:r>
      <w:r>
        <w:rPr>
          <w:rFonts w:ascii="Times" w:hAnsi="Times"/>
          <w:sz w:val="24"/>
        </w:rPr>
        <w:t>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w:hAnsi="Times"/>
          <w:i/>
          <w:sz w:val="24"/>
        </w:rPr>
        <w:t xml:space="preserve">Arranger” </w:t>
      </w:r>
      <w:r>
        <w:rPr>
          <w:rFonts w:ascii="Times" w:hAnsi="Times"/>
          <w:sz w:val="24"/>
        </w:rPr>
        <w:t>means, with respect to any Facility, each of the entities identified as a “Joint Lead Arranger” or similar title with respect to such Facility on the cover page of this Agreement.</w:t>
      </w:r>
    </w:p>
    <w:p>
      <w:pPr>
        <w:pStyle w:val="TextBody"/>
        <w:bidi w:val="0"/>
        <w:spacing w:before="0" w:after="240"/>
        <w:ind w:left="0" w:right="0" w:firstLine="720"/>
        <w:jc w:val="both"/>
        <w:rPr/>
      </w:pPr>
      <w:r>
        <w:rPr/>
        <w:t>“</w:t>
      </w:r>
      <w:r>
        <w:rPr>
          <w:rFonts w:ascii="Times" w:hAnsi="Times"/>
          <w:i/>
          <w:sz w:val="24"/>
        </w:rPr>
        <w:t>Assets Under Development”</w:t>
      </w:r>
      <w:r>
        <w:rPr>
          <w:rFonts w:ascii="Times" w:hAnsi="Times"/>
          <w:sz w:val="24"/>
        </w:rPr>
        <w:t xml:space="preserve"> means any real property under construction (excluding any completed Property under non-material renovation), until such property has received a certificate of occupancy.</w:t>
      </w:r>
    </w:p>
    <w:p>
      <w:pPr>
        <w:pStyle w:val="TextBody"/>
        <w:bidi w:val="0"/>
        <w:spacing w:before="0" w:after="240"/>
        <w:ind w:left="0" w:right="0" w:firstLine="720"/>
        <w:jc w:val="both"/>
        <w:rPr/>
      </w:pPr>
      <w:r>
        <w:rPr/>
        <w:t>“</w:t>
      </w:r>
      <w:r>
        <w:rPr>
          <w:rFonts w:ascii="Times" w:hAnsi="Times"/>
          <w:i/>
          <w:sz w:val="24"/>
        </w:rPr>
        <w:t>Assignment and Acceptance”</w:t>
      </w:r>
      <w:r>
        <w:rPr>
          <w:rFonts w:ascii="Times" w:hAnsi="Times"/>
          <w:sz w:val="24"/>
        </w:rPr>
        <w:t xml:space="preserve"> means an assignment and acceptance entered into by a Lender and an Eligible Assignee (with the consent of any party whose consent is required by Section 12.12 hereof), and accepted by the Administrative Agent, in substantially the form of Exhibit F or any other form approved by the Administrative Agent.</w:t>
      </w:r>
    </w:p>
    <w:p>
      <w:pPr>
        <w:pStyle w:val="TextBody"/>
        <w:bidi w:val="0"/>
        <w:spacing w:before="0" w:after="0"/>
        <w:ind w:left="0" w:right="0" w:firstLine="720"/>
        <w:jc w:val="both"/>
        <w:rPr/>
      </w:pPr>
      <w:r>
        <w:rPr/>
        <w:t>“</w:t>
      </w:r>
      <w:r>
        <w:rPr>
          <w:rFonts w:ascii="Times" w:hAnsi="Times"/>
          <w:i/>
          <w:sz w:val="24"/>
        </w:rPr>
        <w:t>Authorized Representative”</w:t>
      </w:r>
      <w:r>
        <w:rPr>
          <w:rFonts w:ascii="Times" w:hAnsi="Times"/>
          <w:sz w:val="24"/>
        </w:rPr>
        <w:t xml:space="preserve"> means those persons shown on the list of officers provided by the Borrower pursuant to Section 7.2 hereof or on any update of any such list provided by the Borrower to the Administrative Agent, or any further or different officers of the Borrower so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named by any Authorized Representative of the Borrower in a written notice to the Administrative Agent.</w:t>
      </w:r>
    </w:p>
    <w:p>
      <w:pPr>
        <w:pStyle w:val="TextBody"/>
        <w:bidi w:val="0"/>
        <w:spacing w:before="0" w:after="240"/>
        <w:ind w:left="0" w:right="0" w:firstLine="720"/>
        <w:jc w:val="both"/>
        <w:rPr/>
      </w:pPr>
      <w:r>
        <w:rPr/>
        <w:t>“</w:t>
      </w:r>
      <w:r>
        <w:rPr>
          <w:rFonts w:ascii="Times" w:hAnsi="Times"/>
          <w:i/>
          <w:sz w:val="24"/>
        </w:rPr>
        <w:t>Available Tenor</w:t>
      </w:r>
      <w:r>
        <w:rPr>
          <w:rFonts w:ascii="Times" w:hAnsi="Times"/>
          <w:sz w:val="24"/>
        </w:rPr>
        <w:t>” means, as of any date of determination and with respect to the then-current Benchmark,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10.6(d).</w:t>
      </w:r>
    </w:p>
    <w:p>
      <w:pPr>
        <w:pStyle w:val="TextBody"/>
        <w:bidi w:val="0"/>
        <w:spacing w:before="0" w:after="240"/>
        <w:ind w:left="0" w:right="0" w:firstLine="720"/>
        <w:jc w:val="both"/>
        <w:rPr/>
      </w:pPr>
      <w:r>
        <w:rPr/>
        <w:t>“</w:t>
      </w:r>
      <w:r>
        <w:rPr>
          <w:rFonts w:ascii="Times" w:hAnsi="Times"/>
          <w:i/>
          <w:sz w:val="24"/>
        </w:rPr>
        <w:t>Bail-In Action”</w:t>
      </w:r>
      <w:r>
        <w:rPr>
          <w:rFonts w:ascii="Times" w:hAnsi="Times"/>
          <w:sz w:val="24"/>
        </w:rPr>
        <w:t xml:space="preserve"> 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w:hAnsi="Times"/>
          <w:i/>
          <w:sz w:val="24"/>
        </w:rPr>
        <w:t xml:space="preserve">Bail-In Legislation” </w:t>
      </w:r>
      <w:r>
        <w:rPr>
          <w:rFonts w:ascii="Times" w:hAnsi="Times"/>
          <w:sz w:val="24"/>
        </w:rPr>
        <w:t xml:space="preserve">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240"/>
        <w:ind w:left="0" w:right="0" w:firstLine="720"/>
        <w:jc w:val="both"/>
        <w:rPr/>
      </w:pPr>
      <w:r>
        <w:rPr/>
        <w:t>“</w:t>
      </w:r>
      <w:r>
        <w:rPr>
          <w:rFonts w:ascii="Times" w:hAnsi="Times"/>
          <w:i/>
          <w:sz w:val="24"/>
        </w:rPr>
        <w:t>Bankruptcy Event”</w:t>
      </w:r>
      <w:r>
        <w:rPr>
          <w:rFonts w:ascii="Times" w:hAnsi="Times"/>
          <w:sz w:val="24"/>
        </w:rPr>
        <w:t xml:space="preserve"> means, with respect to any Person, any event of the type described in clause (j) or (k) of Section 9.1 hereof with respect to such Person.</w:t>
      </w:r>
    </w:p>
    <w:p>
      <w:pPr>
        <w:pStyle w:val="TextBody"/>
        <w:bidi w:val="0"/>
        <w:spacing w:before="0" w:after="240"/>
        <w:ind w:left="0" w:right="0" w:firstLine="720"/>
        <w:jc w:val="both"/>
        <w:rPr/>
      </w:pPr>
      <w:r>
        <w:rPr/>
        <w:t>“</w:t>
      </w:r>
      <w:r>
        <w:rPr>
          <w:rFonts w:ascii="Times" w:hAnsi="Times"/>
          <w:i/>
          <w:sz w:val="24"/>
        </w:rPr>
        <w:t>Base Rate”</w:t>
      </w:r>
      <w:r>
        <w:rPr>
          <w:rFonts w:ascii="Times" w:hAnsi="Times"/>
          <w:sz w:val="24"/>
        </w:rPr>
        <w:t xml:space="preserve"> means, for any day, the rate per annum equal to the greatest of:  (a) the rate of interest announced or otherwise established by the Administrative Agent from time to time as its prime commercial rate, or its equivalent, for U.S. Dollar loans to borrowers located in the United States as in effect on such day, with any change in the Base Rate resulting from a change in said prime commercial rate to be effective as of the date of the relevant change in said prime commercial rate (it being acknowledged and agreed that such rate may not be the Administrative Agent’s best or lowest rate), (b) the sum of (i) the Federal Funds Rate for such day, plus (ii) 1/2 of 1%, or (c) the sum of (i) Term SOFR for a one month tenor in effect on such day plus (ii) 1.0%.  Any change in the Base Rate due to a change in the prime rate, the Federal Funds Rate or Term SOFR, as applicable, shall be effective from and including the effective date of the change in such rate.  If the Base Rate is being used as an alternative rate of interest pursuant to Section 10.2 or Section 10.6 hereof, then the Base Rate shall be the greater of clauses (a) and (b) above and shall be determined without reference to clause (c) above; provided, that if the Base Rate as determined above shall ever be less than the Floor, then Base Rate shall be deemed to be the Floor.</w:t>
      </w:r>
    </w:p>
    <w:p>
      <w:pPr>
        <w:pStyle w:val="TextBody"/>
        <w:bidi w:val="0"/>
        <w:spacing w:before="0" w:after="240"/>
        <w:ind w:left="0" w:right="0" w:firstLine="720"/>
        <w:jc w:val="both"/>
        <w:rPr/>
      </w:pPr>
      <w:r>
        <w:rPr/>
        <w:t>“</w:t>
      </w:r>
      <w:r>
        <w:rPr>
          <w:rFonts w:ascii="Times" w:hAnsi="Times"/>
          <w:i/>
          <w:sz w:val="24"/>
        </w:rPr>
        <w:t>Base Rate Loan”</w:t>
      </w:r>
      <w:r>
        <w:rPr>
          <w:rFonts w:ascii="Times" w:hAnsi="Times"/>
          <w:sz w:val="24"/>
        </w:rPr>
        <w:t xml:space="preserve"> means a Loan bearing interest at the Base Rate.</w:t>
      </w:r>
    </w:p>
    <w:p>
      <w:pPr>
        <w:pStyle w:val="TextBody"/>
        <w:bidi w:val="0"/>
        <w:spacing w:before="0" w:after="0"/>
        <w:ind w:left="0" w:right="0" w:firstLine="720"/>
        <w:jc w:val="both"/>
        <w:rPr/>
      </w:pPr>
      <w:r>
        <w:rPr/>
        <w:t>“</w:t>
      </w:r>
      <w:r>
        <w:rPr>
          <w:rFonts w:ascii="Times" w:hAnsi="Times"/>
          <w:i/>
          <w:sz w:val="24"/>
        </w:rPr>
        <w:t>Benchmark</w:t>
      </w:r>
      <w:r>
        <w:rPr>
          <w:rFonts w:ascii="Times" w:hAnsi="Times"/>
          <w:sz w:val="24"/>
        </w:rPr>
        <w:t xml:space="preserve">” means, initially, (a) with respect to Daily Simple SOFR Loans, Daily Simple SOFR and (b), with respect to Term SOFR Loans, the Term SOFR Reference Rate; provided that if a Benchmark Transition Event has occurred with respect to the then-current Benchmark, then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w:hAnsi="Times"/>
          <w:sz w:val="24"/>
        </w:rPr>
        <w:t xml:space="preserve">Benchmark” means the applicable Benchmark Replacement to the extent that such Benchmark Replacement has replaced such prior benchmark rate pursuant to Section 10.6. </w:t>
      </w:r>
    </w:p>
    <w:p>
      <w:pPr>
        <w:pStyle w:val="TextBody"/>
        <w:bidi w:val="0"/>
        <w:spacing w:before="0" w:after="240"/>
        <w:ind w:left="0" w:right="0" w:firstLine="720"/>
        <w:jc w:val="both"/>
        <w:rPr/>
      </w:pPr>
      <w:r>
        <w:rPr/>
        <w:t>“</w:t>
      </w:r>
      <w:r>
        <w:rPr>
          <w:rFonts w:ascii="Times" w:hAnsi="Times"/>
          <w:i/>
          <w:sz w:val="24"/>
        </w:rPr>
        <w:t>Benchmark Replacement</w:t>
      </w:r>
      <w:r>
        <w:rPr>
          <w:rFonts w:ascii="Times" w:hAnsi="Times"/>
          <w:sz w:val="24"/>
        </w:rPr>
        <w:t xml:space="preserve">” means, with respect to any Benchmark Transition Event for the then-current Benchmark, the sum 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w:t>
      </w:r>
      <w:r>
        <w:rPr>
          <w:rFonts w:ascii="Times" w:hAnsi="Times"/>
          <w:sz w:val="24"/>
          <w:u w:val="single"/>
        </w:rPr>
        <w:t>provided</w:t>
      </w:r>
      <w:r>
        <w:rPr>
          <w:rFonts w:ascii="Times" w:hAnsi="Times"/>
          <w:sz w:val="24"/>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240"/>
        <w:ind w:left="0" w:right="0" w:firstLine="720"/>
        <w:jc w:val="both"/>
        <w:rPr/>
      </w:pPr>
      <w:r>
        <w:rPr/>
        <w:t>“</w:t>
      </w:r>
      <w:r>
        <w:rPr>
          <w:rFonts w:ascii="Times" w:hAnsi="Times"/>
          <w:i/>
          <w:sz w:val="24"/>
        </w:rPr>
        <w:t>Benchmark Replacement Adjustment</w:t>
      </w:r>
      <w:r>
        <w:rPr>
          <w:rFonts w:ascii="Times" w:hAnsi="Times"/>
          <w:sz w:val="24"/>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at such time.</w:t>
      </w:r>
    </w:p>
    <w:p>
      <w:pPr>
        <w:pStyle w:val="TextBody"/>
        <w:bidi w:val="0"/>
        <w:spacing w:before="0" w:after="240"/>
        <w:ind w:left="0" w:right="0" w:firstLine="720"/>
        <w:jc w:val="both"/>
        <w:rPr/>
      </w:pPr>
      <w:r>
        <w:rPr/>
        <w:t>“</w:t>
      </w:r>
      <w:r>
        <w:rPr>
          <w:rFonts w:ascii="Times" w:hAnsi="Times"/>
          <w:i/>
          <w:sz w:val="24"/>
        </w:rPr>
        <w:t>Benchmark Replacement Date</w:t>
      </w:r>
      <w:r>
        <w:rPr>
          <w:rFonts w:ascii="Times" w:hAnsi="Times"/>
          <w:sz w:val="24"/>
        </w:rPr>
        <w:t>” means the earliest to occur of the following events with respect to the then-current Benchmark:</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(a)</w:t>
      </w:r>
      <w:r>
        <w:rPr>
          <w:rFonts w:ascii="Times" w:hAnsi="Times"/>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(b)</w:t>
      </w:r>
      <w:r>
        <w:rPr>
          <w:rFonts w:ascii="Times" w:hAnsi="Times"/>
          <w:sz w:val="24"/>
        </w:rPr>
        <w:t>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Event</w:t>
      </w:r>
      <w:r>
        <w:rPr>
          <w:rFonts w:ascii="Times" w:hAnsi="Times"/>
          <w:sz w:val="24"/>
        </w:rPr>
        <w:t>” means, with respect to the then-current Benchmark, the occurrence of one or more of the following events with respect to such Benchmark:</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(a)</w:t>
      </w:r>
      <w:r>
        <w:rPr>
          <w:rFonts w:ascii="Times" w:hAnsi="Times"/>
          <w:sz w:val="24"/>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(b)</w:t>
      </w:r>
      <w:r>
        <w:rPr>
          <w:rFonts w:ascii="Times" w:hAnsi="Times"/>
          <w:sz w:val="24"/>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hanging="0"/>
        <w:jc w:val="left"/>
        <w:rPr>
          <w:rFonts w:ascii="Times" w:hAnsi="Times"/>
          <w:sz w:val="24"/>
        </w:rPr>
      </w:pPr>
      <w:r>
        <w:rPr>
          <w:rFonts w:ascii="Times" w:hAnsi="Times"/>
          <w:b w:val="false"/>
          <w:i w:val="false"/>
          <w:caps w:val="false"/>
          <w:smallCaps w:val="false"/>
          <w:sz w:val="24"/>
        </w:rPr>
        <w:t>(c)</w:t>
      </w:r>
      <w:r>
        <w:rPr>
          <w:rFonts w:ascii="Times" w:hAnsi="Times"/>
          <w:sz w:val="24"/>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0" w:after="240"/>
        <w:ind w:left="0" w:right="0" w:firstLine="720"/>
        <w:jc w:val="both"/>
        <w:rPr>
          <w:rFonts w:ascii="Times" w:hAnsi="Times"/>
          <w:sz w:val="24"/>
        </w:rPr>
      </w:pPr>
      <w:r>
        <w:rPr>
          <w:rFonts w:ascii="Times" w:hAnsi="Times"/>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ind w:left="0" w:right="0" w:firstLine="720"/>
        <w:jc w:val="both"/>
        <w:rPr/>
      </w:pPr>
      <w:r>
        <w:rPr/>
        <w:t>“</w:t>
      </w:r>
      <w:r>
        <w:rPr>
          <w:rFonts w:ascii="Times" w:hAnsi="Times"/>
          <w:i/>
          <w:sz w:val="24"/>
        </w:rPr>
        <w:t>Benchmark Transition Start Date</w:t>
      </w:r>
      <w:r>
        <w:rPr>
          <w:rFonts w:ascii="Times" w:hAnsi="Times"/>
          <w:sz w:val="24"/>
        </w:rPr>
        <w:t>” means, with respect to any Benchmark,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Benchmark Unavailability Period</w:t>
      </w:r>
      <w:r>
        <w:rPr>
          <w:rFonts w:ascii="Times" w:hAnsi="Times"/>
          <w:sz w:val="24"/>
        </w:rPr>
        <w:t>” means, with respect to any then-current Benchmark, the period (if any) (i)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10.6 and (ii) ending at the time that a Benchmark Replacement has replaced such Benchmark for all purposes hereunder and under any Loan Document in accordance with Section 10.6.</w:t>
      </w:r>
    </w:p>
    <w:p>
      <w:pPr>
        <w:pStyle w:val="TextBody"/>
        <w:bidi w:val="0"/>
        <w:spacing w:before="0" w:after="240"/>
        <w:ind w:left="0" w:right="0" w:firstLine="720"/>
        <w:jc w:val="both"/>
        <w:rPr/>
      </w:pPr>
      <w:r>
        <w:rPr/>
        <w:t>“</w:t>
      </w:r>
      <w:r>
        <w:rPr>
          <w:rFonts w:ascii="Times" w:hAnsi="Times"/>
          <w:i/>
          <w:sz w:val="24"/>
        </w:rPr>
        <w:t>Beneficial Ownership Certification”</w:t>
      </w:r>
      <w:r>
        <w:rPr>
          <w:rFonts w:ascii="Times" w:hAnsi="Times"/>
          <w:sz w:val="24"/>
        </w:rPr>
        <w:t xml:space="preserve"> means a certification regarding beneficial ownership as required by the Beneficial Ownership Regulation.</w:t>
      </w:r>
    </w:p>
    <w:p>
      <w:pPr>
        <w:pStyle w:val="TextBody"/>
        <w:bidi w:val="0"/>
        <w:spacing w:before="0" w:after="240"/>
        <w:ind w:left="0" w:right="0" w:firstLine="720"/>
        <w:jc w:val="both"/>
        <w:rPr/>
      </w:pPr>
      <w:r>
        <w:rPr/>
        <w:t>“</w:t>
      </w:r>
      <w:r>
        <w:rPr>
          <w:rFonts w:ascii="Times" w:hAnsi="Times"/>
          <w:i/>
          <w:sz w:val="24"/>
        </w:rPr>
        <w:t xml:space="preserve">Beneficial Ownership Regulation” </w:t>
      </w:r>
      <w:r>
        <w:rPr>
          <w:rFonts w:ascii="Times" w:hAnsi="Times"/>
          <w:sz w:val="24"/>
        </w:rPr>
        <w:t xml:space="preserve">means 31 C.F.R. § 1010.230. </w:t>
      </w:r>
    </w:p>
    <w:p>
      <w:pPr>
        <w:pStyle w:val="TextBody"/>
        <w:bidi w:val="0"/>
        <w:spacing w:before="0" w:after="240"/>
        <w:ind w:left="0" w:right="0" w:firstLine="720"/>
        <w:jc w:val="both"/>
        <w:rPr/>
      </w:pPr>
      <w:r>
        <w:rPr/>
        <w:t>“</w:t>
      </w:r>
      <w:r>
        <w:rPr>
          <w:rFonts w:ascii="Times" w:hAnsi="Times"/>
          <w:i/>
          <w:sz w:val="24"/>
        </w:rPr>
        <w:t>Borrower”</w:t>
      </w:r>
      <w:r>
        <w:rPr>
          <w:rFonts w:ascii="Times" w:hAnsi="Times"/>
          <w:sz w:val="24"/>
        </w:rPr>
        <w:t xml:space="preserve"> is defined in the introductory paragraph of this Agreement.</w:t>
      </w:r>
    </w:p>
    <w:p>
      <w:pPr>
        <w:pStyle w:val="TextBody"/>
        <w:bidi w:val="0"/>
        <w:spacing w:before="0" w:after="240"/>
        <w:ind w:left="0" w:right="0" w:firstLine="720"/>
        <w:jc w:val="both"/>
        <w:rPr/>
      </w:pPr>
      <w:r>
        <w:rPr/>
        <w:t>“</w:t>
      </w:r>
      <w:r>
        <w:rPr>
          <w:rFonts w:ascii="Times" w:hAnsi="Times"/>
          <w:i/>
          <w:sz w:val="24"/>
        </w:rPr>
        <w:t>Borrowing”</w:t>
      </w:r>
      <w:r>
        <w:rPr>
          <w:rFonts w:ascii="Times" w:hAnsi="Times"/>
          <w:sz w:val="24"/>
        </w:rPr>
        <w:t xml:space="preserve"> means the total of Loans of a single type advanced, continued for an additional Interest Period, or converted from a different type into such type by the Lenders on a single date and, in the case of Term SOFR Loans, for a single Interest Period.  Borrowings of Loans are made and maintained ratably from each of the Lenders according to their Applicable Percentages.  A Borrowing is “</w:t>
      </w:r>
      <w:r>
        <w:rPr>
          <w:rFonts w:ascii="Times" w:hAnsi="Times"/>
          <w:i/>
          <w:sz w:val="24"/>
        </w:rPr>
        <w:t>advanced”</w:t>
      </w:r>
      <w:r>
        <w:rPr>
          <w:rFonts w:ascii="Times" w:hAnsi="Times"/>
          <w:sz w:val="24"/>
        </w:rPr>
        <w:t xml:space="preserve"> on the day Lenders advance funds comprising such Borrowing to the Borrower, is “</w:t>
      </w:r>
      <w:r>
        <w:rPr>
          <w:rFonts w:ascii="Times" w:hAnsi="Times"/>
          <w:i/>
          <w:sz w:val="24"/>
        </w:rPr>
        <w:t>continued”</w:t>
      </w:r>
      <w:r>
        <w:rPr>
          <w:rFonts w:ascii="Times" w:hAnsi="Times"/>
          <w:sz w:val="24"/>
        </w:rPr>
        <w:t xml:space="preserve"> on the date a new Interest Period for the same type of Loans commences for such Borrowing, and is “</w:t>
      </w:r>
      <w:r>
        <w:rPr>
          <w:rFonts w:ascii="Times" w:hAnsi="Times"/>
          <w:i/>
          <w:sz w:val="24"/>
        </w:rPr>
        <w:t>converted”</w:t>
      </w:r>
      <w:r>
        <w:rPr>
          <w:rFonts w:ascii="Times" w:hAnsi="Times"/>
          <w:sz w:val="24"/>
        </w:rPr>
        <w:t xml:space="preserve"> when such Borrowing is changed from one type of Loans to the other, all as determined pursuant to Section 1.6 hereof.    </w:t>
      </w:r>
    </w:p>
    <w:p>
      <w:pPr>
        <w:pStyle w:val="TextBody"/>
        <w:bidi w:val="0"/>
        <w:spacing w:before="0" w:after="240"/>
        <w:ind w:left="0" w:right="0" w:firstLine="720"/>
        <w:jc w:val="both"/>
        <w:rPr/>
      </w:pPr>
      <w:r>
        <w:rPr/>
        <w:t>“</w:t>
      </w:r>
      <w:r>
        <w:rPr>
          <w:rFonts w:ascii="Times" w:hAnsi="Times"/>
          <w:i/>
          <w:sz w:val="24"/>
        </w:rPr>
        <w:t>Business Day”</w:t>
      </w:r>
      <w:r>
        <w:rPr>
          <w:rFonts w:ascii="Times" w:hAnsi="Times"/>
          <w:sz w:val="24"/>
        </w:rPr>
        <w:t xml:space="preserve"> means (i) any day other than Saturday, Sunday or any other day on which commercial banks in Cleveland, Ohio or New York, New York are authorized or required by law to close and (ii) with respect to any matters relating to SOFR Loans, a SOFR Business Day.</w:t>
      </w:r>
    </w:p>
    <w:p>
      <w:pPr>
        <w:pStyle w:val="TextBody"/>
        <w:bidi w:val="0"/>
        <w:spacing w:before="0" w:after="240"/>
        <w:ind w:left="0" w:right="0" w:firstLine="720"/>
        <w:jc w:val="both"/>
        <w:rPr/>
      </w:pPr>
      <w:r>
        <w:rPr/>
        <w:t>“</w:t>
      </w:r>
      <w:r>
        <w:rPr>
          <w:rFonts w:ascii="Times" w:hAnsi="Times"/>
          <w:i/>
          <w:sz w:val="24"/>
        </w:rPr>
        <w:t>Capital Expenditures”</w:t>
      </w:r>
      <w:r>
        <w:rPr>
          <w:rFonts w:ascii="Times" w:hAnsi="Times"/>
          <w:sz w:val="24"/>
        </w:rPr>
        <w:t xml:space="preserve"> means, with respect to any Person for any period, the aggregate amount of all expenditures (whether paid in cash or accrued as a liability) by such Person during that period for the acquisition or leasing (pursuant to a Capital Lease) of fixed or capital assets or additions to property, plant, or equipment (including replacements, capitalized repairs, and improvements) which are required to be capitalized on the balance sheet of such Person in accordance with GAAP.</w:t>
      </w:r>
    </w:p>
    <w:p>
      <w:pPr>
        <w:pStyle w:val="TextBody"/>
        <w:bidi w:val="0"/>
        <w:spacing w:before="0" w:after="240"/>
        <w:ind w:left="0" w:right="0" w:firstLine="720"/>
        <w:jc w:val="both"/>
        <w:rPr/>
      </w:pPr>
      <w:r>
        <w:rPr/>
        <w:t>“</w:t>
      </w:r>
      <w:r>
        <w:rPr>
          <w:rFonts w:ascii="Times" w:hAnsi="Times"/>
          <w:i/>
          <w:sz w:val="24"/>
        </w:rPr>
        <w:t>Capital Lease</w:t>
      </w:r>
      <w:r>
        <w:rPr>
          <w:rFonts w:ascii="Times" w:hAnsi="Times"/>
          <w:sz w:val="24"/>
        </w:rPr>
        <w:t>” means any lease of Property or other assets which in accordance with GAAP is required to be capitalized on the balance sheet of the lessee.</w:t>
      </w:r>
    </w:p>
    <w:p>
      <w:pPr>
        <w:pStyle w:val="TextBody"/>
        <w:bidi w:val="0"/>
        <w:spacing w:before="0" w:after="240"/>
        <w:ind w:left="0" w:right="0" w:firstLine="720"/>
        <w:jc w:val="both"/>
        <w:rPr/>
      </w:pPr>
      <w:r>
        <w:rPr/>
        <w:t>“</w:t>
      </w:r>
      <w:r>
        <w:rPr>
          <w:rFonts w:ascii="Times" w:hAnsi="Times"/>
          <w:i/>
          <w:sz w:val="24"/>
        </w:rPr>
        <w:t>Capitalization Rate”</w:t>
      </w:r>
      <w:r>
        <w:rPr>
          <w:rFonts w:ascii="Times" w:hAnsi="Times"/>
          <w:sz w:val="24"/>
        </w:rPr>
        <w:t xml:space="preserve"> means (i) 6.25% for existing single-tenant Properties occupied by tenants maintaining a (A) BBB- Rating or better from S&amp;P’s or Fitch, or (B) Baa3 Rating or better from Moody’s, (ii) 6.50% for grocery anchored retail properties, (iii) 7.00% for all other retail and Retail Mixed-Use Properties, (iv) 8.00% for all other Properties not covered under the foregoing clauses (i), (ii) or (iii); </w:t>
      </w:r>
      <w:r>
        <w:rPr>
          <w:rFonts w:ascii="Times" w:hAnsi="Times"/>
          <w:i/>
          <w:sz w:val="24"/>
        </w:rPr>
        <w:t>provided</w:t>
      </w:r>
      <w:r>
        <w:rPr>
          <w:rFonts w:ascii="Times" w:hAnsi="Times"/>
          <w:sz w:val="24"/>
        </w:rPr>
        <w:t xml:space="preserve">, that for all Properties that are subject to Ground Leases with the Borrower or a Subsidiary as lessee, the applicable Capitalization Rate shall be determined as if the Borrower was the owner of the fully-completed building located on such Property.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Capitalized Lease Obligation”</w:t>
      </w:r>
      <w:r>
        <w:rPr>
          <w:rFonts w:ascii="Times" w:hAnsi="Times"/>
          <w:sz w:val="24"/>
        </w:rPr>
        <w:t xml:space="preserve"> means, for any Person, the amount of the liability shown on the balance sheet of such Person in respect of a Capital Lease determined in accordance with GAAP.</w:t>
      </w:r>
    </w:p>
    <w:p>
      <w:pPr>
        <w:pStyle w:val="TextBody"/>
        <w:bidi w:val="0"/>
        <w:spacing w:before="0" w:after="240"/>
        <w:ind w:left="0" w:right="0" w:firstLine="720"/>
        <w:jc w:val="both"/>
        <w:rPr/>
      </w:pPr>
      <w:r>
        <w:rPr/>
        <w:t>“</w:t>
      </w:r>
      <w:r>
        <w:rPr>
          <w:rFonts w:ascii="Times" w:hAnsi="Times"/>
          <w:i/>
          <w:sz w:val="24"/>
        </w:rPr>
        <w:t>CBA</w:t>
      </w:r>
      <w:r>
        <w:rPr>
          <w:rFonts w:ascii="Times" w:hAnsi="Times"/>
          <w:sz w:val="24"/>
        </w:rPr>
        <w:t>” means CME Group Benchmark Administration Ltd.</w:t>
      </w:r>
    </w:p>
    <w:p>
      <w:pPr>
        <w:pStyle w:val="TextBody"/>
        <w:bidi w:val="0"/>
        <w:spacing w:before="0" w:after="240"/>
        <w:ind w:left="0" w:right="0" w:firstLine="720"/>
        <w:jc w:val="both"/>
        <w:rPr/>
      </w:pPr>
      <w:r>
        <w:rPr/>
        <w:t>“</w:t>
      </w:r>
      <w:r>
        <w:rPr>
          <w:rFonts w:ascii="Times" w:hAnsi="Times"/>
          <w:i/>
          <w:sz w:val="24"/>
        </w:rPr>
        <w:t xml:space="preserve">CERCLA” </w:t>
      </w:r>
      <w:r>
        <w:rPr>
          <w:rFonts w:ascii="Times" w:hAnsi="Times"/>
          <w:sz w:val="24"/>
        </w:rPr>
        <w:t xml:space="preserve">means the Comprehensive Environmental Response, Compensation and Liability Act of 1980, as amended by the Superfund Amendments and Reauthorization Act of 1986, 42 U.S.C. </w:t>
      </w:r>
      <w:r>
        <w:rPr>
          <w:rFonts w:ascii="Times" w:hAnsi="Times"/>
          <w:b/>
          <w:sz w:val="24"/>
        </w:rPr>
        <w:t>§§</w:t>
      </w:r>
      <w:r>
        <w:rPr>
          <w:rFonts w:ascii="Times" w:hAnsi="Times"/>
          <w:sz w:val="24"/>
        </w:rPr>
        <w:t xml:space="preserve">9601 </w:t>
      </w:r>
      <w:r>
        <w:rPr>
          <w:rFonts w:ascii="Times" w:hAnsi="Times"/>
          <w:i/>
          <w:sz w:val="24"/>
        </w:rPr>
        <w:t>et seq.,</w:t>
      </w:r>
      <w:r>
        <w:rPr>
          <w:rFonts w:ascii="Times" w:hAnsi="Times"/>
          <w:sz w:val="24"/>
        </w:rPr>
        <w:t xml:space="preserve"> and any future amendments.</w:t>
      </w:r>
    </w:p>
    <w:p>
      <w:pPr>
        <w:pStyle w:val="TextBody"/>
        <w:bidi w:val="0"/>
        <w:spacing w:before="0" w:after="240"/>
        <w:ind w:left="0" w:right="0" w:firstLine="720"/>
        <w:jc w:val="both"/>
        <w:rPr/>
      </w:pPr>
      <w:r>
        <w:rPr/>
        <w:t>“</w:t>
      </w:r>
      <w:r>
        <w:rPr>
          <w:rFonts w:ascii="Times" w:hAnsi="Times"/>
          <w:i/>
          <w:sz w:val="24"/>
        </w:rPr>
        <w:t>Change in Law”</w:t>
      </w:r>
      <w:r>
        <w:rPr>
          <w:rFonts w:ascii="Times" w:hAnsi="Times"/>
          <w:sz w:val="24"/>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w:hAnsi="Times"/>
          <w:i/>
          <w:sz w:val="24"/>
        </w:rPr>
        <w:t>provided</w:t>
      </w:r>
      <w:r>
        <w:rPr>
          <w:rFonts w:ascii="Times" w:hAnsi="Times"/>
          <w:sz w:val="24"/>
        </w:rPr>
        <w:t xml:space="preserve"> that notwithstanding anything herein to the contrary, (x) the Dodd-Frank Wall Street Reform and Consumer Protection Act and all requests, rules, regulations, guidelines or directives thereunder or issued in connection therewith shall be deemed to be a “Change in Law”, regardless of the date enacted, adopted or issued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w:hAnsi="Times"/>
          <w:i/>
          <w:sz w:val="24"/>
        </w:rPr>
        <w:t>Change of Control”</w:t>
      </w:r>
      <w:r>
        <w:rPr>
          <w:rFonts w:ascii="Times" w:hAnsi="Times"/>
          <w:sz w:val="24"/>
        </w:rPr>
        <w:t xml:space="preserve"> means any of (a) the acquisition by any “</w:t>
      </w:r>
      <w:r>
        <w:rPr>
          <w:rFonts w:ascii="Times" w:hAnsi="Times"/>
          <w:i/>
          <w:sz w:val="24"/>
        </w:rPr>
        <w:t>person”</w:t>
      </w:r>
      <w:r>
        <w:rPr>
          <w:rFonts w:ascii="Times" w:hAnsi="Times"/>
          <w:sz w:val="24"/>
        </w:rPr>
        <w:t xml:space="preserve"> or “</w:t>
      </w:r>
      <w:r>
        <w:rPr>
          <w:rFonts w:ascii="Times" w:hAnsi="Times"/>
          <w:i/>
          <w:sz w:val="24"/>
        </w:rPr>
        <w:t>group”</w:t>
      </w:r>
      <w:r>
        <w:rPr>
          <w:rFonts w:ascii="Times" w:hAnsi="Times"/>
          <w:sz w:val="24"/>
        </w:rPr>
        <w:t xml:space="preserve"> (as such terms are used in sections 13(d) and 14(d) of the Securities Exchange Act of 1934, as amended) at any time that causes such person or group to become the “</w:t>
      </w:r>
      <w:r>
        <w:rPr>
          <w:rFonts w:ascii="Times" w:hAnsi="Times"/>
          <w:i/>
          <w:sz w:val="24"/>
        </w:rPr>
        <w:t>beneficial owner”</w:t>
      </w:r>
      <w:r>
        <w:rPr>
          <w:rFonts w:ascii="Times" w:hAnsi="Times"/>
          <w:sz w:val="24"/>
        </w:rPr>
        <w:t xml:space="preserve"> (as defined in Rules 13d-3 and 13d-5 under the Securities Exchange Act of 1934, as amended) of 51% or more of the outstanding capital stock or other equity interests of the Borrower on a fully-diluted basis, other than acquisitions of such interests by any party who is an officer or director of the Borrower as of the Restatement Date, (b) the failure of individuals who are members of the board of directors (or similar governing body) of the Borrower on the Restatement Date (together with any new or replacement directors whose initial nomination for election was approved by a majority of the directors who were either directors on the Restatement Date or previously so approved) to constitute a majority of the board of directors (or similar governing body) of the Borrower.</w:t>
      </w:r>
    </w:p>
    <w:p>
      <w:pPr>
        <w:pStyle w:val="TextBody"/>
        <w:bidi w:val="0"/>
        <w:spacing w:before="0" w:after="240"/>
        <w:ind w:left="0" w:right="0" w:firstLine="720"/>
        <w:jc w:val="both"/>
        <w:rPr/>
      </w:pPr>
      <w:r>
        <w:rPr/>
        <w:t>“</w:t>
      </w:r>
      <w:r>
        <w:rPr>
          <w:rFonts w:ascii="Times" w:hAnsi="Times"/>
          <w:i/>
          <w:sz w:val="24"/>
        </w:rPr>
        <w:t>Class</w:t>
      </w:r>
      <w:r>
        <w:rPr>
          <w:rFonts w:ascii="Times" w:hAnsi="Times"/>
          <w:sz w:val="24"/>
        </w:rPr>
        <w:t>” means (a) when used with respect to a Commitment, refers to whether such Commitment is a Revolving Credit Commitment, 2029 Term Loan Commitment, 2030 Term Loan Commitment, 2031 Term Loan Commitment, 2032 Term Loan Commitment or any tranche of Incremental Term Loan Commitments, (b) when used with respect to a Loan, refers to whether such Loan is a Revolving Loan, a 2029 Term Loan, 2030 Term Loan, 2031 Term Loan, 2032 Term Loan or an Incremental Term  Loan, and (c) when used with respect to a Lender, refers to whether such Lender has a Loan or Commitment with respect to a particular Class of Loans or Commitments.</w:t>
      </w:r>
    </w:p>
    <w:p>
      <w:pPr>
        <w:pStyle w:val="TextBody"/>
        <w:bidi w:val="0"/>
        <w:spacing w:before="0" w:after="240"/>
        <w:ind w:left="0" w:right="0" w:firstLine="720"/>
        <w:jc w:val="both"/>
        <w:rPr/>
      </w:pPr>
      <w:r>
        <w:rPr/>
        <w:t>“</w:t>
      </w:r>
      <w:r>
        <w:rPr>
          <w:rFonts w:ascii="Times" w:hAnsi="Times"/>
          <w:i/>
          <w:sz w:val="24"/>
        </w:rPr>
        <w:t>Code”</w:t>
      </w:r>
      <w:r>
        <w:rPr>
          <w:rFonts w:ascii="Times" w:hAnsi="Times"/>
          <w:sz w:val="24"/>
        </w:rPr>
        <w:t xml:space="preserve"> means the Internal Revenue Code of 1986, as amended, and any successor statute thereto.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Collateral Account”</w:t>
      </w:r>
      <w:r>
        <w:rPr>
          <w:rFonts w:ascii="Times" w:hAnsi="Times"/>
          <w:sz w:val="24"/>
        </w:rPr>
        <w:t xml:space="preserve"> is defined in Section 9.4(b) hereof.</w:t>
      </w:r>
    </w:p>
    <w:p>
      <w:pPr>
        <w:pStyle w:val="TextBody"/>
        <w:bidi w:val="0"/>
        <w:spacing w:before="0" w:after="240"/>
        <w:ind w:left="0" w:right="0" w:firstLine="720"/>
        <w:jc w:val="both"/>
        <w:rPr/>
      </w:pPr>
      <w:r>
        <w:rPr/>
        <w:t>“</w:t>
      </w:r>
      <w:r>
        <w:rPr>
          <w:rFonts w:ascii="Times" w:hAnsi="Times"/>
          <w:i/>
          <w:sz w:val="24"/>
        </w:rPr>
        <w:t>Commitment</w:t>
      </w:r>
      <w:r>
        <w:rPr>
          <w:rFonts w:ascii="Times" w:hAnsi="Times"/>
          <w:sz w:val="24"/>
        </w:rPr>
        <w:t>” means a Revolving Credit Commitment, Term Loan Commitment or an Incremental Term Loan Commitment, as the context may require.</w:t>
      </w:r>
    </w:p>
    <w:p>
      <w:pPr>
        <w:pStyle w:val="TextBody"/>
        <w:bidi w:val="0"/>
        <w:spacing w:before="0" w:after="240"/>
        <w:ind w:left="0" w:right="0" w:firstLine="720"/>
        <w:jc w:val="both"/>
        <w:rPr/>
      </w:pPr>
      <w:r>
        <w:rPr/>
        <w:t>“</w:t>
      </w:r>
      <w:r>
        <w:rPr>
          <w:rFonts w:ascii="Times" w:hAnsi="Times"/>
          <w:i/>
          <w:sz w:val="24"/>
        </w:rPr>
        <w:t>Commitment Increase</w:t>
      </w:r>
      <w:r>
        <w:rPr>
          <w:rFonts w:ascii="Times" w:hAnsi="Times"/>
          <w:sz w:val="24"/>
        </w:rPr>
        <w:t>” has the meaning assigned to such term in Section 1.15.</w:t>
      </w:r>
    </w:p>
    <w:p>
      <w:pPr>
        <w:pStyle w:val="TextBody"/>
        <w:bidi w:val="0"/>
        <w:spacing w:before="0" w:after="240"/>
        <w:ind w:left="0" w:right="0" w:firstLine="720"/>
        <w:jc w:val="both"/>
        <w:rPr/>
      </w:pPr>
      <w:r>
        <w:rPr/>
        <w:t>“</w:t>
      </w:r>
      <w:r>
        <w:rPr>
          <w:rFonts w:ascii="Times" w:hAnsi="Times"/>
          <w:i/>
          <w:sz w:val="24"/>
        </w:rPr>
        <w:t>Commodity Exchange Act</w:t>
      </w:r>
      <w:r>
        <w:rPr>
          <w:rFonts w:ascii="Times" w:hAnsi="Times"/>
          <w:sz w:val="24"/>
        </w:rPr>
        <w:t>” means the Commodity Exchange Act (7 U.S.C. § 1 et seq.), as amended from time to time, and any successor statute.</w:t>
      </w:r>
    </w:p>
    <w:p>
      <w:pPr>
        <w:pStyle w:val="TextBody"/>
        <w:bidi w:val="0"/>
        <w:spacing w:before="0" w:after="240"/>
        <w:ind w:left="0" w:right="0" w:firstLine="720"/>
        <w:jc w:val="both"/>
        <w:rPr/>
      </w:pPr>
      <w:r>
        <w:rPr/>
        <w:t>“</w:t>
      </w:r>
      <w:r>
        <w:rPr>
          <w:rFonts w:ascii="Times" w:hAnsi="Times"/>
          <w:i/>
          <w:sz w:val="24"/>
        </w:rPr>
        <w:t>Compliance Certificate”</w:t>
      </w:r>
      <w:r>
        <w:rPr>
          <w:rFonts w:ascii="Times" w:hAnsi="Times"/>
          <w:sz w:val="24"/>
        </w:rPr>
        <w:t xml:space="preserve"> is defined in Section 8.5(e) hereof.</w:t>
      </w:r>
    </w:p>
    <w:p>
      <w:pPr>
        <w:pStyle w:val="TextBody"/>
        <w:bidi w:val="0"/>
        <w:spacing w:before="0" w:after="240"/>
        <w:ind w:left="0" w:right="0" w:firstLine="720"/>
        <w:jc w:val="both"/>
        <w:rPr/>
      </w:pPr>
      <w:r>
        <w:rPr/>
        <w:t>“</w:t>
      </w:r>
      <w:r>
        <w:rPr>
          <w:rFonts w:ascii="Times" w:hAnsi="Times"/>
          <w:i/>
          <w:sz w:val="24"/>
        </w:rPr>
        <w:t>Conforming Changes</w:t>
      </w:r>
      <w:r>
        <w:rPr>
          <w:rFonts w:ascii="Times" w:hAnsi="Times"/>
          <w:sz w:val="24"/>
        </w:rPr>
        <w:t>” means, with respect to either the use or administration of Daily Simple SOFR or Term SOFR, or the use, administration, adoption or implementation of any Benchmark Replacement, any technical, administrative or operational changes (including changes to the definition of “Base Rate,” the definition of “Business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1.11 and other technical, administrative or operational matters) that the Administrative Agent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720"/>
        <w:jc w:val="both"/>
        <w:rPr/>
      </w:pPr>
      <w:r>
        <w:rPr/>
        <w:t>“</w:t>
      </w:r>
      <w:r>
        <w:rPr>
          <w:rFonts w:ascii="Times" w:hAnsi="Times"/>
          <w:i/>
          <w:sz w:val="24"/>
        </w:rPr>
        <w:t>Connection Income Taxes”</w:t>
      </w:r>
      <w:r>
        <w:rPr>
          <w:rFonts w:ascii="Times" w:hAnsi="Times"/>
          <w:sz w:val="24"/>
        </w:rPr>
        <w:t xml:space="preserve"> means Other Connection Taxes that are imposed on or measured by net income (however denominated) or that are franchise Taxes or branch profit Taxes.</w:t>
      </w:r>
    </w:p>
    <w:p>
      <w:pPr>
        <w:pStyle w:val="TextBody"/>
        <w:bidi w:val="0"/>
        <w:spacing w:before="0" w:after="240"/>
        <w:ind w:left="0" w:right="0" w:firstLine="720"/>
        <w:jc w:val="both"/>
        <w:rPr/>
      </w:pPr>
      <w:r>
        <w:rPr/>
        <w:t>“</w:t>
      </w:r>
      <w:r>
        <w:rPr>
          <w:rFonts w:ascii="Times" w:hAnsi="Times"/>
          <w:i/>
          <w:sz w:val="24"/>
        </w:rPr>
        <w:t>Controlled Group”</w:t>
      </w:r>
      <w:r>
        <w:rPr>
          <w:rFonts w:ascii="Times" w:hAnsi="Times"/>
          <w:sz w:val="24"/>
        </w:rPr>
        <w:t xml:space="preserve"> means all members of a controlled group of corporations and all trades or businesses (whether or not incorporated) under common control which, together with the Borrower, are treated as a single employer under Section 414 of the Code.</w:t>
      </w:r>
    </w:p>
    <w:p>
      <w:pPr>
        <w:pStyle w:val="TextBody"/>
        <w:bidi w:val="0"/>
        <w:spacing w:before="0" w:after="240"/>
        <w:ind w:left="0" w:right="0" w:firstLine="720"/>
        <w:jc w:val="both"/>
        <w:rPr/>
      </w:pPr>
      <w:r>
        <w:rPr/>
        <w:t>“</w:t>
      </w:r>
      <w:r>
        <w:rPr>
          <w:rFonts w:ascii="Times" w:hAnsi="Times"/>
          <w:i/>
          <w:sz w:val="24"/>
        </w:rPr>
        <w:t>Covered Entity</w:t>
      </w:r>
      <w:r>
        <w:rPr>
          <w:rFonts w:ascii="Times" w:hAnsi="Times"/>
          <w:sz w:val="24"/>
        </w:rPr>
        <w:t>” has the meaning specified in Section 12.30.</w:t>
      </w:r>
    </w:p>
    <w:p>
      <w:pPr>
        <w:pStyle w:val="TextBody"/>
        <w:bidi w:val="0"/>
        <w:spacing w:before="0" w:after="240"/>
        <w:ind w:left="0" w:right="0" w:firstLine="720"/>
        <w:jc w:val="both"/>
        <w:rPr/>
      </w:pPr>
      <w:r>
        <w:rPr/>
        <w:t>“</w:t>
      </w:r>
      <w:r>
        <w:rPr>
          <w:rFonts w:ascii="Times" w:hAnsi="Times"/>
          <w:i/>
          <w:sz w:val="24"/>
        </w:rPr>
        <w:t>Credit Event”</w:t>
      </w:r>
      <w:r>
        <w:rPr>
          <w:rFonts w:ascii="Times" w:hAnsi="Times"/>
          <w:sz w:val="24"/>
        </w:rPr>
        <w:t xml:space="preserve"> means the advancing of any Loan, or the issuance of, or extension of the expiration date or increase in the amount of, any Letter of Credit.</w:t>
      </w:r>
    </w:p>
    <w:p>
      <w:pPr>
        <w:pStyle w:val="TextBody"/>
        <w:bidi w:val="0"/>
        <w:spacing w:before="0" w:after="0"/>
        <w:ind w:left="0" w:right="0" w:firstLine="720"/>
        <w:jc w:val="both"/>
        <w:rPr/>
      </w:pPr>
      <w:bookmarkStart w:id="63" w:name="_Hlk220434557"/>
      <w:bookmarkEnd w:id="63"/>
      <w:r>
        <w:rPr/>
        <w:t>“</w:t>
      </w:r>
      <w:r>
        <w:rPr>
          <w:rFonts w:ascii="Times" w:hAnsi="Times"/>
          <w:i/>
          <w:sz w:val="24"/>
        </w:rPr>
        <w:t>Daily Simple SOFR</w:t>
      </w:r>
      <w:r>
        <w:rPr>
          <w:rFonts w:ascii="Times" w:hAnsi="Times"/>
          <w:sz w:val="24"/>
        </w:rPr>
        <w:t>” means, for any day (a “</w:t>
      </w:r>
      <w:r>
        <w:rPr>
          <w:rFonts w:ascii="Times" w:hAnsi="Times"/>
          <w:i/>
          <w:sz w:val="24"/>
        </w:rPr>
        <w:t>SOFR Rate Day</w:t>
      </w:r>
      <w:r>
        <w:rPr>
          <w:rFonts w:ascii="Times" w:hAnsi="Times"/>
          <w:sz w:val="24"/>
        </w:rPr>
        <w:t>”), a rate per annum equal to SOFR for the day (such day, the “</w:t>
      </w:r>
      <w:r>
        <w:rPr>
          <w:rFonts w:ascii="Times" w:hAnsi="Times"/>
          <w:i/>
          <w:sz w:val="24"/>
        </w:rPr>
        <w:t>SOFR Determination Day</w:t>
      </w:r>
      <w:r>
        <w:rPr>
          <w:rFonts w:ascii="Times" w:hAnsi="Times"/>
          <w:sz w:val="24"/>
        </w:rPr>
        <w:t xml:space="preserve">”) that is five (5) SOFR Business Days prior to (i) if such SOFR Rate Day is a SOFR Business Day, such SOFR Rate Day or (ii) if such SOFR Rate Day is not a SOFR Business Day, the SOFR Business Day immediately preceding such SOFR Rate Day, in each case, as and when SOFR for such SOFR Rate Day is published by the SOFR Administrator on the SOFR Administrator’s Website.  If by 5:00 pm (New York City time) on the second (2nd) SOFR Business Day immediately following any SOFR Determination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Day, SOFR in respect of such SOFR Determination Day has not been published on the SOFR Administrator’s Website and a Benchmark Replacement Date with respect to Daily Simple SOFR has not occurred, then SOFR for such SOFR Determination Day will be SOFR as published in respect of the first preceding SOFR Business Day for which such SOFR was published on the SOFR Administrator’s Website; </w:t>
      </w:r>
      <w:r>
        <w:rPr>
          <w:rFonts w:ascii="Times" w:hAnsi="Times"/>
          <w:i/>
          <w:sz w:val="24"/>
        </w:rPr>
        <w:t>provided</w:t>
      </w:r>
      <w:r>
        <w:rPr>
          <w:rFonts w:ascii="Times" w:hAnsi="Times"/>
          <w:sz w:val="24"/>
        </w:rPr>
        <w:t>, that any SOFR determined pursuant to this sentence shall be utilized for purposes of calculation of Daily Simple SOFR for no more than three (3) consecutive SOFR Rate Days.  If Daily Simple SOFR as determined above shall ever be less than the Floor, then Daily Simple SOFR shall be deemed to be the Floor.  Any change in Daily Simple SOFR due to a change in SOFR shall be effective from and including the effective date of such change in SOFR without notice to the Borrower.</w:t>
      </w:r>
    </w:p>
    <w:p>
      <w:pPr>
        <w:pStyle w:val="TextBody"/>
        <w:bidi w:val="0"/>
        <w:spacing w:before="0" w:after="240"/>
        <w:ind w:left="0" w:right="0" w:firstLine="720"/>
        <w:jc w:val="both"/>
        <w:rPr/>
      </w:pPr>
      <w:r>
        <w:rPr/>
        <w:t>“</w:t>
      </w:r>
      <w:r>
        <w:rPr>
          <w:rFonts w:ascii="Times" w:hAnsi="Times"/>
          <w:i/>
          <w:sz w:val="24"/>
        </w:rPr>
        <w:t>Daily Simple SOFR Loan</w:t>
      </w:r>
      <w:r>
        <w:rPr>
          <w:rFonts w:ascii="Times" w:hAnsi="Times"/>
          <w:sz w:val="24"/>
        </w:rPr>
        <w:t>” means each Loan bearing interest at a rate based upon Daily Simple SOFR.</w:t>
      </w:r>
    </w:p>
    <w:p>
      <w:pPr>
        <w:pStyle w:val="TextBody"/>
        <w:bidi w:val="0"/>
        <w:spacing w:before="0" w:after="240"/>
        <w:ind w:left="0" w:right="0" w:firstLine="720"/>
        <w:jc w:val="both"/>
        <w:rPr/>
      </w:pPr>
      <w:r>
        <w:rPr/>
        <w:t>“</w:t>
      </w:r>
      <w:r>
        <w:rPr>
          <w:rFonts w:ascii="Times" w:hAnsi="Times"/>
          <w:i/>
          <w:sz w:val="24"/>
        </w:rPr>
        <w:t>Debtor Relief Laws”</w:t>
      </w:r>
      <w:r>
        <w:rPr>
          <w:rFonts w:ascii="Times" w:hAnsi="Times"/>
          <w:sz w:val="24"/>
        </w:rPr>
        <w:t xml:space="preserve">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ind w:left="0" w:right="0" w:firstLine="720"/>
        <w:jc w:val="both"/>
        <w:rPr/>
      </w:pPr>
      <w:r>
        <w:rPr/>
        <w:t>“</w:t>
      </w:r>
      <w:r>
        <w:rPr>
          <w:rFonts w:ascii="Times" w:hAnsi="Times"/>
          <w:i/>
          <w:sz w:val="24"/>
        </w:rPr>
        <w:t>Default”</w:t>
      </w:r>
      <w:r>
        <w:rPr>
          <w:rFonts w:ascii="Times" w:hAnsi="Times"/>
          <w:sz w:val="24"/>
        </w:rPr>
        <w:t xml:space="preserve"> means any event or condition the occurrence of which would, with the passage of time or the giving of notice, or both, constitute an Event of Default.</w:t>
      </w:r>
    </w:p>
    <w:p>
      <w:pPr>
        <w:pStyle w:val="TextBody"/>
        <w:bidi w:val="0"/>
        <w:spacing w:before="0" w:after="240"/>
        <w:ind w:left="0" w:right="0" w:firstLine="720"/>
        <w:jc w:val="both"/>
        <w:rPr/>
      </w:pPr>
      <w:r>
        <w:rPr/>
        <w:t>“</w:t>
      </w:r>
      <w:r>
        <w:rPr>
          <w:rFonts w:ascii="Times" w:hAnsi="Times"/>
          <w:i/>
          <w:sz w:val="24"/>
        </w:rPr>
        <w:t>Defaulted Loan”</w:t>
      </w:r>
      <w:r>
        <w:rPr>
          <w:rFonts w:ascii="Times" w:hAnsi="Times"/>
          <w:sz w:val="24"/>
        </w:rPr>
        <w:t xml:space="preserve"> is defined in the definition of “</w:t>
      </w:r>
      <w:r>
        <w:rPr>
          <w:rFonts w:ascii="Times" w:hAnsi="Times"/>
          <w:i/>
          <w:sz w:val="24"/>
        </w:rPr>
        <w:t>Defaulting Lender”</w:t>
      </w:r>
      <w:r>
        <w:rPr>
          <w:rFonts w:ascii="Times" w:hAnsi="Times"/>
          <w:sz w:val="24"/>
        </w:rPr>
        <w:t xml:space="preserve"> in this Section 5.1.</w:t>
      </w:r>
    </w:p>
    <w:p>
      <w:pPr>
        <w:pStyle w:val="TextBody"/>
        <w:bidi w:val="0"/>
        <w:spacing w:before="0" w:after="240"/>
        <w:ind w:left="0" w:right="0" w:firstLine="720"/>
        <w:jc w:val="both"/>
        <w:rPr/>
      </w:pPr>
      <w:r>
        <w:rPr/>
        <w:t>“</w:t>
      </w:r>
      <w:r>
        <w:rPr>
          <w:rFonts w:ascii="Times" w:hAnsi="Times"/>
          <w:i/>
          <w:sz w:val="24"/>
        </w:rPr>
        <w:t>Defaulting Lender”</w:t>
      </w:r>
      <w:r>
        <w:rPr>
          <w:rFonts w:ascii="Times" w:hAnsi="Times"/>
          <w:sz w:val="24"/>
        </w:rPr>
        <w:t xml:space="preserve"> means any Lender that (a) has failed to fund any portion of the Loans or Reimbursement Obligations required to be funded by it hereunder (herein, a “</w:t>
      </w:r>
      <w:r>
        <w:rPr>
          <w:rFonts w:ascii="Times" w:hAnsi="Times"/>
          <w:i/>
          <w:sz w:val="24"/>
        </w:rPr>
        <w:t>Defaulted Loan”</w:t>
      </w:r>
      <w:r>
        <w:rPr>
          <w:rFonts w:ascii="Times" w:hAnsi="Times"/>
          <w:sz w:val="24"/>
        </w:rPr>
        <w:t>) within two (2) Business Days of the date required to be funded by it hereunder (including with respect to a Revolving Lender, in respect of its participation in Letters of Credit) unless such failure has been cured, (b) has otherwise failed to pay over to the Administrative Agent, L/C Issuer, or any other Lender any other amount required to be paid by it hereunder (except for up to $25,000 in the aggregate from a Lender which is owing for less than five (5) Business Days) within two (2) Business Days of the date when due, unless the subject of a good faith dispute or unless such failure has been cured, (c) has notified the Borrower, the Administrative Agent or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(d)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(e) upon receipt of such written confirmation by the Administrative Agent and the Borrower), (f) has experienced a Bankruptcy Event, (g) a receiver or conservator has been appointed for such Lender or (h) has become the subject of a Bail-In Action.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Defaulting Lender Period”</w:t>
      </w:r>
      <w:r>
        <w:rPr>
          <w:rFonts w:ascii="Times" w:hAnsi="Times"/>
          <w:sz w:val="24"/>
        </w:rPr>
        <w:t xml:space="preserve"> means, with respect to any Defaulting Lender, the period commencing on the date upon which such Lender first became a Defaulting Lender and ending on the earliest of the following dates: the date on which (a) such Defaulting Lender is no longer the subject of a Bankruptcy Event or, if applicable, under the direction of a receiver or conservator, (b) such Defaulting Lender shall have delivered to Borrower and the Administrative Agent a written reaffirmation of its intention to honor its obligations hereunder, including with respect to its Revolving Credit Commitments, and (c) such Defaulting Lender shall have been deemed to no longer be a Defaulting Lender in accordance with Section 1.14(f) hereof.</w:t>
      </w:r>
    </w:p>
    <w:p>
      <w:pPr>
        <w:pStyle w:val="TextBody"/>
        <w:bidi w:val="0"/>
        <w:spacing w:before="0" w:after="240"/>
        <w:ind w:left="0" w:right="0" w:firstLine="720"/>
        <w:jc w:val="both"/>
        <w:rPr/>
      </w:pPr>
      <w:r>
        <w:rPr/>
        <w:t>“</w:t>
      </w:r>
      <w:r>
        <w:rPr>
          <w:rFonts w:ascii="Times" w:hAnsi="Times"/>
          <w:i/>
          <w:sz w:val="24"/>
        </w:rPr>
        <w:t>Dividends</w:t>
      </w:r>
      <w:r>
        <w:rPr>
          <w:rFonts w:ascii="Times" w:hAnsi="Times"/>
          <w:sz w:val="24"/>
        </w:rPr>
        <w:t>” means any dividend paid (or declared and then payable), as the case may be, in cash on any equity security issued by the Borrower.</w:t>
      </w:r>
    </w:p>
    <w:p>
      <w:pPr>
        <w:pStyle w:val="TextBody"/>
        <w:bidi w:val="0"/>
        <w:spacing w:before="0" w:after="240"/>
        <w:ind w:left="0" w:right="0" w:firstLine="720"/>
        <w:jc w:val="both"/>
        <w:rPr/>
      </w:pPr>
      <w:r>
        <w:rPr/>
        <w:t>“</w:t>
      </w:r>
      <w:r>
        <w:rPr>
          <w:rFonts w:ascii="Times" w:hAnsi="Times"/>
          <w:i/>
          <w:sz w:val="24"/>
        </w:rPr>
        <w:t>Division</w:t>
      </w:r>
      <w:r>
        <w:rPr>
          <w:rFonts w:ascii="Times" w:hAnsi="Times"/>
          <w:sz w:val="24"/>
        </w:rPr>
        <w:t>” means the division of the assets, liabilities and/or obligations of a Person (the “</w:t>
      </w:r>
      <w:r>
        <w:rPr>
          <w:rFonts w:ascii="Times" w:hAnsi="Times"/>
          <w:i/>
          <w:sz w:val="24"/>
        </w:rPr>
        <w:t>Dividing Person</w:t>
      </w:r>
      <w:r>
        <w:rPr>
          <w:rFonts w:ascii="Times" w:hAnsi="Times"/>
          <w:sz w:val="24"/>
        </w:rPr>
        <w:t>”) among two or more Persons, whether pursuant to a “plan of division” or similar arrangement pursuant to Section 18-217 of the Delaware Limited Liability Company Act or any similar provision under the laws of any other applicable jurisdiction and pursuant to which the Dividing Person may or may not survive.</w:t>
      </w:r>
    </w:p>
    <w:p>
      <w:pPr>
        <w:pStyle w:val="TextBody"/>
        <w:bidi w:val="0"/>
        <w:spacing w:before="0" w:after="240"/>
        <w:ind w:left="0" w:right="0" w:firstLine="720"/>
        <w:jc w:val="both"/>
        <w:rPr/>
      </w:pPr>
      <w:r>
        <w:rPr/>
        <w:t>“</w:t>
      </w:r>
      <w:r>
        <w:rPr>
          <w:rFonts w:ascii="Times" w:hAnsi="Times"/>
          <w:i/>
          <w:sz w:val="24"/>
        </w:rPr>
        <w:t>EBITDA”</w:t>
      </w:r>
      <w:r>
        <w:rPr>
          <w:rFonts w:ascii="Times" w:hAnsi="Times"/>
          <w:sz w:val="24"/>
        </w:rPr>
        <w:t xml:space="preserve"> means, for any period, determined on a consolidated basis of the Borrower and its Subsidiaries, in accordance with GAAP, the sum of net income (or loss) </w:t>
      </w:r>
      <w:r>
        <w:rPr>
          <w:rFonts w:ascii="Times" w:hAnsi="Times"/>
          <w:i/>
          <w:sz w:val="24"/>
        </w:rPr>
        <w:t>plus</w:t>
      </w:r>
      <w:r>
        <w:rPr>
          <w:rFonts w:ascii="Times" w:hAnsi="Times"/>
          <w:sz w:val="24"/>
        </w:rPr>
        <w:t xml:space="preserve">: (i) depreciation and amortization expense, to the extent included as an expense in the calculation of net income (or loss); (ii) Interest Expense; (iii) income tax expense, to the extent included as an expense in the calculation of net income (or loss); (iv) extraordinary, unrealized or non-recurring losses, including (A) impairment charges and (B) realized losses from the sale of real property and Public Investments, and (v) non-cash compensation paid to employees or directors of the Borrower in the form of the Borrower’s equity securities, </w:t>
      </w:r>
      <w:r>
        <w:rPr>
          <w:rFonts w:ascii="Times" w:hAnsi="Times"/>
          <w:i/>
          <w:sz w:val="24"/>
        </w:rPr>
        <w:t>minus</w:t>
      </w:r>
      <w:r>
        <w:rPr>
          <w:rFonts w:ascii="Times" w:hAnsi="Times"/>
          <w:sz w:val="24"/>
        </w:rPr>
        <w:t>: (a) extraordinary, unrealized or non-recurring gains, including (x) the write-up of assets and (y) realized gains from the sale of real property and Public Investments; (b) income tax benefits; and (c) other non-cash items as reasonably determined by the Borrower and approved by the Administrative Agent. The Borrower’s Ownership Share of the EBITDA of its Unconsolidated Affiliates will be included when determining EBITDA of the Borrower and its Subsidiaries.</w:t>
      </w:r>
    </w:p>
    <w:p>
      <w:pPr>
        <w:pStyle w:val="TextBody"/>
        <w:bidi w:val="0"/>
        <w:spacing w:before="0" w:after="240"/>
        <w:ind w:left="0" w:right="0" w:firstLine="720"/>
        <w:jc w:val="both"/>
        <w:rPr/>
      </w:pPr>
      <w:r>
        <w:rPr/>
        <w:t>“</w:t>
      </w:r>
      <w:r>
        <w:rPr>
          <w:rFonts w:ascii="Times" w:hAnsi="Times"/>
          <w:i/>
          <w:sz w:val="24"/>
        </w:rPr>
        <w:t>EEA Financial Institution”</w:t>
      </w:r>
      <w:r>
        <w:rPr>
          <w:rFonts w:ascii="Times" w:hAnsi="Times"/>
          <w:sz w:val="24"/>
        </w:rPr>
        <w:t xml:space="preserve"> means (a) any credit institution or investment firm established in any EEA Member Country which is subject to the supervision of an applicable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w:hAnsi="Times"/>
          <w:i/>
          <w:sz w:val="24"/>
        </w:rPr>
        <w:t>EEA Member Country”</w:t>
      </w:r>
      <w:r>
        <w:rPr>
          <w:rFonts w:ascii="Times" w:hAnsi="Times"/>
          <w:sz w:val="24"/>
        </w:rPr>
        <w:t xml:space="preserve"> means any of the member states of the European Union, Iceland, Liechtenstein, and Norway.</w:t>
      </w:r>
    </w:p>
    <w:p>
      <w:pPr>
        <w:pStyle w:val="TextBody"/>
        <w:bidi w:val="0"/>
        <w:spacing w:before="0" w:after="240"/>
        <w:ind w:left="0" w:right="0" w:firstLine="720"/>
        <w:jc w:val="both"/>
        <w:rPr/>
      </w:pPr>
      <w:r>
        <w:rPr/>
        <w:t>“</w:t>
      </w:r>
      <w:r>
        <w:rPr>
          <w:rFonts w:ascii="Times" w:hAnsi="Times"/>
          <w:i/>
          <w:sz w:val="24"/>
        </w:rPr>
        <w:t>EEA Resolution Authority</w:t>
      </w:r>
      <w:r>
        <w:rPr>
          <w:rFonts w:ascii="Times" w:hAnsi="Times"/>
          <w:sz w:val="24"/>
        </w:rPr>
        <w:t>” means any public administrative authority or any person entrusted with public administrative authority of any EEA Member Country (including any delegee) have responsibility for the resolution of any EEA Financial Institution.</w:t>
      </w:r>
    </w:p>
    <w:p>
      <w:pPr>
        <w:pStyle w:val="TextBody"/>
        <w:bidi w:val="0"/>
        <w:spacing w:before="0" w:after="240"/>
        <w:ind w:left="0" w:right="0" w:firstLine="720"/>
        <w:jc w:val="both"/>
        <w:rPr/>
      </w:pPr>
      <w:r>
        <w:rPr/>
        <w:t>“</w:t>
      </w:r>
      <w:r>
        <w:rPr>
          <w:rFonts w:ascii="Times" w:hAnsi="Times"/>
          <w:i/>
          <w:sz w:val="24"/>
        </w:rPr>
        <w:t>Electronic Copy</w:t>
      </w:r>
      <w:r>
        <w:rPr>
          <w:rFonts w:ascii="Times" w:hAnsi="Times"/>
          <w:sz w:val="24"/>
        </w:rPr>
        <w:t>” has the meaning specified in Section 8.22.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Electronic Record</w:t>
      </w:r>
      <w:r>
        <w:rPr>
          <w:rFonts w:ascii="Times" w:hAnsi="Times"/>
          <w:sz w:val="24"/>
        </w:rPr>
        <w:t>” has the meaning specified in Section 8.22</w:t>
      </w:r>
    </w:p>
    <w:p>
      <w:pPr>
        <w:pStyle w:val="TextBody"/>
        <w:bidi w:val="0"/>
        <w:spacing w:before="0" w:after="240"/>
        <w:ind w:left="0" w:right="0" w:firstLine="720"/>
        <w:jc w:val="both"/>
        <w:rPr/>
      </w:pPr>
      <w:r>
        <w:rPr/>
        <w:t>“</w:t>
      </w:r>
      <w:r>
        <w:rPr>
          <w:rFonts w:ascii="Times" w:hAnsi="Times"/>
          <w:i/>
          <w:sz w:val="24"/>
        </w:rPr>
        <w:t>Electronic Signature</w:t>
      </w:r>
      <w:r>
        <w:rPr>
          <w:rFonts w:ascii="Times" w:hAnsi="Times"/>
          <w:sz w:val="24"/>
        </w:rPr>
        <w:t>” has the meaning specified in Section 8.22.</w:t>
      </w:r>
    </w:p>
    <w:p>
      <w:pPr>
        <w:pStyle w:val="TextBody"/>
        <w:bidi w:val="0"/>
        <w:spacing w:before="0" w:after="240"/>
        <w:ind w:left="0" w:right="0" w:firstLine="720"/>
        <w:jc w:val="both"/>
        <w:rPr/>
      </w:pPr>
      <w:r>
        <w:rPr/>
        <w:t>“</w:t>
      </w:r>
      <w:r>
        <w:rPr>
          <w:rFonts w:ascii="Times" w:hAnsi="Times"/>
          <w:i/>
          <w:sz w:val="24"/>
        </w:rPr>
        <w:t>Eligible Asset</w:t>
      </w:r>
      <w:r>
        <w:rPr>
          <w:rFonts w:ascii="Times" w:hAnsi="Times"/>
          <w:sz w:val="24"/>
        </w:rPr>
        <w:t>” means, as of any Unencumbered Pool Determination Date, any Eligible Property, Eligible Mortgage Receivable or Eligible PINE Common Equity.</w:t>
      </w:r>
    </w:p>
    <w:p>
      <w:pPr>
        <w:pStyle w:val="TextBody"/>
        <w:bidi w:val="0"/>
        <w:spacing w:before="0" w:after="240"/>
        <w:ind w:left="0" w:right="0" w:firstLine="720"/>
        <w:jc w:val="both"/>
        <w:rPr/>
      </w:pPr>
      <w:r>
        <w:rPr/>
        <w:t>“</w:t>
      </w:r>
      <w:r>
        <w:rPr>
          <w:rFonts w:ascii="Times" w:hAnsi="Times"/>
          <w:i/>
          <w:sz w:val="24"/>
        </w:rPr>
        <w:t xml:space="preserve">Eligible Assignee” </w:t>
      </w:r>
      <w:r>
        <w:rPr>
          <w:rFonts w:ascii="Times" w:hAnsi="Times"/>
          <w:sz w:val="24"/>
        </w:rPr>
        <w:t>means (a) a Lender, (b) an Affiliate of a Lender, (c) an Approved Fund, and (d) any other Person (other than a natural person) approved by (i) the Administrative Agent, (ii) the L/C Issuer, and (iii) unless an Event of Default has occurred and is continuing, the Borrower (each such approval not to be unreasonably withheld or delayed); provided that notwithstanding the foregoing, “Eligible Assignee” shall not include the Borrower or any Guarantor or any of the Borrower’s or such Guarantor’s Affiliates or Subsidiaries.</w:t>
      </w:r>
    </w:p>
    <w:p>
      <w:pPr>
        <w:pStyle w:val="TextBody"/>
        <w:bidi w:val="0"/>
        <w:spacing w:before="0" w:after="240"/>
        <w:ind w:left="0" w:right="0" w:firstLine="720"/>
        <w:jc w:val="both"/>
        <w:rPr/>
      </w:pPr>
      <w:r>
        <w:rPr/>
        <w:t>“</w:t>
      </w:r>
      <w:r>
        <w:rPr>
          <w:rFonts w:ascii="Times" w:hAnsi="Times"/>
          <w:i/>
          <w:sz w:val="24"/>
        </w:rPr>
        <w:t>Eligible Mortgage Receivable</w:t>
      </w:r>
      <w:r>
        <w:rPr>
          <w:rFonts w:ascii="Times" w:hAnsi="Times"/>
          <w:sz w:val="24"/>
        </w:rPr>
        <w:t xml:space="preserve">” means, as of any Unencumbered Pool Determination Date, any Mortgage Receivable that satisfies the following conditions (a) such Mortgage Receivable is owed solely to the Borrower or a Material Subsidiary, and in the case of a Material Subsidiary at all times prior to the Investment Grade Release, such Material Subsidiary has provided an Additional Guarantor Supplement or other Guaranty to the Administrative Agent pursuant to Section 4.2 hereof, (b) neither such Mortgage Receivable nor, if such Mortgage Receivable is owned by a Material Subsidiary, the Borrower’s beneficial ownership interest in such Material Subsidiary, is subject to (i) a Lien other than Permitted Liens or (ii) any negative pledge (other than a negative pledge under the terms of the documentation evidencing Other Unsecured Indebtedness), (c) such Mortgage Receivable is not more than 60 days past due or otherwise in default, </w:t>
      </w:r>
      <w:bookmarkStart w:id="64" w:name="_Hlk184323651"/>
      <w:bookmarkEnd w:id="64"/>
      <w:r>
        <w:rPr>
          <w:rFonts w:ascii="Times" w:hAnsi="Times"/>
          <w:sz w:val="24"/>
        </w:rPr>
        <w:t xml:space="preserve">(d) the Borrower, or if such Mortgage Receivable is owned by a Material Subsidiary, such Material Subsidiary, has the unilateral right to sell, transfer or otherwise dispose of such Mortgage Receivable and to create a Lien on such Mortgage Receivable as security for Indebtedness for Borrowed Money, (e) such Mortgage Receivable is a First Mortgage Loan secured by Property that (x) is (i) a retail property, (ii) a Retail Mixed-Use Property, or (iii) a Property of an Other Approved Type; (y) meets the criteria for Eligible Property (excluding </w:t>
      </w:r>
      <w:r>
        <w:rPr>
          <w:rFonts w:ascii="Times" w:hAnsi="Times"/>
          <w:sz w:val="24"/>
          <w:u w:val="single"/>
        </w:rPr>
        <w:t>clauses</w:t>
      </w:r>
      <w:r>
        <w:rPr>
          <w:rFonts w:ascii="Times" w:hAnsi="Times"/>
          <w:sz w:val="24"/>
        </w:rPr>
        <w:t xml:space="preserve"> </w:t>
      </w:r>
      <w:r>
        <w:rPr>
          <w:rFonts w:ascii="Times" w:hAnsi="Times"/>
          <w:sz w:val="24"/>
          <w:u w:val="single"/>
        </w:rPr>
        <w:t>(a)(i)</w:t>
      </w:r>
      <w:r>
        <w:rPr>
          <w:rFonts w:ascii="Times" w:hAnsi="Times"/>
          <w:sz w:val="24"/>
        </w:rPr>
        <w:t xml:space="preserve">, </w:t>
      </w:r>
      <w:r>
        <w:rPr>
          <w:rFonts w:ascii="Times" w:hAnsi="Times"/>
          <w:sz w:val="24"/>
          <w:u w:val="single"/>
        </w:rPr>
        <w:t>(c)</w:t>
      </w:r>
      <w:r>
        <w:rPr>
          <w:rFonts w:ascii="Times" w:hAnsi="Times"/>
          <w:sz w:val="24"/>
        </w:rPr>
        <w:t xml:space="preserve">, </w:t>
      </w:r>
      <w:r>
        <w:rPr>
          <w:rFonts w:ascii="Times" w:hAnsi="Times"/>
          <w:sz w:val="24"/>
          <w:u w:val="single"/>
        </w:rPr>
        <w:t>(d)</w:t>
      </w:r>
      <w:r>
        <w:rPr>
          <w:rFonts w:ascii="Times" w:hAnsi="Times"/>
          <w:sz w:val="24"/>
        </w:rPr>
        <w:t xml:space="preserve">, </w:t>
      </w:r>
      <w:r>
        <w:rPr>
          <w:rFonts w:ascii="Times" w:hAnsi="Times"/>
          <w:sz w:val="24"/>
          <w:u w:val="single"/>
        </w:rPr>
        <w:t>(g)</w:t>
      </w:r>
      <w:r>
        <w:rPr>
          <w:rFonts w:ascii="Times" w:hAnsi="Times"/>
          <w:sz w:val="24"/>
        </w:rPr>
        <w:t xml:space="preserve"> and </w:t>
      </w:r>
      <w:r>
        <w:rPr>
          <w:rFonts w:ascii="Times" w:hAnsi="Times"/>
          <w:sz w:val="24"/>
          <w:u w:val="single"/>
        </w:rPr>
        <w:t>(h)</w:t>
      </w:r>
      <w:r>
        <w:rPr>
          <w:rFonts w:ascii="Times" w:hAnsi="Times"/>
          <w:sz w:val="24"/>
        </w:rPr>
        <w:t xml:space="preserve"> of the definition thereof and except that with respect to the conditions set forth in </w:t>
      </w:r>
      <w:r>
        <w:rPr>
          <w:rFonts w:ascii="Times" w:hAnsi="Times"/>
          <w:sz w:val="24"/>
          <w:u w:val="single"/>
        </w:rPr>
        <w:t>clause (a)</w:t>
      </w:r>
      <w:r>
        <w:rPr>
          <w:rFonts w:ascii="Times" w:hAnsi="Times"/>
          <w:sz w:val="24"/>
        </w:rPr>
        <w:t xml:space="preserve"> of the definition thereof, the references to any Borrower, Guarantor, or any 1031 Property Holder shall be deemed to refer to the borrower under such Mortgage Receivable); and (z) is not a Land Asset (it being understood that the Property securing such Mortgage Receivable may be an Asset Under Development); and (f) if such Mortgage Receivable is subject to a participation, Borrower maintains ownership of more than fifty percent (50%) of such Mortgage Receivable.</w:t>
      </w:r>
    </w:p>
    <w:p>
      <w:pPr>
        <w:pStyle w:val="TextBody"/>
        <w:bidi w:val="0"/>
        <w:spacing w:before="0" w:after="0"/>
        <w:ind w:left="0" w:right="0" w:firstLine="720"/>
        <w:jc w:val="both"/>
        <w:rPr/>
      </w:pPr>
      <w:r>
        <w:rPr/>
        <w:t>“</w:t>
      </w:r>
      <w:r>
        <w:rPr>
          <w:rFonts w:ascii="Times" w:hAnsi="Times"/>
          <w:i/>
          <w:sz w:val="24"/>
        </w:rPr>
        <w:t xml:space="preserve">Eligible PINE Common Equity” </w:t>
      </w:r>
      <w:r>
        <w:rPr>
          <w:rFonts w:ascii="Times" w:hAnsi="Times"/>
          <w:sz w:val="24"/>
        </w:rPr>
        <w:t xml:space="preserve">means, as of any Unencumbered Pool Determination Date, any PINE Common Equity that satisfies the following conditions (a) such PINE Common Equity is owned by a Borrower or a Material Subsidiary, and in the case of a Material Subsidiary at all times prior to the Investment Grade Release, such Material Subsidiary has provided an Additional Guarantor Supplement or other Guaranty to the Administrative Agent pursuant to Section 4.2 hereof; (b) neither such PINE Common Equity nor, if such PINE Common Equity is owned by a Material Subsidiary, the Borrower’s beneficial ownership interest in such Material Subsidiary, is subject to (i) a Lien other than Permitted Liens or (ii) any negative pledge (other than a negative pledge under the terms of the documentation evidencing Other Unsecured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Indebtedness); and (c) the Borrower, or if such PINE Common Equity is owned by a Material Subsidiary, such Material Subsidiary, has the unilateral right to sell, transfer or otherwise dispose of such PINE Common Equity and to create a Lien on such PINE Common Equity as security for Indebtedness for Borrowed Money.</w:t>
      </w:r>
    </w:p>
    <w:p>
      <w:pPr>
        <w:pStyle w:val="TextBody"/>
        <w:bidi w:val="0"/>
        <w:spacing w:before="0" w:after="240"/>
        <w:ind w:left="0" w:right="0" w:firstLine="720"/>
        <w:jc w:val="both"/>
        <w:rPr/>
      </w:pPr>
      <w:r>
        <w:rPr/>
        <w:t>“</w:t>
      </w:r>
      <w:r>
        <w:rPr>
          <w:rFonts w:ascii="Times" w:hAnsi="Times"/>
          <w:i/>
          <w:sz w:val="24"/>
        </w:rPr>
        <w:t>Eligible Property”</w:t>
      </w:r>
      <w:r>
        <w:rPr>
          <w:rFonts w:ascii="Times" w:hAnsi="Times"/>
          <w:sz w:val="24"/>
        </w:rPr>
        <w:t xml:space="preserve"> means, as of any Unencumbered Pool Determination Date, any Property owned by the Borrower, a Guarantor or a 1031 Property Holder which satisfies the following conditions: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(a)Is (i) a retail property, Retail Mixed-Use Property, or the New Mexico Office Property, and (ii) one hundred percent (100%) owned in fee simple or leased pursuant to an Acceptable Leasehold Interest, individually or collectively, by the Borrower, any Guarantor or any 1031 Property Holder;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(b)Is a Property located in any of the fifty (50) states of the United States or Washington, D.C.;</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65" w:name="_Hlk220519721"/>
      <w:bookmarkEnd w:id="65"/>
      <w:r>
        <w:rPr>
          <w:rFonts w:ascii="Times New Roman;Times;serif" w:hAnsi="Times New Roman;Times;serif"/>
          <w:sz w:val="24"/>
        </w:rPr>
        <w:t>If such Property is owned or leased pursuant to an Acceptable Leasehold Interest by the Borrower, (i) neither the Borrower’s beneficial ownership interest or leasehold interest, as applicable, in such Property nor the Property is subject to any Lien (other than Permitted Liens or Liens in favor of the Administrative Agent) or to any negative pledge (other than a negative pledge under the terms of the documentation evidencing Other Unsecured Indebtedness) and (ii) the Borrower has the unilateral right (including the absence of any restrictions in an Acceptable Leasehold Interest) to sell, transfer or otherwise dispose of such Property and to create a Lien on such Property as security for Indebtedness for Borrowed Money;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(d)If such Property is owned or leased pursuant to an Acceptable Leasehold Interest by a Material Subsidiary or 1031 Property Holder, (i) neither the Borrower’s beneficial ownership interest in such Material Subsidiary or 1031 Property Holder nor the Property or leasehold interest therein, as applicable, is subject to any Lien (other than Permitted Liens or Liens in favor of the Administrative Agent) or to any negative pledge, (ii) the Material Subsidiary or 1031 Property Holder has the unilateral right (including the absence of any restrictions in an Acceptable Leasehold Interest) to sell, transfer or otherwise dispose of such Property and to create a Lien on such Property as security for Indebtedness for Borrowed Money, and (iii) at all times prior the Investment Grade Release, the Material Subsidiary has provided an Additional Guarantor Supplement or other Guaranty to the Administrative Agent pursuant to Section 4.2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(e)That such Property, based on the Borrower’s or any Material Subsidiary’s actual knowledge, is free of all material structural defects or major architectural deficiencies, material title defects (other than Permitted Liens), material environmental conditions or other adverse matters which, individually or collectively, materially impair the value of such Property and, if the Property has an underground storage tank located thereon or any other material environmental concern as determined by the Administrative Agent, then the Administrative Agent shall have received satisfactory environmental assessments, including, to the extent requested, Phase I and Phase II reports, the results of which disclose environmental conditions which are satisfactory to the Administrative Agent in its sole discretion;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(f)With respect to such Property, any Tenant under a Significant Lease is not more than sixty (60) days past due with respect to any monthly rent payment obligations under such Lease;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(g)For each such Property, the Borrower, to the extent not previously provided, shall have delivered to the Administrative Agent a copy, certified as true and correct by the Borrower, of each of the following: if the Property Owner is not the Borrower, the Property Owner’s articles of incorporation, by-laws, partnership agreements, operating agreements, as applicable, and certificates of existence, good standing and authority to do business from each appropriate state authority, and partnership, corporate or limited liability company, as applicable, authorizations authorizing the execution, delivery and performance of the Additional Guarantor Supplement all certified to be true and complete by a duly authorized officer of such Property Owner;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(h)The Property is not an Asset Under Development or a Land Asset.</w:t>
      </w:r>
    </w:p>
    <w:p>
      <w:pPr>
        <w:pStyle w:val="TextBody"/>
        <w:bidi w:val="0"/>
        <w:spacing w:before="0" w:after="240"/>
        <w:ind w:left="0" w:right="0" w:firstLine="720"/>
        <w:jc w:val="both"/>
        <w:rPr/>
      </w:pPr>
      <w:r>
        <w:rPr/>
        <w:t>“</w:t>
      </w:r>
      <w:r>
        <w:rPr>
          <w:rFonts w:ascii="Times" w:hAnsi="Times"/>
          <w:i/>
          <w:sz w:val="24"/>
        </w:rPr>
        <w:t xml:space="preserve">Environmental Claim” </w:t>
      </w:r>
      <w:r>
        <w:rPr>
          <w:rFonts w:ascii="Times" w:hAnsi="Times"/>
          <w:sz w:val="24"/>
        </w:rPr>
        <w:t>means any investigation, notice, violation, demand, allegation, action, suit, injunction, judgment, order, consent decree, penalty, fine, lien, pro</w:t>
        <w:softHyphen/>
        <w:t>ceeding or claim (whether administrative, judicial or private in nature) arising (a) pursuant to, or in connection with an actual or alleged violation of, any Environmental Law, (b) in connection with any Hazardous Material, (c) from any abatement, removal, remedial, cor</w:t>
        <w:softHyphen/>
        <w:t>rective or response action in connection with a Hazardous Material, Environmental Law or order of a governmental authority or (d) from any actual or alleged damage, injury, threat or harm to health, safety, natural resources or the environment.</w:t>
      </w:r>
    </w:p>
    <w:p>
      <w:pPr>
        <w:pStyle w:val="TextBody"/>
        <w:bidi w:val="0"/>
        <w:spacing w:before="0" w:after="240"/>
        <w:ind w:left="0" w:right="0" w:firstLine="720"/>
        <w:jc w:val="both"/>
        <w:rPr/>
      </w:pPr>
      <w:r>
        <w:rPr/>
        <w:t>“</w:t>
      </w:r>
      <w:r>
        <w:rPr>
          <w:rFonts w:ascii="Times" w:hAnsi="Times"/>
          <w:i/>
          <w:sz w:val="24"/>
        </w:rPr>
        <w:t>Environmental Law”</w:t>
      </w:r>
      <w:r>
        <w:rPr>
          <w:rFonts w:ascii="Times" w:hAnsi="Times"/>
          <w:sz w:val="24"/>
        </w:rPr>
        <w:t xml:space="preserve"> means any current or future Legal Requirement pertaining to (a) the protection of health, safety and the indoor or outdoor environment, (b) the conservation, management or use of natural resources and wildlife, (c) the protection or use of surface water or groundwater, (d) the management, manufacture, possession, presence, use, generation, transportation, treatment, storage, disposal, Release, threatened Release, abatement, removal, remediation or handling of, or exposure to, any Hazardous Material or (e) pollution (including any Release to air, land, surface water or groundwater), and any amendment, rule, regulation, order or directive issued thereunder.</w:t>
      </w:r>
    </w:p>
    <w:p>
      <w:pPr>
        <w:pStyle w:val="TextBody"/>
        <w:bidi w:val="0"/>
        <w:spacing w:before="0" w:after="240"/>
        <w:ind w:left="0" w:right="0" w:firstLine="720"/>
        <w:jc w:val="both"/>
        <w:rPr/>
      </w:pPr>
      <w:r>
        <w:rPr/>
        <w:t>“</w:t>
      </w:r>
      <w:r>
        <w:rPr>
          <w:rFonts w:ascii="Times" w:hAnsi="Times"/>
          <w:i/>
          <w:sz w:val="24"/>
        </w:rPr>
        <w:t>Equity Interests”</w:t>
      </w:r>
      <w:r>
        <w:rPr>
          <w:rFonts w:ascii="Times" w:hAnsi="Times"/>
          <w:sz w:val="24"/>
        </w:rPr>
        <w:t xml:space="preserve">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pStyle w:val="TextBody"/>
        <w:bidi w:val="0"/>
        <w:spacing w:before="0" w:after="240"/>
        <w:ind w:left="0" w:right="0" w:firstLine="720"/>
        <w:jc w:val="both"/>
        <w:rPr/>
      </w:pPr>
      <w:r>
        <w:rPr/>
        <w:t>“</w:t>
      </w:r>
      <w:r>
        <w:rPr>
          <w:rFonts w:ascii="Times" w:hAnsi="Times"/>
          <w:i/>
          <w:sz w:val="24"/>
        </w:rPr>
        <w:t>ERISA”</w:t>
      </w:r>
      <w:r>
        <w:rPr>
          <w:rFonts w:ascii="Times" w:hAnsi="Times"/>
          <w:sz w:val="24"/>
        </w:rPr>
        <w:t xml:space="preserve"> means the Employee Retirement Income Security Act of 1974, as amended, or any successor statute thereto.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r>
        <w:rPr>
          <w:rFonts w:ascii="Times New Roman;Times;serif" w:hAnsi="Times New Roman;Times;serif"/>
          <w:i/>
          <w:sz w:val="24"/>
        </w:rPr>
        <w:t>Erroneous Payment</w:t>
      </w:r>
      <w:r>
        <w:rPr>
          <w:rFonts w:ascii="Times New Roman;Times;serif" w:hAnsi="Times New Roman;Times;serif"/>
          <w:sz w:val="24"/>
        </w:rPr>
        <w:t>” has the meaning assigned to such term in Section 12.31.</w:t>
      </w:r>
    </w:p>
    <w:p>
      <w:pPr>
        <w:pStyle w:val="TextBody"/>
        <w:bidi w:val="0"/>
        <w:spacing w:before="0" w:after="240"/>
        <w:ind w:left="0" w:right="0" w:firstLine="720"/>
        <w:jc w:val="left"/>
        <w:rPr/>
      </w:pPr>
      <w:r>
        <w:rPr/>
        <w:t>“</w:t>
      </w:r>
      <w:r>
        <w:rPr>
          <w:rFonts w:ascii="Times New Roman;Times;serif" w:hAnsi="Times New Roman;Times;serif"/>
          <w:i/>
          <w:sz w:val="24"/>
        </w:rPr>
        <w:t>Erroneous Payment Deficiency Assignment</w:t>
      </w:r>
      <w:r>
        <w:rPr>
          <w:rFonts w:ascii="Times New Roman;Times;serif" w:hAnsi="Times New Roman;Times;serif"/>
          <w:sz w:val="24"/>
        </w:rPr>
        <w:t>” has the meaning assigned to such term in Section 12.31.</w:t>
      </w:r>
    </w:p>
    <w:p>
      <w:pPr>
        <w:pStyle w:val="TextBody"/>
        <w:bidi w:val="0"/>
        <w:spacing w:before="0" w:after="240"/>
        <w:ind w:left="0" w:right="0" w:firstLine="720"/>
        <w:jc w:val="left"/>
        <w:rPr/>
      </w:pPr>
      <w:r>
        <w:rPr/>
        <w:t>“</w:t>
      </w:r>
      <w:r>
        <w:rPr>
          <w:rFonts w:ascii="Times New Roman;Times;serif" w:hAnsi="Times New Roman;Times;serif"/>
          <w:i/>
          <w:sz w:val="24"/>
        </w:rPr>
        <w:t>Erroneous Payment Impacted Class</w:t>
      </w:r>
      <w:r>
        <w:rPr>
          <w:rFonts w:ascii="Times New Roman;Times;serif" w:hAnsi="Times New Roman;Times;serif"/>
          <w:sz w:val="24"/>
        </w:rPr>
        <w:t>” has the meaning assigned to such term in Section 12.31(d).</w:t>
      </w:r>
    </w:p>
    <w:p>
      <w:pPr>
        <w:pStyle w:val="TextBody"/>
        <w:bidi w:val="0"/>
        <w:spacing w:before="0" w:after="240"/>
        <w:ind w:left="0" w:right="0" w:firstLine="720"/>
        <w:jc w:val="left"/>
        <w:rPr/>
      </w:pPr>
      <w:r>
        <w:rPr/>
        <w:t>“</w:t>
      </w:r>
      <w:r>
        <w:rPr>
          <w:rFonts w:ascii="Times New Roman;Times;serif" w:hAnsi="Times New Roman;Times;serif"/>
          <w:i/>
          <w:sz w:val="24"/>
        </w:rPr>
        <w:t>Erroneous Payment Return Deficiency</w:t>
      </w:r>
      <w:r>
        <w:rPr>
          <w:rFonts w:ascii="Times New Roman;Times;serif" w:hAnsi="Times New Roman;Times;serif"/>
          <w:sz w:val="24"/>
        </w:rPr>
        <w:t>” has the meaning assigned to such term in Section 12.31(d).</w:t>
      </w:r>
    </w:p>
    <w:p>
      <w:pPr>
        <w:pStyle w:val="TextBody"/>
        <w:bidi w:val="0"/>
        <w:spacing w:before="0" w:after="240"/>
        <w:ind w:left="0" w:right="0" w:firstLine="720"/>
        <w:jc w:val="left"/>
        <w:rPr/>
      </w:pPr>
      <w:r>
        <w:rPr/>
        <w:t>“</w:t>
      </w:r>
      <w:r>
        <w:rPr>
          <w:rFonts w:ascii="Times New Roman;Times;serif" w:hAnsi="Times New Roman;Times;serif"/>
          <w:i/>
          <w:sz w:val="24"/>
        </w:rPr>
        <w:t>Erroneous Payment Subrogation Rights</w:t>
      </w:r>
      <w:r>
        <w:rPr>
          <w:rFonts w:ascii="Times New Roman;Times;serif" w:hAnsi="Times New Roman;Times;serif"/>
          <w:sz w:val="24"/>
        </w:rPr>
        <w:t>” has the meaning assigned to such term in Section 12.31(d).</w:t>
      </w:r>
    </w:p>
    <w:p>
      <w:pPr>
        <w:pStyle w:val="TextBody"/>
        <w:bidi w:val="0"/>
        <w:spacing w:before="0" w:after="240"/>
        <w:ind w:left="0" w:right="0" w:firstLine="720"/>
        <w:jc w:val="both"/>
        <w:rPr/>
      </w:pPr>
      <w:r>
        <w:rPr/>
        <w:t>“</w:t>
      </w:r>
      <w:r>
        <w:rPr>
          <w:rFonts w:ascii="Times" w:hAnsi="Times"/>
          <w:i/>
          <w:sz w:val="24"/>
        </w:rPr>
        <w:t>EU Bail-In Legislation Schedule”</w:t>
      </w:r>
      <w:r>
        <w:rPr>
          <w:rFonts w:ascii="Times" w:hAnsi="Times"/>
          <w:sz w:val="24"/>
        </w:rPr>
        <w:t xml:space="preserve"> means the EU Bail-In Legislation Schedule published by the Loan Market Association (or any successor Person), as in effect from time to time. </w:t>
      </w:r>
    </w:p>
    <w:p>
      <w:pPr>
        <w:pStyle w:val="TextBody"/>
        <w:bidi w:val="0"/>
        <w:spacing w:before="0" w:after="240"/>
        <w:ind w:left="0" w:right="0" w:firstLine="720"/>
        <w:jc w:val="both"/>
        <w:rPr/>
      </w:pPr>
      <w:r>
        <w:rPr/>
        <w:t>“</w:t>
      </w:r>
      <w:r>
        <w:rPr>
          <w:rFonts w:ascii="Times" w:hAnsi="Times"/>
          <w:i/>
          <w:sz w:val="24"/>
        </w:rPr>
        <w:t>Event of Default”</w:t>
      </w:r>
      <w:r>
        <w:rPr>
          <w:rFonts w:ascii="Times" w:hAnsi="Times"/>
          <w:sz w:val="24"/>
        </w:rPr>
        <w:t xml:space="preserve"> means any event or condition identified as such in Section 9.1 hereof.</w:t>
      </w:r>
    </w:p>
    <w:p>
      <w:pPr>
        <w:pStyle w:val="TextBody"/>
        <w:bidi w:val="0"/>
        <w:spacing w:before="0" w:after="240"/>
        <w:ind w:left="0" w:right="0" w:firstLine="720"/>
        <w:jc w:val="both"/>
        <w:rPr/>
      </w:pPr>
      <w:r>
        <w:rPr/>
        <w:t>“</w:t>
      </w:r>
      <w:r>
        <w:rPr>
          <w:rFonts w:ascii="Times" w:hAnsi="Times"/>
          <w:i/>
          <w:sz w:val="24"/>
        </w:rPr>
        <w:t>Excluded Swap Obligation</w:t>
      </w:r>
      <w:r>
        <w:rPr>
          <w:rFonts w:ascii="Times" w:hAnsi="Times"/>
          <w:sz w:val="24"/>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guarantee of such Guarantor or the grant of such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240"/>
        <w:ind w:left="0" w:right="0" w:firstLine="720"/>
        <w:jc w:val="both"/>
        <w:rPr/>
      </w:pPr>
      <w:r>
        <w:rPr/>
        <w:t>“</w:t>
      </w:r>
      <w:r>
        <w:rPr>
          <w:rFonts w:ascii="Times" w:hAnsi="Times"/>
          <w:i/>
          <w:sz w:val="24"/>
        </w:rPr>
        <w:t>Excluded Taxes”</w:t>
      </w:r>
      <w:r>
        <w:rPr>
          <w:rFonts w:ascii="Times" w:hAnsi="Times"/>
          <w:sz w:val="24"/>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1.13 hereof) or (ii) such Lender changes its lending office, except in each case to the extent that, pursuant to Section 12.1 amounts with respect to such Taxes were payable either to such Lender’s assignor immediately before such Lender became a party hereto or to such Lender immediately before it changed its lending office, (c) Taxes attributable to such Recipient’s failure to comply with Section 12.1(b) or Section 12.1(d), and (d) any U.S. federal withholding Taxes imposed under FATCA.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Existing BMO Agreement</w:t>
      </w:r>
      <w:r>
        <w:rPr>
          <w:rFonts w:ascii="Times" w:hAnsi="Times"/>
          <w:sz w:val="24"/>
        </w:rPr>
        <w:t>” means that certain Second Amended and Restated Credit Agreement dated as of September 7, 2017, among Borrower, Bank of Montreal, a syndicate of lenders and the other parties party thereto, as amended by that certain First Amendment to Second Amended and Restated Credit Agreement dated May 14, 2018, as amended by that certain Second Amendment to Second Amended and Restated Credit Agreement dated as of May 24, 2019, as amended by that certain Third Amendment to Second Amended and Restated Credit Agreement dated as of November 26, 2019, as amended by that certain Fourth Amendment to Second Amended and Restated Credit Agreement dated as of July 1, 2020, as amended by that certain Fifth Amendment to Second Amended and Restated Credit Agreement and Consent dated as of November 12, 2020, as amended by that certain Sixth Amendment to Second Amended and Restated Credit Agreement and Joinder dated as of March 10, 2021, as amended by that certain Seventh Amendment to Second Amended and Restated Credit Agreement and Joinder dated as of November 5, 2021, as amended by that certain Eighth Amendment to Second Amended and Restated Credit Agreement and Joinder dated as of September 20, 2022, as amended by that certain Ninth Amendment to Second Amended and Restated Credit Agreement, Release and Joinder dated as of December 20, 2023, as amended by that certain Tenth Amendment to Second Amended and Restated Credit Agreement, Release and Joinder dated as of December 20, 2024, and as may be further amended, restated, supplemented or otherwise modified.</w:t>
      </w:r>
    </w:p>
    <w:p>
      <w:pPr>
        <w:pStyle w:val="TextBody"/>
        <w:bidi w:val="0"/>
        <w:spacing w:before="0" w:after="240"/>
        <w:ind w:left="0" w:right="0" w:firstLine="720"/>
        <w:jc w:val="both"/>
        <w:rPr/>
      </w:pPr>
      <w:r>
        <w:rPr/>
        <w:t>“</w:t>
      </w:r>
      <w:r>
        <w:rPr>
          <w:rFonts w:ascii="Times" w:hAnsi="Times"/>
          <w:i/>
          <w:sz w:val="24"/>
        </w:rPr>
        <w:t>Extension Fee”</w:t>
      </w:r>
      <w:r>
        <w:rPr>
          <w:rFonts w:ascii="Times" w:hAnsi="Times"/>
          <w:sz w:val="24"/>
        </w:rPr>
        <w:t xml:space="preserve"> means an extension fee payable by the Borrower for each six-month extension pursuant to Section 1.16 hereto in an amount equal to 0.0625% of the Revolving Credit Commitments then in effect.</w:t>
      </w:r>
    </w:p>
    <w:p>
      <w:pPr>
        <w:pStyle w:val="TextBody"/>
        <w:bidi w:val="0"/>
        <w:spacing w:before="0" w:after="240"/>
        <w:ind w:left="0" w:right="0" w:firstLine="720"/>
        <w:jc w:val="both"/>
        <w:rPr/>
      </w:pPr>
      <w:r>
        <w:rPr/>
        <w:t>“</w:t>
      </w:r>
      <w:r>
        <w:rPr>
          <w:rFonts w:ascii="Times" w:hAnsi="Times"/>
          <w:i/>
          <w:sz w:val="24"/>
        </w:rPr>
        <w:t>Facility</w:t>
      </w:r>
      <w:r>
        <w:rPr>
          <w:rFonts w:ascii="Times" w:hAnsi="Times"/>
          <w:sz w:val="24"/>
        </w:rPr>
        <w:t>” means the Revolving Facility and each Term Facility, as the context may require.</w:t>
      </w:r>
    </w:p>
    <w:p>
      <w:pPr>
        <w:pStyle w:val="TextBody"/>
        <w:bidi w:val="0"/>
        <w:spacing w:before="0" w:after="0"/>
        <w:ind w:left="0" w:right="0" w:firstLine="720"/>
        <w:jc w:val="both"/>
        <w:rPr/>
      </w:pPr>
      <w:r>
        <w:rPr/>
        <w:t>“</w:t>
      </w:r>
      <w:r>
        <w:rPr>
          <w:rFonts w:ascii="Times New Roman;Times;serif" w:hAnsi="Times New Roman;Times;serif"/>
          <w:i/>
          <w:sz w:val="22"/>
        </w:rPr>
        <w:t>Facility Fee Rate</w:t>
      </w:r>
      <w:r>
        <w:rPr>
          <w:rFonts w:ascii="Times New Roman;Times;serif" w:hAnsi="Times New Roman;Times;serif"/>
          <w:sz w:val="22"/>
        </w:rPr>
        <w:t>” means:</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w:hAnsi="Times"/>
          <w:sz w:val="22"/>
        </w:rPr>
      </w:pPr>
      <w:r>
        <w:rPr>
          <w:rFonts w:ascii="Times" w:hAnsi="Times"/>
          <w:sz w:val="24"/>
        </w:rPr>
        <w:t xml:space="preserve">(x) prior to the Investment Grade Rating Date, from one Pricing Date to the next, </w:t>
      </w:r>
      <w:r>
        <w:rPr>
          <w:rFonts w:ascii="Times" w:hAnsi="Times"/>
          <w:sz w:val="22"/>
        </w:rPr>
        <w:t>the percentage set forth in the table below corresponding to the Level at which the “Applicable Margin” is determined in accordance with the definition thereof</w:t>
      </w:r>
      <w:r>
        <w:rPr>
          <w:rFonts w:ascii="Times" w:hAnsi="Times"/>
          <w:sz w:val="24"/>
        </w:rPr>
        <w:t>:</w:t>
      </w:r>
    </w:p>
    <w:tbl>
      <w:tblPr>
        <w:tblW w:w="2912" w:type="dxa"/>
        <w:jc w:val="left"/>
        <w:tblInd w:w="0" w:type="dxa"/>
        <w:tblLayout w:type="fixed"/>
        <w:tblCellMar>
          <w:top w:w="0" w:type="dxa"/>
          <w:left w:w="0" w:type="dxa"/>
          <w:bottom w:w="0" w:type="dxa"/>
          <w:right w:w="0" w:type="dxa"/>
        </w:tblCellMar>
      </w:tblPr>
      <w:tblGrid>
        <w:gridCol w:w="766"/>
        <w:gridCol w:w="2146"/>
      </w:tblGrid>
      <w:tr>
        <w:trPr/>
        <w:tc>
          <w:tcPr>
            <w:tcW w:w="766"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Level</w:t>
            </w:r>
          </w:p>
        </w:tc>
        <w:tc>
          <w:tcPr>
            <w:tcW w:w="2146" w:type="dxa"/>
            <w:tcBorders/>
            <w:vAlign w:val="center"/>
          </w:tcPr>
          <w:p>
            <w:pPr>
              <w:pStyle w:val="TableHeading"/>
              <w:bidi w:val="0"/>
              <w:spacing w:before="0" w:after="120"/>
              <w:ind w:left="0" w:right="0" w:hanging="0"/>
              <w:jc w:val="both"/>
              <w:rPr>
                <w:rFonts w:ascii="Times" w:hAnsi="Times"/>
                <w:b w:val="false"/>
                <w:smallCaps/>
                <w:sz w:val="24"/>
              </w:rPr>
            </w:pPr>
            <w:r>
              <w:rPr>
                <w:rFonts w:ascii="Times" w:hAnsi="Times"/>
                <w:b w:val="false"/>
                <w:smallCaps/>
                <w:sz w:val="24"/>
              </w:rPr>
              <w:t>Facility Fee Rate:</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0.15%</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II</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0.15%</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III</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0.20%</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IV</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0.20%</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V</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0.30%</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VI</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0.30%</w:t>
            </w:r>
          </w:p>
        </w:tc>
      </w:tr>
      <w:tr>
        <w:trPr/>
        <w:tc>
          <w:tcPr>
            <w:tcW w:w="76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VII</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0.30%</w:t>
            </w:r>
          </w:p>
        </w:tc>
      </w:tr>
    </w:tbl>
    <w:p>
      <w:pPr>
        <w:pStyle w:val="TextBody"/>
        <w:bidi w:val="0"/>
        <w:spacing w:before="0" w:after="240"/>
        <w:ind w:left="0" w:right="0" w:hanging="0"/>
        <w:jc w:val="both"/>
        <w:rPr>
          <w:rFonts w:ascii="Times" w:hAnsi="Times"/>
          <w:sz w:val="24"/>
        </w:rPr>
      </w:pPr>
      <w:r>
        <w:rPr>
          <w:rFonts w:ascii="Times" w:hAnsi="Times"/>
          <w:sz w:val="24"/>
        </w:rPr>
        <w:t xml:space="preserve">(y) On, and at all times after, the Investment Grade Rating Date, </w:t>
      </w:r>
      <w:r>
        <w:rPr>
          <w:rFonts w:ascii="Times" w:hAnsi="Times"/>
          <w:sz w:val="22"/>
        </w:rPr>
        <w:t>the percentage set forth in the table below corresponding to the Rating at which the “Applicable Margin” is determined in accordance with the definition thereof</w:t>
      </w:r>
      <w:r>
        <w:rPr>
          <w:rFonts w:ascii="Times" w:hAnsi="Times"/>
          <w:sz w:val="24"/>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762" w:type="dxa"/>
        <w:jc w:val="left"/>
        <w:tblInd w:w="0" w:type="dxa"/>
        <w:tblLayout w:type="fixed"/>
        <w:tblCellMar>
          <w:top w:w="0" w:type="dxa"/>
          <w:left w:w="0" w:type="dxa"/>
          <w:bottom w:w="0" w:type="dxa"/>
          <w:right w:w="0" w:type="dxa"/>
        </w:tblCellMar>
      </w:tblPr>
      <w:tblGrid>
        <w:gridCol w:w="3616"/>
        <w:gridCol w:w="2146"/>
      </w:tblGrid>
      <w:tr>
        <w:trPr/>
        <w:tc>
          <w:tcPr>
            <w:tcW w:w="3616" w:type="dxa"/>
            <w:tcBorders/>
            <w:vAlign w:val="center"/>
          </w:tcPr>
          <w:p>
            <w:pPr>
              <w:pStyle w:val="TableHeading"/>
              <w:bidi w:val="0"/>
              <w:spacing w:before="0" w:after="120"/>
              <w:ind w:left="0" w:right="0" w:hanging="0"/>
              <w:jc w:val="center"/>
              <w:rPr>
                <w:rFonts w:ascii="Times" w:hAnsi="Times"/>
                <w:b w:val="false"/>
                <w:smallCaps/>
                <w:sz w:val="24"/>
              </w:rPr>
            </w:pPr>
            <w:r>
              <w:rPr>
                <w:rFonts w:ascii="Times" w:hAnsi="Times"/>
                <w:b w:val="false"/>
                <w:smallCaps/>
                <w:sz w:val="24"/>
              </w:rPr>
              <w:t>Rating</w:t>
            </w:r>
          </w:p>
        </w:tc>
        <w:tc>
          <w:tcPr>
            <w:tcW w:w="2146" w:type="dxa"/>
            <w:tcBorders/>
            <w:vAlign w:val="center"/>
          </w:tcPr>
          <w:p>
            <w:pPr>
              <w:pStyle w:val="TableHeading"/>
              <w:bidi w:val="0"/>
              <w:spacing w:before="0" w:after="120"/>
              <w:ind w:left="0" w:right="0" w:hanging="0"/>
              <w:jc w:val="both"/>
              <w:rPr>
                <w:rFonts w:ascii="Times" w:hAnsi="Times"/>
                <w:b w:val="false"/>
                <w:smallCaps/>
                <w:sz w:val="24"/>
              </w:rPr>
            </w:pPr>
            <w:r>
              <w:rPr>
                <w:rFonts w:ascii="Times" w:hAnsi="Times"/>
                <w:b w:val="false"/>
                <w:smallCaps/>
                <w:sz w:val="24"/>
              </w:rPr>
              <w:t>Facility Fee Rate:</w:t>
            </w:r>
          </w:p>
        </w:tc>
      </w:tr>
      <w:tr>
        <w:trPr/>
        <w:tc>
          <w:tcPr>
            <w:tcW w:w="3616" w:type="dxa"/>
            <w:tcBorders/>
            <w:vAlign w:val="center"/>
          </w:tcPr>
          <w:p>
            <w:pPr>
              <w:pStyle w:val="TableContents"/>
              <w:bidi w:val="0"/>
              <w:spacing w:before="0" w:after="120"/>
              <w:ind w:left="0" w:right="0" w:hanging="0"/>
              <w:jc w:val="left"/>
              <w:rPr>
                <w:rFonts w:ascii="Times" w:hAnsi="Times"/>
                <w:sz w:val="24"/>
              </w:rPr>
            </w:pPr>
            <w:r>
              <w:rPr>
                <w:rFonts w:ascii="Times" w:hAnsi="Times"/>
                <w:sz w:val="24"/>
              </w:rPr>
              <w:t>A- / A3 or higher</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0.125%</w:t>
            </w:r>
          </w:p>
        </w:tc>
      </w:tr>
      <w:tr>
        <w:trPr/>
        <w:tc>
          <w:tcPr>
            <w:tcW w:w="3616" w:type="dxa"/>
            <w:tcBorders/>
            <w:vAlign w:val="center"/>
          </w:tcPr>
          <w:p>
            <w:pPr>
              <w:pStyle w:val="TableContents"/>
              <w:bidi w:val="0"/>
              <w:spacing w:before="0" w:after="120"/>
              <w:ind w:left="0" w:right="0" w:hanging="0"/>
              <w:jc w:val="left"/>
              <w:rPr>
                <w:rFonts w:ascii="Times" w:hAnsi="Times"/>
                <w:sz w:val="24"/>
              </w:rPr>
            </w:pPr>
            <w:r>
              <w:rPr>
                <w:rFonts w:ascii="Times" w:hAnsi="Times"/>
                <w:sz w:val="24"/>
              </w:rPr>
              <w:t>BBB+ / Baa1</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0.15%</w:t>
            </w:r>
          </w:p>
        </w:tc>
      </w:tr>
      <w:tr>
        <w:trPr/>
        <w:tc>
          <w:tcPr>
            <w:tcW w:w="3616" w:type="dxa"/>
            <w:tcBorders/>
            <w:vAlign w:val="center"/>
          </w:tcPr>
          <w:p>
            <w:pPr>
              <w:pStyle w:val="TableContents"/>
              <w:bidi w:val="0"/>
              <w:spacing w:before="0" w:after="120"/>
              <w:ind w:left="0" w:right="0" w:hanging="0"/>
              <w:jc w:val="left"/>
              <w:rPr>
                <w:rFonts w:ascii="Times" w:hAnsi="Times"/>
                <w:sz w:val="24"/>
              </w:rPr>
            </w:pPr>
            <w:r>
              <w:rPr>
                <w:rFonts w:ascii="Times" w:hAnsi="Times"/>
                <w:sz w:val="24"/>
              </w:rPr>
              <w:t>BBB / Baa2</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0.20%</w:t>
            </w:r>
          </w:p>
        </w:tc>
      </w:tr>
      <w:tr>
        <w:trPr/>
        <w:tc>
          <w:tcPr>
            <w:tcW w:w="3616" w:type="dxa"/>
            <w:tcBorders/>
            <w:vAlign w:val="center"/>
          </w:tcPr>
          <w:p>
            <w:pPr>
              <w:pStyle w:val="TableContents"/>
              <w:bidi w:val="0"/>
              <w:spacing w:before="0" w:after="120"/>
              <w:ind w:left="0" w:right="0" w:hanging="0"/>
              <w:jc w:val="left"/>
              <w:rPr>
                <w:rFonts w:ascii="Times" w:hAnsi="Times"/>
                <w:sz w:val="24"/>
              </w:rPr>
            </w:pPr>
            <w:r>
              <w:rPr>
                <w:rFonts w:ascii="Times" w:hAnsi="Times"/>
                <w:sz w:val="24"/>
              </w:rPr>
              <w:t>BBB- / Baa3</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0.25%</w:t>
            </w:r>
          </w:p>
        </w:tc>
      </w:tr>
      <w:tr>
        <w:trPr/>
        <w:tc>
          <w:tcPr>
            <w:tcW w:w="3616" w:type="dxa"/>
            <w:tcBorders/>
            <w:vAlign w:val="center"/>
          </w:tcPr>
          <w:p>
            <w:pPr>
              <w:pStyle w:val="TableContents"/>
              <w:bidi w:val="0"/>
              <w:spacing w:before="0" w:after="120"/>
              <w:ind w:left="0" w:right="0" w:hanging="0"/>
              <w:jc w:val="left"/>
              <w:rPr>
                <w:rFonts w:ascii="Times" w:hAnsi="Times"/>
                <w:sz w:val="24"/>
              </w:rPr>
            </w:pPr>
            <w:r>
              <w:rPr>
                <w:rFonts w:ascii="Times" w:hAnsi="Times"/>
                <w:sz w:val="24"/>
              </w:rPr>
              <w:t>Less than BBB- / Baa3 (or not rated)</w:t>
            </w:r>
          </w:p>
        </w:tc>
        <w:tc>
          <w:tcPr>
            <w:tcW w:w="2146" w:type="dxa"/>
            <w:tcBorders/>
            <w:vAlign w:val="center"/>
          </w:tcPr>
          <w:p>
            <w:pPr>
              <w:pStyle w:val="TableContents"/>
              <w:bidi w:val="0"/>
              <w:spacing w:before="0" w:after="120"/>
              <w:ind w:left="0" w:right="0" w:hanging="0"/>
              <w:jc w:val="center"/>
              <w:rPr>
                <w:rFonts w:ascii="Times" w:hAnsi="Times"/>
                <w:sz w:val="24"/>
              </w:rPr>
            </w:pPr>
            <w:r>
              <w:rPr>
                <w:rFonts w:ascii="Times" w:hAnsi="Times"/>
                <w:sz w:val="24"/>
              </w:rPr>
              <w:t>0.30%</w:t>
            </w:r>
          </w:p>
        </w:tc>
      </w:tr>
    </w:tbl>
    <w:p>
      <w:pPr>
        <w:pStyle w:val="TextBody"/>
        <w:bidi w:val="0"/>
        <w:spacing w:before="0" w:after="240"/>
        <w:ind w:left="0" w:right="0" w:firstLine="720"/>
        <w:jc w:val="both"/>
        <w:rPr/>
      </w:pPr>
      <w:r>
        <w:rPr/>
        <w:t>“</w:t>
      </w:r>
      <w:r>
        <w:rPr>
          <w:rFonts w:ascii="Times" w:hAnsi="Times"/>
          <w:i/>
          <w:sz w:val="24"/>
        </w:rPr>
        <w:t>FATCA”</w:t>
      </w:r>
      <w:r>
        <w:rPr>
          <w:rFonts w:ascii="Times" w:hAnsi="Times"/>
          <w:sz w:val="24"/>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w:t>
      </w:r>
    </w:p>
    <w:p>
      <w:pPr>
        <w:pStyle w:val="TextBody"/>
        <w:bidi w:val="0"/>
        <w:spacing w:before="0" w:after="240"/>
        <w:ind w:left="0" w:right="0" w:firstLine="720"/>
        <w:jc w:val="both"/>
        <w:rPr/>
      </w:pPr>
      <w:r>
        <w:rPr/>
        <w:t>“</w:t>
      </w:r>
      <w:r>
        <w:rPr>
          <w:rFonts w:ascii="Times" w:hAnsi="Times"/>
          <w:i/>
          <w:sz w:val="24"/>
        </w:rPr>
        <w:t>Federal Funds Rate”</w:t>
      </w:r>
      <w:r>
        <w:rPr>
          <w:rFonts w:ascii="Times" w:hAnsi="Times"/>
          <w:sz w:val="24"/>
        </w:rPr>
        <w:t xml:space="preserve"> means, for any day, the rate per annum (rounded upward to the nearest one one-hundredth of one percent (1/100 of 1%)) announced by the Federal Reserve Bank of Cleveland on such day as being the weighted average of the rates on  overnight federal  funds  transactions arranged by federal funds brokers on the previous trading day; </w:t>
      </w:r>
      <w:r>
        <w:rPr>
          <w:rFonts w:ascii="Times" w:hAnsi="Times"/>
          <w:i/>
          <w:sz w:val="24"/>
        </w:rPr>
        <w:t>provided</w:t>
      </w:r>
      <w:r>
        <w:rPr>
          <w:rFonts w:ascii="Times" w:hAnsi="Times"/>
          <w:sz w:val="24"/>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 </w:t>
      </w:r>
      <w:r>
        <w:rPr>
          <w:rFonts w:ascii="Times" w:hAnsi="Times"/>
          <w:i/>
          <w:sz w:val="24"/>
        </w:rPr>
        <w:t>provided</w:t>
      </w:r>
      <w:r>
        <w:rPr>
          <w:rFonts w:ascii="Times" w:hAnsi="Times"/>
          <w:sz w:val="24"/>
        </w:rPr>
        <w:t xml:space="preserve"> that in no event shall the Federal Funds Rate be less than 0.00%. </w:t>
      </w:r>
    </w:p>
    <w:p>
      <w:pPr>
        <w:pStyle w:val="TextBody"/>
        <w:bidi w:val="0"/>
        <w:spacing w:before="0" w:after="240"/>
        <w:ind w:left="0" w:right="0" w:firstLine="720"/>
        <w:jc w:val="both"/>
        <w:rPr/>
      </w:pPr>
      <w:r>
        <w:rPr/>
        <w:t>“</w:t>
      </w:r>
      <w:r>
        <w:rPr>
          <w:rFonts w:ascii="Times" w:hAnsi="Times"/>
          <w:i/>
          <w:sz w:val="24"/>
        </w:rPr>
        <w:t>Fee Letters</w:t>
      </w:r>
      <w:r>
        <w:rPr>
          <w:rFonts w:ascii="Times" w:hAnsi="Times"/>
          <w:sz w:val="24"/>
        </w:rPr>
        <w:t>” means (i) the letter agreement, dated September 22, 2026, among the Borrower, KBCM and KeyBank, and (ii) each other fee letter agreement entered into from time to time by and among the Borrower, the Administrative Agent and/or an Arranger with respect to the Facilities.</w:t>
      </w:r>
    </w:p>
    <w:p>
      <w:pPr>
        <w:pStyle w:val="TextBody"/>
        <w:bidi w:val="0"/>
        <w:spacing w:before="0" w:after="240"/>
        <w:ind w:left="0" w:right="0" w:firstLine="720"/>
        <w:jc w:val="both"/>
        <w:rPr>
          <w:rFonts w:ascii="Times" w:hAnsi="Times"/>
          <w:sz w:val="24"/>
        </w:rPr>
      </w:pPr>
      <w:bookmarkStart w:id="66" w:name="_Hlk241151227"/>
      <w:bookmarkEnd w:id="66"/>
      <w:r>
        <w:rPr>
          <w:rFonts w:ascii="Times" w:hAnsi="Times"/>
          <w:i/>
          <w:sz w:val="24"/>
        </w:rPr>
        <w:t xml:space="preserve">"First Mortgage Loan” </w:t>
      </w:r>
      <w:r>
        <w:rPr>
          <w:rFonts w:ascii="Times" w:hAnsi="Times"/>
          <w:sz w:val="24"/>
        </w:rPr>
        <w:t>means a Mortgage Receivable that is secured by a first priority lien on real property, subject to any participation interests granted by the Borrower or Subsidiary therein.</w:t>
      </w:r>
    </w:p>
    <w:p>
      <w:pPr>
        <w:pStyle w:val="TextBody"/>
        <w:bidi w:val="0"/>
        <w:spacing w:before="0" w:after="240"/>
        <w:ind w:left="0" w:right="0" w:firstLine="720"/>
        <w:jc w:val="both"/>
        <w:rPr/>
      </w:pPr>
      <w:r>
        <w:rPr/>
        <w:t>“</w:t>
      </w:r>
      <w:r>
        <w:rPr>
          <w:rFonts w:ascii="Times" w:hAnsi="Times"/>
          <w:i/>
          <w:sz w:val="24"/>
        </w:rPr>
        <w:t>Fiscal Quarter”</w:t>
      </w:r>
      <w:r>
        <w:rPr>
          <w:rFonts w:ascii="Times" w:hAnsi="Times"/>
          <w:sz w:val="24"/>
        </w:rPr>
        <w:t xml:space="preserve"> means each of the three-month periods ending on </w:t>
      </w:r>
      <w:bookmarkStart w:id="67" w:name="_Hlk219472415"/>
      <w:bookmarkEnd w:id="67"/>
      <w:r>
        <w:rPr>
          <w:rFonts w:ascii="Times" w:hAnsi="Times"/>
          <w:sz w:val="24"/>
        </w:rPr>
        <w:t>March 31, June 30, September 30 and December 31.</w:t>
      </w:r>
    </w:p>
    <w:p>
      <w:pPr>
        <w:pStyle w:val="TextBody"/>
        <w:bidi w:val="0"/>
        <w:spacing w:before="0" w:after="240"/>
        <w:ind w:left="0" w:right="0" w:firstLine="720"/>
        <w:jc w:val="both"/>
        <w:rPr/>
      </w:pPr>
      <w:r>
        <w:rPr/>
        <w:t>“</w:t>
      </w:r>
      <w:r>
        <w:rPr>
          <w:rFonts w:ascii="Times" w:hAnsi="Times"/>
          <w:i/>
          <w:sz w:val="24"/>
        </w:rPr>
        <w:t>Fiscal Year”</w:t>
      </w:r>
      <w:r>
        <w:rPr>
          <w:rFonts w:ascii="Times" w:hAnsi="Times"/>
          <w:sz w:val="24"/>
        </w:rPr>
        <w:t xml:space="preserve"> means the twelve-month period ending on December 31.</w:t>
      </w:r>
    </w:p>
    <w:p>
      <w:pPr>
        <w:pStyle w:val="TextBody"/>
        <w:bidi w:val="0"/>
        <w:spacing w:before="0" w:after="240"/>
        <w:ind w:left="0" w:right="0" w:firstLine="720"/>
        <w:jc w:val="both"/>
        <w:rPr/>
      </w:pPr>
      <w:r>
        <w:rPr/>
        <w:t>“</w:t>
      </w:r>
      <w:r>
        <w:rPr>
          <w:rFonts w:ascii="Times" w:hAnsi="Times"/>
          <w:i/>
          <w:sz w:val="24"/>
        </w:rPr>
        <w:t>Fitch</w:t>
      </w:r>
      <w:r>
        <w:rPr>
          <w:rFonts w:ascii="Times" w:hAnsi="Times"/>
          <w:sz w:val="24"/>
        </w:rPr>
        <w:t xml:space="preserve">” means Fitch Ratings, or any successor thereto. </w:t>
      </w:r>
    </w:p>
    <w:p>
      <w:pPr>
        <w:pStyle w:val="TextBody"/>
        <w:bidi w:val="0"/>
        <w:spacing w:before="0" w:after="0"/>
        <w:ind w:left="0" w:right="0" w:firstLine="720"/>
        <w:jc w:val="both"/>
        <w:rPr/>
      </w:pPr>
      <w:r>
        <w:rPr/>
        <w:t>“</w:t>
      </w:r>
      <w:r>
        <w:rPr>
          <w:rFonts w:ascii="Times" w:hAnsi="Times"/>
          <w:i/>
          <w:sz w:val="24"/>
        </w:rPr>
        <w:t>Fixed Charges”</w:t>
      </w:r>
      <w:r>
        <w:rPr>
          <w:rFonts w:ascii="Times" w:hAnsi="Times"/>
          <w:sz w:val="24"/>
        </w:rPr>
        <w:t xml:space="preserve"> means, for any Rolling Period, (a) Interest Expense, plus (b) scheduled principal amortization paid on Total Indebtedness (exclusive of any balloon payments or prepayments of principal paid on such Total Indebtedness), plus (c) Dividends and required distributions on the Borrower’s preferred equity securities for such Rolling Period, plus (d) all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income taxes (federal, state and local) paid by the Borrower in cash during such Rolling Period, plus (e) cash payments of base rent under Acceptable Leasehold Interests made or to be made during such period, unless such payments are deducted from the calculation of Property NOI and EBITDA; </w:t>
      </w:r>
      <w:r>
        <w:rPr>
          <w:rFonts w:ascii="Times" w:hAnsi="Times"/>
          <w:i/>
          <w:sz w:val="24"/>
        </w:rPr>
        <w:t>provided</w:t>
      </w:r>
      <w:r>
        <w:rPr>
          <w:rFonts w:ascii="Times" w:hAnsi="Times"/>
          <w:sz w:val="24"/>
        </w:rPr>
        <w:t>, that for purposes of calculating income taxes under clause (d) for any Rolling Period, such amount shall not include any income taxes paid from and in connection with any extraordinary gain (or loss) for such Rolling Period.  The Borrower’s Ownership Share of the Fixed Charges of its Unconsolidated Affiliates will be included when determining Fixed Charges of the Borrower and its Subsidiaries.  </w:t>
      </w:r>
    </w:p>
    <w:p>
      <w:pPr>
        <w:pStyle w:val="TextBody"/>
        <w:bidi w:val="0"/>
        <w:spacing w:before="0" w:after="240"/>
        <w:ind w:left="0" w:right="0" w:firstLine="720"/>
        <w:jc w:val="both"/>
        <w:rPr/>
      </w:pPr>
      <w:r>
        <w:rPr/>
        <w:t>“</w:t>
      </w:r>
      <w:r>
        <w:rPr>
          <w:rFonts w:ascii="Times" w:hAnsi="Times"/>
          <w:i/>
          <w:sz w:val="24"/>
        </w:rPr>
        <w:t>Floor</w:t>
      </w:r>
      <w:r>
        <w:rPr>
          <w:rFonts w:ascii="Times" w:hAnsi="Times"/>
          <w:sz w:val="24"/>
        </w:rPr>
        <w:t>” means a rate of interest equal to 0.00% per annum.</w:t>
      </w:r>
    </w:p>
    <w:p>
      <w:pPr>
        <w:pStyle w:val="TextBody"/>
        <w:bidi w:val="0"/>
        <w:spacing w:before="0" w:after="240"/>
        <w:ind w:left="0" w:right="0" w:firstLine="720"/>
        <w:jc w:val="both"/>
        <w:rPr/>
      </w:pPr>
      <w:r>
        <w:rPr/>
        <w:t>“</w:t>
      </w:r>
      <w:r>
        <w:rPr>
          <w:rFonts w:ascii="Times" w:hAnsi="Times"/>
          <w:i/>
          <w:sz w:val="24"/>
        </w:rPr>
        <w:t>Forward Equity Contract</w:t>
      </w:r>
      <w:r>
        <w:rPr>
          <w:rFonts w:ascii="Times" w:hAnsi="Times"/>
          <w:sz w:val="24"/>
        </w:rPr>
        <w:t xml:space="preserve">” means a forward equity contract with respect to common Equity Interests of the Borrower, entered into by the Borrower and a Person (other than the Borrower, its Subsidiaries or their respective Affiliates). </w:t>
      </w:r>
    </w:p>
    <w:p>
      <w:pPr>
        <w:pStyle w:val="TextBody"/>
        <w:bidi w:val="0"/>
        <w:spacing w:before="0" w:after="240"/>
        <w:ind w:left="0" w:right="0" w:firstLine="720"/>
        <w:jc w:val="both"/>
        <w:rPr/>
      </w:pPr>
      <w:r>
        <w:rPr/>
        <w:t>“</w:t>
      </w:r>
      <w:r>
        <w:rPr>
          <w:rFonts w:ascii="Times" w:hAnsi="Times"/>
          <w:i/>
          <w:sz w:val="24"/>
        </w:rPr>
        <w:t>Fronting Exposure</w:t>
      </w:r>
      <w:r>
        <w:rPr>
          <w:rFonts w:ascii="Times" w:hAnsi="Times"/>
          <w:sz w:val="24"/>
        </w:rPr>
        <w:t>” means, at any time there is a Defaulting Lender that is a Revolving Lender, with respect to the L/C Issuer, such Defaulting Lender’s Applicable Percentage of the outstanding Letter of Credit Liabilities attributable to the L/C Issuer other than Letter of Credit Liabilities as to which such Defaulting Lender’s participation obligation has been reallocated to other Revolving Lenders or Cash Collateralized in accordance with the terms hereof.</w:t>
      </w:r>
    </w:p>
    <w:p>
      <w:pPr>
        <w:pStyle w:val="TextBody"/>
        <w:bidi w:val="0"/>
        <w:spacing w:before="0" w:after="240"/>
        <w:ind w:left="0" w:right="0" w:firstLine="720"/>
        <w:jc w:val="both"/>
        <w:rPr/>
      </w:pPr>
      <w:r>
        <w:rPr/>
        <w:t>“</w:t>
      </w:r>
      <w:r>
        <w:rPr>
          <w:rFonts w:ascii="Times" w:hAnsi="Times"/>
          <w:i/>
          <w:sz w:val="24"/>
        </w:rPr>
        <w:t xml:space="preserve">Fund” </w:t>
      </w:r>
      <w:r>
        <w:rPr>
          <w:rFonts w:ascii="Times" w:hAnsi="Times"/>
          <w:sz w:val="24"/>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ind w:left="0" w:right="0" w:firstLine="720"/>
        <w:jc w:val="both"/>
        <w:rPr/>
      </w:pPr>
      <w:r>
        <w:rPr/>
        <w:t>“</w:t>
      </w:r>
      <w:r>
        <w:rPr>
          <w:rFonts w:ascii="Times" w:hAnsi="Times"/>
          <w:i/>
          <w:sz w:val="24"/>
        </w:rPr>
        <w:t>Funds Transfer and Deposit Account Liability”</w:t>
      </w:r>
      <w:r>
        <w:rPr>
          <w:rFonts w:ascii="Times" w:hAnsi="Times"/>
          <w:sz w:val="24"/>
        </w:rPr>
        <w:t xml:space="preserve"> means the liability of the Borrower, or any Subsidiary owing to any of the Lenders, or any Affiliates of such Lenders, arising out of (a) the execution or processing of electronic transfers of funds by automatic clearing house transfer, wire transfer or otherwise to or from deposit accounts of the Borrower and/or any Subsidiary now or hereafter maintained with any of the Lenders or their Affiliates, (b) the acceptance for deposit or the honoring for payment of any check, draft or other item with respect to any such deposit accounts, and (c) any other deposit, disbursement, and cash management services afforded to the Borrower or any Subsidiary by any of such Lenders or their Affiliates.</w:t>
      </w:r>
    </w:p>
    <w:p>
      <w:pPr>
        <w:pStyle w:val="TextBody"/>
        <w:bidi w:val="0"/>
        <w:spacing w:before="0" w:after="240"/>
        <w:ind w:left="0" w:right="0" w:firstLine="720"/>
        <w:jc w:val="both"/>
        <w:rPr/>
      </w:pPr>
      <w:r>
        <w:rPr/>
        <w:t>“</w:t>
      </w:r>
      <w:r>
        <w:rPr>
          <w:rFonts w:ascii="Times" w:hAnsi="Times"/>
          <w:i/>
          <w:sz w:val="24"/>
        </w:rPr>
        <w:t>GAAP”</w:t>
      </w:r>
      <w:r>
        <w:rPr>
          <w:rFonts w:ascii="Times" w:hAnsi="Times"/>
          <w:sz w:val="24"/>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date of determination.</w:t>
      </w:r>
    </w:p>
    <w:p>
      <w:pPr>
        <w:pStyle w:val="TextBody"/>
        <w:bidi w:val="0"/>
        <w:spacing w:before="0" w:after="240"/>
        <w:ind w:left="0" w:right="0" w:firstLine="720"/>
        <w:jc w:val="both"/>
        <w:rPr/>
      </w:pPr>
      <w:r>
        <w:rPr/>
        <w:t>​</w:t>
      </w:r>
    </w:p>
    <w:p>
      <w:pPr>
        <w:pStyle w:val="TextBody"/>
        <w:bidi w:val="0"/>
        <w:spacing w:before="0" w:after="0"/>
        <w:ind w:left="0" w:right="0" w:firstLine="720"/>
        <w:jc w:val="both"/>
        <w:rPr/>
      </w:pPr>
      <w:r>
        <w:rPr/>
        <w:t>“</w:t>
      </w:r>
      <w:r>
        <w:rPr>
          <w:rFonts w:ascii="Times" w:hAnsi="Times"/>
          <w:i/>
          <w:sz w:val="24"/>
        </w:rPr>
        <w:t>Governmental Authority”</w:t>
      </w:r>
      <w:r>
        <w:rPr>
          <w:rFonts w:ascii="Times" w:hAnsi="Times"/>
          <w:sz w:val="24"/>
        </w:rPr>
        <w:t xml:space="preserve">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government (including any supra-national bodies such as the European Union or the European Central Bank).</w:t>
      </w:r>
    </w:p>
    <w:p>
      <w:pPr>
        <w:pStyle w:val="TextBody"/>
        <w:bidi w:val="0"/>
        <w:spacing w:before="0" w:after="240"/>
        <w:ind w:left="0" w:right="0" w:firstLine="720"/>
        <w:jc w:val="both"/>
        <w:rPr/>
      </w:pPr>
      <w:r>
        <w:rPr/>
        <w:t>“</w:t>
      </w:r>
      <w:r>
        <w:rPr>
          <w:rFonts w:ascii="Times" w:hAnsi="Times"/>
          <w:i/>
          <w:sz w:val="24"/>
        </w:rPr>
        <w:t xml:space="preserve">Gross Availability” </w:t>
      </w:r>
      <w:r>
        <w:rPr>
          <w:rFonts w:ascii="Times" w:hAnsi="Times"/>
          <w:sz w:val="24"/>
        </w:rPr>
        <w:t xml:space="preserve">means, at any date of its determination, an amount equal to the maximum amount of Unsecured Indebtedness that would result in compliance with the covenants set forth in Sections 8.20(e) and (f) on a pro forma basis, with the Unsecured Interest Expense being calculated for such purposes based on (i) the weighted-average all-in interest rate (including index and margin) applicable to all Unsecured Indebtedness as of the last day of the most recently ended Fiscal Quarter (after giving effect to any Hedging Agreements applicable thereto) </w:t>
      </w:r>
      <w:r>
        <w:rPr>
          <w:rFonts w:ascii="Times" w:hAnsi="Times"/>
          <w:i/>
          <w:sz w:val="24"/>
        </w:rPr>
        <w:t>multiplied</w:t>
      </w:r>
      <w:r>
        <w:rPr>
          <w:rFonts w:ascii="Times" w:hAnsi="Times"/>
          <w:sz w:val="24"/>
        </w:rPr>
        <w:t xml:space="preserve"> </w:t>
      </w:r>
      <w:r>
        <w:rPr>
          <w:rFonts w:ascii="Times" w:hAnsi="Times"/>
          <w:i/>
          <w:sz w:val="24"/>
        </w:rPr>
        <w:t>by</w:t>
      </w:r>
      <w:r>
        <w:rPr>
          <w:rFonts w:ascii="Times" w:hAnsi="Times"/>
          <w:sz w:val="24"/>
        </w:rPr>
        <w:t xml:space="preserve"> the outstanding principal amount of all such Unsecured Indebtedness as of such date of determination.</w:t>
      </w:r>
    </w:p>
    <w:p>
      <w:pPr>
        <w:pStyle w:val="TextBody"/>
        <w:bidi w:val="0"/>
        <w:spacing w:before="0" w:after="240"/>
        <w:ind w:left="0" w:right="0" w:firstLine="720"/>
        <w:jc w:val="both"/>
        <w:rPr/>
      </w:pPr>
      <w:r>
        <w:rPr/>
        <w:t>“</w:t>
      </w:r>
      <w:r>
        <w:rPr>
          <w:rFonts w:ascii="Times" w:hAnsi="Times"/>
          <w:i/>
          <w:sz w:val="24"/>
        </w:rPr>
        <w:t>Ground Lease”</w:t>
      </w:r>
      <w:r>
        <w:rPr>
          <w:rFonts w:ascii="Times" w:hAnsi="Times"/>
          <w:sz w:val="24"/>
        </w:rPr>
        <w:t xml:space="preserve"> means a long term lease of a Property granted by the fee owner of such Property.</w:t>
      </w:r>
    </w:p>
    <w:p>
      <w:pPr>
        <w:pStyle w:val="TextBody"/>
        <w:bidi w:val="0"/>
        <w:spacing w:before="0" w:after="240"/>
        <w:ind w:left="0" w:right="0" w:firstLine="720"/>
        <w:jc w:val="both"/>
        <w:rPr/>
      </w:pPr>
      <w:r>
        <w:rPr/>
        <w:t>“</w:t>
      </w:r>
      <w:r>
        <w:rPr>
          <w:rFonts w:ascii="Times" w:hAnsi="Times"/>
          <w:i/>
          <w:sz w:val="24"/>
        </w:rPr>
        <w:t>Guarantor”</w:t>
      </w:r>
      <w:r>
        <w:rPr>
          <w:rFonts w:ascii="Times" w:hAnsi="Times"/>
          <w:sz w:val="24"/>
        </w:rPr>
        <w:t xml:space="preserve"> and “</w:t>
      </w:r>
      <w:r>
        <w:rPr>
          <w:rFonts w:ascii="Times" w:hAnsi="Times"/>
          <w:i/>
          <w:sz w:val="24"/>
        </w:rPr>
        <w:t>Guarantors”</w:t>
      </w:r>
      <w:r>
        <w:rPr>
          <w:rFonts w:ascii="Times" w:hAnsi="Times"/>
          <w:sz w:val="24"/>
        </w:rPr>
        <w:t xml:space="preserve"> are defined in Section 4.1 hereof.</w:t>
      </w:r>
    </w:p>
    <w:p>
      <w:pPr>
        <w:pStyle w:val="TextBody"/>
        <w:bidi w:val="0"/>
        <w:spacing w:before="0" w:after="240"/>
        <w:ind w:left="0" w:right="0" w:firstLine="720"/>
        <w:jc w:val="both"/>
        <w:rPr/>
      </w:pPr>
      <w:r>
        <w:rPr/>
        <w:t>“</w:t>
      </w:r>
      <w:r>
        <w:rPr>
          <w:rFonts w:ascii="Times" w:hAnsi="Times"/>
          <w:i/>
          <w:sz w:val="24"/>
        </w:rPr>
        <w:t>Guaranty”</w:t>
      </w:r>
      <w:r>
        <w:rPr>
          <w:rFonts w:ascii="Times" w:hAnsi="Times"/>
          <w:sz w:val="24"/>
        </w:rPr>
        <w:t xml:space="preserve"> and “</w:t>
      </w:r>
      <w:r>
        <w:rPr>
          <w:rFonts w:ascii="Times" w:hAnsi="Times"/>
          <w:i/>
          <w:sz w:val="24"/>
        </w:rPr>
        <w:t>Guaranties”</w:t>
      </w:r>
      <w:r>
        <w:rPr>
          <w:rFonts w:ascii="Times" w:hAnsi="Times"/>
          <w:sz w:val="24"/>
        </w:rPr>
        <w:t xml:space="preserve"> are defined in Section 4.1 hereof.</w:t>
      </w:r>
    </w:p>
    <w:p>
      <w:pPr>
        <w:pStyle w:val="TextBody"/>
        <w:bidi w:val="0"/>
        <w:spacing w:before="0" w:after="240"/>
        <w:ind w:left="0" w:right="0" w:firstLine="720"/>
        <w:jc w:val="both"/>
        <w:rPr/>
      </w:pPr>
      <w:r>
        <w:rPr/>
        <w:t>“</w:t>
      </w:r>
      <w:r>
        <w:rPr>
          <w:rFonts w:ascii="Times" w:hAnsi="Times"/>
          <w:i/>
          <w:sz w:val="24"/>
        </w:rPr>
        <w:t xml:space="preserve">Hazardous Material” </w:t>
      </w:r>
      <w:r>
        <w:rPr>
          <w:rFonts w:ascii="Times" w:hAnsi="Times"/>
          <w:sz w:val="24"/>
        </w:rPr>
        <w:t>means any substance,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before="0" w:after="240"/>
        <w:ind w:left="0" w:right="0" w:firstLine="720"/>
        <w:jc w:val="both"/>
        <w:rPr/>
      </w:pPr>
      <w:r>
        <w:rPr/>
        <w:t>“</w:t>
      </w:r>
      <w:r>
        <w:rPr>
          <w:rFonts w:ascii="Times" w:hAnsi="Times"/>
          <w:i/>
          <w:sz w:val="24"/>
        </w:rPr>
        <w:t>Hazardous Material Activity”</w:t>
      </w:r>
      <w:r>
        <w:rPr>
          <w:rFonts w:ascii="Times" w:hAnsi="Times"/>
          <w:sz w:val="24"/>
        </w:rPr>
        <w:t xml:space="preserve"> means any activity, event or occurrence involving a Hazardous Material, including, without limitation, the manufacture, possession, presence, use, generation, transportation, treatment, storage, disposal, Release, threatened Release, abatement, removal, remediation, handling of or corrective or response action to any Hazardous Material other than any activity, event or occurrence performed in compliance with or allowed under applicable law.</w:t>
      </w:r>
    </w:p>
    <w:p>
      <w:pPr>
        <w:pStyle w:val="TextBody"/>
        <w:bidi w:val="0"/>
        <w:spacing w:before="0" w:after="240"/>
        <w:ind w:left="0" w:right="0" w:firstLine="720"/>
        <w:jc w:val="both"/>
        <w:rPr/>
      </w:pPr>
      <w:r>
        <w:rPr/>
        <w:t>“</w:t>
      </w:r>
      <w:r>
        <w:rPr>
          <w:rFonts w:ascii="Times" w:hAnsi="Times"/>
          <w:i/>
          <w:sz w:val="24"/>
        </w:rPr>
        <w:t>Hedging Agreement”</w:t>
      </w:r>
      <w:r>
        <w:rPr>
          <w:rFonts w:ascii="Times" w:hAnsi="Times"/>
          <w:sz w:val="24"/>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w:hAnsi="Times"/>
          <w:i/>
          <w:sz w:val="24"/>
        </w:rPr>
        <w:t>provided</w:t>
      </w:r>
      <w:r>
        <w:rPr>
          <w:rFonts w:ascii="Times" w:hAnsi="Times"/>
          <w:sz w:val="24"/>
        </w:rPr>
        <w:t xml:space="preserve"> that no phantom stock or similar plan providing for payments only on account of services provided by current or former directors, officers, employees or consultants of Borrower or any Subsidiary shall be a Hedging Agreement.</w:t>
      </w:r>
    </w:p>
    <w:p>
      <w:pPr>
        <w:pStyle w:val="TextBody"/>
        <w:bidi w:val="0"/>
        <w:spacing w:before="0" w:after="240"/>
        <w:ind w:left="0" w:right="0" w:firstLine="720"/>
        <w:jc w:val="both"/>
        <w:rPr/>
      </w:pPr>
      <w:r>
        <w:rPr/>
        <w:t>“</w:t>
      </w:r>
      <w:r>
        <w:rPr>
          <w:rFonts w:ascii="Times" w:hAnsi="Times"/>
          <w:i/>
          <w:sz w:val="24"/>
        </w:rPr>
        <w:t>Hedging Liability”</w:t>
      </w:r>
      <w:r>
        <w:rPr>
          <w:rFonts w:ascii="Times" w:hAnsi="Times"/>
          <w:sz w:val="24"/>
        </w:rPr>
        <w:t xml:space="preserve"> means the liability of the Borrower or any Subsidiary to any Qualifying Counterparty, in respect of any Hedging Agreement as the Borrower or such Subsidiary, as the case may be, may from time to time enter into with any one or more Qualifying Counterparties.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Incremental Term Lender</w:t>
      </w:r>
      <w:r>
        <w:rPr>
          <w:rFonts w:ascii="Times" w:hAnsi="Times"/>
          <w:sz w:val="24"/>
        </w:rPr>
        <w:t>” means, at any time, any Lender that has an Incremental Term Loan Commitment or holds Incremental Term Loans at such time,</w:t>
      </w:r>
      <w:r>
        <w:rPr>
          <w:rFonts w:ascii="Times" w:hAnsi="Times"/>
          <w:color w:val="FF0000"/>
          <w:sz w:val="24"/>
        </w:rPr>
        <w:t xml:space="preserve"> </w:t>
      </w:r>
      <w:r>
        <w:rPr>
          <w:rFonts w:ascii="Times" w:hAnsi="Times"/>
          <w:sz w:val="24"/>
        </w:rPr>
        <w:t>including any assignee Lender pursuant to Section 12.12 hereof.</w:t>
      </w:r>
    </w:p>
    <w:p>
      <w:pPr>
        <w:pStyle w:val="TextBody"/>
        <w:bidi w:val="0"/>
        <w:spacing w:before="0" w:after="240"/>
        <w:ind w:left="0" w:right="0" w:firstLine="720"/>
        <w:jc w:val="both"/>
        <w:rPr/>
      </w:pPr>
      <w:r>
        <w:rPr/>
        <w:t>“</w:t>
      </w:r>
      <w:r>
        <w:rPr>
          <w:rFonts w:ascii="Times" w:hAnsi="Times"/>
          <w:i/>
          <w:sz w:val="24"/>
        </w:rPr>
        <w:t>Incremental Term Loan</w:t>
      </w:r>
      <w:r>
        <w:rPr>
          <w:rFonts w:ascii="Times" w:hAnsi="Times"/>
          <w:sz w:val="24"/>
        </w:rPr>
        <w:t>” 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Amendment</w:t>
      </w:r>
      <w:r>
        <w:rPr>
          <w:rFonts w:ascii="Times" w:hAnsi="Times"/>
          <w:sz w:val="24"/>
        </w:rPr>
        <w:t>” 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Commitment</w:t>
      </w:r>
      <w:r>
        <w:rPr>
          <w:rFonts w:ascii="Times" w:hAnsi="Times"/>
          <w:sz w:val="24"/>
        </w:rPr>
        <w:t>” has the meaning assigned to such term in Section 1.15.</w:t>
      </w:r>
    </w:p>
    <w:p>
      <w:pPr>
        <w:pStyle w:val="TextBody"/>
        <w:bidi w:val="0"/>
        <w:spacing w:before="0" w:after="240"/>
        <w:ind w:left="0" w:right="0" w:firstLine="720"/>
        <w:jc w:val="both"/>
        <w:rPr/>
      </w:pPr>
      <w:r>
        <w:rPr/>
        <w:t>“</w:t>
      </w:r>
      <w:r>
        <w:rPr>
          <w:rFonts w:ascii="Times" w:hAnsi="Times"/>
          <w:i/>
          <w:sz w:val="24"/>
        </w:rPr>
        <w:t>Incremental Term Loan Facility</w:t>
      </w:r>
      <w:r>
        <w:rPr>
          <w:rFonts w:ascii="Times" w:hAnsi="Times"/>
          <w:sz w:val="24"/>
        </w:rPr>
        <w:t>” has the meaning assigned to such term in Section 1.15.  Unless otherwise specified herein, each tranche of Incremental Term Loan Commitments or Incremental Term Loans shall constitute a separate Incremental Term Loan Facility.</w:t>
      </w:r>
    </w:p>
    <w:p>
      <w:pPr>
        <w:pStyle w:val="TextBody"/>
        <w:bidi w:val="0"/>
        <w:spacing w:before="0" w:after="240"/>
        <w:ind w:left="0" w:right="0" w:firstLine="720"/>
        <w:jc w:val="both"/>
        <w:rPr/>
      </w:pPr>
      <w:r>
        <w:rPr/>
        <w:t>“</w:t>
      </w:r>
      <w:r>
        <w:rPr>
          <w:rFonts w:ascii="Times" w:hAnsi="Times"/>
          <w:i/>
          <w:sz w:val="24"/>
        </w:rPr>
        <w:t>Indebtedness for Borrowed Money”</w:t>
      </w:r>
      <w:r>
        <w:rPr>
          <w:rFonts w:ascii="Times" w:hAnsi="Times"/>
          <w:sz w:val="24"/>
        </w:rPr>
        <w:t xml:space="preserve"> means for any Person (without duplication) (a) all indebtedness created, assumed or incurred in any manner by such Person representing money borrowed (including by the issuance of debt securities), (b) all indebtedness for the deferred purchase price of property or services (other than trade accounts payable arising in the ordinary course of business), (c) all indebtedness secured by any Lien upon Property or other assets of such Person, whether or not such Person has assumed or become liable for the payment of such indebtedness, (d) all Capitalized Lease Obligations of such Person, (e) all obligations of such Person on or with respect to letters of credit, bankers’ acceptances and other extensions of credit whether or not representing obligations for borrowed money and (f) all net obligations of such Person under any interest rate, foreign currency, and/or commodity swap, exchange, cap, collar, floor, forward, future or option agreement, or any similar interest rate, currency or commodity hedging arrangement.</w:t>
      </w:r>
    </w:p>
    <w:p>
      <w:pPr>
        <w:pStyle w:val="TextBody"/>
        <w:bidi w:val="0"/>
        <w:spacing w:before="0" w:after="240"/>
        <w:ind w:left="0" w:right="0" w:firstLine="720"/>
        <w:jc w:val="both"/>
        <w:rPr/>
      </w:pPr>
      <w:r>
        <w:rPr/>
        <w:t>“</w:t>
      </w:r>
      <w:r>
        <w:rPr>
          <w:rFonts w:ascii="Times" w:hAnsi="Times"/>
          <w:i/>
          <w:sz w:val="24"/>
        </w:rPr>
        <w:t>Indemnified Taxes”</w:t>
      </w:r>
      <w:r>
        <w:rPr>
          <w:rFonts w:ascii="Times" w:hAnsi="Times"/>
          <w:sz w:val="24"/>
        </w:rPr>
        <w:t xml:space="preserve"> means (a) all Taxes other than Excluded Taxes and (b) to the extent not otherwise described in (a), Other Taxes.</w:t>
      </w:r>
    </w:p>
    <w:p>
      <w:pPr>
        <w:pStyle w:val="TextBody"/>
        <w:bidi w:val="0"/>
        <w:spacing w:before="0" w:after="240"/>
        <w:ind w:left="0" w:right="0" w:firstLine="720"/>
        <w:jc w:val="both"/>
        <w:rPr/>
      </w:pPr>
      <w:r>
        <w:rPr/>
        <w:t>“</w:t>
      </w:r>
      <w:r>
        <w:rPr>
          <w:rFonts w:ascii="Times" w:hAnsi="Times"/>
          <w:i/>
          <w:sz w:val="24"/>
        </w:rPr>
        <w:t>Initial Unencumbered Assets”</w:t>
      </w:r>
      <w:r>
        <w:rPr>
          <w:rFonts w:ascii="Times New Roman;Times;serif" w:hAnsi="Times New Roman;Times;serif"/>
          <w:sz w:val="24"/>
        </w:rPr>
        <w:t xml:space="preserve"> </w:t>
      </w:r>
      <w:r>
        <w:rPr>
          <w:rFonts w:ascii="Times" w:hAnsi="Times"/>
          <w:sz w:val="24"/>
        </w:rPr>
        <w:t xml:space="preserve">means collectively the Unencumbered Assets listed on Schedule 1.1 as of the Restatement Date and </w:t>
      </w:r>
      <w:r>
        <w:rPr>
          <w:rFonts w:ascii="Times New Roman;Times;serif" w:hAnsi="Times New Roman;Times;serif"/>
          <w:sz w:val="24"/>
        </w:rPr>
        <w:t>“</w:t>
      </w:r>
      <w:r>
        <w:rPr>
          <w:rFonts w:ascii="Times" w:hAnsi="Times"/>
          <w:i/>
          <w:sz w:val="24"/>
        </w:rPr>
        <w:t>Initial Unencumbered Asset”</w:t>
      </w:r>
      <w:r>
        <w:rPr>
          <w:rFonts w:ascii="Times New Roman;Times;serif" w:hAnsi="Times New Roman;Times;serif"/>
          <w:sz w:val="24"/>
        </w:rPr>
        <w:t xml:space="preserve"> </w:t>
      </w:r>
      <w:r>
        <w:rPr>
          <w:rFonts w:ascii="Times" w:hAnsi="Times"/>
          <w:sz w:val="24"/>
        </w:rPr>
        <w:t>means any of such Unencumbered Assets.</w:t>
      </w:r>
    </w:p>
    <w:p>
      <w:pPr>
        <w:pStyle w:val="TextBody"/>
        <w:bidi w:val="0"/>
        <w:spacing w:before="0" w:after="240"/>
        <w:ind w:left="0" w:right="0" w:firstLine="720"/>
        <w:jc w:val="both"/>
        <w:rPr/>
      </w:pPr>
      <w:r>
        <w:rPr/>
        <w:t>“</w:t>
      </w:r>
      <w:r>
        <w:rPr>
          <w:rFonts w:ascii="Times" w:hAnsi="Times"/>
          <w:i/>
          <w:sz w:val="24"/>
        </w:rPr>
        <w:t>Interest Expense”</w:t>
      </w:r>
      <w:r>
        <w:rPr>
          <w:rFonts w:ascii="Times" w:hAnsi="Times"/>
          <w:sz w:val="24"/>
        </w:rPr>
        <w:t xml:space="preserve"> means, with respect to a Person for any period of time, the interest expense whether paid, accrued or capitalized (without deduction of consolidated interest income) of such Person for such period.  Interest Expense shall exclude any amortization of (i) deferred financing fees, including the write-off such fees relating to the early retirement of such related Indebtedness for Borrowed Money, and (ii) debt discounts (but only to the extent such discounts do not exceed 3.0% of the initial face principal amount of such debt).  The Borrower’s Ownership Share of the Interest Expense of its Unconsolidated Affiliates will be included when determining Interest Expense of the Borrower and its Subsidiaries.</w:t>
      </w:r>
    </w:p>
    <w:p>
      <w:pPr>
        <w:pStyle w:val="TextBody"/>
        <w:bidi w:val="0"/>
        <w:spacing w:before="0" w:after="0"/>
        <w:ind w:left="0" w:right="0" w:firstLine="720"/>
        <w:jc w:val="both"/>
        <w:rPr/>
      </w:pPr>
      <w:r>
        <w:rPr/>
        <w:t>“</w:t>
      </w:r>
      <w:r>
        <w:rPr>
          <w:rFonts w:ascii="Times" w:hAnsi="Times"/>
          <w:i/>
          <w:sz w:val="24"/>
        </w:rPr>
        <w:t>Interest Payment Date”</w:t>
      </w:r>
      <w:r>
        <w:rPr>
          <w:rFonts w:ascii="Times" w:hAnsi="Times"/>
          <w:sz w:val="24"/>
        </w:rPr>
        <w:t xml:space="preserve"> means (a) with respect to any Term SOFR Loan, the last day of each Interest Period with respect to such Term SOFR Loan and on the maturity date and, if the applicable Interest Period is longer than (1) one month, on each day occurring every one (1) month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after the commencement of such Interest Period, (b) with respect to any Revolving Loan, 2029 Term Loan or 2030 Term Loan that is a Daily Simple SOFR Loan, the last day of each calendar month, (c) with respect to any 2031 Term Loan or 2032 Term Loan that is a Daily Simple SOFR Loan, the last day of each calendar quarter, (d) with respect to any Base Rate Loan, the last day of each calendar month, and (e) with respect to any Term SOFR Loan, Daily Simple SOFR Loan, or Base Rate Loan, the Revolving Credit Termination Date or Term Loan Maturity Date thereof, as applicable.</w:t>
      </w:r>
    </w:p>
    <w:p>
      <w:pPr>
        <w:pStyle w:val="TextBody"/>
        <w:bidi w:val="0"/>
        <w:spacing w:before="0" w:after="240"/>
        <w:ind w:left="0" w:right="0" w:firstLine="720"/>
        <w:jc w:val="both"/>
        <w:rPr/>
      </w:pPr>
      <w:r>
        <w:rPr/>
        <w:t>“</w:t>
      </w:r>
      <w:r>
        <w:rPr>
          <w:rFonts w:ascii="Times" w:hAnsi="Times"/>
          <w:i/>
          <w:sz w:val="24"/>
        </w:rPr>
        <w:t>Interest Period”</w:t>
      </w:r>
      <w:r>
        <w:rPr>
          <w:rFonts w:ascii="Times" w:hAnsi="Times"/>
          <w:sz w:val="24"/>
        </w:rPr>
        <w:t xml:space="preserve"> means the period commencing on the date a Borrowing of Term SOFR Loans is advanced, continued, or created by conversion and ending one (1), three (3), or six (6) months thereafter, </w:t>
      </w:r>
      <w:r>
        <w:rPr>
          <w:rFonts w:ascii="Times" w:hAnsi="Times"/>
          <w:i/>
          <w:sz w:val="24"/>
        </w:rPr>
        <w:t xml:space="preserve">provided, however, </w:t>
      </w:r>
      <w:r>
        <w:rPr>
          <w:rFonts w:ascii="Times" w:hAnsi="Times"/>
          <w:sz w:val="24"/>
        </w:rPr>
        <w:t>that: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(i)no Interest Period shall extend beyond the Revolving Credit Termination Date or Term Loan Maturity Date, as applicable;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(ii)whenever the last day of any Interest Period would otherwise be a day that is not a Business Day, the last day of such Interest Period shall be extended to the next succeeding Business Day, </w:t>
      </w:r>
      <w:r>
        <w:rPr>
          <w:rFonts w:ascii="Times New Roman;Times;serif" w:hAnsi="Times New Roman;Times;serif"/>
          <w:i/>
          <w:sz w:val="24"/>
        </w:rPr>
        <w:t xml:space="preserve">provided </w:t>
      </w:r>
      <w:r>
        <w:rPr>
          <w:rFonts w:ascii="Times New Roman;Times;serif" w:hAnsi="Times New Roman;Times;serif"/>
          <w:sz w:val="24"/>
        </w:rPr>
        <w:t>that, if such extension would cause the last day of an Interest Period for a Borrowing of Term SOFR Loans to occur in the following calendar month, the last day of such Interest Period shall be the immediately preceding Business Day;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(iii)for purposes of determining an Interest Period for a Borrowing of Term SOFR Loans, a month means a period starting on one day in a calendar month and ending on the numerically corresponding day in the next calendar month; </w:t>
      </w:r>
      <w:r>
        <w:rPr>
          <w:rFonts w:ascii="Times New Roman;Times;serif" w:hAnsi="Times New Roman;Times;serif"/>
          <w:i/>
          <w:sz w:val="24"/>
        </w:rPr>
        <w:t>provided, however,</w:t>
      </w:r>
      <w:r>
        <w:rPr>
          <w:rFonts w:ascii="Times New Roman;Times;serif" w:hAnsi="Times New Roman;Times;serif"/>
          <w:sz w:val="24"/>
        </w:rPr>
        <w:t xml:space="preserve"> that if there is no numerically corresponding day in the month in which such an Interest Period is to end or if such an Interest Period begins on the last Business Day of a calendar month, then such Interest Period shall end on the last Business Day of the calendar month in which such Interest Period is to end;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(iv)no tenor that has been removed from this definition pursuant to Section 10.6 (or the availability of which has been temporarily suspended pursuant to Section 10.2) below shall be available for specification in such Borrowing Request or Notice of Continuation/Conversion.</w:t>
      </w:r>
    </w:p>
    <w:p>
      <w:pPr>
        <w:pStyle w:val="TextBody"/>
        <w:bidi w:val="0"/>
        <w:spacing w:before="0" w:after="240"/>
        <w:ind w:left="0" w:right="0" w:firstLine="720"/>
        <w:jc w:val="both"/>
        <w:rPr/>
      </w:pPr>
      <w:bookmarkStart w:id="68" w:name="_Hlk115352239"/>
      <w:bookmarkEnd w:id="68"/>
      <w:r>
        <w:rPr/>
        <w:t>“</w:t>
      </w:r>
      <w:r>
        <w:rPr>
          <w:rFonts w:ascii="Times" w:hAnsi="Times"/>
          <w:i/>
          <w:sz w:val="24"/>
        </w:rPr>
        <w:t xml:space="preserve">Investment Grade Rating” </w:t>
      </w:r>
      <w:r>
        <w:rPr>
          <w:rFonts w:ascii="Times" w:hAnsi="Times"/>
          <w:sz w:val="24"/>
        </w:rPr>
        <w:t>means a Rating of BBB-/Baa3 or better from S&amp;P, Moody’s, or Fitch.</w:t>
      </w:r>
    </w:p>
    <w:p>
      <w:pPr>
        <w:pStyle w:val="TextBody"/>
        <w:bidi w:val="0"/>
        <w:spacing w:before="0" w:after="240"/>
        <w:ind w:left="0" w:right="0" w:firstLine="720"/>
        <w:jc w:val="both"/>
        <w:rPr/>
      </w:pPr>
      <w:r>
        <w:rPr/>
        <w:t>“</w:t>
      </w:r>
      <w:r>
        <w:rPr>
          <w:rFonts w:ascii="Times" w:hAnsi="Times"/>
          <w:i/>
          <w:sz w:val="24"/>
        </w:rPr>
        <w:t xml:space="preserve">Investment Grade Rating Date” </w:t>
      </w:r>
      <w:r>
        <w:rPr>
          <w:rFonts w:ascii="Times" w:hAnsi="Times"/>
          <w:sz w:val="24"/>
        </w:rPr>
        <w:t xml:space="preserve">means, at any time after Borrower has received an Investment Grade Rating from S&amp;P and/or Moody’s, the date specified by the Borrower in a written notice (which notice shall also set forth the Rating(s) as in effect, if any, from S&amp;P and/or Moody’s, as applicable, as of such date) to the Administrative Agent (and the Administrative Agent will promptly provide a copy of such notice to the Lenders) as the date on which </w:t>
      </w:r>
      <w:r>
        <w:rPr>
          <w:rFonts w:ascii="Times" w:hAnsi="Times"/>
          <w:i/>
          <w:sz w:val="24"/>
        </w:rPr>
        <w:t>it</w:t>
      </w:r>
      <w:r>
        <w:rPr>
          <w:rFonts w:ascii="Times" w:hAnsi="Times"/>
          <w:sz w:val="24"/>
        </w:rPr>
        <w:t xml:space="preserve"> irrevocably elects to have the Applicable Margin based on the Borrower’s Investment Grade Rating.</w:t>
      </w:r>
    </w:p>
    <w:p>
      <w:pPr>
        <w:pStyle w:val="TextBody"/>
        <w:bidi w:val="0"/>
        <w:spacing w:before="0" w:after="240"/>
        <w:ind w:left="0" w:right="0" w:firstLine="720"/>
        <w:jc w:val="both"/>
        <w:rPr/>
      </w:pPr>
      <w:r>
        <w:rPr/>
        <w:t>“</w:t>
      </w:r>
      <w:r>
        <w:rPr>
          <w:rFonts w:ascii="Times" w:hAnsi="Times"/>
          <w:i/>
          <w:sz w:val="24"/>
        </w:rPr>
        <w:t>Investment Grade Release</w:t>
      </w:r>
      <w:r>
        <w:rPr>
          <w:rFonts w:ascii="Times" w:hAnsi="Times"/>
          <w:sz w:val="24"/>
        </w:rPr>
        <w:t>” shall have the meaning set forth in Section 4.3.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KBCM” </w:t>
      </w:r>
      <w:r>
        <w:rPr>
          <w:rFonts w:ascii="Times" w:hAnsi="Times"/>
          <w:sz w:val="24"/>
        </w:rPr>
        <w:t>means, KeyBanc Capital Markets Inc. and its successors.</w:t>
      </w:r>
    </w:p>
    <w:p>
      <w:pPr>
        <w:pStyle w:val="TextBody"/>
        <w:bidi w:val="0"/>
        <w:spacing w:before="0" w:after="240"/>
        <w:ind w:left="0" w:right="0" w:firstLine="720"/>
        <w:jc w:val="both"/>
        <w:rPr/>
      </w:pPr>
      <w:r>
        <w:rPr/>
        <w:t>“</w:t>
      </w:r>
      <w:r>
        <w:rPr>
          <w:rFonts w:ascii="Times" w:hAnsi="Times"/>
          <w:i/>
          <w:sz w:val="24"/>
        </w:rPr>
        <w:t xml:space="preserve">KeyBank” </w:t>
      </w:r>
      <w:r>
        <w:rPr>
          <w:rFonts w:ascii="Times" w:hAnsi="Times"/>
          <w:sz w:val="24"/>
        </w:rPr>
        <w:t>means, KeyBank National Association and its successors.</w:t>
      </w:r>
    </w:p>
    <w:p>
      <w:pPr>
        <w:pStyle w:val="TextBody"/>
        <w:bidi w:val="0"/>
        <w:spacing w:before="0" w:after="240"/>
        <w:ind w:left="0" w:right="0" w:firstLine="720"/>
        <w:jc w:val="both"/>
        <w:rPr/>
      </w:pPr>
      <w:r>
        <w:rPr/>
        <w:t>“</w:t>
      </w:r>
      <w:r>
        <w:rPr>
          <w:rFonts w:ascii="Times" w:hAnsi="Times"/>
          <w:i/>
          <w:sz w:val="24"/>
        </w:rPr>
        <w:t xml:space="preserve">Land Assets” </w:t>
      </w:r>
      <w:r>
        <w:rPr>
          <w:rFonts w:ascii="Times" w:hAnsi="Times"/>
          <w:sz w:val="24"/>
        </w:rPr>
        <w:t xml:space="preserve">means any Property which is not an Asset Under Development and on which no significant improvements have been constructed; </w:t>
      </w:r>
      <w:r>
        <w:rPr>
          <w:rFonts w:ascii="Times" w:hAnsi="Times"/>
          <w:i/>
          <w:sz w:val="24"/>
        </w:rPr>
        <w:t xml:space="preserve">provided, </w:t>
      </w:r>
      <w:r>
        <w:rPr>
          <w:rFonts w:ascii="Times" w:hAnsi="Times"/>
          <w:sz w:val="24"/>
        </w:rPr>
        <w:t>that Property that is owned in fee by the Borrower or a Subsidiary thereof and is subject to a Ground Lease with Borrower or such Subsidiary as lessor, or that is adjacent to an Eligible Property but is undeveloped, shall not constitute “</w:t>
      </w:r>
      <w:r>
        <w:rPr>
          <w:rFonts w:ascii="Times" w:hAnsi="Times"/>
          <w:i/>
          <w:sz w:val="24"/>
        </w:rPr>
        <w:t>Land Assets”.</w:t>
      </w:r>
    </w:p>
    <w:p>
      <w:pPr>
        <w:pStyle w:val="TextBody"/>
        <w:bidi w:val="0"/>
        <w:spacing w:before="0" w:after="240"/>
        <w:ind w:left="0" w:right="0" w:firstLine="720"/>
        <w:jc w:val="both"/>
        <w:rPr/>
      </w:pPr>
      <w:r>
        <w:rPr/>
        <w:t>“</w:t>
      </w:r>
      <w:r>
        <w:rPr>
          <w:rFonts w:ascii="Times" w:hAnsi="Times"/>
          <w:i/>
          <w:sz w:val="24"/>
        </w:rPr>
        <w:t>L/C Issuer”</w:t>
      </w:r>
      <w:r>
        <w:rPr>
          <w:rFonts w:ascii="Times" w:hAnsi="Times"/>
          <w:sz w:val="24"/>
        </w:rPr>
        <w:t xml:space="preserve"> means KeyBank, in its capacity as the issuer of Letters of Credit hereunder, and its successors in such capacity as provided in Section 1.3(h) hereof.</w:t>
      </w:r>
    </w:p>
    <w:p>
      <w:pPr>
        <w:pStyle w:val="TextBody"/>
        <w:bidi w:val="0"/>
        <w:spacing w:before="0" w:after="240"/>
        <w:ind w:left="0" w:right="0" w:firstLine="720"/>
        <w:jc w:val="both"/>
        <w:rPr/>
      </w:pPr>
      <w:r>
        <w:rPr/>
        <w:t>“</w:t>
      </w:r>
      <w:r>
        <w:rPr>
          <w:rFonts w:ascii="Times" w:hAnsi="Times"/>
          <w:i/>
          <w:sz w:val="24"/>
        </w:rPr>
        <w:t>L/C Obligations”</w:t>
      </w:r>
      <w:r>
        <w:rPr>
          <w:rFonts w:ascii="Times" w:hAnsi="Times"/>
          <w:sz w:val="24"/>
        </w:rPr>
        <w:t xml:space="preserve"> means the aggregate undrawn face amounts of all outstanding Letters of Credit and all unpaid Reimbursement Obligations.</w:t>
      </w:r>
    </w:p>
    <w:p>
      <w:pPr>
        <w:pStyle w:val="TextBody"/>
        <w:bidi w:val="0"/>
        <w:spacing w:before="0" w:after="240"/>
        <w:ind w:left="0" w:right="0" w:firstLine="720"/>
        <w:jc w:val="both"/>
        <w:rPr/>
      </w:pPr>
      <w:r>
        <w:rPr/>
        <w:t>“</w:t>
      </w:r>
      <w:r>
        <w:rPr>
          <w:rFonts w:ascii="Times" w:hAnsi="Times"/>
          <w:i/>
          <w:sz w:val="24"/>
        </w:rPr>
        <w:t>L/C Sublimit”</w:t>
      </w:r>
      <w:r>
        <w:rPr>
          <w:rFonts w:ascii="Times" w:hAnsi="Times"/>
          <w:sz w:val="24"/>
        </w:rPr>
        <w:t xml:space="preserve"> means $40,000,000, as such amount may be reduced pursuant to the terms hereof.  </w:t>
      </w:r>
    </w:p>
    <w:p>
      <w:pPr>
        <w:pStyle w:val="TextBody"/>
        <w:bidi w:val="0"/>
        <w:spacing w:before="0" w:after="240"/>
        <w:ind w:left="0" w:right="0" w:firstLine="720"/>
        <w:jc w:val="both"/>
        <w:rPr/>
      </w:pPr>
      <w:r>
        <w:rPr/>
        <w:t>“</w:t>
      </w:r>
      <w:r>
        <w:rPr>
          <w:rFonts w:ascii="Times" w:hAnsi="Times"/>
          <w:i/>
          <w:sz w:val="24"/>
        </w:rPr>
        <w:t>Lease”</w:t>
      </w:r>
      <w:r>
        <w:rPr>
          <w:rFonts w:ascii="Times" w:hAnsi="Times"/>
          <w:sz w:val="24"/>
        </w:rPr>
        <w:t xml:space="preserve"> means each existing or future lease, sublease, license, or other agreement under the terms of which any Person has or acquires any right to occupy or use any Property of the Borrower or any Subsidiary, or any part thereof, or interest therein, as the same may be amended, supplemented or modified.</w:t>
      </w:r>
    </w:p>
    <w:p>
      <w:pPr>
        <w:pStyle w:val="TextBody"/>
        <w:bidi w:val="0"/>
        <w:spacing w:before="0" w:after="240"/>
        <w:ind w:left="0" w:right="0" w:firstLine="720"/>
        <w:jc w:val="both"/>
        <w:rPr/>
      </w:pPr>
      <w:r>
        <w:rPr/>
        <w:t>“</w:t>
      </w:r>
      <w:r>
        <w:rPr>
          <w:rFonts w:ascii="Times" w:hAnsi="Times"/>
          <w:i/>
          <w:sz w:val="24"/>
        </w:rPr>
        <w:t>Legal Requirement”</w:t>
      </w:r>
      <w:r>
        <w:rPr>
          <w:rFonts w:ascii="Times" w:hAnsi="Times"/>
          <w:sz w:val="24"/>
        </w:rPr>
        <w:t xml:space="preserve"> means any treaty, convention, statute, law, regulation, ordinance, license, permit, governmental approval, injunction, judgment, order, consent decree or other requirement of any governmental authority, whether federal, state, or local.</w:t>
      </w:r>
    </w:p>
    <w:p>
      <w:pPr>
        <w:pStyle w:val="TextBody"/>
        <w:bidi w:val="0"/>
        <w:spacing w:before="0" w:after="240"/>
        <w:ind w:left="0" w:right="0" w:firstLine="720"/>
        <w:jc w:val="both"/>
        <w:rPr/>
      </w:pPr>
      <w:r>
        <w:rPr/>
        <w:t>“</w:t>
      </w:r>
      <w:r>
        <w:rPr>
          <w:rFonts w:ascii="Times" w:hAnsi="Times"/>
          <w:i/>
          <w:sz w:val="24"/>
        </w:rPr>
        <w:t>Lenders”</w:t>
      </w:r>
      <w:r>
        <w:rPr>
          <w:rFonts w:ascii="Times" w:hAnsi="Times"/>
          <w:sz w:val="24"/>
        </w:rPr>
        <w:t xml:space="preserve"> means and includes KeyBank and the other financial institutions from time to time party to this Agreement, including each assignee Lender pursuant to Section 12.12 hereof and each Incremental Term Lender.</w:t>
      </w:r>
    </w:p>
    <w:p>
      <w:pPr>
        <w:pStyle w:val="TextBody"/>
        <w:bidi w:val="0"/>
        <w:spacing w:before="0" w:after="240"/>
        <w:ind w:left="0" w:right="0" w:firstLine="720"/>
        <w:jc w:val="both"/>
        <w:rPr/>
      </w:pPr>
      <w:r>
        <w:rPr/>
        <w:t>“</w:t>
      </w:r>
      <w:r>
        <w:rPr>
          <w:rFonts w:ascii="Times" w:hAnsi="Times"/>
          <w:i/>
          <w:sz w:val="24"/>
        </w:rPr>
        <w:t>Lending Office”</w:t>
      </w:r>
      <w:r>
        <w:rPr>
          <w:rFonts w:ascii="Times" w:hAnsi="Times"/>
          <w:sz w:val="24"/>
        </w:rPr>
        <w:t xml:space="preserve"> is defined in Section 10.4 hereof.</w:t>
      </w:r>
    </w:p>
    <w:p>
      <w:pPr>
        <w:pStyle w:val="TextBody"/>
        <w:bidi w:val="0"/>
        <w:spacing w:before="0" w:after="240"/>
        <w:ind w:left="0" w:right="0" w:firstLine="720"/>
        <w:jc w:val="both"/>
        <w:rPr/>
      </w:pPr>
      <w:r>
        <w:rPr/>
        <w:t>“</w:t>
      </w:r>
      <w:r>
        <w:rPr>
          <w:rFonts w:ascii="Times" w:hAnsi="Times"/>
          <w:i/>
          <w:sz w:val="24"/>
        </w:rPr>
        <w:t>Letter of Credit”</w:t>
      </w:r>
      <w:r>
        <w:rPr>
          <w:rFonts w:ascii="Times" w:hAnsi="Times"/>
          <w:sz w:val="24"/>
        </w:rPr>
        <w:t xml:space="preserve"> is defined in Section 1.3(a) hereof.</w:t>
      </w:r>
    </w:p>
    <w:p>
      <w:pPr>
        <w:pStyle w:val="TextBody"/>
        <w:bidi w:val="0"/>
        <w:spacing w:before="0" w:after="240"/>
        <w:ind w:left="0" w:right="0" w:firstLine="720"/>
        <w:jc w:val="both"/>
        <w:rPr/>
      </w:pPr>
      <w:r>
        <w:rPr/>
        <w:t>“</w:t>
      </w:r>
      <w:r>
        <w:rPr>
          <w:rFonts w:ascii="Times" w:hAnsi="Times"/>
          <w:i/>
          <w:sz w:val="24"/>
        </w:rPr>
        <w:t xml:space="preserve">Lien” </w:t>
      </w:r>
      <w:r>
        <w:rPr>
          <w:rFonts w:ascii="Times" w:hAnsi="Times"/>
          <w:sz w:val="24"/>
        </w:rPr>
        <w:t>means any mortgage, lien, security interest, pledge, charge or encumbrance of any kind in respect of any Property or other assets, including the interests of a vendor or lessor under any conditional sale, Capital Lease or other title retention arrangement.</w:t>
      </w:r>
    </w:p>
    <w:p>
      <w:pPr>
        <w:pStyle w:val="TextBody"/>
        <w:bidi w:val="0"/>
        <w:spacing w:before="0" w:after="240"/>
        <w:ind w:left="0" w:right="0" w:firstLine="720"/>
        <w:jc w:val="both"/>
        <w:rPr/>
      </w:pPr>
      <w:r>
        <w:rPr/>
        <w:t>“</w:t>
      </w:r>
      <w:r>
        <w:rPr>
          <w:rFonts w:ascii="Times" w:hAnsi="Times"/>
          <w:i/>
          <w:sz w:val="24"/>
        </w:rPr>
        <w:t xml:space="preserve">Loan” </w:t>
      </w:r>
      <w:r>
        <w:rPr>
          <w:rFonts w:ascii="Times" w:hAnsi="Times"/>
          <w:sz w:val="24"/>
        </w:rPr>
        <w:t xml:space="preserve">means any Revolving Loan, Term Loan or Incremental Term Loan whether outstanding as a Base Rate Loan, Daily Simple SOFR Loan, or Term SOFR Loan, each of which is a “type” of Loan hereunder. </w:t>
      </w:r>
    </w:p>
    <w:p>
      <w:pPr>
        <w:pStyle w:val="TextBody"/>
        <w:bidi w:val="0"/>
        <w:spacing w:before="0" w:after="0"/>
        <w:ind w:left="0" w:right="0" w:firstLine="720"/>
        <w:jc w:val="both"/>
        <w:rPr/>
      </w:pPr>
      <w:r>
        <w:rPr/>
        <w:t>“</w:t>
      </w:r>
      <w:r>
        <w:rPr>
          <w:rFonts w:ascii="Times" w:hAnsi="Times"/>
          <w:i/>
          <w:sz w:val="24"/>
        </w:rPr>
        <w:t>Loan Documents”</w:t>
      </w:r>
      <w:r>
        <w:rPr>
          <w:rFonts w:ascii="Times" w:hAnsi="Times"/>
          <w:sz w:val="24"/>
        </w:rPr>
        <w:t xml:space="preserve"> means this Agreement, the Notes (if any), the Applications, the Guaranties, each Incremental Term Loan Amendment, and each other instrument or document to be delivered hereunder or thereunder or otherwise in connection therewith.  Deposit account agreements, cash management agreements and other documents executed in connection with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Funds Transfer and Deposit Account Liability (other than deposit account control agreements, if any) are not Loan Documents hereunder.</w:t>
      </w:r>
    </w:p>
    <w:p>
      <w:pPr>
        <w:pStyle w:val="TextBody"/>
        <w:bidi w:val="0"/>
        <w:spacing w:before="0" w:after="240"/>
        <w:ind w:left="0" w:right="0" w:firstLine="720"/>
        <w:jc w:val="both"/>
        <w:rPr/>
      </w:pPr>
      <w:r>
        <w:rPr/>
        <w:t>“</w:t>
      </w:r>
      <w:r>
        <w:rPr>
          <w:rFonts w:ascii="Times" w:hAnsi="Times"/>
          <w:i/>
          <w:sz w:val="24"/>
        </w:rPr>
        <w:t>Loan Party</w:t>
      </w:r>
      <w:r>
        <w:rPr>
          <w:rFonts w:ascii="Times" w:hAnsi="Times"/>
          <w:sz w:val="24"/>
        </w:rPr>
        <w:t>” means the Borrower and each Guarantor.</w:t>
      </w:r>
    </w:p>
    <w:p>
      <w:pPr>
        <w:pStyle w:val="TextBody"/>
        <w:bidi w:val="0"/>
        <w:spacing w:before="0" w:after="240"/>
        <w:ind w:left="0" w:right="0" w:firstLine="720"/>
        <w:jc w:val="both"/>
        <w:rPr/>
      </w:pPr>
      <w:r>
        <w:rPr/>
        <w:t>“</w:t>
      </w:r>
      <w:r>
        <w:rPr>
          <w:rFonts w:ascii="Times" w:hAnsi="Times"/>
          <w:i/>
          <w:sz w:val="24"/>
        </w:rPr>
        <w:t>Material Acquisition</w:t>
      </w:r>
      <w:r>
        <w:rPr>
          <w:rFonts w:ascii="Times" w:hAnsi="Times"/>
          <w:sz w:val="24"/>
        </w:rPr>
        <w:t>”  means any single transaction or series of related transactions for the purpose of, or resulting, directly or indirectly, in, the acquisition (including, without limitation, a merger or consolidation or any other combination with another Person) of a Person or assets by the Borrower (directly or indirectly) that has a gross purchase price equal to or greater than ten percent (10.0%) of the then current Total Asset Value (without giving effect to such transactions).</w:t>
      </w:r>
    </w:p>
    <w:p>
      <w:pPr>
        <w:pStyle w:val="TextBody"/>
        <w:bidi w:val="0"/>
        <w:spacing w:before="0" w:after="240"/>
        <w:ind w:left="0" w:right="0" w:firstLine="720"/>
        <w:jc w:val="both"/>
        <w:rPr/>
      </w:pPr>
      <w:r>
        <w:rPr/>
        <w:t>“</w:t>
      </w:r>
      <w:r>
        <w:rPr>
          <w:rFonts w:ascii="Times" w:hAnsi="Times"/>
          <w:i/>
          <w:sz w:val="24"/>
        </w:rPr>
        <w:t>Material Adverse Effect”</w:t>
      </w:r>
      <w:r>
        <w:rPr>
          <w:rFonts w:ascii="Times" w:hAnsi="Times"/>
          <w:sz w:val="24"/>
        </w:rPr>
        <w:t xml:space="preserve"> means (a) a material adverse change in, or material adverse effect upon, the operations, business, Property, assets, or financial condition of the Borrower or of the Borrower and its Subsidiaries taken as a whole, (b) a material impairment of the ability of the Borrower or any Guarantor to perform its obligations under any Loan Document or (c) a material adverse effect upon the legality, validity, binding effect or enforceability against the Borrower or any Guarantor of any Loan Document or the rights and remedies of the Administrative Agent and the Lenders thereunder.</w:t>
      </w:r>
    </w:p>
    <w:p>
      <w:pPr>
        <w:pStyle w:val="TextBody"/>
        <w:bidi w:val="0"/>
        <w:spacing w:before="0" w:after="240"/>
        <w:ind w:left="0" w:right="0" w:firstLine="720"/>
        <w:jc w:val="both"/>
        <w:rPr/>
      </w:pPr>
      <w:r>
        <w:rPr/>
        <w:t>“</w:t>
      </w:r>
      <w:r>
        <w:rPr>
          <w:rFonts w:ascii="Times" w:hAnsi="Times"/>
          <w:i/>
          <w:sz w:val="24"/>
        </w:rPr>
        <w:t>Material Subsidiary”</w:t>
      </w:r>
      <w:r>
        <w:rPr>
          <w:rFonts w:ascii="Times" w:hAnsi="Times"/>
          <w:sz w:val="24"/>
        </w:rPr>
        <w:t xml:space="preserve"> means, each Subsidiary that owns an Eligible Asset included in the Unencumbered Asset Value.</w:t>
      </w:r>
    </w:p>
    <w:p>
      <w:pPr>
        <w:pStyle w:val="TextBody"/>
        <w:bidi w:val="0"/>
        <w:spacing w:before="0" w:after="240"/>
        <w:ind w:left="0" w:right="0" w:firstLine="720"/>
        <w:jc w:val="both"/>
        <w:rPr/>
      </w:pPr>
      <w:r>
        <w:rPr/>
        <w:t>“</w:t>
      </w:r>
      <w:r>
        <w:rPr>
          <w:rFonts w:ascii="Times" w:hAnsi="Times"/>
          <w:i/>
          <w:sz w:val="24"/>
        </w:rPr>
        <w:t>Maturity Date’</w:t>
      </w:r>
      <w:r>
        <w:rPr>
          <w:rFonts w:ascii="Times" w:hAnsi="Times"/>
          <w:sz w:val="24"/>
        </w:rPr>
        <w:t xml:space="preserve"> means, (i) with respect to the Revolving Facility, the Revolving Credit Termination Date and (ii) with respect to any Term Facility, the Term Loan Maturity Date applicable to such Term Facility.</w:t>
      </w:r>
    </w:p>
    <w:p>
      <w:pPr>
        <w:pStyle w:val="TextBody"/>
        <w:bidi w:val="0"/>
        <w:spacing w:before="0" w:after="240"/>
        <w:ind w:left="0" w:right="0" w:firstLine="720"/>
        <w:jc w:val="both"/>
        <w:rPr/>
      </w:pPr>
      <w:r>
        <w:rPr/>
        <w:t>“</w:t>
      </w:r>
      <w:r>
        <w:rPr>
          <w:rFonts w:ascii="Times" w:hAnsi="Times"/>
          <w:i/>
          <w:sz w:val="24"/>
        </w:rPr>
        <w:t>Moody’s”</w:t>
      </w:r>
      <w:r>
        <w:rPr>
          <w:rFonts w:ascii="Times" w:hAnsi="Times"/>
          <w:sz w:val="24"/>
        </w:rPr>
        <w:t xml:space="preserve"> means Moody’s Investors Service, Inc., or any successor thereof. </w:t>
      </w:r>
    </w:p>
    <w:p>
      <w:pPr>
        <w:pStyle w:val="TextBody"/>
        <w:bidi w:val="0"/>
        <w:spacing w:before="0" w:after="240"/>
        <w:ind w:left="0" w:right="0" w:firstLine="720"/>
        <w:jc w:val="both"/>
        <w:rPr/>
      </w:pPr>
      <w:r>
        <w:rPr/>
        <w:t>“</w:t>
      </w:r>
      <w:r>
        <w:rPr>
          <w:rFonts w:ascii="Times" w:hAnsi="Times"/>
          <w:i/>
          <w:sz w:val="24"/>
        </w:rPr>
        <w:t>Mortgage Receivable</w:t>
      </w:r>
      <w:r>
        <w:rPr>
          <w:rFonts w:ascii="Times" w:hAnsi="Times"/>
          <w:sz w:val="24"/>
        </w:rPr>
        <w:t xml:space="preserve">” means a note receivable representing indebtedness owed to the Borrower or one of the Borrower’s Subsidiaries which is secured by a mortgage, deed of trust, deed to secure debt or other similar instrument granting a Lien (subject only to Permitted Liens) as security for the payment of such indebtedness on one or more Properties having a value in excess of the amount of all indebtedness secured by such instrument, </w:t>
      </w:r>
      <w:r>
        <w:rPr>
          <w:rFonts w:ascii="Times" w:hAnsi="Times"/>
          <w:i/>
          <w:sz w:val="24"/>
        </w:rPr>
        <w:t>provided</w:t>
      </w:r>
      <w:r>
        <w:rPr>
          <w:rFonts w:ascii="Times" w:hAnsi="Times"/>
          <w:sz w:val="24"/>
        </w:rPr>
        <w:t>, for the avoidance of doubt, calculations hereunder with respect to Mortgage Receivables shall refer to the amount of such indebtedness net of any obligations under any participation agreements related thereto.</w:t>
      </w:r>
    </w:p>
    <w:p>
      <w:pPr>
        <w:pStyle w:val="TextBody"/>
        <w:bidi w:val="0"/>
        <w:spacing w:before="0" w:after="240"/>
        <w:ind w:left="0" w:right="0" w:firstLine="720"/>
        <w:jc w:val="both"/>
        <w:rPr/>
      </w:pPr>
      <w:r>
        <w:rPr/>
        <w:t>“</w:t>
      </w:r>
      <w:r>
        <w:rPr>
          <w:rFonts w:ascii="Times" w:hAnsi="Times"/>
          <w:i/>
          <w:sz w:val="24"/>
        </w:rPr>
        <w:t>MSA”</w:t>
      </w:r>
      <w:r>
        <w:rPr>
          <w:rFonts w:ascii="Times" w:hAnsi="Times"/>
          <w:sz w:val="24"/>
        </w:rPr>
        <w:t xml:space="preserve"> means any major metropolitan area of the United States of America that has a population size that is in the fifty (50) largest metropolitan areas of the United States of America.</w:t>
      </w:r>
    </w:p>
    <w:p>
      <w:pPr>
        <w:pStyle w:val="TextBody"/>
        <w:bidi w:val="0"/>
        <w:spacing w:before="0" w:after="240"/>
        <w:ind w:left="0" w:right="0" w:firstLine="720"/>
        <w:jc w:val="both"/>
        <w:rPr/>
      </w:pPr>
      <w:r>
        <w:rPr/>
        <w:t>“</w:t>
      </w:r>
      <w:r>
        <w:rPr>
          <w:rFonts w:ascii="Times" w:hAnsi="Times"/>
          <w:i/>
          <w:sz w:val="24"/>
        </w:rPr>
        <w:t>New Mexico Office Property</w:t>
      </w:r>
      <w:r>
        <w:rPr>
          <w:rFonts w:ascii="Times" w:hAnsi="Times"/>
          <w:sz w:val="24"/>
        </w:rPr>
        <w:t>” means that certain office property located in Albuquerque, New Mexico, comprising approximately 212,409 square feet leased as of the Restatement Date to Fidelity and the State of New Mexico.</w:t>
      </w:r>
    </w:p>
    <w:p>
      <w:pPr>
        <w:pStyle w:val="TextBody"/>
        <w:bidi w:val="0"/>
        <w:spacing w:before="0" w:after="240"/>
        <w:ind w:left="0" w:right="0" w:firstLine="720"/>
        <w:jc w:val="both"/>
        <w:rPr/>
      </w:pPr>
      <w:r>
        <w:rPr/>
        <w:t>“</w:t>
      </w:r>
      <w:r>
        <w:rPr>
          <w:rFonts w:ascii="Times" w:hAnsi="Times"/>
          <w:i/>
          <w:sz w:val="24"/>
        </w:rPr>
        <w:t>Non-Defaulting Lender</w:t>
      </w:r>
      <w:r>
        <w:rPr>
          <w:rFonts w:ascii="Times" w:hAnsi="Times"/>
          <w:sz w:val="24"/>
        </w:rPr>
        <w:t>” means a Lender that is not a Defaulting Lender.</w:t>
      </w:r>
    </w:p>
    <w:p>
      <w:pPr>
        <w:pStyle w:val="TextBody"/>
        <w:bidi w:val="0"/>
        <w:spacing w:before="0" w:after="240"/>
        <w:ind w:left="0" w:right="0" w:firstLine="720"/>
        <w:jc w:val="both"/>
        <w:rPr/>
      </w:pPr>
      <w:r>
        <w:rPr/>
        <w:t>“</w:t>
      </w:r>
      <w:r>
        <w:rPr>
          <w:rFonts w:ascii="Times" w:hAnsi="Times"/>
          <w:i/>
          <w:sz w:val="24"/>
        </w:rPr>
        <w:t>Note”</w:t>
      </w:r>
      <w:r>
        <w:rPr>
          <w:rFonts w:ascii="Times" w:hAnsi="Times"/>
          <w:sz w:val="24"/>
        </w:rPr>
        <w:t xml:space="preserve"> and “</w:t>
      </w:r>
      <w:r>
        <w:rPr>
          <w:rFonts w:ascii="Times" w:hAnsi="Times"/>
          <w:i/>
          <w:sz w:val="24"/>
        </w:rPr>
        <w:t>Notes”</w:t>
      </w:r>
      <w:r>
        <w:rPr>
          <w:rFonts w:ascii="Times" w:hAnsi="Times"/>
          <w:sz w:val="24"/>
        </w:rPr>
        <w:t xml:space="preserve"> are defined in Section 1.10(d) 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Obligations”</w:t>
      </w:r>
      <w:r>
        <w:rPr>
          <w:rFonts w:ascii="Times" w:hAnsi="Times"/>
          <w:sz w:val="24"/>
        </w:rPr>
        <w:t xml:space="preserve"> means all obligations of the Borrower to pay principal and interest on the Loans, all Reimbursement Obligations owing under the Applications, all fees and charges payable hereunder, all other payment obligations of the Borrower or any of its Subsidiaries arising under or in relation to any Loan Document and all Hedging Liability, in each case whether now existing or hereafter arising, due or to become due, direct or indirect, absolute or contingent, and howsoever evidenced, held or acquired.  For the avoidance of doubt, Obligations shall not include any Funds Transfer and Deposit Account Liability.</w:t>
      </w:r>
    </w:p>
    <w:p>
      <w:pPr>
        <w:pStyle w:val="TextBody"/>
        <w:bidi w:val="0"/>
        <w:spacing w:before="0" w:after="240"/>
        <w:ind w:left="0" w:right="0" w:firstLine="720"/>
        <w:jc w:val="both"/>
        <w:rPr/>
      </w:pPr>
      <w:r>
        <w:rPr/>
        <w:t>“</w:t>
      </w:r>
      <w:r>
        <w:rPr>
          <w:rFonts w:ascii="Times" w:hAnsi="Times"/>
          <w:i/>
          <w:sz w:val="24"/>
        </w:rPr>
        <w:t>OFAC</w:t>
      </w:r>
      <w:r>
        <w:rPr>
          <w:rFonts w:ascii="Times" w:hAnsi="Times"/>
          <w:sz w:val="24"/>
        </w:rPr>
        <w:t>” means the United States Department of Treasury Office of Foreign Assets Control.</w:t>
      </w:r>
    </w:p>
    <w:p>
      <w:pPr>
        <w:pStyle w:val="TextBody"/>
        <w:bidi w:val="0"/>
        <w:spacing w:before="0" w:after="240"/>
        <w:ind w:left="0" w:right="0" w:firstLine="720"/>
        <w:jc w:val="both"/>
        <w:rPr/>
      </w:pPr>
      <w:bookmarkStart w:id="69" w:name="_Hlk219718806"/>
      <w:bookmarkEnd w:id="69"/>
      <w:r>
        <w:rPr/>
        <w:t>“</w:t>
      </w:r>
      <w:r>
        <w:rPr>
          <w:rFonts w:ascii="Times" w:hAnsi="Times"/>
          <w:i/>
          <w:sz w:val="24"/>
        </w:rPr>
        <w:t xml:space="preserve">OP Units” </w:t>
      </w:r>
      <w:r>
        <w:rPr>
          <w:rFonts w:ascii="Times" w:hAnsi="Times"/>
          <w:sz w:val="24"/>
        </w:rPr>
        <w:t>means limited partnership units of Alpine Income Property OP, LP, a Delaware limited partnership, which units are convertible into shares of Alpine’s common stock.</w:t>
      </w:r>
    </w:p>
    <w:p>
      <w:pPr>
        <w:pStyle w:val="TextBody"/>
        <w:bidi w:val="0"/>
        <w:spacing w:before="0" w:after="240"/>
        <w:ind w:left="0" w:right="0" w:firstLine="720"/>
        <w:jc w:val="both"/>
        <w:rPr/>
      </w:pPr>
      <w:r>
        <w:rPr/>
        <w:t>“</w:t>
      </w:r>
      <w:r>
        <w:rPr>
          <w:rFonts w:ascii="Times" w:hAnsi="Times"/>
          <w:i/>
          <w:sz w:val="24"/>
        </w:rPr>
        <w:t>Original Credit Agreement”</w:t>
      </w:r>
      <w:r>
        <w:rPr>
          <w:rFonts w:ascii="Times" w:hAnsi="Times"/>
          <w:sz w:val="24"/>
        </w:rPr>
        <w:t xml:space="preserve"> is defined in the Recitals to this Agreement.</w:t>
      </w:r>
    </w:p>
    <w:p>
      <w:pPr>
        <w:pStyle w:val="TextBody"/>
        <w:bidi w:val="0"/>
        <w:spacing w:before="0" w:after="240"/>
        <w:ind w:left="0" w:right="0" w:firstLine="720"/>
        <w:jc w:val="both"/>
        <w:rPr>
          <w:rFonts w:ascii="Times" w:hAnsi="Times"/>
          <w:sz w:val="24"/>
        </w:rPr>
      </w:pPr>
      <w:r>
        <w:rPr>
          <w:rFonts w:ascii="Times" w:hAnsi="Times"/>
          <w:i/>
          <w:sz w:val="24"/>
        </w:rPr>
        <w:t xml:space="preserve">"Other Approved Type” </w:t>
      </w:r>
      <w:r>
        <w:rPr>
          <w:rFonts w:ascii="Times" w:hAnsi="Times"/>
          <w:sz w:val="24"/>
        </w:rPr>
        <w:t>means a property type other than a retail asset or a Retail Mixed-Use Property that is approved by Administrative Agent with respect to Eligible Mortgage Receivables.</w:t>
      </w:r>
    </w:p>
    <w:p>
      <w:pPr>
        <w:pStyle w:val="TextBody"/>
        <w:bidi w:val="0"/>
        <w:spacing w:before="0" w:after="240"/>
        <w:ind w:left="0" w:right="0" w:firstLine="720"/>
        <w:jc w:val="both"/>
        <w:rPr/>
      </w:pPr>
      <w:r>
        <w:rPr/>
        <w:t>“</w:t>
      </w:r>
      <w:r>
        <w:rPr>
          <w:rFonts w:ascii="Times" w:hAnsi="Times"/>
          <w:i/>
          <w:sz w:val="24"/>
        </w:rPr>
        <w:t xml:space="preserve">Other Connection Taxes” </w:t>
      </w:r>
      <w:r>
        <w:rPr>
          <w:rFonts w:ascii="Times" w:hAnsi="Times"/>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bookmarkStart w:id="70" w:name="_Hlk219717753"/>
      <w:bookmarkEnd w:id="70"/>
      <w:r>
        <w:rPr/>
        <w:t>“</w:t>
      </w:r>
      <w:r>
        <w:rPr>
          <w:rFonts w:ascii="Times" w:hAnsi="Times"/>
          <w:i/>
          <w:sz w:val="24"/>
        </w:rPr>
        <w:t>Other Structured Investments</w:t>
      </w:r>
      <w:r>
        <w:rPr>
          <w:rFonts w:ascii="Times" w:hAnsi="Times"/>
          <w:sz w:val="24"/>
        </w:rPr>
        <w:t xml:space="preserve">” means investments in commercial real estate consisting of structured debt products, preferred equity, mortgage loans (other than leases structured as mortgages due to reimbursement requirements and excluding First Mortgage Loans), mezzanine loans and notes receivable. </w:t>
      </w:r>
    </w:p>
    <w:p>
      <w:pPr>
        <w:pStyle w:val="TextBody"/>
        <w:bidi w:val="0"/>
        <w:spacing w:before="0" w:after="240"/>
        <w:ind w:left="0" w:right="0" w:firstLine="720"/>
        <w:jc w:val="both"/>
        <w:rPr/>
      </w:pPr>
      <w:r>
        <w:rPr/>
        <w:t>“</w:t>
      </w:r>
      <w:r>
        <w:rPr>
          <w:rFonts w:ascii="Times" w:hAnsi="Times"/>
          <w:i/>
          <w:sz w:val="24"/>
        </w:rPr>
        <w:t>Other Taxes</w:t>
      </w:r>
      <w:r>
        <w:rPr>
          <w:rFonts w:ascii="Times" w:hAnsi="Times"/>
          <w:sz w:val="24"/>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1.13 hereof).</w:t>
      </w:r>
    </w:p>
    <w:p>
      <w:pPr>
        <w:pStyle w:val="TextBody"/>
        <w:bidi w:val="0"/>
        <w:spacing w:before="0" w:after="240"/>
        <w:ind w:left="0" w:right="0" w:firstLine="720"/>
        <w:jc w:val="both"/>
        <w:rPr/>
      </w:pPr>
      <w:r>
        <w:rPr/>
        <w:t>“</w:t>
      </w:r>
      <w:r>
        <w:rPr>
          <w:rFonts w:ascii="Times" w:hAnsi="Times"/>
          <w:i/>
          <w:sz w:val="24"/>
        </w:rPr>
        <w:t xml:space="preserve">Other Unsecured Indebtedness” </w:t>
      </w:r>
      <w:r>
        <w:rPr>
          <w:rFonts w:ascii="Times" w:hAnsi="Times"/>
          <w:sz w:val="24"/>
        </w:rPr>
        <w:t xml:space="preserve">means any Unsecured Indebtedness (not including the Obligations) that is </w:t>
      </w:r>
      <w:r>
        <w:rPr>
          <w:rFonts w:ascii="Times" w:hAnsi="Times"/>
          <w:i/>
          <w:sz w:val="24"/>
        </w:rPr>
        <w:t>pari passu</w:t>
      </w:r>
      <w:r>
        <w:rPr>
          <w:rFonts w:ascii="Times" w:hAnsi="Times"/>
          <w:sz w:val="24"/>
        </w:rPr>
        <w:t xml:space="preserve"> with or structurally senior to the Obligations and is recourse to the Borrower.</w:t>
      </w:r>
    </w:p>
    <w:p>
      <w:pPr>
        <w:pStyle w:val="TextBody"/>
        <w:bidi w:val="0"/>
        <w:spacing w:before="0" w:after="240"/>
        <w:ind w:left="0" w:right="0" w:firstLine="720"/>
        <w:jc w:val="both"/>
        <w:rPr/>
      </w:pPr>
      <w:r>
        <w:rPr/>
        <w:t>“</w:t>
      </w:r>
      <w:r>
        <w:rPr>
          <w:rFonts w:ascii="Times" w:hAnsi="Times"/>
          <w:i/>
          <w:sz w:val="24"/>
        </w:rPr>
        <w:t>Outbound Investment Rules</w:t>
      </w:r>
      <w:r>
        <w:rPr>
          <w:rFonts w:ascii="Times" w:hAnsi="Times"/>
          <w:sz w:val="24"/>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 xml:space="preserve">Ownership Share” </w:t>
      </w:r>
      <w:r>
        <w:rPr>
          <w:rFonts w:ascii="Times" w:hAnsi="Times"/>
          <w:sz w:val="24"/>
        </w:rPr>
        <w:t>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or (b)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pStyle w:val="TextBody"/>
        <w:bidi w:val="0"/>
        <w:spacing w:before="0" w:after="240"/>
        <w:ind w:left="0" w:right="0" w:firstLine="720"/>
        <w:jc w:val="both"/>
        <w:rPr/>
      </w:pPr>
      <w:r>
        <w:rPr/>
        <w:t>“</w:t>
      </w:r>
      <w:r>
        <w:rPr>
          <w:rFonts w:ascii="Times" w:hAnsi="Times"/>
          <w:i/>
          <w:sz w:val="24"/>
        </w:rPr>
        <w:t>Participating Interest”</w:t>
      </w:r>
      <w:r>
        <w:rPr>
          <w:rFonts w:ascii="Times" w:hAnsi="Times"/>
          <w:sz w:val="24"/>
        </w:rPr>
        <w:t xml:space="preserve"> is defined in Section 1.3(e) hereof.</w:t>
      </w:r>
    </w:p>
    <w:p>
      <w:pPr>
        <w:pStyle w:val="TextBody"/>
        <w:bidi w:val="0"/>
        <w:spacing w:before="0" w:after="240"/>
        <w:ind w:left="0" w:right="0" w:firstLine="720"/>
        <w:jc w:val="both"/>
        <w:rPr/>
      </w:pPr>
      <w:r>
        <w:rPr/>
        <w:t>“</w:t>
      </w:r>
      <w:r>
        <w:rPr>
          <w:rFonts w:ascii="Times" w:hAnsi="Times"/>
          <w:i/>
          <w:sz w:val="24"/>
        </w:rPr>
        <w:t>Participating Lender”</w:t>
      </w:r>
      <w:r>
        <w:rPr>
          <w:rFonts w:ascii="Times" w:hAnsi="Times"/>
          <w:sz w:val="24"/>
        </w:rPr>
        <w:t xml:space="preserve"> is defined in Section 1.3(e) hereof.</w:t>
      </w:r>
    </w:p>
    <w:p>
      <w:pPr>
        <w:pStyle w:val="TextBody"/>
        <w:bidi w:val="0"/>
        <w:spacing w:lineRule="atLeast" w:line="280" w:before="0" w:after="0"/>
        <w:ind w:left="0" w:right="0" w:firstLine="720"/>
        <w:jc w:val="both"/>
        <w:rPr/>
      </w:pPr>
      <w:r>
        <w:rPr/>
        <w:t>“</w:t>
      </w:r>
      <w:r>
        <w:rPr>
          <w:rFonts w:ascii="Times New Roman;Times;serif" w:hAnsi="Times New Roman;Times;serif"/>
          <w:i/>
          <w:sz w:val="24"/>
        </w:rPr>
        <w:t>Patriot Act”</w:t>
      </w:r>
      <w:r>
        <w:rPr>
          <w:rFonts w:ascii="Times New Roman;Times;serif" w:hAnsi="Times New Roman;Times;serif"/>
          <w:sz w:val="24"/>
        </w:rPr>
        <w:t xml:space="preserve"> means the Uniting and Strengthening America by Providing Appropriate Tools Required to Intercept and Obstruct Terrorism Act of 2001, Pub. L. 107-56.</w:t>
      </w:r>
    </w:p>
    <w:p>
      <w:pPr>
        <w:pStyle w:val="TextBody"/>
        <w:bidi w:val="0"/>
        <w:spacing w:lineRule="atLeast" w:line="280" w:before="280" w:after="0"/>
        <w:ind w:left="0" w:right="0" w:firstLine="720"/>
        <w:jc w:val="both"/>
        <w:rPr/>
      </w:pPr>
      <w:r>
        <w:rPr/>
        <w:t>“</w:t>
      </w:r>
      <w:r>
        <w:rPr>
          <w:rFonts w:ascii="Times New Roman;Times;serif" w:hAnsi="Times New Roman;Times;serif"/>
          <w:i/>
          <w:sz w:val="24"/>
        </w:rPr>
        <w:t>Payment Recipient</w:t>
      </w:r>
      <w:r>
        <w:rPr>
          <w:rFonts w:ascii="Times New Roman;Times;serif" w:hAnsi="Times New Roman;Times;serif"/>
          <w:sz w:val="24"/>
        </w:rPr>
        <w:t>” has the meaning assigned to such term in Section 12.30(a).</w:t>
      </w:r>
    </w:p>
    <w:p>
      <w:pPr>
        <w:pStyle w:val="TextBody"/>
        <w:bidi w:val="0"/>
        <w:spacing w:lineRule="atLeast" w:line="280" w:before="280" w:after="0"/>
        <w:ind w:left="0" w:right="0" w:firstLine="720"/>
        <w:jc w:val="both"/>
        <w:rPr/>
      </w:pPr>
      <w:r>
        <w:rPr/>
        <w:t>“</w:t>
      </w:r>
      <w:r>
        <w:rPr>
          <w:rFonts w:ascii="Times New Roman;Times;serif" w:hAnsi="Times New Roman;Times;serif"/>
          <w:i/>
          <w:sz w:val="24"/>
        </w:rPr>
        <w:t>PBGC”</w:t>
      </w:r>
      <w:r>
        <w:rPr>
          <w:rFonts w:ascii="Times New Roman;Times;serif" w:hAnsi="Times New Roman;Times;serif"/>
          <w:sz w:val="24"/>
        </w:rPr>
        <w:t xml:space="preserve"> means the Pension Benefit Guaranty Corporation or any Person succeeding to any or all of its functions under ERISA.</w:t>
      </w:r>
    </w:p>
    <w:p>
      <w:pPr>
        <w:pStyle w:val="TextBody"/>
        <w:bidi w:val="0"/>
        <w:spacing w:lineRule="atLeast" w:line="280" w:before="280" w:after="0"/>
        <w:ind w:left="0" w:right="0" w:firstLine="720"/>
        <w:jc w:val="both"/>
        <w:rPr/>
      </w:pPr>
      <w:r>
        <w:rPr/>
        <w:t>“</w:t>
      </w:r>
      <w:r>
        <w:rPr>
          <w:rFonts w:ascii="Times New Roman;Times;serif" w:hAnsi="Times New Roman;Times;serif"/>
          <w:i/>
          <w:sz w:val="24"/>
        </w:rPr>
        <w:t>Permitted Liens”</w:t>
      </w:r>
      <w:r>
        <w:rPr>
          <w:rFonts w:ascii="Times New Roman;Times;serif" w:hAnsi="Times New Roman;Times;serif"/>
          <w:sz w:val="24"/>
        </w:rPr>
        <w:t xml:space="preserve"> means each of the following:  (a) Liens for taxes, assessments and governmental charges or levies to the extent not required to be paid under Section 8.3; (b) Liens imposed by law, such as materialmen’s, mechanics’, carriers’, workmen’s and repairmen’s Liens and other similar Liens arising in the ordinary course of business securing obligations that are not overdue or that are being contested in good faith and by proper proceedings and as to which appropriate reserves are being maintained; (c) pledges or deposits to secure obligations under workers’ compensation laws or similar legislation or to secure public or statutory obligations; (d) easements, zoning restrictions, rights of way and other encumbrances on title to real property that, in the aggregate, do not materially and adversely affect the value of such property or the use of such property for its present purposes; (e) deposits to secure the performance of bids, trade contracts (other than for borrowed money), leases, statutory obligations, surety and appeal bonds, performance bonds and other obligations of like nature incurred in the ordinary course of business; (f) Liens in favor of the United States of America for amounts paid to the Borrower or any Subsidiary as progress payments under government contracts entered into by it; (g) attachment, judgment and other similar Liens arising in connection with court, reference or arbitration proceedings, provided that the same have been in existence less than twenty (20) days, that the same have been discharged or that execution or enforcement thereof has been stayed pending appeal; (h) the rights of tenants or lessees under leases or subleases not interfering with the ordinary conduct of business of such Person; (i) Liens in favor of the Administrative Agent for its benefit and the benefit of the Lenders and the L/C Issuer; (j) Liens in favor of the Borrower or a Guarantor securing obligations owing by a Subsidiary to the Borrower or a Guarantor, which obligations have been subordinated to the obligations owing by the Borrower and the Guarantors under the Loan Documents on terms satisfactory to the Administrative Agent; (k) Liens in existence as of the Restatement Date and set forth in Schedule 8.7; and (l) Liens on Properties and other assets that are not Unencumbered Assets.  For the avoidance of doubt, no Ground Lease with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80" w:before="0" w:after="240"/>
        <w:ind w:left="0" w:right="0" w:hanging="0"/>
        <w:jc w:val="both"/>
        <w:rPr>
          <w:rFonts w:ascii="Times New Roman;Times;serif" w:hAnsi="Times New Roman;Times;serif"/>
          <w:sz w:val="24"/>
        </w:rPr>
      </w:pPr>
      <w:r>
        <w:rPr>
          <w:rFonts w:ascii="Times New Roman;Times;serif" w:hAnsi="Times New Roman;Times;serif"/>
          <w:sz w:val="24"/>
        </w:rPr>
        <w:t>Borrower or a Subsidiary thereof as lessor may be made subordinate to any Liens or Indebtedness of any Person without the prior written consent of the Administrative Agent.</w:t>
      </w:r>
    </w:p>
    <w:p>
      <w:pPr>
        <w:pStyle w:val="TextBody"/>
        <w:bidi w:val="0"/>
        <w:spacing w:before="0" w:after="240"/>
        <w:ind w:left="0" w:right="0" w:firstLine="720"/>
        <w:jc w:val="both"/>
        <w:rPr/>
      </w:pPr>
      <w:r>
        <w:rPr/>
        <w:t>“</w:t>
      </w:r>
      <w:r>
        <w:rPr>
          <w:rFonts w:ascii="Times" w:hAnsi="Times"/>
          <w:i/>
          <w:sz w:val="24"/>
        </w:rPr>
        <w:t>Person”</w:t>
      </w:r>
      <w:r>
        <w:rPr>
          <w:rFonts w:ascii="Times" w:hAnsi="Times"/>
          <w:sz w:val="24"/>
        </w:rPr>
        <w:t xml:space="preserve"> means an individual, partnership, corporation, limited liability company, association, trust, unincorporated organization or any other entity or organization, including a government or agency or political subdivision thereof.</w:t>
      </w:r>
    </w:p>
    <w:p>
      <w:pPr>
        <w:pStyle w:val="TextBody"/>
        <w:bidi w:val="0"/>
        <w:spacing w:before="0" w:after="240"/>
        <w:ind w:left="0" w:right="0" w:firstLine="720"/>
        <w:jc w:val="both"/>
        <w:rPr/>
      </w:pPr>
      <w:r>
        <w:rPr/>
        <w:t>“</w:t>
      </w:r>
      <w:r>
        <w:rPr>
          <w:rFonts w:ascii="Times" w:hAnsi="Times"/>
          <w:i/>
          <w:sz w:val="24"/>
        </w:rPr>
        <w:t xml:space="preserve">PINE Common Equity” </w:t>
      </w:r>
      <w:r>
        <w:rPr>
          <w:rFonts w:ascii="Times" w:hAnsi="Times"/>
          <w:sz w:val="24"/>
        </w:rPr>
        <w:t>means common stock of Alpine, publicly traded on the New York Stock Exchange under the trading symbol “PINE” owned by Borrower or a Material Subsidiary.</w:t>
      </w:r>
    </w:p>
    <w:p>
      <w:pPr>
        <w:pStyle w:val="TextBody"/>
        <w:bidi w:val="0"/>
        <w:spacing w:before="0" w:after="240"/>
        <w:ind w:left="0" w:right="0" w:firstLine="720"/>
        <w:jc w:val="both"/>
        <w:rPr/>
      </w:pPr>
      <w:r>
        <w:rPr/>
        <w:t>“</w:t>
      </w:r>
      <w:r>
        <w:rPr>
          <w:rFonts w:ascii="Times" w:hAnsi="Times"/>
          <w:i/>
          <w:sz w:val="24"/>
        </w:rPr>
        <w:t>Plan”</w:t>
      </w:r>
      <w:r>
        <w:rPr>
          <w:rFonts w:ascii="Times" w:hAnsi="Times"/>
          <w:sz w:val="24"/>
        </w:rPr>
        <w:t xml:space="preserve"> means any employee pension benefit plan covered by Title IV of ERISA or subject to the minimum funding standards under Section 412 of the Code that either (a) is maintained by a member of the Controlled Group for employees of a member of the Controlled Group or (b)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pStyle w:val="TextBody"/>
        <w:bidi w:val="0"/>
        <w:spacing w:before="0" w:after="240"/>
        <w:ind w:left="0" w:right="0" w:firstLine="720"/>
        <w:jc w:val="both"/>
        <w:rPr/>
      </w:pPr>
      <w:r>
        <w:rPr/>
        <w:t>“</w:t>
      </w:r>
      <w:r>
        <w:rPr>
          <w:rFonts w:ascii="Times" w:hAnsi="Times"/>
          <w:i/>
          <w:sz w:val="24"/>
        </w:rPr>
        <w:t xml:space="preserve">Property” </w:t>
      </w:r>
      <w:r>
        <w:rPr>
          <w:rFonts w:ascii="Times" w:hAnsi="Times"/>
          <w:sz w:val="24"/>
        </w:rPr>
        <w:t>or “</w:t>
      </w:r>
      <w:r>
        <w:rPr>
          <w:rFonts w:ascii="Times" w:hAnsi="Times"/>
          <w:i/>
          <w:sz w:val="24"/>
        </w:rPr>
        <w:t>Properties”</w:t>
      </w:r>
      <w:r>
        <w:rPr>
          <w:rFonts w:ascii="Times" w:hAnsi="Times"/>
          <w:sz w:val="24"/>
        </w:rPr>
        <w:t xml:space="preserve"> means, as to any Person, all of its real property, land, improvements and fixtures, including property encumbered by Acceptable Leasehold Interests or Ground Leases, owned by such Person whether or not included in the most recent balance sheet of such Person and its subsidiaries under GAAP, including any Eligible Property owned by the Borrower or any of its Subsidiaries.</w:t>
      </w:r>
    </w:p>
    <w:p>
      <w:pPr>
        <w:pStyle w:val="TextBody"/>
        <w:bidi w:val="0"/>
        <w:spacing w:before="0" w:after="240"/>
        <w:ind w:left="0" w:right="0" w:firstLine="720"/>
        <w:jc w:val="both"/>
        <w:rPr/>
      </w:pPr>
      <w:r>
        <w:rPr/>
        <w:t>“</w:t>
      </w:r>
      <w:r>
        <w:rPr>
          <w:rFonts w:ascii="Times" w:hAnsi="Times"/>
          <w:i/>
          <w:sz w:val="24"/>
        </w:rPr>
        <w:t>Property Expenses”</w:t>
      </w:r>
      <w:r>
        <w:rPr>
          <w:rFonts w:ascii="Times" w:hAnsi="Times"/>
          <w:sz w:val="24"/>
        </w:rPr>
        <w:t xml:space="preserve"> means the costs (including, but not limited to, payroll, taxes, assessments, insurance, utilities, landscaping and other similar charges) of operating and maintaining any Property, which are the responsibility of the Borrower and its Subsidiaries that are not paid directly by the tenant, including without limitation, (1) the Annual Capital Expenditure Reserve, and (2) the greater of (a) 3% of rents and (b) actual management fees paid in cash, but excluding depreciation, amortization and interest costs. The Borrower’s Ownership Share of assets held by Unconsolidated Affiliates shall be included when determining Property Expenses of the Borrower and its Subsidiaries, subject to the adjustments set forth in this definition.</w:t>
      </w:r>
    </w:p>
    <w:p>
      <w:pPr>
        <w:pStyle w:val="TextBody"/>
        <w:bidi w:val="0"/>
        <w:spacing w:before="0" w:after="240"/>
        <w:ind w:left="0" w:right="0" w:firstLine="720"/>
        <w:jc w:val="both"/>
        <w:rPr/>
      </w:pPr>
      <w:r>
        <w:rPr/>
        <w:t>“</w:t>
      </w:r>
      <w:r>
        <w:rPr>
          <w:rFonts w:ascii="Times" w:hAnsi="Times"/>
          <w:i/>
          <w:sz w:val="24"/>
        </w:rPr>
        <w:t>Property Income”</w:t>
      </w:r>
      <w:r>
        <w:rPr>
          <w:rFonts w:ascii="Times" w:hAnsi="Times"/>
          <w:sz w:val="24"/>
        </w:rPr>
        <w:t xml:space="preserve"> means cash rents (excluding non-cash straight-line rent) and other cash revenues received by the Borrower and its Subsidiaries in the ordinary course for any Property, but excluding security deposits and prepaid rent except to the extent applied in satisfaction of tenants’ obligations for rent. The Borrower’s Ownership Share of assets held by Unconsolidated Affiliates shall be included when determining Property Income of the Borrower and its Subsidiaries, subject to the adjustments set forth in this definition.</w:t>
      </w:r>
    </w:p>
    <w:p>
      <w:pPr>
        <w:pStyle w:val="TextBody"/>
        <w:bidi w:val="0"/>
        <w:spacing w:before="0" w:after="240"/>
        <w:ind w:left="0" w:right="0" w:firstLine="720"/>
        <w:jc w:val="both"/>
        <w:rPr/>
      </w:pPr>
      <w:r>
        <w:rPr/>
        <w:t>“</w:t>
      </w:r>
      <w:r>
        <w:rPr>
          <w:rFonts w:ascii="Times" w:hAnsi="Times"/>
          <w:i/>
          <w:sz w:val="24"/>
        </w:rPr>
        <w:t>Property Net Operating Income”</w:t>
      </w:r>
      <w:r>
        <w:rPr>
          <w:rFonts w:ascii="Times" w:hAnsi="Times"/>
          <w:sz w:val="24"/>
        </w:rPr>
        <w:t xml:space="preserve"> or “</w:t>
      </w:r>
      <w:r>
        <w:rPr>
          <w:rFonts w:ascii="Times" w:hAnsi="Times"/>
          <w:i/>
          <w:sz w:val="24"/>
        </w:rPr>
        <w:t>Property NOI”</w:t>
      </w:r>
      <w:r>
        <w:rPr>
          <w:rFonts w:ascii="Times" w:hAnsi="Times"/>
          <w:sz w:val="24"/>
        </w:rPr>
        <w:t xml:space="preserve"> means, with respect to any Property for any Rolling Period (without duplication), the aggregate amount of (i) Property Income for such period </w:t>
      </w:r>
      <w:r>
        <w:rPr>
          <w:rFonts w:ascii="Times" w:hAnsi="Times"/>
          <w:i/>
          <w:sz w:val="24"/>
        </w:rPr>
        <w:t xml:space="preserve">minus </w:t>
      </w:r>
      <w:r>
        <w:rPr>
          <w:rFonts w:ascii="Times" w:hAnsi="Times"/>
          <w:sz w:val="24"/>
        </w:rPr>
        <w:t>(ii) Property Expenses for such period.  The Borrower’s Ownership Share of assets held by Unconsolidated Affiliates shall be included when determining Property Net Operating Income of the Borrower and its Subsidiaries, subject to the adjustments set forth in this definition.  Pro forma adjustments shall be made for any Property acquired or sold during any period as if the acquisition or disposition occurred on the first day of the applicable period.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Property Owner”</w:t>
      </w:r>
      <w:r>
        <w:rPr>
          <w:rFonts w:ascii="Times" w:hAnsi="Times"/>
          <w:sz w:val="24"/>
        </w:rPr>
        <w:t xml:space="preserve"> means the Person who owns fee title interest or leasehold interest pursuant to a Ground Lease in and to a Property.</w:t>
      </w:r>
    </w:p>
    <w:p>
      <w:pPr>
        <w:pStyle w:val="TextBody"/>
        <w:bidi w:val="0"/>
        <w:spacing w:before="0" w:after="240"/>
        <w:ind w:left="0" w:right="0" w:firstLine="720"/>
        <w:jc w:val="both"/>
        <w:rPr/>
      </w:pPr>
      <w:r>
        <w:rPr/>
        <w:t>“</w:t>
      </w:r>
      <w:r>
        <w:rPr>
          <w:rFonts w:ascii="Times" w:hAnsi="Times"/>
          <w:i/>
          <w:sz w:val="24"/>
        </w:rPr>
        <w:t>Public Investments</w:t>
      </w:r>
      <w:r>
        <w:rPr>
          <w:rFonts w:ascii="Times" w:hAnsi="Times"/>
          <w:sz w:val="24"/>
        </w:rPr>
        <w:t>” means investments in (x) corporate debt issued by any real estate company or real estate investment trust and (y) Stock or Stock Equivalents issued by any real estate company or real estate investment trust, so long as in each case, the real estate company or real estate investment trust is listed on the New York Stock Exchange, the NYSE American or The NASDAQ Stock Market. Public Investments shall include the Borrower’s common shares of Alpine and OP Units.</w:t>
      </w:r>
    </w:p>
    <w:p>
      <w:pPr>
        <w:pStyle w:val="TextBody"/>
        <w:bidi w:val="0"/>
        <w:spacing w:before="0" w:after="240"/>
        <w:ind w:left="0" w:right="0" w:firstLine="720"/>
        <w:jc w:val="both"/>
        <w:rPr/>
      </w:pPr>
      <w:r>
        <w:rPr/>
        <w:t>“</w:t>
      </w:r>
      <w:r>
        <w:rPr>
          <w:rFonts w:ascii="Times" w:hAnsi="Times"/>
          <w:i/>
          <w:sz w:val="24"/>
        </w:rPr>
        <w:t>Qualifying Counterparty” </w:t>
      </w:r>
      <w:r>
        <w:rPr>
          <w:rFonts w:ascii="Times" w:hAnsi="Times"/>
          <w:sz w:val="24"/>
        </w:rPr>
        <w:t>means, with respect to any Hedging Liability, (a) any Person that was a Lender or an Affiliate of a Lender under this Agreement at the time the Hedging Agreement giving rise to such Hedging Liability was entered into, or (b) any Person that, at the time it (or its Affiliate) becomes a Lender under this Agreement (including on the Restatement Date or any amendment date), is party to a Hedging Agreement with the Borrower or any Subsidiary, in each case whether such Person remains a Lender or an Affiliate of a Lender.</w:t>
      </w:r>
    </w:p>
    <w:p>
      <w:pPr>
        <w:pStyle w:val="TextBody"/>
        <w:bidi w:val="0"/>
        <w:spacing w:before="0" w:after="240"/>
        <w:ind w:left="0" w:right="0" w:firstLine="720"/>
        <w:jc w:val="both"/>
        <w:rPr/>
      </w:pPr>
      <w:r>
        <w:rPr/>
        <w:t>“</w:t>
      </w:r>
      <w:r>
        <w:rPr>
          <w:rFonts w:ascii="Times" w:hAnsi="Times"/>
          <w:i/>
          <w:sz w:val="24"/>
        </w:rPr>
        <w:t>Qualified ECP Guarantor</w:t>
      </w:r>
      <w:r>
        <w:rPr>
          <w:rFonts w:ascii="Times" w:hAnsi="Times"/>
          <w:sz w:val="24"/>
        </w:rPr>
        <w:t>” means, in respect of any Swap Obligation, each Guarantor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pStyle w:val="TextBody"/>
        <w:bidi w:val="0"/>
        <w:spacing w:before="0" w:after="240"/>
        <w:ind w:left="0" w:right="0" w:firstLine="720"/>
        <w:jc w:val="both"/>
        <w:rPr/>
      </w:pPr>
      <w:r>
        <w:rPr/>
        <w:t>“</w:t>
      </w:r>
      <w:r>
        <w:rPr>
          <w:rFonts w:ascii="Times" w:hAnsi="Times"/>
          <w:i/>
          <w:sz w:val="24"/>
        </w:rPr>
        <w:t>Rating”</w:t>
      </w:r>
      <w:r>
        <w:rPr>
          <w:rFonts w:ascii="Times" w:hAnsi="Times"/>
          <w:sz w:val="24"/>
        </w:rPr>
        <w:t xml:space="preserve"> means the debt rating provided by S&amp;P, Moody’s or Fitch with respect to the unsecured senior long-term non-credit enhanced debt of a Person.</w:t>
      </w:r>
    </w:p>
    <w:p>
      <w:pPr>
        <w:pStyle w:val="TextBody"/>
        <w:bidi w:val="0"/>
        <w:spacing w:before="0" w:after="240"/>
        <w:ind w:left="0" w:right="0" w:firstLine="720"/>
        <w:jc w:val="both"/>
        <w:rPr/>
      </w:pPr>
      <w:r>
        <w:rPr/>
        <w:t>“</w:t>
      </w:r>
      <w:r>
        <w:rPr>
          <w:rFonts w:ascii="Times" w:hAnsi="Times"/>
          <w:i/>
          <w:sz w:val="24"/>
        </w:rPr>
        <w:t>RCRA”</w:t>
      </w:r>
      <w:r>
        <w:rPr>
          <w:rFonts w:ascii="Times" w:hAnsi="Times"/>
          <w:sz w:val="24"/>
        </w:rPr>
        <w:t xml:space="preserve"> means the Solid Waste Disposal Act, as amended by the Resource Conservation and Recovery Act of 1976 and Hazardous and Solid Waste Amendments of 1984, 42 U.S.C. </w:t>
      </w:r>
      <w:r>
        <w:rPr>
          <w:rFonts w:ascii="Times" w:hAnsi="Times"/>
          <w:b/>
          <w:sz w:val="24"/>
        </w:rPr>
        <w:t>§§</w:t>
      </w:r>
      <w:r>
        <w:rPr>
          <w:rFonts w:ascii="Times" w:hAnsi="Times"/>
          <w:sz w:val="24"/>
        </w:rPr>
        <w:t xml:space="preserve">6901 </w:t>
      </w:r>
      <w:r>
        <w:rPr>
          <w:rFonts w:ascii="Times" w:hAnsi="Times"/>
          <w:i/>
          <w:sz w:val="24"/>
        </w:rPr>
        <w:t>et seq.</w:t>
      </w:r>
      <w:r>
        <w:rPr>
          <w:rFonts w:ascii="Times" w:hAnsi="Times"/>
          <w:sz w:val="24"/>
        </w:rPr>
        <w:t>, and any future amendments.</w:t>
      </w:r>
    </w:p>
    <w:p>
      <w:pPr>
        <w:pStyle w:val="TextBody"/>
        <w:bidi w:val="0"/>
        <w:spacing w:before="0" w:after="240"/>
        <w:ind w:left="0" w:right="0" w:firstLine="720"/>
        <w:jc w:val="both"/>
        <w:rPr/>
      </w:pPr>
      <w:r>
        <w:rPr/>
        <w:t>“</w:t>
      </w:r>
      <w:r>
        <w:rPr>
          <w:rFonts w:ascii="Times" w:hAnsi="Times"/>
          <w:i/>
          <w:sz w:val="24"/>
        </w:rPr>
        <w:t>Recipient</w:t>
      </w:r>
      <w:r>
        <w:rPr>
          <w:rFonts w:ascii="Times" w:hAnsi="Times"/>
          <w:sz w:val="24"/>
        </w:rPr>
        <w:t>” means (a) the Administrative Agent, (b) the L/C Issuer, and (c) any Lender, as applicable.</w:t>
      </w:r>
    </w:p>
    <w:p>
      <w:pPr>
        <w:pStyle w:val="TextBody"/>
        <w:bidi w:val="0"/>
        <w:spacing w:before="0" w:after="240"/>
        <w:ind w:left="0" w:right="0" w:firstLine="720"/>
        <w:jc w:val="both"/>
        <w:rPr/>
      </w:pPr>
      <w:r>
        <w:rPr/>
        <w:t>“</w:t>
      </w:r>
      <w:r>
        <w:rPr>
          <w:rFonts w:ascii="Times" w:hAnsi="Times"/>
          <w:i/>
          <w:sz w:val="24"/>
        </w:rPr>
        <w:t>Reimbursement Obligation”</w:t>
      </w:r>
      <w:r>
        <w:rPr>
          <w:rFonts w:ascii="Times" w:hAnsi="Times"/>
          <w:sz w:val="24"/>
        </w:rPr>
        <w:t xml:space="preserve"> is defined in Section 1.3(c) hereof.</w:t>
      </w:r>
    </w:p>
    <w:p>
      <w:pPr>
        <w:pStyle w:val="TextBody"/>
        <w:bidi w:val="0"/>
        <w:spacing w:before="0" w:after="240"/>
        <w:ind w:left="0" w:right="0" w:firstLine="720"/>
        <w:jc w:val="both"/>
        <w:rPr/>
      </w:pPr>
      <w:r>
        <w:rPr/>
        <w:t>“</w:t>
      </w:r>
      <w:r>
        <w:rPr>
          <w:rFonts w:ascii="Times" w:hAnsi="Times"/>
          <w:i/>
          <w:sz w:val="24"/>
        </w:rPr>
        <w:t>REIT”</w:t>
      </w:r>
      <w:r>
        <w:rPr>
          <w:rFonts w:ascii="Times" w:hAnsi="Times"/>
          <w:sz w:val="24"/>
        </w:rPr>
        <w:t xml:space="preserve"> means a “real estate investment trust” in accordance with Section 856 et. seq. of the Code.</w:t>
      </w:r>
    </w:p>
    <w:p>
      <w:pPr>
        <w:pStyle w:val="TextBody"/>
        <w:bidi w:val="0"/>
        <w:spacing w:before="0" w:after="240"/>
        <w:ind w:left="0" w:right="0" w:firstLine="720"/>
        <w:jc w:val="both"/>
        <w:rPr/>
      </w:pPr>
      <w:r>
        <w:rPr/>
        <w:t>“</w:t>
      </w:r>
      <w:r>
        <w:rPr>
          <w:rFonts w:ascii="Times" w:hAnsi="Times"/>
          <w:i/>
          <w:sz w:val="24"/>
        </w:rPr>
        <w:t xml:space="preserve">Related Parties” </w:t>
      </w:r>
      <w:r>
        <w:rPr>
          <w:rFonts w:ascii="Times" w:hAnsi="Times"/>
          <w:sz w:val="24"/>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before="0" w:after="0"/>
        <w:ind w:left="0" w:right="0" w:firstLine="720"/>
        <w:jc w:val="both"/>
        <w:rPr/>
      </w:pPr>
      <w:r>
        <w:rPr/>
        <w:t>“</w:t>
      </w:r>
      <w:r>
        <w:rPr>
          <w:rFonts w:ascii="Times" w:hAnsi="Times"/>
          <w:i/>
          <w:sz w:val="24"/>
        </w:rPr>
        <w:t>Release”</w:t>
      </w:r>
      <w:r>
        <w:rPr>
          <w:rFonts w:ascii="Times" w:hAnsi="Times"/>
          <w:sz w:val="24"/>
        </w:rPr>
        <w:t xml:space="preserve"> means any spilling, leaking, pumping, pouring, emitting, emptying, discharging, injecting, escaping, leaching, migration, dumping, or disposing into the indoor or outdoor environment, including, without limitation, the abandonment or discarding of barrels,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drums, containers, tanks or other receptacles containing or previously containing any Hazardous Material.</w:t>
      </w:r>
    </w:p>
    <w:p>
      <w:pPr>
        <w:pStyle w:val="TextBody"/>
        <w:bidi w:val="0"/>
        <w:spacing w:before="0" w:after="240"/>
        <w:ind w:left="0" w:right="0" w:firstLine="720"/>
        <w:jc w:val="both"/>
        <w:rPr/>
      </w:pPr>
      <w:r>
        <w:rPr/>
        <w:t>“</w:t>
      </w:r>
      <w:r>
        <w:rPr>
          <w:rFonts w:ascii="Times" w:hAnsi="Times"/>
          <w:i/>
          <w:sz w:val="24"/>
        </w:rPr>
        <w:t>Relevant Governmental Body</w:t>
      </w:r>
      <w:r>
        <w:rPr>
          <w:rFonts w:ascii="Times" w:hAnsi="Times"/>
          <w:sz w:val="24"/>
        </w:rPr>
        <w:t>” 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ind w:left="0" w:right="0" w:firstLine="720"/>
        <w:jc w:val="both"/>
        <w:rPr/>
      </w:pPr>
      <w:r>
        <w:rPr/>
        <w:t>“</w:t>
      </w:r>
      <w:r>
        <w:rPr>
          <w:rFonts w:ascii="Times" w:hAnsi="Times"/>
          <w:i/>
          <w:sz w:val="24"/>
        </w:rPr>
        <w:t>Required Class Lenders”</w:t>
      </w:r>
      <w:r>
        <w:rPr>
          <w:rFonts w:ascii="Times" w:hAnsi="Times"/>
          <w:sz w:val="24"/>
        </w:rPr>
        <w:t xml:space="preserve"> means, with respect to any Class of Lenders as of the date of determination thereof, (a) with respect to the Revolving Lenders, (i) Lenders of such Class having more than 50% of the aggregate amount of the Revolving Credit Commitments of such Class or (ii) if the Revolving Credit Commitments of such Class have been terminated or reduced to zero, Lenders of such Class holding more than 50% of the principal amount of the aggregate Revolving Loans and L/C Obligations, or (b) with respect to any Class of Term Loans, Lenders of such Class holding more than 50% of the principal amount of the aggregate outstanding Loans of such Class; provided that, at any time in which there are only two Non-Defaulting Lenders of such Class, Required Class Lenders means both of such Lenders. The outstanding Loans and interests in Letters of Credit of any Defaulting Lender of the applicable Class shall be disregarded in determining Required Class Lenders at any time.</w:t>
      </w:r>
    </w:p>
    <w:p>
      <w:pPr>
        <w:pStyle w:val="TextBody"/>
        <w:bidi w:val="0"/>
        <w:spacing w:before="0" w:after="240"/>
        <w:ind w:left="0" w:right="0" w:firstLine="720"/>
        <w:jc w:val="both"/>
        <w:rPr/>
      </w:pPr>
      <w:r>
        <w:rPr/>
        <w:t>“</w:t>
      </w:r>
      <w:r>
        <w:rPr>
          <w:rFonts w:ascii="Times" w:hAnsi="Times"/>
          <w:i/>
          <w:sz w:val="24"/>
        </w:rPr>
        <w:t>Required Lenders”</w:t>
      </w:r>
      <w:r>
        <w:rPr>
          <w:rFonts w:ascii="Times" w:hAnsi="Times"/>
          <w:sz w:val="24"/>
        </w:rPr>
        <w:t xml:space="preserve"> means, as of the date of determination thereof, (i) at any time in which there are only two Non-Defaulting Lenders, both Lenders and (ii) at any other time Lenders whose outstanding Loans constitute more than 50% of the sum of the Total Outstandings and Unused Revolving Credit Commitments of all Lenders. The outstanding Loans and interests in Letters of Credit of any Defaulting Lender shall be disregarded in determining Required Lenders at any time.</w:t>
      </w:r>
    </w:p>
    <w:p>
      <w:pPr>
        <w:pStyle w:val="TextBody"/>
        <w:bidi w:val="0"/>
        <w:spacing w:before="0" w:after="240"/>
        <w:ind w:left="0" w:right="0" w:firstLine="720"/>
        <w:jc w:val="both"/>
        <w:rPr/>
      </w:pPr>
      <w:r>
        <w:rPr/>
        <w:t>“</w:t>
      </w:r>
      <w:r>
        <w:rPr>
          <w:rFonts w:ascii="Times" w:hAnsi="Times"/>
          <w:i/>
          <w:sz w:val="24"/>
        </w:rPr>
        <w:t>Required Revolving Lenders</w:t>
      </w:r>
      <w:r>
        <w:rPr>
          <w:rFonts w:ascii="Times" w:hAnsi="Times"/>
          <w:sz w:val="24"/>
        </w:rPr>
        <w:t>” means, as of the date of determination thereof, Required Class Lenders with respect to the Revolving Facility.</w:t>
      </w:r>
    </w:p>
    <w:p>
      <w:pPr>
        <w:pStyle w:val="TextBody"/>
        <w:bidi w:val="0"/>
        <w:spacing w:before="0" w:after="240"/>
        <w:ind w:left="0" w:right="0" w:firstLine="720"/>
        <w:jc w:val="both"/>
        <w:rPr/>
      </w:pPr>
      <w:r>
        <w:rPr/>
        <w:t>“</w:t>
      </w:r>
      <w:r>
        <w:rPr>
          <w:rFonts w:ascii="Times" w:hAnsi="Times"/>
          <w:i/>
          <w:sz w:val="24"/>
        </w:rPr>
        <w:t>Resolution Authority</w:t>
      </w:r>
      <w:r>
        <w:rPr>
          <w:rFonts w:ascii="Times" w:hAnsi="Times"/>
          <w:sz w:val="24"/>
        </w:rPr>
        <w:t>” 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w:hAnsi="Times"/>
          <w:i/>
          <w:sz w:val="24"/>
        </w:rPr>
        <w:t>Responsible Officer”</w:t>
      </w:r>
      <w:r>
        <w:rPr>
          <w:rFonts w:ascii="Times" w:hAnsi="Times"/>
          <w:sz w:val="24"/>
        </w:rPr>
        <w:t xml:space="preserve"> means, with respect to the Borrower or any of its Subsidiaries, the chief executive officer, the chief financial officer, chief accounting officer, chief legal officer or the chief operating officer of the Borrower or such Subsidiary.</w:t>
      </w:r>
    </w:p>
    <w:p>
      <w:pPr>
        <w:pStyle w:val="TextBody"/>
        <w:bidi w:val="0"/>
        <w:spacing w:before="0" w:after="240"/>
        <w:ind w:left="0" w:right="0" w:firstLine="720"/>
        <w:jc w:val="both"/>
        <w:rPr/>
      </w:pPr>
      <w:r>
        <w:rPr/>
        <w:t>“</w:t>
      </w:r>
      <w:r>
        <w:rPr>
          <w:rFonts w:ascii="Times" w:hAnsi="Times"/>
          <w:i/>
          <w:sz w:val="24"/>
        </w:rPr>
        <w:t>Restatement Date”</w:t>
      </w:r>
      <w:r>
        <w:rPr>
          <w:rFonts w:ascii="Times" w:hAnsi="Times"/>
          <w:sz w:val="24"/>
        </w:rPr>
        <w:t xml:space="preserve"> means the date of this Agreement or such later Business Day upon which each condition described in Section 7.2 shall be satisfied in a manner acceptable to the Administrative Agent in its discretion (or waived with the written consent of each Lender).</w:t>
      </w:r>
    </w:p>
    <w:p>
      <w:pPr>
        <w:pStyle w:val="TextBody"/>
        <w:bidi w:val="0"/>
        <w:spacing w:before="0" w:after="240"/>
        <w:ind w:left="0" w:right="0" w:firstLine="720"/>
        <w:jc w:val="both"/>
        <w:rPr/>
      </w:pPr>
      <w:r>
        <w:rPr/>
        <w:t>“</w:t>
      </w:r>
      <w:r>
        <w:rPr>
          <w:rFonts w:ascii="Times" w:hAnsi="Times"/>
          <w:i/>
          <w:sz w:val="24"/>
        </w:rPr>
        <w:t>Restricted Payments”</w:t>
      </w:r>
      <w:r>
        <w:rPr>
          <w:rFonts w:ascii="Times" w:hAnsi="Times"/>
          <w:sz w:val="24"/>
        </w:rPr>
        <w:t xml:space="preserve"> means dividends on or other distributions in respect of any class or series of Stock, Stock Equivalents or other Equity Interests of the Borrower or its Subsidiaries or the direct or indirect purchase, redemption, acquisition, or retirement of any of the Borrower’s or a Subsidiaries’ Stock, Stock Equivalents or other Equity Interest.</w:t>
      </w:r>
    </w:p>
    <w:p>
      <w:pPr>
        <w:pStyle w:val="TextBody"/>
        <w:bidi w:val="0"/>
        <w:spacing w:before="0" w:after="240"/>
        <w:ind w:left="0" w:right="0" w:firstLine="720"/>
        <w:jc w:val="both"/>
        <w:rPr/>
      </w:pPr>
      <w:r>
        <w:rPr/>
        <w:t>“</w:t>
      </w:r>
      <w:r>
        <w:rPr>
          <w:rFonts w:ascii="Times" w:hAnsi="Times"/>
          <w:i/>
          <w:sz w:val="24"/>
        </w:rPr>
        <w:t>Retail Mixed-Use Properties”</w:t>
      </w:r>
      <w:r>
        <w:rPr>
          <w:rFonts w:ascii="Times" w:hAnsi="Times"/>
          <w:sz w:val="24"/>
        </w:rPr>
        <w:t xml:space="preserve"> means a Property with not less than twenty percent (20%) of gross leasable area occupied by Tenants utilizing such property for retail space.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Revolving Credit Commitment”</w:t>
      </w:r>
      <w:r>
        <w:rPr>
          <w:rFonts w:ascii="Times" w:hAnsi="Times"/>
          <w:sz w:val="24"/>
        </w:rPr>
        <w:t xml:space="preserve"> means, as to any Revolving Lender, the obligation of such Revolving Lender to make Revolving Loans and to participate in Letters of Credit issued for the account of the Borrower hereunder in an aggregate principal or face amount at any one time outstanding not to exceed the amount set forth opposite such Revolving Lender’s name on Schedule 1 attached hereto and made a part hereof, as the same may be reduced or modified at any time or from time to time pursuant to the terms hereof.  The Borrower and the Revolving Lenders acknowledge and agree that the Revolving Credit Commitments of the Revolving Lenders, in the aggregate, is equal to $400,000,000 on the Restatement Date.  </w:t>
      </w:r>
    </w:p>
    <w:p>
      <w:pPr>
        <w:pStyle w:val="TextBody"/>
        <w:bidi w:val="0"/>
        <w:spacing w:before="0" w:after="240"/>
        <w:ind w:left="0" w:right="0" w:firstLine="720"/>
        <w:jc w:val="both"/>
        <w:rPr/>
      </w:pPr>
      <w:r>
        <w:rPr/>
        <w:t>“</w:t>
      </w:r>
      <w:r>
        <w:rPr>
          <w:rFonts w:ascii="Times" w:hAnsi="Times"/>
          <w:i/>
          <w:sz w:val="24"/>
        </w:rPr>
        <w:t>Revolving Credit Termination Date”</w:t>
      </w:r>
      <w:r>
        <w:rPr>
          <w:rFonts w:ascii="Times" w:hAnsi="Times"/>
          <w:sz w:val="24"/>
        </w:rPr>
        <w:t xml:space="preserve"> means the earliest of (i) September 29, 2030, as such date may be extended pursuant to Section 1.16 and (ii) the date on which the Revolving Credit Commitments are terminated in whole pursuant to Section 1.12, 9.2 or 9.3 hereof.  </w:t>
      </w:r>
    </w:p>
    <w:p>
      <w:pPr>
        <w:pStyle w:val="TextBody"/>
        <w:bidi w:val="0"/>
        <w:spacing w:before="0" w:after="240"/>
        <w:ind w:left="0" w:right="0" w:firstLine="720"/>
        <w:jc w:val="both"/>
        <w:rPr/>
      </w:pPr>
      <w:r>
        <w:rPr/>
        <w:t>“</w:t>
      </w:r>
      <w:r>
        <w:rPr>
          <w:rFonts w:ascii="Times" w:hAnsi="Times"/>
          <w:i/>
          <w:sz w:val="24"/>
        </w:rPr>
        <w:t>Revolving Facility”</w:t>
      </w:r>
      <w:r>
        <w:rPr>
          <w:rFonts w:ascii="Times" w:hAnsi="Times"/>
          <w:sz w:val="24"/>
        </w:rPr>
        <w:t xml:space="preserve"> means the credit facility for making Revolving Loans and issuing Letters of Credit described in Sections 1.1 and 1.3 hereof. </w:t>
      </w:r>
    </w:p>
    <w:p>
      <w:pPr>
        <w:pStyle w:val="TextBody"/>
        <w:bidi w:val="0"/>
        <w:spacing w:before="0" w:after="240"/>
        <w:ind w:left="0" w:right="0" w:firstLine="720"/>
        <w:jc w:val="both"/>
        <w:rPr/>
      </w:pPr>
      <w:r>
        <w:rPr/>
        <w:t>“</w:t>
      </w:r>
      <w:r>
        <w:rPr>
          <w:rFonts w:ascii="Times" w:hAnsi="Times"/>
          <w:i/>
          <w:sz w:val="24"/>
        </w:rPr>
        <w:t>Revolving Lender”</w:t>
      </w:r>
      <w:r>
        <w:rPr>
          <w:rFonts w:ascii="Times" w:hAnsi="Times"/>
          <w:sz w:val="24"/>
        </w:rPr>
        <w:t xml:space="preserve"> means a lender hereunder with a Revolving Credit Commitment including each assignee Lender pursuant to </w:t>
      </w:r>
      <w:r>
        <w:rPr>
          <w:rFonts w:ascii="Times" w:hAnsi="Times"/>
          <w:sz w:val="24"/>
          <w:u w:val="single"/>
        </w:rPr>
        <w:t>Section 12.12</w:t>
      </w:r>
      <w:r>
        <w:rPr>
          <w:rFonts w:ascii="Times" w:hAnsi="Times"/>
          <w:sz w:val="24"/>
        </w:rPr>
        <w:t xml:space="preserve"> hereof.</w:t>
      </w:r>
    </w:p>
    <w:p>
      <w:pPr>
        <w:pStyle w:val="TextBody"/>
        <w:bidi w:val="0"/>
        <w:spacing w:before="0" w:after="240"/>
        <w:ind w:left="0" w:right="0" w:firstLine="720"/>
        <w:jc w:val="both"/>
        <w:rPr/>
      </w:pPr>
      <w:r>
        <w:rPr/>
        <w:t>“</w:t>
      </w:r>
      <w:r>
        <w:rPr>
          <w:rFonts w:ascii="Times" w:hAnsi="Times"/>
          <w:i/>
          <w:sz w:val="24"/>
        </w:rPr>
        <w:t xml:space="preserve">Revolving Loan” </w:t>
      </w:r>
      <w:r>
        <w:rPr>
          <w:rFonts w:ascii="Times" w:hAnsi="Times"/>
          <w:sz w:val="24"/>
        </w:rPr>
        <w:t>and “</w:t>
      </w:r>
      <w:r>
        <w:rPr>
          <w:rFonts w:ascii="Times" w:hAnsi="Times"/>
          <w:i/>
          <w:sz w:val="24"/>
        </w:rPr>
        <w:t>Revolving Loans”</w:t>
      </w:r>
      <w:r>
        <w:rPr>
          <w:rFonts w:ascii="Times" w:hAnsi="Times"/>
          <w:sz w:val="24"/>
        </w:rPr>
        <w:t xml:space="preserve"> are defined in Section 1.1 hereof and, as so defined, includes a Base Rate Loan, Daily Simple SOFR Loan or Term SOFR Loan, each of which is a “</w:t>
      </w:r>
      <w:r>
        <w:rPr>
          <w:rFonts w:ascii="Times" w:hAnsi="Times"/>
          <w:i/>
          <w:sz w:val="24"/>
        </w:rPr>
        <w:t>type”</w:t>
      </w:r>
      <w:r>
        <w:rPr>
          <w:rFonts w:ascii="Times" w:hAnsi="Times"/>
          <w:sz w:val="24"/>
        </w:rPr>
        <w:t xml:space="preserve"> of Revolving Loan hereunder.</w:t>
      </w:r>
    </w:p>
    <w:p>
      <w:pPr>
        <w:pStyle w:val="TextBody"/>
        <w:bidi w:val="0"/>
        <w:spacing w:before="0" w:after="240"/>
        <w:ind w:left="0" w:right="0" w:firstLine="720"/>
        <w:jc w:val="both"/>
        <w:rPr/>
      </w:pPr>
      <w:r>
        <w:rPr/>
        <w:t>“</w:t>
      </w:r>
      <w:r>
        <w:rPr>
          <w:rFonts w:ascii="Times" w:hAnsi="Times"/>
          <w:i/>
          <w:sz w:val="24"/>
        </w:rPr>
        <w:t>Revolving Note”</w:t>
      </w:r>
      <w:r>
        <w:rPr>
          <w:rFonts w:ascii="Times" w:hAnsi="Times"/>
          <w:sz w:val="24"/>
        </w:rPr>
        <w:t xml:space="preserve"> and “</w:t>
      </w:r>
      <w:r>
        <w:rPr>
          <w:rFonts w:ascii="Times" w:hAnsi="Times"/>
          <w:i/>
          <w:sz w:val="24"/>
        </w:rPr>
        <w:t>Revolving Notes”</w:t>
      </w:r>
      <w:r>
        <w:rPr>
          <w:rFonts w:ascii="Times" w:hAnsi="Times"/>
          <w:sz w:val="24"/>
        </w:rPr>
        <w:t xml:space="preserve"> are defined in Section 1.10(d) hereof.</w:t>
      </w:r>
    </w:p>
    <w:p>
      <w:pPr>
        <w:pStyle w:val="TextBody"/>
        <w:bidi w:val="0"/>
        <w:spacing w:before="0" w:after="240"/>
        <w:ind w:left="0" w:right="0" w:firstLine="720"/>
        <w:jc w:val="both"/>
        <w:rPr/>
      </w:pPr>
      <w:r>
        <w:rPr/>
        <w:t>“</w:t>
      </w:r>
      <w:r>
        <w:rPr>
          <w:rFonts w:ascii="Times" w:hAnsi="Times"/>
          <w:i/>
          <w:sz w:val="24"/>
        </w:rPr>
        <w:t>Rolling Period”</w:t>
      </w:r>
      <w:r>
        <w:rPr>
          <w:rFonts w:ascii="Times" w:hAnsi="Times"/>
          <w:sz w:val="24"/>
        </w:rPr>
        <w:t xml:space="preserve"> means, as of any date, the four Fiscal Quarters ending on or immediately preceding such date.</w:t>
      </w:r>
    </w:p>
    <w:p>
      <w:pPr>
        <w:pStyle w:val="TextBody"/>
        <w:bidi w:val="0"/>
        <w:spacing w:before="0" w:after="240"/>
        <w:ind w:left="0" w:right="0" w:firstLine="720"/>
        <w:jc w:val="both"/>
        <w:rPr/>
      </w:pPr>
      <w:r>
        <w:rPr/>
        <w:t>“</w:t>
      </w:r>
      <w:r>
        <w:rPr>
          <w:rFonts w:ascii="Times" w:hAnsi="Times"/>
          <w:i/>
          <w:sz w:val="24"/>
        </w:rPr>
        <w:t>S&amp;P”</w:t>
      </w:r>
      <w:r>
        <w:rPr>
          <w:rFonts w:ascii="Times" w:hAnsi="Times"/>
          <w:sz w:val="24"/>
        </w:rPr>
        <w:t xml:space="preserve"> means S&amp;P Global, Inc. or any successor thereof.</w:t>
      </w:r>
    </w:p>
    <w:p>
      <w:pPr>
        <w:pStyle w:val="TextBody"/>
        <w:bidi w:val="0"/>
        <w:spacing w:before="0" w:after="240"/>
        <w:ind w:left="0" w:right="0" w:firstLine="720"/>
        <w:jc w:val="both"/>
        <w:rPr/>
      </w:pPr>
      <w:r>
        <w:rPr/>
        <w:t>“</w:t>
      </w:r>
      <w:r>
        <w:rPr>
          <w:rFonts w:ascii="Times" w:hAnsi="Times"/>
          <w:i/>
          <w:sz w:val="24"/>
        </w:rPr>
        <w:t>Sanctioned Country”</w:t>
      </w:r>
      <w:r>
        <w:rPr>
          <w:rFonts w:ascii="Times" w:hAnsi="Times"/>
          <w:sz w:val="24"/>
        </w:rPr>
        <w:t xml:space="preserve"> shall mean, at any time, a country or territory that is, or whose government is, the subject or target of any Sanctions.</w:t>
      </w:r>
    </w:p>
    <w:p>
      <w:pPr>
        <w:pStyle w:val="TextBody"/>
        <w:bidi w:val="0"/>
        <w:spacing w:before="0" w:after="240"/>
        <w:ind w:left="0" w:right="0" w:firstLine="720"/>
        <w:jc w:val="both"/>
        <w:rPr/>
      </w:pPr>
      <w:r>
        <w:rPr/>
        <w:t>“</w:t>
      </w:r>
      <w:r>
        <w:rPr>
          <w:rFonts w:ascii="Times" w:hAnsi="Times"/>
          <w:i/>
          <w:sz w:val="24"/>
        </w:rPr>
        <w:t>Sanctioned Person”</w:t>
      </w:r>
      <w:r>
        <w:rPr>
          <w:rFonts w:ascii="Times" w:hAnsi="Times"/>
          <w:sz w:val="24"/>
        </w:rPr>
        <w:t xml:space="preserve"> shall mean, at any time, (a) any Person listed in any Sanctions-related list of designated Persons maintained by OFAC or the U.S. Department of State, (b) any Person operating, organized or resident in a Sanctioned Country or (c) any Person owned or controlled by any such Person or Persons described in the foregoing clauses (a) or (b).</w:t>
      </w:r>
    </w:p>
    <w:p>
      <w:pPr>
        <w:pStyle w:val="TextBody"/>
        <w:bidi w:val="0"/>
        <w:spacing w:before="0" w:after="240"/>
        <w:ind w:left="0" w:right="0" w:firstLine="720"/>
        <w:jc w:val="both"/>
        <w:rPr/>
      </w:pPr>
      <w:r>
        <w:rPr/>
        <w:t>“</w:t>
      </w:r>
      <w:r>
        <w:rPr>
          <w:rFonts w:ascii="Times" w:hAnsi="Times"/>
          <w:i/>
          <w:sz w:val="24"/>
        </w:rPr>
        <w:t xml:space="preserve">Sanctions” </w:t>
      </w:r>
      <w:r>
        <w:rPr>
          <w:rFonts w:ascii="Times" w:hAnsi="Times"/>
          <w:sz w:val="24"/>
        </w:rPr>
        <w:t>shall mean economic or financial sanctions or trade embargoes imposed, administered or enforced from time to time by the U.S. government, including those administered by OFAC or the U.S. Department of State, the United Nations Security Council, the European Union, His Majesty’s Treasury or other relevant sanctions authority with jurisdiction over the parties to this Agreement.</w:t>
      </w:r>
    </w:p>
    <w:p>
      <w:pPr>
        <w:pStyle w:val="TextBody"/>
        <w:bidi w:val="0"/>
        <w:spacing w:before="0" w:after="240"/>
        <w:ind w:left="0" w:right="0" w:firstLine="720"/>
        <w:jc w:val="both"/>
        <w:rPr/>
      </w:pPr>
      <w:r>
        <w:rPr/>
        <w:t>“</w:t>
      </w:r>
      <w:r>
        <w:rPr>
          <w:rFonts w:ascii="Times" w:hAnsi="Times"/>
          <w:i/>
          <w:sz w:val="24"/>
        </w:rPr>
        <w:t>Secured Indebtedness”</w:t>
      </w:r>
      <w:r>
        <w:rPr>
          <w:rFonts w:ascii="Times" w:hAnsi="Times"/>
          <w:sz w:val="24"/>
        </w:rPr>
        <w:t xml:space="preserve"> means all Indebtedness for Borrowed Money of the Borrower and its Subsidiaries, that is secured by a Lien. The Borrower’s Ownership Share of Secured Indebtedness held by Unconsolidated Affiliates shall be included when determining Secured Indebtedness of the Borrower and its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Secured Recourse Indebtedness”</w:t>
      </w:r>
      <w:r>
        <w:rPr>
          <w:rFonts w:ascii="Times" w:hAnsi="Times"/>
          <w:sz w:val="24"/>
        </w:rPr>
        <w:t xml:space="preserve"> means Secured Indebtedness for which recourse for payment (except for customary exceptions for fraud, misapplication of funds, environmental indemnities and other similar exceptions to recourse liability) is to the Borrower or any Guarantor, other than the Obligations.</w:t>
      </w:r>
    </w:p>
    <w:p>
      <w:pPr>
        <w:pStyle w:val="TextBody"/>
        <w:bidi w:val="0"/>
        <w:spacing w:before="0" w:after="240"/>
        <w:ind w:left="0" w:right="0" w:firstLine="720"/>
        <w:jc w:val="both"/>
        <w:rPr/>
      </w:pPr>
      <w:r>
        <w:rPr/>
        <w:t>“</w:t>
      </w:r>
      <w:r>
        <w:rPr>
          <w:rFonts w:ascii="Times" w:hAnsi="Times"/>
          <w:i/>
          <w:sz w:val="24"/>
        </w:rPr>
        <w:t>Significant Lease</w:t>
      </w:r>
      <w:r>
        <w:rPr>
          <w:rFonts w:ascii="Times" w:hAnsi="Times"/>
          <w:sz w:val="24"/>
        </w:rPr>
        <w:t>” means, as to any particular Property, each Lease which constitutes twenty percent (20%) or more of all base rent revenue of such Property.</w:t>
      </w:r>
    </w:p>
    <w:p>
      <w:pPr>
        <w:pStyle w:val="TextBody"/>
        <w:bidi w:val="0"/>
        <w:spacing w:before="0" w:after="240"/>
        <w:ind w:left="0" w:right="0" w:firstLine="720"/>
        <w:jc w:val="both"/>
        <w:rPr/>
      </w:pPr>
      <w:r>
        <w:rPr/>
        <w:t>“</w:t>
      </w:r>
      <w:r>
        <w:rPr>
          <w:rFonts w:ascii="Times" w:hAnsi="Times"/>
          <w:i/>
          <w:sz w:val="24"/>
        </w:rPr>
        <w:t>SOFR</w:t>
      </w:r>
      <w:r>
        <w:rPr>
          <w:rFonts w:ascii="Times" w:hAnsi="Times"/>
          <w:sz w:val="24"/>
        </w:rPr>
        <w:t xml:space="preserve">” means a rate equal to the secured overnight financing rate as administered by the SOFR Administrator. </w:t>
      </w:r>
    </w:p>
    <w:p>
      <w:pPr>
        <w:pStyle w:val="TextBody"/>
        <w:bidi w:val="0"/>
        <w:spacing w:before="0" w:after="240"/>
        <w:ind w:left="0" w:right="0" w:firstLine="720"/>
        <w:jc w:val="both"/>
        <w:rPr/>
      </w:pPr>
      <w:r>
        <w:rPr/>
        <w:t>“</w:t>
      </w:r>
      <w:r>
        <w:rPr>
          <w:rFonts w:ascii="Times" w:hAnsi="Times"/>
          <w:i/>
          <w:sz w:val="24"/>
        </w:rPr>
        <w:t>SOFR Administrator</w:t>
      </w:r>
      <w:r>
        <w:rPr>
          <w:rFonts w:ascii="Times" w:hAnsi="Times"/>
          <w:sz w:val="24"/>
        </w:rPr>
        <w:t>” means the Federal Reserve Bank of New York (or a successor administrator of the secured overnight financing rate).</w:t>
      </w:r>
    </w:p>
    <w:p>
      <w:pPr>
        <w:pStyle w:val="TextBody"/>
        <w:bidi w:val="0"/>
        <w:spacing w:before="0" w:after="240"/>
        <w:ind w:left="0" w:right="0" w:firstLine="720"/>
        <w:jc w:val="both"/>
        <w:rPr/>
      </w:pPr>
      <w:bookmarkStart w:id="71" w:name="_Ref47002986"/>
      <w:bookmarkEnd w:id="71"/>
      <w:r>
        <w:rPr/>
        <w:t>“</w:t>
      </w:r>
      <w:r>
        <w:rPr>
          <w:rFonts w:ascii="Times" w:hAnsi="Times"/>
          <w:i/>
          <w:sz w:val="24"/>
        </w:rPr>
        <w:t>SOFR Administrator’s Website</w:t>
      </w:r>
      <w:r>
        <w:rPr>
          <w:rFonts w:ascii="Times" w:hAnsi="Times"/>
          <w:sz w:val="24"/>
        </w:rPr>
        <w:t>” 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240"/>
        <w:ind w:left="0" w:right="0" w:firstLine="720"/>
        <w:jc w:val="both"/>
        <w:rPr/>
      </w:pPr>
      <w:r>
        <w:rPr/>
        <w:t>“</w:t>
      </w:r>
      <w:r>
        <w:rPr>
          <w:rFonts w:ascii="Times" w:hAnsi="Times"/>
          <w:i/>
          <w:sz w:val="24"/>
        </w:rPr>
        <w:t>SOFR Business Day</w:t>
      </w:r>
      <w:r>
        <w:rPr>
          <w:rFonts w:ascii="Times" w:hAnsi="Times"/>
          <w:sz w:val="24"/>
        </w:rPr>
        <w:t xml:space="preserve">”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0" w:after="240"/>
        <w:ind w:left="0" w:right="0" w:firstLine="720"/>
        <w:jc w:val="both"/>
        <w:rPr/>
      </w:pPr>
      <w:r>
        <w:rPr/>
        <w:t>“</w:t>
      </w:r>
      <w:r>
        <w:rPr>
          <w:rFonts w:ascii="Times" w:hAnsi="Times"/>
          <w:i/>
          <w:sz w:val="24"/>
        </w:rPr>
        <w:t>SOFR Determination Day</w:t>
      </w:r>
      <w:r>
        <w:rPr>
          <w:rFonts w:ascii="Times" w:hAnsi="Times"/>
          <w:sz w:val="24"/>
        </w:rPr>
        <w:t>” has the meaning specified in the definition of “Daily Simple SOFR”.</w:t>
      </w:r>
    </w:p>
    <w:p>
      <w:pPr>
        <w:pStyle w:val="TextBody"/>
        <w:bidi w:val="0"/>
        <w:spacing w:before="0" w:after="240"/>
        <w:ind w:left="0" w:right="0" w:firstLine="720"/>
        <w:jc w:val="both"/>
        <w:rPr/>
      </w:pPr>
      <w:r>
        <w:rPr/>
        <w:t>“</w:t>
      </w:r>
      <w:r>
        <w:rPr>
          <w:rFonts w:ascii="Times" w:hAnsi="Times"/>
          <w:i/>
          <w:sz w:val="24"/>
        </w:rPr>
        <w:t>SOFR Loan</w:t>
      </w:r>
      <w:r>
        <w:rPr>
          <w:rFonts w:ascii="Times" w:hAnsi="Times"/>
          <w:sz w:val="24"/>
        </w:rPr>
        <w:t>” means each Daily Simple SOFR Loan and each Term SOFR Loan.</w:t>
      </w:r>
    </w:p>
    <w:p>
      <w:pPr>
        <w:pStyle w:val="TextBody"/>
        <w:bidi w:val="0"/>
        <w:spacing w:before="0" w:after="240"/>
        <w:ind w:left="0" w:right="0" w:firstLine="720"/>
        <w:jc w:val="both"/>
        <w:rPr/>
      </w:pPr>
      <w:r>
        <w:rPr/>
        <w:t>“</w:t>
      </w:r>
      <w:r>
        <w:rPr>
          <w:rFonts w:ascii="Times" w:hAnsi="Times"/>
          <w:i/>
          <w:sz w:val="24"/>
        </w:rPr>
        <w:t>SOFR Rate Day</w:t>
      </w:r>
      <w:r>
        <w:rPr>
          <w:rFonts w:ascii="Times" w:hAnsi="Times"/>
          <w:sz w:val="24"/>
        </w:rPr>
        <w:t>” has the meaning specified in the definition of “Daily Simple SOFR”.</w:t>
      </w:r>
    </w:p>
    <w:p>
      <w:pPr>
        <w:pStyle w:val="TextBody"/>
        <w:bidi w:val="0"/>
        <w:spacing w:before="0" w:after="240"/>
        <w:ind w:left="0" w:right="0" w:firstLine="720"/>
        <w:jc w:val="both"/>
        <w:rPr/>
      </w:pPr>
      <w:r>
        <w:rPr/>
        <w:t>“</w:t>
      </w:r>
      <w:r>
        <w:rPr>
          <w:rFonts w:ascii="Times" w:hAnsi="Times"/>
          <w:i/>
          <w:sz w:val="24"/>
        </w:rPr>
        <w:t>Stock”</w:t>
      </w:r>
      <w:r>
        <w:rPr>
          <w:rFonts w:ascii="Times" w:hAnsi="Times"/>
          <w:sz w:val="24"/>
        </w:rPr>
        <w:t xml:space="preserve"> means shares of capital stock, beneficial or partnership interests, participations or other equivalents (regardless of how designated) of or in a corporation or equivalent entity, whether voting or non-voting, and includes, without limitation, common stock.</w:t>
      </w:r>
    </w:p>
    <w:p>
      <w:pPr>
        <w:pStyle w:val="TextBody"/>
        <w:bidi w:val="0"/>
        <w:spacing w:before="0" w:after="240"/>
        <w:ind w:left="0" w:right="0" w:firstLine="720"/>
        <w:jc w:val="both"/>
        <w:rPr/>
      </w:pPr>
      <w:r>
        <w:rPr/>
        <w:t>“</w:t>
      </w:r>
      <w:r>
        <w:rPr>
          <w:rFonts w:ascii="Times" w:hAnsi="Times"/>
          <w:i/>
          <w:sz w:val="24"/>
        </w:rPr>
        <w:t>Stock Equivalents”</w:t>
      </w:r>
      <w:r>
        <w:rPr>
          <w:rFonts w:ascii="Times" w:hAnsi="Times"/>
          <w:sz w:val="24"/>
        </w:rPr>
        <w:t xml:space="preserve"> means all securities (other than Stock) convertible into or exchangeable for Stock at the option of the holder, and all warrants, options or other rights to purchase or subscribe for any stock, whether or not presently convertible, exchangeable or exercisable.</w:t>
      </w:r>
    </w:p>
    <w:p>
      <w:pPr>
        <w:pStyle w:val="TextBody"/>
        <w:bidi w:val="0"/>
        <w:spacing w:before="0" w:after="240"/>
        <w:ind w:left="0" w:right="0" w:firstLine="720"/>
        <w:jc w:val="both"/>
        <w:rPr/>
      </w:pPr>
      <w:r>
        <w:rPr/>
        <w:t>“</w:t>
      </w:r>
      <w:r>
        <w:rPr>
          <w:rFonts w:ascii="Times" w:hAnsi="Times"/>
          <w:i/>
          <w:sz w:val="24"/>
        </w:rPr>
        <w:t>Subsidiary”</w:t>
      </w:r>
      <w:r>
        <w:rPr>
          <w:rFonts w:ascii="Times" w:hAnsi="Times"/>
          <w:sz w:val="24"/>
        </w:rPr>
        <w:t xml:space="preserve"> means, as to any particular parent corporation or organization, any other corporation or organization more than 50% of the outstanding Voting Stock of which is at the time directly or indirectly owned by such parent corporation or organization or by any one or more other entities which are themselves subsidiaries of such parent corporation or organization.  Unless otherwise expressly noted herein, the term “</w:t>
      </w:r>
      <w:r>
        <w:rPr>
          <w:rFonts w:ascii="Times" w:hAnsi="Times"/>
          <w:i/>
          <w:sz w:val="24"/>
        </w:rPr>
        <w:t>Subsidiary”</w:t>
      </w:r>
      <w:r>
        <w:rPr>
          <w:rFonts w:ascii="Times" w:hAnsi="Times"/>
          <w:sz w:val="24"/>
        </w:rPr>
        <w:t xml:space="preserve"> means a Subsidiary of the Borrower or of any of its direct or indirect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Swap Obligation</w:t>
      </w:r>
      <w:r>
        <w:rPr>
          <w:rFonts w:ascii="Times" w:hAnsi="Times"/>
          <w:sz w:val="24"/>
        </w:rPr>
        <w:t>” 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ind w:left="0" w:right="0" w:firstLine="720"/>
        <w:jc w:val="both"/>
        <w:rPr/>
      </w:pPr>
      <w:r>
        <w:rPr/>
        <w:t>“</w:t>
      </w:r>
      <w:r>
        <w:rPr>
          <w:rFonts w:ascii="Times" w:hAnsi="Times"/>
          <w:i/>
          <w:sz w:val="24"/>
        </w:rPr>
        <w:t>Tangible Net Worth”</w:t>
      </w:r>
      <w:r>
        <w:rPr>
          <w:rFonts w:ascii="Times" w:hAnsi="Times"/>
          <w:sz w:val="24"/>
        </w:rPr>
        <w:t xml:space="preserve"> means for each applicable period, total shareholder’s equity on the Borrower’s consolidated balance sheet as reported in its Form 10-K or 10-Q for such period, </w:t>
      </w:r>
      <w:r>
        <w:rPr>
          <w:rFonts w:ascii="Times" w:hAnsi="Times"/>
          <w:sz w:val="24"/>
          <w:u w:val="single"/>
        </w:rPr>
        <w:t>plus</w:t>
      </w:r>
      <w:r>
        <w:rPr>
          <w:rFonts w:ascii="Times" w:hAnsi="Times"/>
          <w:sz w:val="24"/>
        </w:rPr>
        <w:t xml:space="preserve"> (i) accumulated depreciation and amortization and (ii) unrealized losses related to marketable securities, </w:t>
      </w:r>
      <w:r>
        <w:rPr>
          <w:rFonts w:ascii="Times" w:hAnsi="Times"/>
          <w:sz w:val="24"/>
          <w:u w:val="single"/>
        </w:rPr>
        <w:t>minus</w:t>
      </w:r>
      <w:r>
        <w:rPr>
          <w:rFonts w:ascii="Times" w:hAnsi="Times"/>
          <w:sz w:val="24"/>
        </w:rPr>
        <w:t>, to the extent included when determining stockholders’ equity, (x) all unrealized gains related to marketable securities and (y) all amounts appearing on the assets side of the Borrower’s consolidated balance sheet representing an intangible asset under GAAP (other than lease intangibles, net of lease liabilities) net of all amounts appearing on the liabilities side of its consolidated balance sheet representing an intangible liability under GAAP, in each case as determined on a consolidated basis in accordance with GAAP.</w:t>
      </w:r>
    </w:p>
    <w:p>
      <w:pPr>
        <w:pStyle w:val="TextBody"/>
        <w:bidi w:val="0"/>
        <w:spacing w:before="0" w:after="240"/>
        <w:ind w:left="0" w:right="0" w:firstLine="720"/>
        <w:jc w:val="both"/>
        <w:rPr/>
      </w:pPr>
      <w:r>
        <w:rPr/>
        <w:t>“</w:t>
      </w:r>
      <w:r>
        <w:rPr>
          <w:rFonts w:ascii="Times" w:hAnsi="Times"/>
          <w:i/>
          <w:sz w:val="24"/>
        </w:rPr>
        <w:t>Taxes”</w:t>
      </w:r>
      <w:r>
        <w:rPr>
          <w:rFonts w:ascii="Times" w:hAnsi="Times"/>
          <w:sz w:val="24"/>
        </w:rPr>
        <w:t xml:space="preserve"> means all present or future taxes, levies, imposts, duties, deductions, withholdings (including back 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w:hAnsi="Times"/>
          <w:i/>
          <w:sz w:val="24"/>
        </w:rPr>
        <w:t xml:space="preserve">Tenant” </w:t>
      </w:r>
      <w:r>
        <w:rPr>
          <w:rFonts w:ascii="Times" w:hAnsi="Times"/>
          <w:sz w:val="24"/>
        </w:rPr>
        <w:t>means any Person leasing, subleasing or otherwise occupying any portion of a Property under a Lease or other occupancy agreement with the Borrower or a Subsidiary that is the direct owner of such Property.</w:t>
      </w:r>
    </w:p>
    <w:p>
      <w:pPr>
        <w:pStyle w:val="TextBody"/>
        <w:bidi w:val="0"/>
        <w:spacing w:before="0" w:after="240"/>
        <w:ind w:left="0" w:right="0" w:firstLine="720"/>
        <w:jc w:val="both"/>
        <w:rPr/>
      </w:pPr>
      <w:r>
        <w:rPr/>
        <w:t>“</w:t>
      </w:r>
      <w:r>
        <w:rPr>
          <w:rFonts w:ascii="Times" w:hAnsi="Times"/>
          <w:i/>
          <w:sz w:val="24"/>
        </w:rPr>
        <w:t>Term Facility</w:t>
      </w:r>
      <w:r>
        <w:rPr>
          <w:rFonts w:ascii="Times" w:hAnsi="Times"/>
          <w:sz w:val="24"/>
        </w:rPr>
        <w:t>” means the 2029 Term Facility, 2030 Term Facility, 2031 Term Facility, 2032 Term Facility and any Incremental Term Loan Facility.</w:t>
      </w:r>
    </w:p>
    <w:p>
      <w:pPr>
        <w:pStyle w:val="TextBody"/>
        <w:bidi w:val="0"/>
        <w:spacing w:before="0" w:after="240"/>
        <w:ind w:left="0" w:right="0" w:firstLine="720"/>
        <w:jc w:val="both"/>
        <w:rPr/>
      </w:pPr>
      <w:r>
        <w:rPr/>
        <w:t>“</w:t>
      </w:r>
      <w:r>
        <w:rPr>
          <w:rFonts w:ascii="Times" w:hAnsi="Times"/>
          <w:i/>
          <w:sz w:val="24"/>
        </w:rPr>
        <w:t>Term Lender</w:t>
      </w:r>
      <w:r>
        <w:rPr>
          <w:rFonts w:ascii="Times" w:hAnsi="Times"/>
          <w:sz w:val="24"/>
        </w:rPr>
        <w:t>” means, any Lender that has a Term Loan Commitment or holds Term Loans at such time.</w:t>
      </w:r>
    </w:p>
    <w:p>
      <w:pPr>
        <w:pStyle w:val="TextBody"/>
        <w:bidi w:val="0"/>
        <w:spacing w:before="0" w:after="240"/>
        <w:ind w:left="0" w:right="0" w:firstLine="720"/>
        <w:jc w:val="both"/>
        <w:rPr/>
      </w:pPr>
      <w:r>
        <w:rPr/>
        <w:t>“</w:t>
      </w:r>
      <w:r>
        <w:rPr>
          <w:rFonts w:ascii="Times" w:hAnsi="Times"/>
          <w:i/>
          <w:sz w:val="24"/>
        </w:rPr>
        <w:t>Term Loan”</w:t>
      </w:r>
      <w:r>
        <w:rPr>
          <w:rFonts w:ascii="Times" w:hAnsi="Times"/>
          <w:sz w:val="24"/>
        </w:rPr>
        <w:t xml:space="preserve"> means the 2029 Term Loans, 2030 Term Loans, 2031 Term Loans, 2032 Term Loans and any other Incremental Term Loans made pursuant to Section 1.15 hereof and each includes a Base Rate Loan or a SOFR Loan, each of which is a “</w:t>
      </w:r>
      <w:r>
        <w:rPr>
          <w:rFonts w:ascii="Times" w:hAnsi="Times"/>
          <w:i/>
          <w:sz w:val="24"/>
        </w:rPr>
        <w:t>type”</w:t>
      </w:r>
      <w:r>
        <w:rPr>
          <w:rFonts w:ascii="Times" w:hAnsi="Times"/>
          <w:sz w:val="24"/>
        </w:rPr>
        <w:t xml:space="preserve"> of Term Loan hereunder.</w:t>
      </w:r>
    </w:p>
    <w:p>
      <w:pPr>
        <w:pStyle w:val="TextBody"/>
        <w:bidi w:val="0"/>
        <w:spacing w:before="0" w:after="240"/>
        <w:ind w:left="0" w:right="0" w:firstLine="720"/>
        <w:jc w:val="both"/>
        <w:rPr/>
      </w:pPr>
      <w:r>
        <w:rPr/>
        <w:t>“</w:t>
      </w:r>
      <w:r>
        <w:rPr>
          <w:rFonts w:ascii="Times" w:hAnsi="Times"/>
          <w:i/>
          <w:sz w:val="24"/>
        </w:rPr>
        <w:t>Term Loan Commitment</w:t>
      </w:r>
      <w:r>
        <w:rPr>
          <w:rFonts w:ascii="Times" w:hAnsi="Times"/>
          <w:sz w:val="24"/>
        </w:rPr>
        <w:t xml:space="preserve">” means, as to any Term Lender, its </w:t>
      </w:r>
      <w:bookmarkStart w:id="72" w:name="_Hlk220421466"/>
      <w:bookmarkEnd w:id="72"/>
      <w:r>
        <w:rPr>
          <w:rFonts w:ascii="Times" w:hAnsi="Times"/>
          <w:sz w:val="24"/>
        </w:rPr>
        <w:t>2029 Term Loan Commitment, 2030 Term Loan Commitment, 2031 Term Loan Commitment, 2032 Term Loan Commitment and Incremental Term Loan Commitment, as applicable.</w:t>
      </w:r>
    </w:p>
    <w:p>
      <w:pPr>
        <w:pStyle w:val="TextBody"/>
        <w:bidi w:val="0"/>
        <w:spacing w:before="0" w:after="240"/>
        <w:ind w:left="0" w:right="0" w:firstLine="720"/>
        <w:jc w:val="both"/>
        <w:rPr/>
      </w:pPr>
      <w:r>
        <w:rPr/>
        <w:t>“</w:t>
      </w:r>
      <w:r>
        <w:rPr>
          <w:rFonts w:ascii="Times" w:hAnsi="Times"/>
          <w:i/>
          <w:sz w:val="24"/>
        </w:rPr>
        <w:t>Term Loan Maturity Date</w:t>
      </w:r>
      <w:r>
        <w:rPr>
          <w:rFonts w:ascii="Times" w:hAnsi="Times"/>
          <w:sz w:val="24"/>
        </w:rPr>
        <w:t>” means (a) with respect to the 2029 Term Facility, September 30, 2029, (b) with respect to the 2030 Term Facility, September 25, 2030, (c) with respect to the 2031 Term Facility, September 29, 2031, (d) with respect to the 2032 Term Facility, March 29, 2032, and (e) with respect to any Incremental Term Loan Facility, the maturity date for such Incremental Term Loan Facility as set forth in the applicable Incremental Term Loan Amendment; provided, however, that, in each case, if such date is not a Business Day, the Maturity Date shall be the next preceding Business Day.</w:t>
      </w:r>
    </w:p>
    <w:p>
      <w:pPr>
        <w:pStyle w:val="TextBody"/>
        <w:bidi w:val="0"/>
        <w:spacing w:before="240" w:after="0"/>
        <w:ind w:left="0" w:right="0" w:firstLine="720"/>
        <w:jc w:val="both"/>
        <w:rPr/>
      </w:pPr>
      <w:r>
        <w:rPr/>
        <w:t>“</w:t>
      </w:r>
      <w:r>
        <w:rPr>
          <w:rFonts w:ascii="Times New Roman;Times;serif" w:hAnsi="Times New Roman;Times;serif"/>
          <w:i/>
          <w:sz w:val="24"/>
        </w:rPr>
        <w:t>Term SOFR</w:t>
      </w:r>
      <w:r>
        <w:rPr>
          <w:rFonts w:ascii="Times New Roman;Times;serif" w:hAnsi="Times New Roman;Times;serif"/>
          <w:sz w:val="24"/>
        </w:rPr>
        <w:t xml:space="preserve">” </w:t>
      </w:r>
      <w:r>
        <w:rPr>
          <w:rFonts w:ascii="Times" w:hAnsi="Times"/>
          <w:sz w:val="24"/>
        </w:rPr>
        <w:t xml:space="preserve">means,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w:hAnsi="Times"/>
          <w:sz w:val="24"/>
        </w:rPr>
        <w:t>(a) for any calculation with respect to a Term SOFR Loan, the Term SOFR Reference Rate for a tenor comparable to the applicable Interest Period on the day (such day, the “</w:t>
      </w:r>
      <w:r>
        <w:rPr>
          <w:rFonts w:ascii="Times" w:hAnsi="Times"/>
          <w:sz w:val="24"/>
          <w:u w:val="single"/>
        </w:rPr>
        <w:t>Term SOFR Lookback Day</w:t>
      </w:r>
      <w:r>
        <w:rPr>
          <w:rFonts w:ascii="Times New Roman;Times;serif" w:hAnsi="Times New Roman;Times;serif"/>
          <w:sz w:val="24"/>
        </w:rPr>
        <w:t>”</w:t>
      </w:r>
      <w:r>
        <w:rPr>
          <w:rFonts w:ascii="Times" w:hAnsi="Times"/>
          <w:sz w:val="24"/>
        </w:rPr>
        <w:t xml:space="preserve">) that is two SOFR Business Days prior to the first day of such Interest Period, as such rate is published by the Term SOFR Administrator; </w:t>
      </w:r>
      <w:r>
        <w:rPr>
          <w:rFonts w:ascii="Times" w:hAnsi="Times"/>
          <w:sz w:val="24"/>
          <w:u w:val="single"/>
        </w:rPr>
        <w:t>provided</w:t>
      </w:r>
      <w:r>
        <w:rPr>
          <w:rFonts w:ascii="Times" w:hAnsi="Times"/>
          <w:sz w:val="24"/>
        </w:rPr>
        <w:t xml:space="preserve">, </w:t>
      </w:r>
      <w:r>
        <w:rPr>
          <w:rFonts w:ascii="Times" w:hAnsi="Times"/>
          <w:sz w:val="24"/>
          <w:u w:val="single"/>
        </w:rPr>
        <w:t>however</w:t>
      </w:r>
      <w:r>
        <w:rPr>
          <w:rFonts w:ascii="Times" w:hAnsi="Times"/>
          <w:sz w:val="24"/>
        </w:rPr>
        <w:t xml:space="preserve">, that if as of 5:00 p.m. (New York City time) on any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Term SOFR Lookback Day, and </w:t>
      </w:r>
    </w:p>
    <w:p>
      <w:pPr>
        <w:pStyle w:val="TextBody"/>
        <w:bidi w:val="0"/>
        <w:spacing w:before="240" w:after="240"/>
        <w:ind w:left="0" w:right="0" w:firstLine="720"/>
        <w:jc w:val="both"/>
        <w:rPr>
          <w:rFonts w:ascii="Times New Roman;Times;serif" w:hAnsi="Times New Roman;Times;serif"/>
          <w:sz w:val="24"/>
        </w:rPr>
      </w:pPr>
      <w:r>
        <w:rPr>
          <w:rFonts w:ascii="Times" w:hAnsi="Times"/>
          <w:sz w:val="24"/>
        </w:rPr>
        <w:t>(b) for any calculation with respect to a Base Rate Loan on any day, the Term SOFR Reference Rate for a tenor of one month on the day (such day, the “</w:t>
      </w:r>
      <w:r>
        <w:rPr>
          <w:rFonts w:ascii="Times" w:hAnsi="Times"/>
          <w:sz w:val="24"/>
          <w:u w:val="single"/>
        </w:rPr>
        <w:t>Base Rate Term SOFR Lookback Day</w:t>
      </w:r>
      <w:r>
        <w:rPr>
          <w:rFonts w:ascii="Times New Roman;Times;serif" w:hAnsi="Times New Roman;Times;serif"/>
          <w:sz w:val="24"/>
        </w:rPr>
        <w:t>”</w:t>
      </w:r>
      <w:r>
        <w:rPr>
          <w:rFonts w:ascii="Times" w:hAnsi="Times"/>
          <w:sz w:val="24"/>
        </w:rPr>
        <w:t xml:space="preserve">) that is two SOFR Business Days prior to such day, as such rate is published by the Term SOFR Administrator; </w:t>
      </w:r>
      <w:r>
        <w:rPr>
          <w:rFonts w:ascii="Times" w:hAnsi="Times"/>
          <w:sz w:val="24"/>
          <w:u w:val="single"/>
        </w:rPr>
        <w:t>provided</w:t>
      </w:r>
      <w:r>
        <w:rPr>
          <w:rFonts w:ascii="Times" w:hAnsi="Times"/>
          <w:sz w:val="24"/>
        </w:rPr>
        <w:t xml:space="preserve">, </w:t>
      </w:r>
      <w:r>
        <w:rPr>
          <w:rFonts w:ascii="Times" w:hAnsi="Times"/>
          <w:sz w:val="24"/>
          <w:u w:val="single"/>
        </w:rPr>
        <w:t>however</w:t>
      </w:r>
      <w:r>
        <w:rPr>
          <w:rFonts w:ascii="Times" w:hAnsi="Times"/>
          <w:sz w:val="24"/>
        </w:rPr>
        <w:t>, that if as of 5:00 p.m. (New York City time) on any Base Rate Term SOFR Lookback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SOFR Business Days prior to such Base Rate Term SOFR Lookback Day;</w:t>
      </w:r>
    </w:p>
    <w:p>
      <w:pPr>
        <w:pStyle w:val="TextBody"/>
        <w:bidi w:val="0"/>
        <w:spacing w:before="0" w:after="240"/>
        <w:ind w:left="0" w:right="0" w:hanging="0"/>
        <w:jc w:val="both"/>
        <w:rPr>
          <w:rFonts w:ascii="Times New Roman;Times;serif" w:hAnsi="Times New Roman;Times;serif"/>
          <w:sz w:val="24"/>
        </w:rPr>
      </w:pPr>
      <w:r>
        <w:rPr>
          <w:rFonts w:ascii="Times" w:hAnsi="Times"/>
          <w:i/>
          <w:sz w:val="24"/>
        </w:rPr>
        <w:t>provided</w:t>
      </w:r>
      <w:r>
        <w:rPr>
          <w:rFonts w:ascii="Times New Roman;Times;serif" w:hAnsi="Times New Roman;Times;serif"/>
          <w:sz w:val="24"/>
        </w:rPr>
        <w:t xml:space="preserve"> </w:t>
      </w:r>
      <w:r>
        <w:rPr>
          <w:rFonts w:ascii="Times" w:hAnsi="Times"/>
          <w:sz w:val="24"/>
        </w:rPr>
        <w:t>that, if Term SOFR determined as provided above shall ever be less than the Floor, then Term SOFR shall be deemed to be the Floor.</w:t>
      </w:r>
    </w:p>
    <w:p>
      <w:pPr>
        <w:pStyle w:val="TextBody"/>
        <w:bidi w:val="0"/>
        <w:spacing w:before="0" w:after="240"/>
        <w:ind w:left="0" w:right="0" w:firstLine="720"/>
        <w:jc w:val="both"/>
        <w:rPr/>
      </w:pPr>
      <w:r>
        <w:rPr/>
        <w:t>“</w:t>
      </w:r>
      <w:r>
        <w:rPr>
          <w:rFonts w:ascii="Times" w:hAnsi="Times"/>
          <w:i/>
          <w:sz w:val="24"/>
        </w:rPr>
        <w:t>Term SOFR Administrator</w:t>
      </w:r>
      <w:r>
        <w:rPr>
          <w:rFonts w:ascii="Times" w:hAnsi="Times"/>
          <w:sz w:val="24"/>
        </w:rPr>
        <w:t>” means CBA (or a successor administrator of the Term SOFR Reference Rate, as selected by the Administrative Agent in its reasonable discretion).</w:t>
      </w:r>
    </w:p>
    <w:p>
      <w:pPr>
        <w:pStyle w:val="TextBody"/>
        <w:bidi w:val="0"/>
        <w:spacing w:before="0" w:after="240"/>
        <w:ind w:left="0" w:right="0" w:firstLine="720"/>
        <w:jc w:val="left"/>
        <w:rPr/>
      </w:pPr>
      <w:r>
        <w:rPr/>
        <w:t>“</w:t>
      </w:r>
      <w:r>
        <w:rPr>
          <w:rFonts w:ascii="Times New Roman;Times;serif" w:hAnsi="Times New Roman;Times;serif"/>
          <w:i/>
          <w:sz w:val="24"/>
        </w:rPr>
        <w:t>Term SOFR Loan</w:t>
      </w:r>
      <w:r>
        <w:rPr>
          <w:rFonts w:ascii="Times New Roman;Times;serif" w:hAnsi="Times New Roman;Times;serif"/>
          <w:sz w:val="24"/>
        </w:rPr>
        <w:t>” means each Loan bearing interest at a rate based upon Term SOFR (other than pursuant to clause (iii) of the definition of Base Rate).</w:t>
      </w:r>
    </w:p>
    <w:p>
      <w:pPr>
        <w:pStyle w:val="TextBody"/>
        <w:bidi w:val="0"/>
        <w:spacing w:before="0" w:after="240"/>
        <w:ind w:left="0" w:right="0" w:firstLine="720"/>
        <w:jc w:val="both"/>
        <w:rPr/>
      </w:pPr>
      <w:r>
        <w:rPr/>
        <w:t>“</w:t>
      </w:r>
      <w:r>
        <w:rPr>
          <w:rFonts w:ascii="Times" w:hAnsi="Times"/>
          <w:i/>
          <w:sz w:val="24"/>
        </w:rPr>
        <w:t>Term SOFR Reference Rate</w:t>
      </w:r>
      <w:r>
        <w:rPr>
          <w:rFonts w:ascii="Times" w:hAnsi="Times"/>
          <w:sz w:val="24"/>
        </w:rPr>
        <w:t>” means the forward-looking term rate based on SOFR.</w:t>
      </w:r>
    </w:p>
    <w:p>
      <w:pPr>
        <w:pStyle w:val="TextBody"/>
        <w:bidi w:val="0"/>
        <w:spacing w:before="0" w:after="0"/>
        <w:ind w:left="0" w:right="0" w:firstLine="720"/>
        <w:jc w:val="both"/>
        <w:rPr/>
      </w:pPr>
      <w:r>
        <w:rPr/>
        <w:t>“</w:t>
      </w:r>
      <w:r>
        <w:rPr>
          <w:rFonts w:ascii="Times" w:hAnsi="Times"/>
          <w:i/>
          <w:sz w:val="24"/>
        </w:rPr>
        <w:t>Total Asset Value”</w:t>
      </w:r>
      <w:r>
        <w:rPr>
          <w:rFonts w:ascii="Times" w:hAnsi="Times"/>
          <w:sz w:val="24"/>
        </w:rPr>
        <w:t xml:space="preserve"> means, as of the end of any Rolling Period, an amount equal to the sum of (a) for all Properties owned by the Borrower and its Subsidiaries for more than twelve (12) months, the quotient of (i) the Property NOI from such Properties divided by (ii) the Capitalization Rate </w:t>
      </w:r>
      <w:r>
        <w:rPr>
          <w:rFonts w:ascii="Times" w:hAnsi="Times"/>
          <w:i/>
          <w:sz w:val="24"/>
        </w:rPr>
        <w:t>plus</w:t>
      </w:r>
      <w:r>
        <w:rPr>
          <w:rFonts w:ascii="Times" w:hAnsi="Times"/>
          <w:sz w:val="24"/>
        </w:rPr>
        <w:t xml:space="preserve"> (b) for all Properties owned by the Borrower and its Subsidiaries for twelve (12) months or less, the lesser of (i) the book value (as defined in GAAP) of any such property or (ii), the value of any such Property as determined by the calculation in clause (a) above measured on an annualized basis rather than for the most recently ended period of four quarters </w:t>
      </w:r>
      <w:r>
        <w:rPr>
          <w:rFonts w:ascii="Times" w:hAnsi="Times"/>
          <w:i/>
          <w:sz w:val="24"/>
        </w:rPr>
        <w:t>plus</w:t>
      </w:r>
      <w:r>
        <w:rPr>
          <w:rFonts w:ascii="Times" w:hAnsi="Times"/>
          <w:sz w:val="24"/>
        </w:rPr>
        <w:t xml:space="preserve"> (c) the aggregate book value of all unimproved land holdings and/or construction in progress owned by the Borrower and its Subsidiaries </w:t>
      </w:r>
      <w:r>
        <w:rPr>
          <w:rFonts w:ascii="Times" w:hAnsi="Times"/>
          <w:i/>
          <w:sz w:val="24"/>
        </w:rPr>
        <w:t>plus</w:t>
      </w:r>
      <w:r>
        <w:rPr>
          <w:rFonts w:ascii="Times" w:hAnsi="Times"/>
          <w:sz w:val="24"/>
        </w:rPr>
        <w:t xml:space="preserve"> (d) cash, 1031 Cash Proceeds, cash equivalents and marketable securities (including Public Investments) owned by the Borrower and its Subsidiaries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that are not (other than 1031 Cash Proceeds) then being held in or subject to escrow in connection with funding commitments of the Borrower or such Subsidiary </w:t>
      </w:r>
      <w:r>
        <w:rPr>
          <w:rFonts w:ascii="Times" w:hAnsi="Times"/>
          <w:i/>
          <w:sz w:val="24"/>
        </w:rPr>
        <w:t xml:space="preserve">plus </w:t>
      </w:r>
      <w:r>
        <w:rPr>
          <w:rFonts w:ascii="Times" w:hAnsi="Times"/>
          <w:sz w:val="24"/>
        </w:rPr>
        <w:t xml:space="preserve">(e) the aggregate positive amount of net cash proceeds that would be due to the Borrower from all Forward Equity Contracts that have not yet settled as of such date, calculated as if such Forward Equity Contracts were settled by the Borrower’s delivery of its common shares as of, and such net cash proceeds were actually received on, the last day of the then most recent ended fiscal quarter; provided that, such calculation shall exclude each Forward Equity Contract, if any, with respect to which any of the following apply (x) the Borrower or the counterparty would not reasonably be expected (as determined in good faith by the Borrower), for any reason, to be able to fulfill its obligations thereunder prior to the earliest Maturity Date, and (y) the Borrower no longer intends to issue shares sufficient to realize such proceeds, </w:t>
      </w:r>
      <w:r>
        <w:rPr>
          <w:rFonts w:ascii="Times" w:hAnsi="Times"/>
          <w:i/>
          <w:sz w:val="24"/>
        </w:rPr>
        <w:t xml:space="preserve">plus </w:t>
      </w:r>
      <w:r>
        <w:rPr>
          <w:rFonts w:ascii="Times" w:hAnsi="Times"/>
          <w:sz w:val="24"/>
        </w:rPr>
        <w:t xml:space="preserve">(f) to the extent not already included in clauses (a) through (d), investments consisting of structured debt products, preferred equity, mortgage loans (other than leases structured as mortgages due to reimbursement requirements), mezzanine loans and notes receivable, including without limitation, Mortgage Receivables, owned by the Borrower and its Subsidiaries, </w:t>
      </w:r>
      <w:r>
        <w:rPr>
          <w:rFonts w:ascii="Times" w:hAnsi="Times"/>
          <w:i/>
          <w:sz w:val="24"/>
        </w:rPr>
        <w:t>plus</w:t>
      </w:r>
      <w:r>
        <w:rPr>
          <w:rFonts w:ascii="Times" w:hAnsi="Times"/>
          <w:sz w:val="24"/>
        </w:rPr>
        <w:t xml:space="preserve"> (g) without duplication, the Borrower’s or Subsidiaries’ Ownership Share of any assets of the type described in the immediately preceding clauses (a) through (c) held by Unconsolidated Affiliates; </w:t>
      </w:r>
      <w:r>
        <w:rPr>
          <w:rFonts w:ascii="Times" w:hAnsi="Times"/>
          <w:i/>
          <w:sz w:val="24"/>
        </w:rPr>
        <w:t>provided</w:t>
      </w:r>
      <w:r>
        <w:rPr>
          <w:rFonts w:ascii="Times" w:hAnsi="Times"/>
          <w:sz w:val="24"/>
        </w:rPr>
        <w:t xml:space="preserve"> that, for purposes of calculating the Total Asset Value (A) cash investments in assets held by joint ventures shall not exceed in the aggregate at any one time outstanding an amount equal to 15% of the Total Asset Value of Borrower and its Subsidiaries at such time, with any amounts in excess of 15% of the Total Asset Value being excluded from the calculation of Total Asset Value; (B) investments in Assets Under Development shall not exceed in the aggregate at any one time outstanding an amount equal to 15% of the Total Asset Value of Borrower and its Subsidiaries at such time, with any amounts in excess of 15% of the Total Asset Value being excluded from the calculation of Total Asset Value; (C) investments in Land Assets shall not exceed in the aggregate at any one time outstanding an amount equal to 5% of the Total Asset Value of Borrower and its Subsidiaries at such time, with any amounts in excess of 5% of the Total Asset Value being excluded from the calculation of Total Asset Value; (D) </w:t>
      </w:r>
      <w:bookmarkStart w:id="73" w:name="_Hlk184324173"/>
      <w:bookmarkEnd w:id="73"/>
      <w:r>
        <w:rPr>
          <w:rFonts w:ascii="Times" w:hAnsi="Times"/>
          <w:sz w:val="24"/>
        </w:rPr>
        <w:t>investments consisting of First Mortgage Loans and Other Structured Investments shall not exceed in the aggregate at any one time outstanding an amount equal to 20% of the Total Asset Value of Borrower and its Subsidiaries at such time, with any amounts in excess of 20% of the Total Asset Value being excluded from the calculation of Total Asset Value; (E) investments consisting of Other Structured Investments shall not exceed in the aggregate at any one time outstanding an amount equal to 5% of the Total Asset Value of Borrower and its Subsidiaries at such time, with any amounts in excess of 5% of the Total Asset Value being excluded from the calculation of Total Asset Value; (F) investments in Public Investments shall not exceed in the aggregate at any one time outstanding an amount equal to 15% of the Total Asset Value of Borrower and its Subsidiaries at such time, with any amounts in excess of 15% of the Total Asset Value being excluded from the calculation of Total Asset Value; and (G) the aggregate amount of investments described in clauses (A) through (F) above (without duplication) shall not exceed in the aggregate at any one time outstanding an amount equal to 30% of the Total Asset Value of Borrower and its Subsidiaries at such time, with any amounts in excess of 30% of the Total Asset Value being excluded from the calculation of Total Asset Value.</w:t>
      </w:r>
    </w:p>
    <w:p>
      <w:pPr>
        <w:pStyle w:val="TextBody"/>
        <w:bidi w:val="0"/>
        <w:spacing w:before="0" w:after="0"/>
        <w:ind w:left="0" w:right="0" w:firstLine="720"/>
        <w:jc w:val="both"/>
        <w:rPr/>
      </w:pPr>
      <w:r>
        <w:rPr/>
        <w:t>“</w:t>
      </w:r>
      <w:r>
        <w:rPr>
          <w:rFonts w:ascii="Times" w:hAnsi="Times"/>
          <w:i/>
          <w:sz w:val="24"/>
        </w:rPr>
        <w:t>Total Indebtedness”</w:t>
      </w:r>
      <w:r>
        <w:rPr>
          <w:rFonts w:ascii="Times" w:hAnsi="Times"/>
          <w:sz w:val="24"/>
        </w:rPr>
        <w:t xml:space="preserve"> means, as of a given date, all liabilities of Borrower and its Subsidiaries which would, in conformity with GAAP, be properly classified as a liability on a consolidated balance sheet of Borrower and its Subsidiaries as of such date, excluding any amounts categorized as accrued expenses, accrued dividends, deposits held, deferred revenues, minority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interests and other liabilities not directly associated with the borrowing of money. The Borrower’s Ownership Share of Total Indebtedness held by Unconsolidated Affiliates shall be included when determining Total Indebtedness of the Borrower and its Subsidiaries.</w:t>
      </w:r>
    </w:p>
    <w:p>
      <w:pPr>
        <w:pStyle w:val="TextBody"/>
        <w:bidi w:val="0"/>
        <w:spacing w:before="0" w:after="240"/>
        <w:ind w:left="0" w:right="0" w:firstLine="720"/>
        <w:jc w:val="both"/>
        <w:rPr/>
      </w:pPr>
      <w:r>
        <w:rPr/>
        <w:t>“</w:t>
      </w:r>
      <w:r>
        <w:rPr>
          <w:rFonts w:ascii="Times" w:hAnsi="Times"/>
          <w:i/>
          <w:sz w:val="24"/>
        </w:rPr>
        <w:t>Total Outstandings</w:t>
      </w:r>
      <w:r>
        <w:rPr>
          <w:rFonts w:ascii="Times" w:hAnsi="Times"/>
          <w:sz w:val="24"/>
        </w:rPr>
        <w:t>” means the aggregate outstanding amount of all Loans for all Facilities and all L/C Obligations.</w:t>
      </w:r>
    </w:p>
    <w:p>
      <w:pPr>
        <w:pStyle w:val="TextBody"/>
        <w:bidi w:val="0"/>
        <w:spacing w:before="0" w:after="240"/>
        <w:ind w:left="0" w:right="0" w:firstLine="720"/>
        <w:jc w:val="both"/>
        <w:rPr/>
      </w:pPr>
      <w:r>
        <w:rPr/>
        <w:t>“</w:t>
      </w:r>
      <w:r>
        <w:rPr>
          <w:rFonts w:ascii="Times" w:hAnsi="Times"/>
          <w:i/>
          <w:sz w:val="24"/>
        </w:rPr>
        <w:t>UCC”</w:t>
      </w:r>
      <w:r>
        <w:rPr>
          <w:rFonts w:ascii="Times" w:hAnsi="Times"/>
          <w:sz w:val="24"/>
        </w:rPr>
        <w:t xml:space="preserve"> means the Uniform Commercial Code as in effect in the State of New York.</w:t>
      </w:r>
    </w:p>
    <w:p>
      <w:pPr>
        <w:pStyle w:val="TextBody"/>
        <w:bidi w:val="0"/>
        <w:spacing w:before="0" w:after="240"/>
        <w:ind w:left="0" w:right="0" w:firstLine="720"/>
        <w:jc w:val="both"/>
        <w:rPr/>
      </w:pPr>
      <w:r>
        <w:rPr/>
        <w:t>“</w:t>
      </w:r>
      <w:r>
        <w:rPr>
          <w:rFonts w:ascii="Times" w:hAnsi="Times"/>
          <w:i/>
          <w:sz w:val="24"/>
        </w:rPr>
        <w:t>UK Financial Institution</w:t>
      </w:r>
      <w:r>
        <w:rPr>
          <w:rFonts w:ascii="Times" w:hAnsi="Times"/>
          <w:sz w:val="24"/>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w:hAnsi="Times"/>
          <w:i/>
          <w:sz w:val="24"/>
        </w:rPr>
        <w:t>UK Resolution Authority</w:t>
      </w:r>
      <w:r>
        <w:rPr>
          <w:rFonts w:ascii="Times" w:hAnsi="Times"/>
          <w:sz w:val="24"/>
        </w:rPr>
        <w:t>” 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w:hAnsi="Times"/>
          <w:i/>
          <w:sz w:val="24"/>
        </w:rPr>
        <w:t>Unadjusted Benchmark Replacement</w:t>
      </w:r>
      <w:r>
        <w:rPr>
          <w:rFonts w:ascii="Times" w:hAnsi="Times"/>
          <w:sz w:val="24"/>
        </w:rPr>
        <w:t>” means the applicable Benchmark Replacement excluding the related Benchmark Replacement Adjustment.</w:t>
      </w:r>
    </w:p>
    <w:p>
      <w:pPr>
        <w:pStyle w:val="TextBody"/>
        <w:bidi w:val="0"/>
        <w:spacing w:before="0" w:after="240"/>
        <w:ind w:left="0" w:right="0" w:firstLine="720"/>
        <w:jc w:val="both"/>
        <w:rPr/>
      </w:pPr>
      <w:r>
        <w:rPr/>
        <w:t>“</w:t>
      </w:r>
      <w:r>
        <w:rPr>
          <w:rFonts w:ascii="Times" w:hAnsi="Times"/>
          <w:i/>
          <w:sz w:val="24"/>
        </w:rPr>
        <w:t>Unconsolidated Affiliate</w:t>
      </w:r>
      <w:r>
        <w:rPr>
          <w:rFonts w:ascii="Times" w:hAnsi="Times"/>
          <w:sz w:val="24"/>
        </w:rPr>
        <w:t>” means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  For the avoidance of doubt, Alpine shall not be deemed to constitute an Unconsolidated Affiliate of the Borrower for purposes of calculating the financial covenants set forth in this Agreement.</w:t>
      </w:r>
    </w:p>
    <w:p>
      <w:pPr>
        <w:pStyle w:val="TextBody"/>
        <w:bidi w:val="0"/>
        <w:spacing w:before="0" w:after="240"/>
        <w:ind w:left="0" w:right="0" w:firstLine="720"/>
        <w:jc w:val="both"/>
        <w:rPr/>
      </w:pPr>
      <w:r>
        <w:rPr/>
        <w:t>“</w:t>
      </w:r>
      <w:r>
        <w:rPr>
          <w:rFonts w:ascii="Times" w:hAnsi="Times"/>
          <w:i/>
          <w:sz w:val="24"/>
        </w:rPr>
        <w:t>Unencumbered Asset</w:t>
      </w:r>
      <w:r>
        <w:rPr>
          <w:rFonts w:ascii="Times" w:hAnsi="Times"/>
          <w:sz w:val="24"/>
        </w:rPr>
        <w:t>” means, as of any date of determination, each Unencumbered Real Property Asset, each Unencumbered Mortgage Receivable, and all Unencumbered PINE Common Equity.</w:t>
      </w:r>
    </w:p>
    <w:p>
      <w:pPr>
        <w:pStyle w:val="TextBody"/>
        <w:bidi w:val="0"/>
        <w:spacing w:before="0" w:after="240"/>
        <w:ind w:left="0" w:right="0" w:firstLine="720"/>
        <w:jc w:val="both"/>
        <w:rPr/>
      </w:pPr>
      <w:r>
        <w:rPr/>
        <w:t>“</w:t>
      </w:r>
      <w:r>
        <w:rPr>
          <w:rFonts w:ascii="Times" w:hAnsi="Times"/>
          <w:i/>
          <w:sz w:val="24"/>
        </w:rPr>
        <w:t>Unencumbered Asset Value”</w:t>
      </w:r>
      <w:r>
        <w:rPr>
          <w:rFonts w:ascii="Times" w:hAnsi="Times"/>
          <w:sz w:val="24"/>
        </w:rPr>
        <w:t xml:space="preserve"> means an amount equal to the sum of (a) for all Unencumbered Real Property Assets owned for more than twelve (12) months, the quotient of (i) the Property NOI for such Unencumbered Real Property Assets divided by (ii) the Capitalization Rate </w:t>
      </w:r>
      <w:r>
        <w:rPr>
          <w:rFonts w:ascii="Times" w:hAnsi="Times"/>
          <w:i/>
          <w:sz w:val="24"/>
        </w:rPr>
        <w:t>plus</w:t>
      </w:r>
      <w:r>
        <w:rPr>
          <w:rFonts w:ascii="Times" w:hAnsi="Times"/>
          <w:sz w:val="24"/>
        </w:rPr>
        <w:t xml:space="preserve"> (b) for all Unencumbered Real Property Assets owned for twelve (12) months or less, the lesser of (i) the undepreciated costs of any such Unencumbered Real Property Asset and (ii), the value of any such Unencumbered Real Property Asset as determined by the calculation in clause (a) above measured on an annualized basis rather than for the most recently ended period of four quarters, </w:t>
      </w:r>
      <w:r>
        <w:rPr>
          <w:rFonts w:ascii="Times" w:hAnsi="Times"/>
          <w:i/>
          <w:sz w:val="24"/>
        </w:rPr>
        <w:t>plus</w:t>
      </w:r>
      <w:r>
        <w:rPr>
          <w:rFonts w:ascii="Times" w:hAnsi="Times"/>
          <w:sz w:val="24"/>
        </w:rPr>
        <w:t xml:space="preserve"> (c) the book value of Unencumbered Mortgage Receivables and Unencumbered PINE Common Equity as of such date in accordance with GAAP; </w:t>
      </w:r>
      <w:r>
        <w:rPr>
          <w:rFonts w:ascii="Times" w:hAnsi="Times"/>
          <w:i/>
          <w:sz w:val="24"/>
        </w:rPr>
        <w:t>provided</w:t>
      </w:r>
      <w:r>
        <w:rPr>
          <w:rFonts w:ascii="Times" w:hAnsi="Times"/>
          <w:sz w:val="24"/>
        </w:rPr>
        <w:t xml:space="preserve"> that Unencumbered Asset Value shall be reduced by excluding a portion of the Property NOI, cost, or book value, as applicable, attributable to any Unencumbered Assets that exceed the concentration limits in the Unencumbered Pool Requirements.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w:hAnsi="Times"/>
          <w:i/>
          <w:sz w:val="24"/>
        </w:rPr>
        <w:t>Unencumbered Mortgage Receivable</w:t>
      </w:r>
      <w:r>
        <w:rPr>
          <w:rFonts w:ascii="Times" w:hAnsi="Times"/>
          <w:sz w:val="24"/>
        </w:rPr>
        <w:t xml:space="preserve">” </w:t>
      </w:r>
      <w:bookmarkStart w:id="74" w:name="_Hlk183420205"/>
      <w:bookmarkEnd w:id="74"/>
      <w:r>
        <w:rPr>
          <w:rFonts w:ascii="Times" w:hAnsi="Times"/>
          <w:sz w:val="24"/>
        </w:rPr>
        <w:t>means, as of any date of determination, each Eligible Mortgage Receivable that has been designated as an “Unencumbered Mortgage Receivable” in accordance with the provisions of this Agreement and has not otherwise been excluded or removed from the Unencumbered Pool.</w:t>
      </w:r>
    </w:p>
    <w:p>
      <w:pPr>
        <w:pStyle w:val="TextBody"/>
        <w:bidi w:val="0"/>
        <w:spacing w:before="0" w:after="240"/>
        <w:ind w:left="0" w:right="0" w:firstLine="720"/>
        <w:jc w:val="both"/>
        <w:rPr/>
      </w:pPr>
      <w:r>
        <w:rPr/>
        <w:t>“</w:t>
      </w:r>
      <w:r>
        <w:rPr>
          <w:rFonts w:ascii="Times" w:hAnsi="Times"/>
          <w:i/>
          <w:sz w:val="24"/>
        </w:rPr>
        <w:t>Unencumbered PINE Common Equity</w:t>
      </w:r>
      <w:r>
        <w:rPr>
          <w:rFonts w:ascii="Times" w:hAnsi="Times"/>
          <w:sz w:val="24"/>
        </w:rPr>
        <w:t xml:space="preserve">” means, as of any date of determination, each Eligible PINE Common Equity that has been designated as an “Unencumbered PINE Common Equity” in accordance with the provisions of this Agreement and has not otherwise been excluded or removed from the Unencumbered Pool. </w:t>
      </w:r>
    </w:p>
    <w:p>
      <w:pPr>
        <w:pStyle w:val="TextBody"/>
        <w:bidi w:val="0"/>
        <w:spacing w:before="0" w:after="240"/>
        <w:ind w:left="0" w:right="0" w:firstLine="720"/>
        <w:jc w:val="both"/>
        <w:rPr/>
      </w:pPr>
      <w:r>
        <w:rPr/>
        <w:t>“</w:t>
      </w:r>
      <w:r>
        <w:rPr>
          <w:rFonts w:ascii="Times" w:hAnsi="Times"/>
          <w:i/>
          <w:sz w:val="24"/>
        </w:rPr>
        <w:t>Unencumbered Pool</w:t>
      </w:r>
      <w:r>
        <w:rPr>
          <w:rFonts w:ascii="Times" w:hAnsi="Times"/>
          <w:sz w:val="24"/>
        </w:rPr>
        <w:t>” means, as of any date of determination, the collective reference to all Unencumbered Assets as of such date.</w:t>
      </w:r>
    </w:p>
    <w:p>
      <w:pPr>
        <w:pStyle w:val="TextBody"/>
        <w:bidi w:val="0"/>
        <w:spacing w:before="0" w:after="240"/>
        <w:ind w:left="0" w:right="0" w:firstLine="720"/>
        <w:jc w:val="both"/>
        <w:rPr/>
      </w:pPr>
      <w:r>
        <w:rPr/>
        <w:t>“</w:t>
      </w:r>
      <w:r>
        <w:rPr>
          <w:rFonts w:ascii="Times" w:hAnsi="Times"/>
          <w:i/>
          <w:sz w:val="24"/>
        </w:rPr>
        <w:t>Unencumbered Pool Determination Date</w:t>
      </w:r>
      <w:r>
        <w:rPr>
          <w:rFonts w:ascii="Times" w:hAnsi="Times"/>
          <w:sz w:val="24"/>
        </w:rPr>
        <w:t>” means each date on which the Unencumbered Pool is certified in writing to the Administrative Agent, as follows:</w:t>
      </w:r>
    </w:p>
    <w:p>
      <w:pPr>
        <w:pStyle w:val="TextBody"/>
        <w:bidi w:val="0"/>
        <w:spacing w:before="0" w:after="240"/>
        <w:ind w:left="720" w:right="0" w:hanging="0"/>
        <w:jc w:val="both"/>
        <w:rPr>
          <w:rFonts w:ascii="Times" w:hAnsi="Times"/>
          <w:sz w:val="24"/>
        </w:rPr>
      </w:pPr>
      <w:r>
        <w:rPr>
          <w:rFonts w:ascii="Times" w:hAnsi="Times"/>
          <w:sz w:val="24"/>
        </w:rPr>
        <w:t>(a)</w:t>
      </w:r>
      <w:r>
        <w:rPr>
          <w:rFonts w:ascii="Times" w:hAnsi="Times"/>
          <w:i/>
          <w:sz w:val="24"/>
        </w:rPr>
        <w:t>Quarterly</w:t>
      </w:r>
      <w:r>
        <w:rPr>
          <w:rFonts w:ascii="Times" w:hAnsi="Times"/>
          <w:sz w:val="24"/>
        </w:rPr>
        <w:t xml:space="preserve">.  As of the last day of each Fiscal Quarter. </w:t>
      </w:r>
    </w:p>
    <w:p>
      <w:pPr>
        <w:pStyle w:val="TextBody"/>
        <w:bidi w:val="0"/>
        <w:spacing w:before="0" w:after="240"/>
        <w:ind w:left="720" w:right="0" w:hanging="0"/>
        <w:jc w:val="both"/>
        <w:rPr>
          <w:rFonts w:ascii="Times" w:hAnsi="Times"/>
          <w:sz w:val="24"/>
        </w:rPr>
      </w:pPr>
      <w:r>
        <w:rPr>
          <w:rFonts w:ascii="Times" w:hAnsi="Times"/>
          <w:sz w:val="24"/>
        </w:rPr>
        <w:t>(b)</w:t>
      </w:r>
      <w:r>
        <w:rPr>
          <w:rFonts w:ascii="Times" w:hAnsi="Times"/>
          <w:i/>
          <w:sz w:val="24"/>
        </w:rPr>
        <w:t>Property Adjustments</w:t>
      </w:r>
      <w:r>
        <w:rPr>
          <w:rFonts w:ascii="Times" w:hAnsi="Times"/>
          <w:sz w:val="24"/>
        </w:rPr>
        <w:t>.  Following each addition or deletion of an Unencumbered Asset, the Unencumbered Asset Value shall be adjusted accordingly.</w:t>
      </w:r>
    </w:p>
    <w:p>
      <w:pPr>
        <w:pStyle w:val="TextBody"/>
        <w:bidi w:val="0"/>
        <w:spacing w:before="0" w:after="240"/>
        <w:ind w:left="0" w:right="0" w:firstLine="720"/>
        <w:jc w:val="both"/>
        <w:rPr/>
      </w:pPr>
      <w:r>
        <w:rPr/>
        <w:t>“</w:t>
      </w:r>
      <w:r>
        <w:rPr>
          <w:rFonts w:ascii="Times" w:hAnsi="Times"/>
          <w:i/>
          <w:sz w:val="24"/>
        </w:rPr>
        <w:t xml:space="preserve">Unencumbered Pool NOI” </w:t>
      </w:r>
      <w:r>
        <w:rPr>
          <w:rFonts w:ascii="Times" w:hAnsi="Times"/>
          <w:sz w:val="24"/>
        </w:rPr>
        <w:t>means for the most recent Rolling Period, the aggregate Property NOI attributable to the Unencumbered Real Property Assets.</w:t>
      </w:r>
    </w:p>
    <w:p>
      <w:pPr>
        <w:pStyle w:val="TextBody"/>
        <w:bidi w:val="0"/>
        <w:spacing w:before="0" w:after="0"/>
        <w:ind w:left="0" w:right="0" w:firstLine="720"/>
        <w:jc w:val="both"/>
        <w:rPr/>
      </w:pPr>
      <w:r>
        <w:rPr/>
        <w:t>“</w:t>
      </w:r>
      <w:r>
        <w:rPr>
          <w:rFonts w:ascii="Times" w:hAnsi="Times"/>
          <w:i/>
          <w:sz w:val="24"/>
        </w:rPr>
        <w:t>Unencumbered Pool Requirements”</w:t>
      </w:r>
      <w:r>
        <w:rPr>
          <w:rFonts w:ascii="Times" w:hAnsi="Times"/>
          <w:sz w:val="24"/>
        </w:rPr>
        <w:t xml:space="preserve"> means with respect to determining compliance with the covenants set forth in Sections 8.20(e) and 8.20(f), collectively that (a) at all times the Unencumbered Pool shall have no less than fifteen (15) Unencumbered Real Property Assets; (b) the Unencumbered Asset Value shall at all times be equal to or in excess of $600,000,000; (c) no more than 20% of the Unencumbered Asset Value may be attributable to any one Unencumbered Asset (for the avoidance of doubt, an Unencumbered Asset that exceeds this sublimit may be included in the calculation of Unencumbered Asset Value; </w:t>
      </w:r>
      <w:r>
        <w:rPr>
          <w:rFonts w:ascii="Times" w:hAnsi="Times"/>
          <w:i/>
          <w:sz w:val="24"/>
        </w:rPr>
        <w:t>provided, that</w:t>
      </w:r>
      <w:r>
        <w:rPr>
          <w:rFonts w:ascii="Times" w:hAnsi="Times"/>
          <w:sz w:val="24"/>
        </w:rPr>
        <w:t xml:space="preserve"> any amount over 20% of the Unencumbered Asset Value is excluded from the calculation of the Unencumbered Asset Value); (d) no more than 15% of Unencumbered Asset Value may be attributable to Unencumbered Real Property Assets constituting Acceptable Leasehold Interests (for the avoidance of doubt, an Unencumbered Real Property Asset that exceeds this sublimit may be included in the calculation of Unencumbered Asset Value; </w:t>
      </w:r>
      <w:r>
        <w:rPr>
          <w:rFonts w:ascii="Times" w:hAnsi="Times"/>
          <w:i/>
          <w:sz w:val="24"/>
        </w:rPr>
        <w:t>provided</w:t>
      </w:r>
      <w:r>
        <w:rPr>
          <w:rFonts w:ascii="Times" w:hAnsi="Times"/>
          <w:sz w:val="24"/>
        </w:rPr>
        <w:t xml:space="preserve">, that any amount over 15% of the Unencumbered Asset Value is excluded from the calculation of the Unencumbered Asset Value); </w:t>
      </w:r>
      <w:bookmarkStart w:id="75" w:name="_Hlk219721747"/>
      <w:bookmarkEnd w:id="75"/>
      <w:r>
        <w:rPr>
          <w:rFonts w:ascii="Times" w:hAnsi="Times"/>
          <w:sz w:val="24"/>
        </w:rPr>
        <w:t xml:space="preserve">(e) no more than 35% of the Unencumbered Asset Value may be attributable to Unencumbered Real Property Assets which are located in the same MSA (for the avoidance of doubt, an Unencumbered Real Property Asset that exceeds this sublimit may be included in the calculation of Unencumbered Asset Value; </w:t>
      </w:r>
      <w:r>
        <w:rPr>
          <w:rFonts w:ascii="Times" w:hAnsi="Times"/>
          <w:i/>
          <w:sz w:val="24"/>
        </w:rPr>
        <w:t>provided</w:t>
      </w:r>
      <w:r>
        <w:rPr>
          <w:rFonts w:ascii="Times" w:hAnsi="Times"/>
          <w:sz w:val="24"/>
        </w:rPr>
        <w:t xml:space="preserve">, that any amount over 35% of the Unencumbered Asset Value is excluded from the calculation of the Unencumbered Asset Value); (f) no more than 15% of the Unencumbered Asset Value may be attributable to Unencumbered Mortgage Receivables in the aggregate (including those secured by Properties of an Other Approved Type) (for the avoidance of doubt, an Unencumbered Mortgage Receivable that exceeds this sublimit may be included in the calculation of Unencumbered Asset Value; </w:t>
      </w:r>
      <w:r>
        <w:rPr>
          <w:rFonts w:ascii="Times" w:hAnsi="Times"/>
          <w:i/>
          <w:sz w:val="24"/>
        </w:rPr>
        <w:t>provided</w:t>
      </w:r>
      <w:r>
        <w:rPr>
          <w:rFonts w:ascii="Times" w:hAnsi="Times"/>
          <w:sz w:val="24"/>
        </w:rPr>
        <w:t xml:space="preserve">, that any amount over 15% of the Unencumbered Asset Value is excluded from the calculation of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Unencumbered Asset Value); (g) no more than 5% of the Unencumbered Asset Value may be attributable to Unencumbered Mortgage Receivables secured by Properties of an Other Approved Type (for the avoidance of doubt, an Unencumbered Mortgage Receivable that exceeds this sublimit may be included in the calculation of Unencumbered Asset Value; </w:t>
      </w:r>
      <w:r>
        <w:rPr>
          <w:rFonts w:ascii="Times" w:hAnsi="Times"/>
          <w:i/>
          <w:sz w:val="24"/>
        </w:rPr>
        <w:t>provided</w:t>
      </w:r>
      <w:r>
        <w:rPr>
          <w:rFonts w:ascii="Times" w:hAnsi="Times"/>
          <w:sz w:val="24"/>
        </w:rPr>
        <w:t xml:space="preserve">, that any amount over 5% of the Unencumbered Asset Value is excluded from the calculation of the Unencumbered Asset Value); (h) no more than 15% of the aggregate amount of the Unencumbered Pool Total Income may be attributable to cash interest (as calculated pursuant to the definition of Unencumbered Pool Total Income) from Unencumbered Mortgage Receivables (for the avoidance of doubt, an Unencumbered Mortgage Receivable that exceeds this sublimit may be included in the calculation of Unencumbered Pool Total Income; </w:t>
      </w:r>
      <w:r>
        <w:rPr>
          <w:rFonts w:ascii="Times" w:hAnsi="Times"/>
          <w:i/>
          <w:sz w:val="24"/>
        </w:rPr>
        <w:t>provided</w:t>
      </w:r>
      <w:r>
        <w:rPr>
          <w:rFonts w:ascii="Times" w:hAnsi="Times"/>
          <w:sz w:val="24"/>
        </w:rPr>
        <w:t xml:space="preserve">, that any amount over 15% of the Unencumbered Pool Total Income attributable to Unencumbered Mortgage Receivables is excluded from the calculation of the Unencumbered Pool Total Income); (i) no more than 5% of the Unencumbered Asset Value may be attributable to Unencumbered PINE Common Equity (for the avoidance of doubt, an Unencumbered PINE Common Equity that exceeds this sublimit may be included in the calculation of Unencumbered Asset Value; </w:t>
      </w:r>
      <w:r>
        <w:rPr>
          <w:rFonts w:ascii="Times" w:hAnsi="Times"/>
          <w:i/>
          <w:sz w:val="24"/>
        </w:rPr>
        <w:t>provided</w:t>
      </w:r>
      <w:r>
        <w:rPr>
          <w:rFonts w:ascii="Times" w:hAnsi="Times"/>
          <w:sz w:val="24"/>
        </w:rPr>
        <w:t xml:space="preserve">, that any amount over 5% of the Unencumbered Asset Value is excluded from the calculation of the Unencumbered Asset Value); and (j) no more than 5% of the aggregate amount of the Unencumbered Pool Total Income may be attributable to cash dividends (as calculated pursuant to the definition of Unencumbered Pool Total Income) from Unencumbered PINE Common Equity (for the avoidance of doubt, an Unencumbered PINE Common Equity that exceeds this sublimit may be included in the calculation of Unencumbered Pool Total Income; </w:t>
      </w:r>
      <w:r>
        <w:rPr>
          <w:rFonts w:ascii="Times" w:hAnsi="Times"/>
          <w:i/>
          <w:sz w:val="24"/>
        </w:rPr>
        <w:t>provided</w:t>
      </w:r>
      <w:r>
        <w:rPr>
          <w:rFonts w:ascii="Times" w:hAnsi="Times"/>
          <w:sz w:val="24"/>
        </w:rPr>
        <w:t>, that any amount over 5% of the Unencumbered Pool Total Income attributable to dividends from Unencumbered PINE Common Equity is excluded from the calculation of the Unencumbered Pool Total Income).</w:t>
      </w:r>
    </w:p>
    <w:p>
      <w:pPr>
        <w:pStyle w:val="TextBody"/>
        <w:bidi w:val="0"/>
        <w:spacing w:before="0" w:after="240"/>
        <w:ind w:left="0" w:right="0" w:firstLine="720"/>
        <w:jc w:val="both"/>
        <w:rPr/>
      </w:pPr>
      <w:r>
        <w:rPr/>
        <w:t>“</w:t>
      </w:r>
      <w:r>
        <w:rPr>
          <w:rFonts w:ascii="Times" w:hAnsi="Times"/>
          <w:i/>
          <w:sz w:val="24"/>
        </w:rPr>
        <w:t>Unencumbered Pool Total Income</w:t>
      </w:r>
      <w:r>
        <w:rPr>
          <w:rFonts w:ascii="Times" w:hAnsi="Times"/>
          <w:sz w:val="24"/>
        </w:rPr>
        <w:t xml:space="preserve">” means for the most recent Rolling Period, the sum of (i) Property NOI for such Rolling Period </w:t>
      </w:r>
      <w:r>
        <w:rPr>
          <w:rFonts w:ascii="Times" w:hAnsi="Times"/>
          <w:i/>
          <w:sz w:val="24"/>
        </w:rPr>
        <w:t>plus</w:t>
      </w:r>
      <w:r>
        <w:rPr>
          <w:rFonts w:ascii="Times" w:hAnsi="Times"/>
          <w:sz w:val="24"/>
        </w:rPr>
        <w:t xml:space="preserve"> (ii) an amount equal to cash interest from Unencumbered Mortgage Receivables calculated based on the annual interest rate applicable to such Unencumbered Mortgage Receivables as of the last day of such Rolling Period multiplied by the outstanding principal amount of such Unencumbered Mortgage Receivables as of the last day of such Rolling Period </w:t>
      </w:r>
      <w:r>
        <w:rPr>
          <w:rFonts w:ascii="Times" w:hAnsi="Times"/>
          <w:i/>
          <w:sz w:val="24"/>
        </w:rPr>
        <w:t>plus</w:t>
      </w:r>
      <w:r>
        <w:rPr>
          <w:rFonts w:ascii="Times" w:hAnsi="Times"/>
          <w:sz w:val="24"/>
        </w:rPr>
        <w:t xml:space="preserve"> (iii) cash dividends from Unencumbered PINE Common Equity, calculated by multiplying (x) the dividend per share of common stock for the most recently completed fiscal quarter by four by (y) the number of common shares of Alpine and OP Units owned as of the last day of such Rolling Period; </w:t>
      </w:r>
      <w:r>
        <w:rPr>
          <w:rFonts w:ascii="Times" w:hAnsi="Times"/>
          <w:i/>
          <w:sz w:val="24"/>
        </w:rPr>
        <w:t>provided</w:t>
      </w:r>
      <w:r>
        <w:rPr>
          <w:rFonts w:ascii="Times" w:hAnsi="Times"/>
          <w:sz w:val="24"/>
        </w:rPr>
        <w:t xml:space="preserve"> that Unencumbered Pool Total Income shall be reduced by excluding a portion of (a) the cash interest from Unencumbered Mortgage Receivables attributable to any Unencumbered Mortgage Receivables and (b) the cash dividends from Unencumbered PINE Common Equity attributable to any Unencumbered PINE Common Equity that exceed the respective concentration limits in the Unencumbered Pool Requirements.</w:t>
      </w:r>
    </w:p>
    <w:p>
      <w:pPr>
        <w:pStyle w:val="TextBody"/>
        <w:bidi w:val="0"/>
        <w:spacing w:before="0" w:after="240"/>
        <w:ind w:left="0" w:right="0" w:firstLine="720"/>
        <w:jc w:val="both"/>
        <w:rPr/>
      </w:pPr>
      <w:r>
        <w:rPr/>
        <w:t>“</w:t>
      </w:r>
      <w:r>
        <w:rPr>
          <w:rFonts w:ascii="Times" w:hAnsi="Times"/>
          <w:i/>
          <w:sz w:val="24"/>
        </w:rPr>
        <w:t>Unencumbered Real Property Asset</w:t>
      </w:r>
      <w:r>
        <w:rPr>
          <w:rFonts w:ascii="Times" w:hAnsi="Times"/>
          <w:sz w:val="24"/>
        </w:rPr>
        <w:t>” means, as of any date of determination, each Eligible Property that has been designated as an “Unencumbered Real Property Asset” in accordance with the provisions of this Agreement and has not otherwise been excluded or removed from the Unencumbered Pool.</w:t>
      </w:r>
    </w:p>
    <w:p>
      <w:pPr>
        <w:pStyle w:val="TextBody"/>
        <w:bidi w:val="0"/>
        <w:spacing w:before="0" w:after="0"/>
        <w:ind w:left="0" w:right="0" w:firstLine="720"/>
        <w:jc w:val="both"/>
        <w:rPr/>
      </w:pPr>
      <w:r>
        <w:rPr/>
        <w:t>“</w:t>
      </w:r>
      <w:r>
        <w:rPr>
          <w:rFonts w:ascii="Times" w:hAnsi="Times"/>
          <w:i/>
          <w:sz w:val="24"/>
        </w:rPr>
        <w:t>Unfunded Vested Liabilities”</w:t>
      </w:r>
      <w:r>
        <w:rPr>
          <w:rFonts w:ascii="Times" w:hAnsi="Times"/>
          <w:sz w:val="24"/>
        </w:rPr>
        <w:t xml:space="preserve"> means, for any Plan at any time, the amount (if any) by which the present value of all vested nonforfeitable accrued benefits under such Plan exceeds the fair market value of all Plan assets allocable to such benefits, all determined as of the then most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recent valuation date for such Plan, but only to the extent that such excess represents a potential liability of a member of the Controlled Group to the PBGC or the Plan under Title IV of ERISA.</w:t>
      </w:r>
    </w:p>
    <w:p>
      <w:pPr>
        <w:pStyle w:val="TextBody"/>
        <w:bidi w:val="0"/>
        <w:spacing w:before="0" w:after="240"/>
        <w:ind w:left="0" w:right="0" w:firstLine="720"/>
        <w:jc w:val="both"/>
        <w:rPr/>
      </w:pPr>
      <w:r>
        <w:rPr/>
        <w:t>“</w:t>
      </w:r>
      <w:r>
        <w:rPr>
          <w:rFonts w:ascii="Times" w:hAnsi="Times"/>
          <w:i/>
          <w:sz w:val="24"/>
        </w:rPr>
        <w:t>Unsecured Indebtedness</w:t>
      </w:r>
      <w:r>
        <w:rPr>
          <w:rFonts w:ascii="Times" w:hAnsi="Times"/>
          <w:sz w:val="24"/>
        </w:rPr>
        <w:t>” means, all Indebtedness for Borrowed Money of the Borrower and its Subsidiaries that does not constitute Secured Indebtedness and, solely with respect to Section 4.3, all Indebtedness for Borrowed Money of a Guarantor that does not constitute Secured Indebtedness.  The Borrower’s Ownership Share of Unsecured Indebtedness held by Unconsolidated Affiliates shall be included when determining Unsecured Indebtedness of the Borrower and its Subsidiaries.</w:t>
      </w:r>
    </w:p>
    <w:p>
      <w:pPr>
        <w:pStyle w:val="TextBody"/>
        <w:bidi w:val="0"/>
        <w:spacing w:before="0" w:after="240"/>
        <w:ind w:left="0" w:right="0" w:firstLine="720"/>
        <w:jc w:val="both"/>
        <w:rPr/>
      </w:pPr>
      <w:bookmarkStart w:id="76" w:name="_Hlk115350273"/>
      <w:bookmarkEnd w:id="76"/>
      <w:r>
        <w:rPr/>
        <w:t>“</w:t>
      </w:r>
      <w:r>
        <w:rPr>
          <w:rFonts w:ascii="Times" w:hAnsi="Times"/>
          <w:i/>
          <w:sz w:val="24"/>
        </w:rPr>
        <w:t>Unsecured Interest Expense</w:t>
      </w:r>
      <w:r>
        <w:rPr>
          <w:rFonts w:ascii="Times" w:hAnsi="Times"/>
          <w:sz w:val="24"/>
        </w:rPr>
        <w:t>” means, with respect to the Borrower and its Subsidiaries, for any Rolling Period (without duplication), the aggregate amount of Interest Expense attributable to Unsecured Indebtedness during such Rolling Period.</w:t>
      </w:r>
    </w:p>
    <w:p>
      <w:pPr>
        <w:pStyle w:val="TextBody"/>
        <w:bidi w:val="0"/>
        <w:spacing w:before="0" w:after="240"/>
        <w:ind w:left="0" w:right="0" w:firstLine="720"/>
        <w:jc w:val="both"/>
        <w:rPr/>
      </w:pPr>
      <w:r>
        <w:rPr/>
        <w:t>“</w:t>
      </w:r>
      <w:r>
        <w:rPr>
          <w:rFonts w:ascii="Times" w:hAnsi="Times"/>
          <w:i/>
          <w:sz w:val="24"/>
        </w:rPr>
        <w:t>Unused Revolving Credit Commitments”</w:t>
      </w:r>
      <w:r>
        <w:rPr>
          <w:rFonts w:ascii="Times" w:hAnsi="Times"/>
          <w:sz w:val="24"/>
        </w:rPr>
        <w:t xml:space="preserve"> means, at any time, the difference between the Revolving Credit Commitments then in effect and the aggregate outstanding principal amount of Revolving Loans and L/C Obligations.</w:t>
      </w:r>
    </w:p>
    <w:p>
      <w:pPr>
        <w:pStyle w:val="TextBody"/>
        <w:bidi w:val="0"/>
        <w:spacing w:before="0" w:after="240"/>
        <w:ind w:left="0" w:right="0" w:firstLine="720"/>
        <w:jc w:val="both"/>
        <w:rPr/>
      </w:pPr>
      <w:r>
        <w:rPr/>
        <w:t>“</w:t>
      </w:r>
      <w:r>
        <w:rPr>
          <w:rFonts w:ascii="Times" w:hAnsi="Times"/>
          <w:i/>
          <w:sz w:val="24"/>
        </w:rPr>
        <w:t>U.S. Dollars”</w:t>
      </w:r>
      <w:r>
        <w:rPr>
          <w:rFonts w:ascii="Times" w:hAnsi="Times"/>
          <w:sz w:val="24"/>
        </w:rPr>
        <w:t xml:space="preserve"> and “</w:t>
      </w:r>
      <w:r>
        <w:rPr>
          <w:rFonts w:ascii="Times" w:hAnsi="Times"/>
          <w:i/>
          <w:sz w:val="24"/>
        </w:rPr>
        <w:t>$”</w:t>
      </w:r>
      <w:r>
        <w:rPr>
          <w:rFonts w:ascii="Times" w:hAnsi="Times"/>
          <w:sz w:val="24"/>
        </w:rPr>
        <w:t xml:space="preserve"> each means the lawful currency of the United States of America.</w:t>
      </w:r>
    </w:p>
    <w:p>
      <w:pPr>
        <w:pStyle w:val="TextBody"/>
        <w:bidi w:val="0"/>
        <w:spacing w:before="0" w:after="240"/>
        <w:ind w:left="0" w:right="0" w:firstLine="720"/>
        <w:jc w:val="both"/>
        <w:rPr/>
      </w:pPr>
      <w:r>
        <w:rPr/>
        <w:t>“</w:t>
      </w:r>
      <w:r>
        <w:rPr>
          <w:rFonts w:ascii="Times" w:hAnsi="Times"/>
          <w:i/>
          <w:sz w:val="24"/>
        </w:rPr>
        <w:t>U.S. Person</w:t>
      </w:r>
      <w:r>
        <w:rPr>
          <w:rFonts w:ascii="Times" w:hAnsi="Times"/>
          <w:sz w:val="24"/>
        </w:rPr>
        <w:t>” means any United States citizen, lawful permanent resident, entity organized under the laws of the United States or any jurisdiction within the United States, including any foreign branch of any such entity, or any person in the United States.</w:t>
      </w:r>
    </w:p>
    <w:p>
      <w:pPr>
        <w:pStyle w:val="TextBody"/>
        <w:bidi w:val="0"/>
        <w:spacing w:before="0" w:after="240"/>
        <w:ind w:left="0" w:right="0" w:firstLine="720"/>
        <w:jc w:val="both"/>
        <w:rPr/>
      </w:pPr>
      <w:r>
        <w:rPr/>
        <w:t>“</w:t>
      </w:r>
      <w:r>
        <w:rPr>
          <w:rFonts w:ascii="Times" w:hAnsi="Times"/>
          <w:i/>
          <w:sz w:val="24"/>
        </w:rPr>
        <w:t>Voting Stock”</w:t>
      </w:r>
      <w:r>
        <w:rPr>
          <w:rFonts w:ascii="Times" w:hAnsi="Times"/>
          <w:sz w:val="24"/>
        </w:rPr>
        <w:t xml:space="preserve"> of any Person means capital stock or other equity interests of any class or classes (however designated) having ordinary power for the election of directors or other similar governing body of such Person, other than stock or other equity interests having such power only by reason of the happening of a contingency.</w:t>
      </w:r>
    </w:p>
    <w:p>
      <w:pPr>
        <w:pStyle w:val="TextBody"/>
        <w:bidi w:val="0"/>
        <w:spacing w:before="0" w:after="240"/>
        <w:ind w:left="0" w:right="0" w:firstLine="720"/>
        <w:jc w:val="both"/>
        <w:rPr/>
      </w:pPr>
      <w:r>
        <w:rPr/>
        <w:t>“</w:t>
      </w:r>
      <w:r>
        <w:rPr>
          <w:rFonts w:ascii="Times" w:hAnsi="Times"/>
          <w:i/>
          <w:sz w:val="24"/>
        </w:rPr>
        <w:t>Welfare Plan”</w:t>
      </w:r>
      <w:r>
        <w:rPr>
          <w:rFonts w:ascii="Times" w:hAnsi="Times"/>
          <w:sz w:val="24"/>
        </w:rPr>
        <w:t xml:space="preserve"> means a “welfare plan” as defined in Section 3(1) of ERISA.</w:t>
      </w:r>
    </w:p>
    <w:p>
      <w:pPr>
        <w:pStyle w:val="TextBody"/>
        <w:bidi w:val="0"/>
        <w:spacing w:before="0" w:after="240"/>
        <w:ind w:left="0" w:right="0" w:firstLine="720"/>
        <w:jc w:val="both"/>
        <w:rPr/>
      </w:pPr>
      <w:r>
        <w:rPr/>
        <w:t>“</w:t>
      </w:r>
      <w:r>
        <w:rPr>
          <w:rFonts w:ascii="Times" w:hAnsi="Times"/>
          <w:i/>
          <w:sz w:val="24"/>
        </w:rPr>
        <w:t>Wholly-owned Subsidiary”</w:t>
      </w:r>
      <w:r>
        <w:rPr>
          <w:rFonts w:ascii="Times" w:hAnsi="Times"/>
          <w:sz w:val="24"/>
        </w:rPr>
        <w:t xml:space="preserve"> means a Subsidiary of which all of the issued and outstanding shares of capital stock (other than directors’ qualifying shares as required by law) or other equity interests are owned by the Borrower and/or one or more Wholly-owned Subsidiaries within the meaning of this definition.</w:t>
      </w:r>
    </w:p>
    <w:p>
      <w:pPr>
        <w:pStyle w:val="TextBody"/>
        <w:bidi w:val="0"/>
        <w:spacing w:before="0" w:after="240"/>
        <w:ind w:left="0" w:right="0" w:firstLine="720"/>
        <w:jc w:val="both"/>
        <w:rPr/>
      </w:pPr>
      <w:r>
        <w:rPr/>
        <w:t>“</w:t>
      </w:r>
      <w:r>
        <w:rPr>
          <w:rFonts w:ascii="Times" w:hAnsi="Times"/>
          <w:i/>
          <w:sz w:val="24"/>
        </w:rPr>
        <w:t>Write-Down and Conversion Powers”</w:t>
      </w:r>
      <w:r>
        <w:rPr>
          <w:rFonts w:ascii="Times" w:hAnsi="Times"/>
          <w:sz w:val="24"/>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5.2.</w:t>
      </w:r>
      <w:bookmarkStart w:id="77" w:name="_Toc241229805"/>
      <w:bookmarkEnd w:id="77"/>
      <w:r>
        <w:rPr>
          <w:rFonts w:ascii="Times New Roman;Times;serif" w:hAnsi="Times New Roman;Times;serif"/>
          <w:i w:val="false"/>
          <w:caps w:val="false"/>
          <w:smallCaps w:val="false"/>
          <w:sz w:val="24"/>
          <w:u w:val="single"/>
        </w:rPr>
        <w:t>Interpretation</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foregoing definitions are equally applicable to both the singular and plural forms of the terms defined. The words </w:t>
      </w:r>
      <w:r>
        <w:rPr>
          <w:rFonts w:ascii="Times New Roman;Times;serif" w:hAnsi="Times New Roman;Times;serif"/>
          <w:i/>
          <w:sz w:val="24"/>
        </w:rPr>
        <w:t>“hereof”</w:t>
      </w:r>
      <w:r>
        <w:rPr>
          <w:rFonts w:ascii="Times New Roman;Times;serif" w:hAnsi="Times New Roman;Times;serif"/>
          <w:i w:val="false"/>
          <w:caps w:val="false"/>
          <w:smallCaps w:val="false"/>
          <w:sz w:val="24"/>
        </w:rPr>
        <w:t xml:space="preserve">, </w:t>
      </w:r>
      <w:r>
        <w:rPr>
          <w:rFonts w:ascii="Times New Roman;Times;serif" w:hAnsi="Times New Roman;Times;serif"/>
          <w:i/>
          <w:sz w:val="24"/>
        </w:rPr>
        <w:t>“herein”</w:t>
      </w:r>
      <w:r>
        <w:rPr>
          <w:rFonts w:ascii="Times New Roman;Times;serif" w:hAnsi="Times New Roman;Times;serif"/>
          <w:i w:val="false"/>
          <w:caps w:val="false"/>
          <w:smallCaps w:val="false"/>
          <w:sz w:val="24"/>
        </w:rPr>
        <w:t xml:space="preserve">, and </w:t>
      </w:r>
      <w:r>
        <w:rPr>
          <w:rFonts w:ascii="Times New Roman;Times;serif" w:hAnsi="Times New Roman;Times;serif"/>
          <w:i/>
          <w:sz w:val="24"/>
        </w:rPr>
        <w:t xml:space="preserve">“hereunder” </w:t>
      </w:r>
      <w:r>
        <w:rPr>
          <w:rFonts w:ascii="Times New Roman;Times;serif" w:hAnsi="Times New Roman;Times;serif"/>
          <w:i w:val="false"/>
          <w:caps w:val="false"/>
          <w:smallCaps w:val="false"/>
          <w:sz w:val="24"/>
        </w:rPr>
        <w:t>and words of like import when used in this Agreement shall refer to this Agreement as a whole and not to any particular provision of this Agreement.  All references to time of day herein are references to New York New York,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  Whenever reference is made to the Borrower’s knowledge or awareness, or a similar qualification, knowledge or awareness means the actual knowledge of the Borrower’s Responsible Officers.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5.3.</w:t>
      </w:r>
      <w:bookmarkStart w:id="78" w:name="_Toc241229806"/>
      <w:bookmarkEnd w:id="78"/>
      <w:r>
        <w:rPr>
          <w:rFonts w:ascii="Times New Roman;Times;serif" w:hAnsi="Times New Roman;Times;serif"/>
          <w:i w:val="false"/>
          <w:caps w:val="false"/>
          <w:smallCaps w:val="false"/>
          <w:sz w:val="24"/>
          <w:u w:val="single"/>
        </w:rPr>
        <w:t>Change in Accounting Principles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If, after the date of this Agreement, there shall occur any change in GAAP from those used in the preparation of the financial statements referred to in Section 6.5 hereof and such change shall result in a change in the method of calculation of any financial covenant, standard or term found in this Agreement, either the Borrower or the Required Lenders may by written notice to the Lenders and the Borrower, respectively, require that the Lenders and the Borrower negotiate in good faith to amend such covenants, standards, and terms so as equitably to reflect such change in accounting principles, with the desired result being that the criteria for evaluating the financial condition of the Borrower and its Subsidiaries shall be the same as if such change had not been made.  No delay by the Borrower or the Required Lenders in requiring such negotiation shall limit their right to so require such a negotiation at any time after such a change in accounting principles.  Until any such covenant, standard, or term is amended in accordance with this Section 5.3, financial covenants shall be computed and determined in accordance with GAAP in effect prior to such change in accounting principles.  Without limiting the generality of the foregoing, the Borrower shall neither be deemed to be in compliance with any financial covenant hereunder nor out of compliance with any financial covenant hereunder if such state of compliance or noncompliance, as the case may be, would not exist but for the occurrence of a change in accounting principles after the date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5.4.</w:t>
      </w:r>
      <w:bookmarkStart w:id="79" w:name="_Toc241229807"/>
      <w:bookmarkStart w:id="80" w:name="_Toc209549762"/>
      <w:bookmarkEnd w:id="79"/>
      <w:bookmarkEnd w:id="80"/>
      <w:r>
        <w:rPr>
          <w:rFonts w:ascii="Times New Roman;Times;serif" w:hAnsi="Times New Roman;Times;serif"/>
          <w:i w:val="false"/>
          <w:caps w:val="false"/>
          <w:smallCaps w:val="false"/>
          <w:sz w:val="24"/>
          <w:u w:val="single"/>
        </w:rPr>
        <w:t>Divisions</w:t>
      </w:r>
      <w:r>
        <w:rPr>
          <w:rFonts w:ascii="Times New Roman;Times;serif" w:hAnsi="Times New Roman;Times;serif"/>
          <w:i w:val="false"/>
          <w:caps w:val="false"/>
          <w:smallCaps w:val="false"/>
          <w:sz w:val="24"/>
        </w:rPr>
        <w:t>.  For all purposes under the Loan Documents, in connection with any Division or plan of Division (whether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5.5.</w:t>
      </w:r>
      <w:bookmarkStart w:id="81" w:name="_Toc241229808"/>
      <w:bookmarkStart w:id="82" w:name="_Toc97558763"/>
      <w:bookmarkStart w:id="83" w:name="_Toc93574607"/>
      <w:bookmarkEnd w:id="81"/>
      <w:bookmarkEnd w:id="82"/>
      <w:bookmarkEnd w:id="83"/>
      <w:r>
        <w:rPr>
          <w:rFonts w:ascii="Times New Roman;Times;serif" w:hAnsi="Times New Roman;Times;serif"/>
          <w:i w:val="false"/>
          <w:caps w:val="false"/>
          <w:smallCaps w:val="false"/>
          <w:sz w:val="24"/>
          <w:u w:val="single"/>
        </w:rPr>
        <w:t>Rates</w:t>
      </w:r>
      <w:r>
        <w:rPr>
          <w:rFonts w:ascii="Times New Roman;Times;serif" w:hAnsi="Times New Roman;Times;serif"/>
          <w:i w:val="false"/>
          <w:caps w:val="false"/>
          <w:smallCaps w:val="false"/>
          <w:sz w:val="24"/>
        </w:rPr>
        <w:t xml:space="preserve">. The interest rate on Loans denominated in U.S. Dollars may be determined by reference to a benchmark rate that is, or may in the future become, the subject of regulatory reform or cessation.  The Administrative Agent does not warrant or accept responsibility for, and shall not have any liability with respect to (a) the continuation of, administration of, submission of, calculation of or any other matter related to the Base Rate, Daily Simple SOFR,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Replacement) will be similar to, or produce the same value or economic equivalence of, or have the same volume or liquidity as, the Base Rate, Daily Simple SOFR,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Base Rate, Daily Simple SOFR,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Daily Simple SOFR,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connection with the use or administration of Daily Simple SOFR and Term SOFR,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Daily Simple SOFR and Term SOFR.</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6.</w:t>
      </w:r>
      <w:bookmarkStart w:id="84" w:name="_Toc241229809"/>
      <w:bookmarkEnd w:id="84"/>
      <w:r>
        <w:rPr>
          <w:rFonts w:ascii="Times New Roman;Times;serif" w:hAnsi="Times New Roman;Times;serif"/>
          <w:caps/>
          <w:sz w:val="24"/>
        </w:rPr>
        <w:t>Representations and Warranties.</w:t>
      </w:r>
    </w:p>
    <w:p>
      <w:pPr>
        <w:pStyle w:val="TextBody"/>
        <w:bidi w:val="0"/>
        <w:spacing w:before="0" w:after="240"/>
        <w:ind w:left="0" w:right="0" w:firstLine="720"/>
        <w:jc w:val="both"/>
        <w:rPr>
          <w:rFonts w:ascii="Times" w:hAnsi="Times"/>
          <w:sz w:val="24"/>
        </w:rPr>
      </w:pPr>
      <w:r>
        <w:rPr>
          <w:rFonts w:ascii="Times" w:hAnsi="Times"/>
          <w:sz w:val="24"/>
        </w:rPr>
        <w:t>The Borrower represents and warrants to the Administrative Agent, and the Lenders as follows: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w:t>
      </w:r>
      <w:bookmarkStart w:id="85" w:name="_Toc241229810"/>
      <w:bookmarkEnd w:id="85"/>
      <w:r>
        <w:rPr>
          <w:rFonts w:ascii="Times New Roman;Times;serif" w:hAnsi="Times New Roman;Times;serif"/>
          <w:i w:val="false"/>
          <w:caps w:val="false"/>
          <w:smallCaps w:val="false"/>
          <w:sz w:val="24"/>
          <w:u w:val="single"/>
        </w:rPr>
        <w:t>Organization and Qualification; Limited Operations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is duly organized, validly existing, and in good standing as a corporation</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under the laws of the State of Maryland.  The Borrower has full and adequate power to own its Property and other assets and conduct its business as now conducted, and is duly licensed or qualified and in good standing in each jurisdiction in which the nature of the business conducted by it or the nature of the Property and other assets owned or leased by it requires such licensing or qualifying and where the failure to be so qualified could reasonably be expected to have, in each instance,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w:t>
      </w:r>
      <w:bookmarkStart w:id="86" w:name="_Toc241229811"/>
      <w:bookmarkEnd w:id="86"/>
      <w:r>
        <w:rPr>
          <w:rFonts w:ascii="Times New Roman;Times;serif" w:hAnsi="Times New Roman;Times;serif"/>
          <w:i w:val="false"/>
          <w:caps w:val="false"/>
          <w:smallCaps w:val="false"/>
          <w:sz w:val="24"/>
          <w:u w:val="single"/>
        </w:rPr>
        <w:t>Subsidiaries</w:t>
      </w:r>
      <w:r>
        <w:rPr>
          <w:rFonts w:ascii="Times New Roman;Times;serif" w:hAnsi="Times New Roman;Times;serif"/>
          <w:i w:val="false"/>
          <w:caps w:val="false"/>
          <w:smallCaps w:val="false"/>
          <w:sz w:val="24"/>
        </w:rPr>
        <w:t xml:space="preserve">.  Each Subsidiary is duly organized, validly existing, and in good standing under the laws of the jurisdiction in which it is organized, has full and adequate power to own its Property and other assets and conduct its business as now conducted, and is duly licensed or qualified and in good standing in each jurisdiction in which the nature of the business conducted by it or the nature of the Property or other assets owned or leased by it requires such licensing or qualifying and where the failure to be so qualified could reasonably be expected to have, in each instance, a Material Adverse Effect.  Schedule 6.2 hereto identifies each Subsidiary as of the date hereof and as updated from time to time as provided in Section 8.5(l), the jurisdiction of its organization, the percentage of issued and outstanding shares of each class of its capital stock or other equity interests owned by the Borrower and the other Subsidiaries and, if such percentage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is not 100% (excluding directors’ qualifying shares as required by law), a description of each class of its authorized capital stock and other equity interests and the number of shares of each class issued and outstanding.  All of the outstanding shares of capital stock and other equity interests of each Subsidiary are validly issued and outstanding and fully paid and nonassessable and all such shares and other equity interests indicated on Schedule 6.2 as owned by the Borrower or another Subsidiary are owned, beneficially and of record, by the Borrower or such Subsidiary free and clear of all Liens (other than Permitted Liens).  There are no outstanding commitments or other obligations of any Subsidiary to issue, and no options, warrants or other rights of any Person to acquire, any shares of any class of capital stock or other equity interests of any Subsidiary.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6.3.</w:t>
      </w:r>
      <w:bookmarkStart w:id="87" w:name="_Toc241229812"/>
      <w:bookmarkEnd w:id="87"/>
      <w:r>
        <w:rPr>
          <w:rFonts w:ascii="Times New Roman;Times;serif" w:hAnsi="Times New Roman;Times;serif"/>
          <w:i w:val="false"/>
          <w:caps w:val="false"/>
          <w:smallCaps w:val="false"/>
          <w:sz w:val="24"/>
          <w:u w:val="single"/>
        </w:rPr>
        <w:t>Authority and Validity of Obligations</w:t>
      </w:r>
      <w:r>
        <w:rPr>
          <w:rFonts w:ascii="Times New Roman;Times;serif" w:hAnsi="Times New Roman;Times;serif"/>
          <w:i w:val="false"/>
          <w:caps w:val="false"/>
          <w:smallCaps w:val="false"/>
          <w:sz w:val="24"/>
        </w:rPr>
        <w:t>.  The Borrower has full right and authority to enter into this Agreement and the other Loan Documents executed by it, to make the borrowings herein provided for and to perform all of its obligations hereunder and under the other Loan Documents executed by it.  Each Material Subsidiary has full right and authority to enter into the Loan Documents executed by it, to guarantee the Obligations, Hedging Liability, and Funds Transfer and Deposit Account Liability and to perform all of its obligations under the Loan Documents executed by it.  The Loan Documents delivered by the Borrower and its Material Subsidiaries have been duly authorized, executed, and delivered by such Persons and constitute valid and binding obligations of the Borrower and its Material Subsidiaries enforceable against them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Borrower or any Subsidiary of any of the matters and things herein or therein provided for, (a) contravene or constitute a default under any provision of law or any judgment, injunction, order or decree binding upon the Borrower or any Subsidiary or any provision of the organizational documents (</w:t>
      </w:r>
      <w:r>
        <w:rPr>
          <w:rFonts w:ascii="Times New Roman;Times;serif" w:hAnsi="Times New Roman;Times;serif"/>
          <w:i/>
          <w:sz w:val="24"/>
        </w:rPr>
        <w:t>e.g.,</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charter, certificate or articles of incorporation and by-laws, certificate or articles of association and operating agreement, partnership agreement, or other similar organizational documents) of the Borrower or any Material Subsidiary, (b) contravene or constitute a default under any covenant, indenture or agreement of or affecting the Borrower or any Material Subsidiary or any of their Properties or other assets, in each case where such contravention or default, individually or in the aggregate, could reasonably be expected to have a Material Adverse Effect, or (c) result in the creation or imposition of any Lien on any Property or other assets of the Borrower or any Material Subsidiary (other than in favor of the Administrative Agent for its benefit and the benefit of the Lenders).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6.4.</w:t>
      </w:r>
      <w:bookmarkStart w:id="88" w:name="_Toc241229813"/>
      <w:bookmarkEnd w:id="88"/>
      <w:r>
        <w:rPr>
          <w:rFonts w:ascii="Times New Roman;Times;serif" w:hAnsi="Times New Roman;Times;serif"/>
          <w:i w:val="false"/>
          <w:caps w:val="false"/>
          <w:smallCaps w:val="false"/>
          <w:sz w:val="24"/>
          <w:u w:val="single"/>
        </w:rPr>
        <w:t>Use of Proceeds; Margin Stock</w:t>
      </w:r>
      <w:r>
        <w:rPr>
          <w:rFonts w:ascii="Times New Roman;Times;serif" w:hAnsi="Times New Roman;Times;serif"/>
          <w:i w:val="false"/>
          <w:caps w:val="false"/>
          <w:smallCaps w:val="false"/>
          <w:sz w:val="24"/>
        </w:rPr>
        <w:t xml:space="preserve">.  The Borrower shall use the proceeds of the Loans and Letters of Credit for its general corporate purposes, to refinance existing indebtedness, finance capital expenditures, real estate related investments (including investments permitted pursuant to Section 8.8 hereof), working capital and stock buybacks and for such other legal and proper purposes as are consistent with all applicable laws.  Neither the Borrower nor any Subsidiary is engaged in the business of extending credit for the purpose of purchasing or carrying margin stock (within the meaning of Regulation U of the Board of Governors of the Federal Reserve System), and no part of the proceeds of any Loan or any other extension of credit made hereunder will be used to purchase or carry any such margin stock (except for such stock repurchases as permitted hereunder) or to extend credit to others for the purpose of purchasing or carrying any such margin stock.  Margin stock (as hereinabove defined) constitutes less than 25%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of the assets of the Borrower and its Subsidiaries which are subject to any limitation on sale, pledge or other restriction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6.5.</w:t>
      </w:r>
      <w:bookmarkStart w:id="89" w:name="_Hlk221024618"/>
      <w:bookmarkStart w:id="90" w:name="_Toc241229814"/>
      <w:bookmarkEnd w:id="89"/>
      <w:bookmarkEnd w:id="90"/>
      <w:r>
        <w:rPr>
          <w:rFonts w:ascii="Times New Roman;Times;serif" w:hAnsi="Times New Roman;Times;serif"/>
          <w:i w:val="false"/>
          <w:caps w:val="false"/>
          <w:smallCaps w:val="false"/>
          <w:sz w:val="24"/>
          <w:u w:val="single"/>
        </w:rPr>
        <w:t>Financial Reports</w:t>
      </w:r>
      <w:r>
        <w:rPr>
          <w:rFonts w:ascii="Times New Roman;Times;serif" w:hAnsi="Times New Roman;Times;serif"/>
          <w:i w:val="false"/>
          <w:caps w:val="false"/>
          <w:smallCaps w:val="false"/>
          <w:sz w:val="24"/>
        </w:rPr>
        <w:t>.  The consolidated balance sheet of the Borrower and its Subsidiaries as of June 30, 2026, and the related consolidated statements of income, retained earnings and cash flows of the Borrower and its Subsidiaries for the fiscal year then ended, and accompanying notes thereto, which consolidated financial statements are accompanied by the unqualified audit report of independent public accountants, heretofore furnished to the Administrative Agent and the Lenders, fairly present the consolidated financial condition of the Borrower and its Subsidiaries as at said date and the consolidated results of their operations and cash flows for the period then ended in conformity with GAAP applied on a consistent basis.  None of the Borrower or any Subsidiary has contingent liabilities which are material to it and are required to be set forth in its consolidated financial statements or notes thereto in accordance with GAAP other than as indicated on such consolidated financial statements and notes thereto, including with respect to future periods, on the consolidated financial statements furnished pursuant to Section 8.5 hereof.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6.6.</w:t>
      </w:r>
      <w:bookmarkStart w:id="91" w:name="_Toc241229815"/>
      <w:bookmarkEnd w:id="91"/>
      <w:r>
        <w:rPr>
          <w:rFonts w:ascii="Times New Roman;Times;serif" w:hAnsi="Times New Roman;Times;serif"/>
          <w:i w:val="false"/>
          <w:caps w:val="false"/>
          <w:smallCaps w:val="false"/>
          <w:sz w:val="24"/>
          <w:u w:val="single"/>
        </w:rPr>
        <w:t>No Material Adverse Effect</w:t>
      </w:r>
      <w:r>
        <w:rPr>
          <w:rFonts w:ascii="Times New Roman;Times;serif" w:hAnsi="Times New Roman;Times;serif"/>
          <w:i/>
          <w:sz w:val="24"/>
        </w:rPr>
        <w:t>.  </w:t>
      </w:r>
      <w:r>
        <w:rPr>
          <w:rFonts w:ascii="Times New Roman;Times;serif" w:hAnsi="Times New Roman;Times;serif"/>
          <w:i w:val="false"/>
          <w:caps w:val="false"/>
          <w:smallCaps w:val="false"/>
          <w:sz w:val="24"/>
        </w:rPr>
        <w:t>Except as set forth on Schedule 6.6, since the date of delivery of the most recent financial statements delivered to the Administrative Agent pursuant to Section 8.5(c), there has been no change in the financial condition or business of the Borrower or any Subsidiary except those occurring in the ordinary course of business, none of which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6.7.</w:t>
      </w:r>
      <w:bookmarkStart w:id="92" w:name="_Toc241229816"/>
      <w:bookmarkEnd w:id="92"/>
      <w:r>
        <w:rPr>
          <w:rFonts w:ascii="Times New Roman;Times;serif" w:hAnsi="Times New Roman;Times;serif"/>
          <w:i w:val="false"/>
          <w:caps w:val="false"/>
          <w:smallCaps w:val="false"/>
          <w:sz w:val="24"/>
          <w:u w:val="single"/>
        </w:rPr>
        <w:t>Full Disclosure</w:t>
      </w:r>
      <w:r>
        <w:rPr>
          <w:rFonts w:ascii="Times New Roman;Times;serif" w:hAnsi="Times New Roman;Times;serif"/>
          <w:i w:val="false"/>
          <w:caps w:val="false"/>
          <w:smallCaps w:val="false"/>
          <w:sz w:val="24"/>
        </w:rPr>
        <w:t>.  The statements and information furnished to the Administrative Agent and the Lenders in connection with the negotiation of this Agreement and the other Loan Documents and the commitments by the Lenders to provide all or part of the financing contemplated hereby do not contain any untrue statements (known by Borrower to be untrue) of a material fact known to Borrower or omit a material fact necessary to make the material statements contained herein or therein, in light of the circumstances under which they were made, not misleading, the Administrative Agent and the Lenders acknowledging that (a) as to any projections or forward looking information furnished to the Administrative Agent and the Lenders, the Borrower only represents that the same were prepared on the basis of information and estimates the Borrower believed to be reasonable and (b) the financial information provided to the Administrative Agent and the Lenders is governed by Section 6.5 hereof.  The information included in the Beneficial Ownership Certification, as updated in accordance with Section 6.5, is true and correct in all respects.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6.8.</w:t>
      </w:r>
      <w:bookmarkStart w:id="93" w:name="_Toc241229817"/>
      <w:bookmarkEnd w:id="93"/>
      <w:r>
        <w:rPr>
          <w:rFonts w:ascii="Times New Roman;Times;serif" w:hAnsi="Times New Roman;Times;serif"/>
          <w:i w:val="false"/>
          <w:caps w:val="false"/>
          <w:smallCaps w:val="false"/>
          <w:sz w:val="24"/>
          <w:u w:val="single"/>
        </w:rPr>
        <w:t>Trademarks, Franchises, and Licenses</w:t>
      </w:r>
      <w:r>
        <w:rPr>
          <w:rFonts w:ascii="Times New Roman;Times;serif" w:hAnsi="Times New Roman;Times;serif"/>
          <w:i w:val="false"/>
          <w:caps w:val="false"/>
          <w:smallCaps w:val="false"/>
          <w:sz w:val="24"/>
        </w:rPr>
        <w:t>.  To Borrower’s knowledge, the Borrower and its Subsidiaries own, possess, or have the right to use all patents, licenses, franchises, trademarks, trade names, trade styles, copyrights, trade secrets, know how, and confidential commercial and proprietary information necessary to conduct their businesses substantially as now conducted, without known conflict with any patent, license, franchise, trademark, trade name, trade style, copyright or other proprietary right of any other Person, which conflict could reasonably be expected to have a Material Adverse Effect.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6.9.</w:t>
      </w:r>
      <w:bookmarkStart w:id="94" w:name="_Toc241229818"/>
      <w:bookmarkEnd w:id="94"/>
      <w:r>
        <w:rPr>
          <w:rFonts w:ascii="Times New Roman;Times;serif" w:hAnsi="Times New Roman;Times;serif"/>
          <w:i w:val="false"/>
          <w:caps w:val="false"/>
          <w:smallCaps w:val="false"/>
          <w:sz w:val="24"/>
          <w:u w:val="single"/>
        </w:rPr>
        <w:t>Governmental Authority and Licensing</w:t>
      </w:r>
      <w:r>
        <w:rPr>
          <w:rFonts w:ascii="Times New Roman;Times;serif" w:hAnsi="Times New Roman;Times;serif"/>
          <w:i w:val="false"/>
          <w:caps w:val="false"/>
          <w:smallCaps w:val="false"/>
          <w:sz w:val="24"/>
        </w:rPr>
        <w:t>.  The Borrower and its Subsidiaries have received all licenses, permits, and approvals of all federal, state, and local governmental authorities, if any, necessary to conduct their businesses, in each case where the failure to obtain or maintain the same could reasonably be expected to have a Material Adverse Effect.  No investigation or proceeding, which could reasonably be expected to result in revocation or denial of any license, permit or approval and could reasonably be expected to have a Material Adverse Effect, is pending or, to the knowledge of the Borrower, threatened.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6.10.</w:t>
      </w:r>
      <w:bookmarkStart w:id="95" w:name="_Toc241229819"/>
      <w:bookmarkEnd w:id="95"/>
      <w:r>
        <w:rPr>
          <w:rFonts w:ascii="Times New Roman;Times;serif" w:hAnsi="Times New Roman;Times;serif"/>
          <w:i w:val="false"/>
          <w:caps w:val="false"/>
          <w:smallCaps w:val="false"/>
          <w:sz w:val="24"/>
          <w:u w:val="single"/>
        </w:rPr>
        <w:t>Good Title</w:t>
      </w:r>
      <w:r>
        <w:rPr>
          <w:rFonts w:ascii="Times New Roman;Times;serif" w:hAnsi="Times New Roman;Times;serif"/>
          <w:i w:val="false"/>
          <w:caps w:val="false"/>
          <w:smallCaps w:val="false"/>
          <w:sz w:val="24"/>
        </w:rPr>
        <w:t>.  The Borrower and its Subsidiaries have good and defensible title (or valid leasehold interests) to each Unencumbered Asset and their other material assets as reflected on the most recent consolidated balance sheet of the Borrower and its Subsidiaries furnished to the Administrative Agent and the Lenders (except for sales of assets in the ordinary course of business), subject to no Liens other than such thereof as are permitted by Section 8.7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6.11.</w:t>
      </w:r>
      <w:bookmarkStart w:id="96" w:name="_Toc241229820"/>
      <w:bookmarkEnd w:id="96"/>
      <w:r>
        <w:rPr>
          <w:rFonts w:ascii="Times New Roman;Times;serif" w:hAnsi="Times New Roman;Times;serif"/>
          <w:i w:val="false"/>
          <w:caps w:val="false"/>
          <w:smallCaps w:val="false"/>
          <w:sz w:val="24"/>
          <w:u w:val="single"/>
        </w:rPr>
        <w:t>Litigation and Other Controversies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Except as set forth on Schedule 6.11, there is no litigation or governmental or arbitration proceeding or labor controversy pending, nor to the knowledge of the Borrower threatened, against the Borrower or any Subsidiary or any of their Property or other assets which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6.12.</w:t>
      </w:r>
      <w:bookmarkStart w:id="97" w:name="_Toc241229821"/>
      <w:bookmarkEnd w:id="97"/>
      <w:r>
        <w:rPr>
          <w:rFonts w:ascii="Times New Roman;Times;serif" w:hAnsi="Times New Roman;Times;serif"/>
          <w:i w:val="false"/>
          <w:caps w:val="false"/>
          <w:smallCaps w:val="false"/>
          <w:sz w:val="24"/>
          <w:u w:val="single"/>
        </w:rPr>
        <w:t>Taxes</w:t>
      </w:r>
      <w:r>
        <w:rPr>
          <w:rFonts w:ascii="Times New Roman;Times;serif" w:hAnsi="Times New Roman;Times;serif"/>
          <w:i w:val="false"/>
          <w:caps w:val="false"/>
          <w:smallCaps w:val="false"/>
          <w:sz w:val="24"/>
        </w:rPr>
        <w:t>.  All material tax returns required to be filed by the Borrower or any Subsidiary in any jurisdiction have, in fact, been filed, and all taxes, assessments, fees, and other governmental charges upon the Borrower or any Subsidiary or upon any of its Property, other assets, income or franchises, which are shown to be due and payable in such returns, have been paid, except such taxes, assessments, fees and governmental charges, if any, as are being contested in good faith and by appropriate proceedings which prevent enforcement of the matter under contest and as to which adequate reserves established in accordance with GAAP have been provided.  The Borrower has not received written notice of any proposed additional tax assessment against the Borrower or its Subsidiaries for which adequate provisions in accordance with GAAP have not been made on their accounts.  Adequate provisions in accordance with GAAP for taxes on the books of the Borrower and each Subsidiary have been made for all open years, and for its current fiscal period.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6.13.</w:t>
      </w:r>
      <w:bookmarkStart w:id="98" w:name="_Toc241229822"/>
      <w:bookmarkEnd w:id="98"/>
      <w:r>
        <w:rPr>
          <w:rFonts w:ascii="Times New Roman;Times;serif" w:hAnsi="Times New Roman;Times;serif"/>
          <w:i w:val="false"/>
          <w:caps w:val="false"/>
          <w:smallCaps w:val="false"/>
          <w:sz w:val="24"/>
          <w:u w:val="single"/>
        </w:rPr>
        <w:t>Approvals</w:t>
      </w:r>
      <w:r>
        <w:rPr>
          <w:rFonts w:ascii="Times New Roman;Times;serif" w:hAnsi="Times New Roman;Times;serif"/>
          <w:i w:val="false"/>
          <w:caps w:val="false"/>
          <w:smallCaps w:val="false"/>
          <w:sz w:val="24"/>
        </w:rPr>
        <w:t>.  Except those already received, no authorization, consent, license or exemption from, or filing or registration with, any court or governmental department, agency or instrumentality, nor any approval or consent of any other Person, is or will be necessary to the valid execution, delivery or performance by the Borrower or any Guarantor of any Loan Document.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6.14.</w:t>
      </w:r>
      <w:bookmarkStart w:id="99" w:name="_Toc241229823"/>
      <w:bookmarkEnd w:id="99"/>
      <w:r>
        <w:rPr>
          <w:rFonts w:ascii="Times New Roman;Times;serif" w:hAnsi="Times New Roman;Times;serif"/>
          <w:i w:val="false"/>
          <w:caps w:val="false"/>
          <w:smallCaps w:val="false"/>
          <w:sz w:val="24"/>
          <w:u w:val="single"/>
        </w:rPr>
        <w:t>Affiliate Transactions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Except as permitted by Section 8.14 hereof, none of the Borrower or any Subsidiary is a party to any contracts or agreements with any of its Affiliates on terms and conditions which are less favorable to the Borrower or such Subsidiary than would be usual and customary in similar contracts or agreements between Persons not affiliated with each other.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6.15.</w:t>
      </w:r>
      <w:bookmarkStart w:id="100" w:name="_Toc241229824"/>
      <w:bookmarkEnd w:id="100"/>
      <w:r>
        <w:rPr>
          <w:rFonts w:ascii="Times New Roman;Times;serif" w:hAnsi="Times New Roman;Times;serif"/>
          <w:i w:val="false"/>
          <w:caps w:val="false"/>
          <w:smallCaps w:val="false"/>
          <w:sz w:val="24"/>
          <w:u w:val="single"/>
        </w:rPr>
        <w:t>Investment Company</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None of the Borrower or any Subsidiary is an “investment company” or a company “controlled” by an “investment company” within the meaning of the Investment Company Act of 1940, as amended.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6.16.</w:t>
      </w:r>
      <w:bookmarkStart w:id="101" w:name="_Toc241229825"/>
      <w:bookmarkEnd w:id="101"/>
      <w:r>
        <w:rPr>
          <w:rFonts w:ascii="Times New Roman;Times;serif" w:hAnsi="Times New Roman;Times;serif"/>
          <w:i w:val="false"/>
          <w:caps w:val="false"/>
          <w:smallCaps w:val="false"/>
          <w:sz w:val="24"/>
          <w:u w:val="single"/>
        </w:rPr>
        <w:t>ERISA</w:t>
      </w:r>
      <w:r>
        <w:rPr>
          <w:rFonts w:ascii="Times New Roman;Times;serif" w:hAnsi="Times New Roman;Times;serif"/>
          <w:i w:val="false"/>
          <w:caps w:val="false"/>
          <w:smallCaps w:val="false"/>
          <w:sz w:val="24"/>
        </w:rPr>
        <w:t>.  The Borrower and each other member of their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None of the Borrower or any Subsidiary has any material contingent liabilities with respect to any post-retirement benefits under a Welfare Plan, other than liability for continuation coverage described in article 6 of Title I of ERISA.</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6.17.</w:t>
      </w:r>
      <w:bookmarkStart w:id="102" w:name="_Toc241229826"/>
      <w:bookmarkEnd w:id="102"/>
      <w:r>
        <w:rPr>
          <w:rFonts w:ascii="Times New Roman;Times;serif" w:hAnsi="Times New Roman;Times;serif"/>
          <w:i w:val="false"/>
          <w:caps w:val="false"/>
          <w:smallCaps w:val="false"/>
          <w:sz w:val="24"/>
          <w:u w:val="single"/>
        </w:rPr>
        <w:t>Compliance with Laws</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Borrower and its Subsidiaries are in compliance with the requirements of all federal, state and local laws, rules and regulations applicable to or pertaining to their Property, assets, or business operations (including, without limitation, the Occupational Safety and Health Act of 1970, the Americans with Disabilities Act of 1990, and laws and regulations establishing quality criteria and standards for air, water, land and toxic or hazardous wastes and substances), where any such non-compliance, individually or in the aggregate, could reasonably be expected to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(b)Without limiting the representations and warranties set forth in Section 6.17(a) above, except for such matters individually or in the aggregate, which could not reasonably be expected to result in a Material Adverse Effect, the Borrower represents and warrants that, except as set forth in Schedule 6.17:  (i) the Borrower and its Subsidiaries, and each of the Properties, comply in all material respects with all applicable Environmental Laws; (ii) the Borrower and its Subsidiaries have obtained all governmental approvals required for their operations and each of the Properties by any applicable Environmental Law; (iii) the Borrower and its Subsidiaries have not, and the Borrower has no knowledge of any other Person who has, caused any Release, threatened Release or disposal of any Hazardous Material at, on, about, or off any of the Properties in any material quantity and, to the knowledge of the Borrower, none of the Properties are adversely affected by any Release, threatened Release or disposal of a Hazardous Material originating or emanating from any other property; (iv) none of the Properties, to the Borrower’s knowledge, contain or have contained any:  (1) underground storage tank, (2) material amounts of asbestos containing building material, (3) landfills or dumps, (4) hazardous waste management facility as defined pursuant to RCRA or any comparable state law, or (5) site on or nominated for the National Priority List promulgated pursuant to CERCLA or any state remedial priority list promulgated or published pursuant to any comparable state law; (v) the Borrower and its Subsidiaries have not used a material quantity of any Hazardous Material and have conducted no Hazardous Material Activity at any of the Properties; (vi) other than in compliance with applicable law in all material respects the Borrower and its Subsidiaries have no material liability for response or corrective action, natural resource damage or other harm pursuant to CERCLA, RCRA or any comparable state law; (vii) the Borrower and its Subsidiaries are not subject to, have no notice or knowledge of and are not required to give any notice of any Environmental Claim involving the Borrower or any Subsidiary or any of the Properties, and there are no conditions or occurrences at any of the Properties which could reasonably be anticipated to form the basis for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an Environmental Claim against the Borrower or any Subsidiary or such Properties; (viii) none of the Properties are subject to any, and the Borrower has no knowledge of any imminent restriction on the ownership, occupancy, use or transferability of the Properties in connection with any (1) Environmental Law or (2) Release, threatened Release or disposal of a Hazardous Material, which would affect the lawful use of any such Property as currently used; and (ix) there are no conditions or circumstances at any of the Properties which pose an unreasonable risk to the environment or the health or safety of Persons.  Promptly after the reasonable request of the Administrative Agent, the Borrower shall deliver to the Administrative Agent a Phase I Environmental Report in form and substance acceptable to the Administrative Agent from an environmental firm acceptable to the Administrative Agent with respect to any (y) Eligible Property specified by the Administrative Agent that has an environmental issue that would materially affect the value or use of such Eligible Property and (z) Property that is not an Eligible Property if the environmental issues associated with such Property could reasonably be expected to have a Material Adverse Effect and, if such Phase I Environmental Report indicates any environmental issues, a Phase II Environmental Report; </w:t>
      </w:r>
      <w:r>
        <w:rPr>
          <w:rFonts w:ascii="Times New Roman;Times;serif" w:hAnsi="Times New Roman;Times;serif"/>
          <w:i/>
          <w:sz w:val="24"/>
        </w:rPr>
        <w:t xml:space="preserve">provided </w:t>
      </w:r>
      <w:r>
        <w:rPr>
          <w:rFonts w:ascii="Times New Roman;Times;serif" w:hAnsi="Times New Roman;Times;serif"/>
          <w:sz w:val="24"/>
        </w:rPr>
        <w:t>that the Administrative Agent shall be entitled to make only one (1) such request per Property during the term of this Agreement unless an Event of Default has occurred and is continuing.</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Borrower and each of its Subsidiaries is in material compliance with all Anti-Corruption Laws.  The Borrower and each of its Subsidiaries has implemented and maintains in effect policies and procedures designed to ensure compliance by such Person, its Subsidiaries and their respective directors, officers, employees and agents with Anti-Corruption Laws.  Neither Borrower nor any Subsidiary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such Borrower or such Subsidiary or to any other Person, in violation of any Anti-Corruption Laws.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6.18.</w:t>
      </w:r>
      <w:bookmarkStart w:id="103" w:name="_Toc241229827"/>
      <w:bookmarkEnd w:id="103"/>
      <w:r>
        <w:rPr>
          <w:rFonts w:ascii="Times New Roman;Times;serif" w:hAnsi="Times New Roman;Times;serif"/>
          <w:i w:val="false"/>
          <w:caps w:val="false"/>
          <w:smallCaps w:val="false"/>
          <w:sz w:val="24"/>
          <w:u w:val="single"/>
        </w:rPr>
        <w:t>OFAC; Patriot Act</w:t>
      </w:r>
      <w:r>
        <w:rPr>
          <w:rFonts w:ascii="Times New Roman;Times;serif" w:hAnsi="Times New Roman;Times;serif"/>
          <w:i/>
          <w:sz w:val="24"/>
        </w:rPr>
        <w:t>.</w:t>
      </w:r>
      <w:r>
        <w:rPr>
          <w:rFonts w:ascii="Times New Roman;Times;serif" w:hAnsi="Times New Roman;Times;serif"/>
          <w:i/>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is in compliance, in all material respects, with the requirements of all Sanctions applicable to it, (A) each Subsidiary of the Borrower is in compliance, in all material respects, with the requirements of all Sanctions applicable to such Subsidiary, (B) the Borrower has provided to the Administrative Agent and the Lenders all information regarding the Borrower and its Affiliates and Subsidiaries necessary for the Administrative Agent and the Lenders to comply with all applicable Sanctions, and (C) neither the Borrower nor any of its Affiliates or Subsidiaries nor, to the knowledge of Borrower, any officer, director or Affiliate of any such Person or any of its Subsidiaries, is a Sanctioned Person. The Loan Parties have implemented and maintain in effect policies and procedures designed to ensure compliance by the Loan Parties, their Subsidiaries and Affiliates and their respective directors, officers, employees and agents with Anti-Corruption Laws and applicable Sanctions.  The Loan Parties, their Subsidiaries and Affiliates and their respective directors, officers and employees and to the knowledge of the Loan Parties, their agents, are in compliance with Anti-Corruption Laws and applicable Sanctions.  No Loan, use of proceeds or other transaction contemplated by this Agreement will violate any Anti-Corruption Law or applicable Sanctions.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Patriot Act</w:t>
      </w:r>
      <w:bookmarkStart w:id="104" w:name="_Hlk219803450"/>
      <w:bookmarkEnd w:id="104"/>
      <w:r>
        <w:rPr>
          <w:rFonts w:ascii="Times New Roman;Times;serif" w:hAnsi="Times New Roman;Times;serif"/>
          <w:sz w:val="24"/>
        </w:rPr>
        <w:t>. Neither any Loan Party nor any of its Subsidiaries is an “enemy” or an “ally of the enemy” within the meaning of Section 2 of the Trading with the Enemy Act or any enabling legislation or executive order relating thereto.  Neither any Loan Party nor any of its Subsidiaries is in violation of (a) the Trading with the Enemy Act, (b) any of the foreign assets control regulations of the United States Treasury Department (31 C.F.R., Subtitle B, Chapter V, as amended) or any enabling legislation or executive order relating thereto or (c) the Patriot Act.  None of the Loan Parties (i) is a blocked person described in Section 1 of Executive Order 13224 of the President of the United States or (ii) to the best of its knowledge, engages in any dealings or transactions, or is otherwise associated, with any such blocked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6.19.</w:t>
      </w:r>
      <w:bookmarkStart w:id="105" w:name="_Toc241229828"/>
      <w:bookmarkEnd w:id="105"/>
      <w:r>
        <w:rPr>
          <w:rFonts w:ascii="Times New Roman;Times;serif" w:hAnsi="Times New Roman;Times;serif"/>
          <w:i w:val="false"/>
          <w:caps w:val="false"/>
          <w:smallCaps w:val="false"/>
          <w:sz w:val="24"/>
          <w:u w:val="single"/>
        </w:rPr>
        <w:t>Other Agreements</w:t>
      </w:r>
      <w:r>
        <w:rPr>
          <w:rFonts w:ascii="Times New Roman;Times;serif" w:hAnsi="Times New Roman;Times;serif"/>
          <w:i w:val="false"/>
          <w:caps w:val="false"/>
          <w:smallCaps w:val="false"/>
          <w:sz w:val="24"/>
        </w:rPr>
        <w:t>.  Neither the Borrower nor any Subsidiary is in default under the terms of any covenant, indenture or agreement of or affecting such Person or any of its Properties or other assets, which default could reasonably be expected to have a Material Adverse Effect.  Neither the Borrower nor any Subsidiary shall enter into an amendment or modification of any contract or agreement which could, in the Responsible Officer’s business judgment,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6.20.</w:t>
      </w:r>
      <w:bookmarkStart w:id="106" w:name="_Toc241229829"/>
      <w:bookmarkEnd w:id="106"/>
      <w:r>
        <w:rPr>
          <w:rFonts w:ascii="Times New Roman;Times;serif" w:hAnsi="Times New Roman;Times;serif"/>
          <w:i w:val="false"/>
          <w:caps w:val="false"/>
          <w:smallCaps w:val="false"/>
          <w:sz w:val="24"/>
          <w:u w:val="single"/>
        </w:rPr>
        <w:t>Solvency</w:t>
      </w:r>
      <w:r>
        <w:rPr>
          <w:rFonts w:ascii="Times New Roman;Times;serif" w:hAnsi="Times New Roman;Times;serif"/>
          <w:i w:val="false"/>
          <w:caps w:val="false"/>
          <w:smallCaps w:val="false"/>
          <w:sz w:val="24"/>
        </w:rPr>
        <w:t>.  The Borrower and its Subsidiaries are solvent, able to pay their debts as they become due, and have sufficient capital to carry on their business and all businesses in which they are about to engage.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6.21.</w:t>
      </w:r>
      <w:bookmarkStart w:id="107" w:name="_Toc241229830"/>
      <w:bookmarkEnd w:id="107"/>
      <w:r>
        <w:rPr>
          <w:rFonts w:ascii="Times New Roman;Times;serif" w:hAnsi="Times New Roman;Times;serif"/>
          <w:i w:val="false"/>
          <w:caps w:val="false"/>
          <w:smallCaps w:val="false"/>
          <w:sz w:val="24"/>
          <w:u w:val="single"/>
        </w:rPr>
        <w:t>No Default</w:t>
      </w:r>
      <w:r>
        <w:rPr>
          <w:rFonts w:ascii="Times New Roman;Times;serif" w:hAnsi="Times New Roman;Times;serif"/>
          <w:i/>
          <w:sz w:val="24"/>
        </w:rPr>
        <w:t>.  </w:t>
      </w:r>
      <w:r>
        <w:rPr>
          <w:rFonts w:ascii="Times New Roman;Times;serif" w:hAnsi="Times New Roman;Times;serif"/>
          <w:i w:val="false"/>
          <w:caps w:val="false"/>
          <w:smallCaps w:val="false"/>
          <w:sz w:val="24"/>
        </w:rPr>
        <w:t>No Default or Event of Default has occurred and is continuing.</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6.22.</w:t>
      </w:r>
      <w:bookmarkStart w:id="108" w:name="_Toc241229831"/>
      <w:bookmarkEnd w:id="108"/>
      <w:r>
        <w:rPr>
          <w:rFonts w:ascii="Times New Roman;Times;serif" w:hAnsi="Times New Roman;Times;serif"/>
          <w:i w:val="false"/>
          <w:caps w:val="false"/>
          <w:smallCaps w:val="false"/>
          <w:sz w:val="24"/>
          <w:u w:val="single"/>
        </w:rPr>
        <w:t>No Broker Fees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 broker’s or finder’s fee or commission will be payable with respect hereto or any of the transactions contemplated thereby with respect to any broker or finder claim for which the Borrower is responsible; and the Borrower hereby agrees to indemnify the Administrative Agent and the Lenders against, and agrees that it will hold the Administrative Agent and the Lenders harmless from, any such claim, demand, or liability for any such broker’s or finder’s fees alleged to have been incurred by the Borrower in connection herewith or therewith and any expenses (including reasonable attorneys’ fees) arising in connection with any such claim, demand, or liability.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6.23.</w:t>
      </w:r>
      <w:bookmarkStart w:id="109" w:name="_Toc241229832"/>
      <w:bookmarkEnd w:id="109"/>
      <w:r>
        <w:rPr>
          <w:rFonts w:ascii="Times New Roman;Times;serif" w:hAnsi="Times New Roman;Times;serif"/>
          <w:i w:val="false"/>
          <w:caps w:val="false"/>
          <w:smallCaps w:val="false"/>
          <w:sz w:val="24"/>
          <w:u w:val="single"/>
        </w:rPr>
        <w:t>Condition of Property; Casualties; Condemnation</w:t>
      </w:r>
      <w:r>
        <w:rPr>
          <w:rFonts w:ascii="Times New Roman;Times;serif" w:hAnsi="Times New Roman;Times;serif"/>
          <w:i w:val="false"/>
          <w:caps w:val="false"/>
          <w:smallCaps w:val="false"/>
          <w:sz w:val="24"/>
        </w:rPr>
        <w:t xml:space="preserve">.  Except as set forth in Schedule 6.23, each Property owned by the Borrower and each Subsidiary, in all material respects (a) is in good repair, working order and condition, normal wear and tear excepted, (b) is free of material structural defects, (c) is not subject to material deferred maintenance, (d) has and will have all building systems contained therein in good repair, working order and condition, normal wear and tear excepted and (e) is not located in a flood plain or flood hazard area, or if located in a flood plain or flood hazard area is covered by full replacement cost flood insurance.  None of the Properties owned by the Borrower or any Subsidiary is currently materially and adversely affected as a result of any fire, explosion, earthquake, flood, drought, windstorm, accident, strike or other labor disturbance, embargo, requisition or taking of property or cancellation of contracts, permits or concessions by a Governmental Authority, riot, activities of armed forces or acts of God or of any public enemy which is not in the process of being repaired.  No condemnation or other like proceedings that has had, or could reasonably be expected to result in, a Material Adverse Effect, are pending and served nor threatened against any Property owned by it in any manner whatsoever.  No casualty has occurred to any such Property that could reasonably be expected to have a Material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 xml:space="preserve">Adverse Effect.  Promptly after the reasonable request of the Administrative Agent, the Borrower shall deliver a current property condition report in form and substance acceptable to Administrative Agent from an independent engineering or architectural firm acceptable to Administrative Agent with respect to any (i) Eligible Property specified by Administrative Agent that has a material maintenance or structural issue that would materially affect the value or use of such Eligible Property and (ii) Property that is not an Eligible Property that has a material maintenance or structural issue associated with such Property that could reasonably be expected to have a Material Adverse Effect; </w:t>
      </w:r>
      <w:r>
        <w:rPr>
          <w:rFonts w:ascii="Times New Roman;Times;serif" w:hAnsi="Times New Roman;Times;serif"/>
          <w:b w:val="false"/>
          <w:i/>
          <w:sz w:val="24"/>
        </w:rPr>
        <w:t>provided</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that the Administrative Agent shall be entitled to make only one (1) such request with respect to each Property during the term of this Agreement unless an Event of Default has occurred and is continuing.</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6.24.</w:t>
      </w:r>
      <w:bookmarkStart w:id="110" w:name="_Toc241229833"/>
      <w:bookmarkEnd w:id="110"/>
      <w:r>
        <w:rPr>
          <w:rFonts w:ascii="Times New Roman;Times;serif" w:hAnsi="Times New Roman;Times;serif"/>
          <w:i w:val="false"/>
          <w:caps w:val="false"/>
          <w:smallCaps w:val="false"/>
          <w:sz w:val="24"/>
          <w:u w:val="single"/>
        </w:rPr>
        <w:t>Legal Requirements and Zoning</w:t>
      </w:r>
      <w:r>
        <w:rPr>
          <w:rFonts w:ascii="Times New Roman;Times;serif" w:hAnsi="Times New Roman;Times;serif"/>
          <w:i w:val="false"/>
          <w:caps w:val="false"/>
          <w:smallCaps w:val="false"/>
          <w:sz w:val="24"/>
        </w:rPr>
        <w:t>.  To Borrower’s knowledge, the use and operation of each Property owned by the Borrower and its Subsidiaries constitutes a legal use (including legally nonconforming use) under applicable zoning regulations (as the same may be modified by special use permits or the granting of variances) and complies in all material respects with all Legal Requirements, and does not violate in any material respect any approvals, restrictions of record or any material agreement affecting any such Property (or any portion thereof).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6.25.</w:t>
      </w:r>
      <w:bookmarkStart w:id="111" w:name="_Toc241229834"/>
      <w:bookmarkEnd w:id="111"/>
      <w:r>
        <w:rPr>
          <w:rFonts w:ascii="Times New Roman;Times;serif" w:hAnsi="Times New Roman;Times;serif"/>
          <w:i w:val="false"/>
          <w:caps w:val="false"/>
          <w:smallCaps w:val="false"/>
          <w:sz w:val="24"/>
          <w:u w:val="single"/>
        </w:rPr>
        <w:t>No Defaults; Landlord is in Compliance with Leases</w:t>
      </w:r>
      <w:r>
        <w:rPr>
          <w:rFonts w:ascii="Times New Roman;Times;serif" w:hAnsi="Times New Roman;Times;serif"/>
          <w:i w:val="false"/>
          <w:caps w:val="false"/>
          <w:smallCaps w:val="false"/>
          <w:sz w:val="24"/>
        </w:rPr>
        <w:t>.  The Borrower and each Subsidiary shall at all times maintain accurate and complete records of each Significant Lease. Except as disclosed to the Administrative Agent in writing in accordance with Section 8.5(l) hereof, none of the Tenants under Significant Leases on the Properties owned by the Borrower, Material Subsidiaries or any other Subsidiary of the Borrower are in default for a period in excess of sixty (60) days on the monthly contractual rent payments.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6.26.</w:t>
      </w:r>
      <w:bookmarkStart w:id="112" w:name="_Toc241229835"/>
      <w:bookmarkEnd w:id="112"/>
      <w:r>
        <w:rPr>
          <w:rFonts w:ascii="Times New Roman;Times;serif" w:hAnsi="Times New Roman;Times;serif"/>
          <w:i w:val="false"/>
          <w:caps w:val="false"/>
          <w:smallCaps w:val="false"/>
          <w:sz w:val="24"/>
          <w:u w:val="single"/>
        </w:rPr>
        <w:t>Affected Financial Institution</w:t>
      </w:r>
      <w:r>
        <w:rPr>
          <w:rFonts w:ascii="Times New Roman;Times;serif" w:hAnsi="Times New Roman;Times;serif"/>
          <w:i w:val="false"/>
          <w:caps w:val="false"/>
          <w:smallCaps w:val="false"/>
          <w:sz w:val="24"/>
        </w:rPr>
        <w:t>.  Neither Borrower nor any Subsidiary is an Affected Financial Institution.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6.27.</w:t>
      </w:r>
      <w:bookmarkStart w:id="113" w:name="_Toc241229836"/>
      <w:bookmarkEnd w:id="113"/>
      <w:r>
        <w:rPr>
          <w:rFonts w:ascii="Times New Roman;Times;serif" w:hAnsi="Times New Roman;Times;serif"/>
          <w:i w:val="false"/>
          <w:caps w:val="false"/>
          <w:smallCaps w:val="false"/>
          <w:sz w:val="24"/>
          <w:u w:val="single"/>
        </w:rPr>
        <w:t>REIT Status</w:t>
      </w:r>
      <w:r>
        <w:rPr>
          <w:rFonts w:ascii="Times New Roman;Times;serif" w:hAnsi="Times New Roman;Times;serif"/>
          <w:i w:val="false"/>
          <w:caps w:val="false"/>
          <w:smallCaps w:val="false"/>
          <w:sz w:val="24"/>
        </w:rPr>
        <w:t>.  The Borrower has (a) elected to be taxed as a REIT and will continue to operate in a manner so as to qualify as a REIT, and (b) will not revoke its election to be taxed as a REIT.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6.28.</w:t>
      </w:r>
      <w:bookmarkStart w:id="114" w:name="_Toc241229837"/>
      <w:bookmarkEnd w:id="114"/>
      <w:r>
        <w:rPr>
          <w:rFonts w:ascii="Times New Roman;Times;serif" w:hAnsi="Times New Roman;Times;serif"/>
          <w:i w:val="false"/>
          <w:caps w:val="false"/>
          <w:smallCaps w:val="false"/>
          <w:sz w:val="24"/>
          <w:u w:val="single"/>
        </w:rPr>
        <w:t>Covered Entity</w:t>
      </w:r>
      <w:r>
        <w:rPr>
          <w:rFonts w:ascii="Times New Roman;Times;serif" w:hAnsi="Times New Roman;Times;serif"/>
          <w:i w:val="false"/>
          <w:caps w:val="false"/>
          <w:smallCaps w:val="false"/>
          <w:sz w:val="24"/>
        </w:rPr>
        <w:t>.  Borrower is not a Covered Entity.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6.29.</w:t>
      </w:r>
      <w:bookmarkStart w:id="115" w:name="_Toc241229838"/>
      <w:bookmarkEnd w:id="115"/>
      <w:r>
        <w:rPr>
          <w:rFonts w:ascii="Times New Roman;Times;serif" w:hAnsi="Times New Roman;Times;serif"/>
          <w:i w:val="false"/>
          <w:caps w:val="false"/>
          <w:smallCaps w:val="false"/>
          <w:sz w:val="24"/>
          <w:u w:val="single"/>
        </w:rPr>
        <w:t>Outbound Investment Rules</w:t>
      </w:r>
      <w:r>
        <w:rPr>
          <w:rFonts w:ascii="Times New Roman;Times;serif" w:hAnsi="Times New Roman;Times;serif"/>
          <w:i w:val="false"/>
          <w:caps w:val="false"/>
          <w:smallCaps w:val="false"/>
          <w:sz w:val="24"/>
        </w:rPr>
        <w:t>. Neither Borrower  nor any of its Subsidiaries is a ‘covered foreign person’ as that term is used in the Outbound Investment Rules. Neither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any Loan Party were a U.S. Person or (iii) any other activity that would cause the Administrative Agent and the Lenders to be in violation of the Outbound Investment Rules or cause the Administrative Agent and the Lenders to be legally prohibited by the Outbound Investment Rules from performing under this Agreement.</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7.</w:t>
      </w:r>
      <w:bookmarkStart w:id="116" w:name="_Toc241229839"/>
      <w:bookmarkStart w:id="117" w:name="_Ref70341278"/>
      <w:bookmarkStart w:id="118" w:name="_Ref70341174"/>
      <w:bookmarkStart w:id="119" w:name="_Ref70341110"/>
      <w:bookmarkEnd w:id="116"/>
      <w:bookmarkEnd w:id="117"/>
      <w:bookmarkEnd w:id="118"/>
      <w:bookmarkEnd w:id="119"/>
      <w:r>
        <w:rPr>
          <w:rFonts w:ascii="Times New Roman;Times;serif" w:hAnsi="Times New Roman;Times;serif"/>
          <w:caps/>
          <w:sz w:val="24"/>
        </w:rPr>
        <w:t>Conditions Precedent.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7.1.</w:t>
      </w:r>
      <w:bookmarkStart w:id="120" w:name="_Toc241229840"/>
      <w:bookmarkEnd w:id="120"/>
      <w:r>
        <w:rPr>
          <w:rFonts w:ascii="Times New Roman;Times;serif" w:hAnsi="Times New Roman;Times;serif"/>
          <w:i w:val="false"/>
          <w:caps w:val="false"/>
          <w:smallCaps w:val="false"/>
          <w:sz w:val="24"/>
          <w:u w:val="single"/>
        </w:rPr>
        <w:t>All Credit Events</w:t>
      </w:r>
      <w:r>
        <w:rPr>
          <w:rFonts w:ascii="Times New Roman;Times;serif" w:hAnsi="Times New Roman;Times;serif"/>
          <w:i w:val="false"/>
          <w:caps w:val="false"/>
          <w:smallCaps w:val="false"/>
          <w:sz w:val="24"/>
        </w:rPr>
        <w:t>.  At the time of each Credit Event 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(a)each of the representations and warranties set forth herein and in the other Loan Documents shall be and remain true and correct in all material respects (except in the case of a representation or warranty qualified by materiality in which case such representation or warranty shall be true and correct in all respects) as of said time, except to the extent the same expressly relate to an earlier date (in which case, the same shall be true and correct in all material respects (except in the case of a representation or warranty qualified by materiality in which case such representation or warranty shall be true and correct in all respects) as of such earlier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(b)no Default or Event of Default shall have occurred and be continuing or would occur as a result of such Credit Event and, after giving effect to such Credit Event, the Total Outstandings shall not exceed the Adjusted Availability;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(c)in the case of a Borrowing the Administrative Agent shall have received the notice required by Section 1.6 hereof; in the case of the issuance of any Letter of Credit, the L/C Issuer shall have received a duly completed Application for such Letter of Credit together with any fees called for by Section 2.1(b) hereof; and, in the case of an extension or increase in the amount of a Letter of Credit, a written request therefor in a form acceptable to the L/C Issuer together with fees called for by Section 2.1(b) hereof;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(d)such Credit Event shall not violate any order, judgment or decree of any court or other authority or any provision of law or regulation applicable to the Administrative Agent, the L/C Issuer or any Lender (including, without limitation, Regulation U of the Board of Governors of the Federal Reserve System) as then in effect.</w:t>
      </w:r>
    </w:p>
    <w:p>
      <w:pPr>
        <w:pStyle w:val="TextBody"/>
        <w:bidi w:val="0"/>
        <w:spacing w:before="0" w:after="240"/>
        <w:ind w:left="0" w:right="0" w:firstLine="720"/>
        <w:jc w:val="both"/>
        <w:rPr>
          <w:rFonts w:ascii="Times" w:hAnsi="Times"/>
          <w:sz w:val="24"/>
        </w:rPr>
      </w:pPr>
      <w:r>
        <w:rPr>
          <w:rFonts w:ascii="Times" w:hAnsi="Times"/>
          <w:sz w:val="24"/>
        </w:rPr>
        <w:t xml:space="preserve">Each request for a Borrowing hereunder and each request for the issuance of, increase in the amount of, or extension of the expiration date of, a Letter of Credit shall be deemed to be a representation and warranty by the Borrower on the date of such Credit Event as to the facts specified in subsections (a) through (c), inclusive, of this Section 7.1; </w:t>
      </w:r>
      <w:r>
        <w:rPr>
          <w:rFonts w:ascii="Times" w:hAnsi="Times"/>
          <w:i/>
          <w:sz w:val="24"/>
        </w:rPr>
        <w:t xml:space="preserve">provided, however, </w:t>
      </w:r>
      <w:r>
        <w:rPr>
          <w:rFonts w:ascii="Times" w:hAnsi="Times"/>
          <w:sz w:val="24"/>
        </w:rPr>
        <w:t>that the Lenders may continue to make advances under the Revolving Facility, in the sole discretion of the Revolving Lenders, notwithstanding the failure of the Borrower to satisfy one or more of the conditions set forth above and any such advances so made shall not be deemed a waiver of any Default or Event of Default or other condition set forth above that may then exist.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7.2.</w:t>
      </w:r>
      <w:bookmarkStart w:id="121" w:name="_Toc241229841"/>
      <w:bookmarkEnd w:id="121"/>
      <w:r>
        <w:rPr>
          <w:rFonts w:ascii="Times New Roman;Times;serif" w:hAnsi="Times New Roman;Times;serif"/>
          <w:i w:val="false"/>
          <w:caps w:val="false"/>
          <w:smallCaps w:val="false"/>
          <w:sz w:val="24"/>
          <w:u w:val="single"/>
        </w:rPr>
        <w:t>Restatement Date Credit Event</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Before or concurrently with any Credit Event on the Restatement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shall have received this Agreement duly executed by the Borrower, the Material Subsidiaries, as Guarantors, and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(b)if requested by any Lender, the Administrative Agent shall have received for such Lender such Lender’s duly executed Note of the Borrower dated as of the date hereof and otherwise in compliance with the provisions of Section 1.10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(c)the Administrative Agent shall have received copies of the Borrower’s and each Material Subsidiary’s articles of incorporation and bylaws (or comparable organizational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documents) and any amendments thereto, certified in each instance by its Secretary or Assistant Secretary;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Administrative Agent shall have received copies of resolutions of the Borrower’s and each Material Subsidiary’s board of directors (or similar governing body) authorizing the execution, delivery and performance of this Agreement and the other Loan Documents to which it is a party and the consummation of the transactions contemplated hereby and thereby, together with specimen signatures of the persons authorized to execute such documents on the Borrower’s and each Material Subsidiary’s behalf, all certified in each instance by its Secretary or Assistant Secretary or other Authorized Representative;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Administrative Agent shall have received copies of the certificates of good standing for the Borrower and each Material Subsidiary (dated no earlier than forty-five (45) days prior to the date hereof) from the office of the secretary of the state of its incorporation or organization;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(f)the Administrative Agent shall have received a list of the Borrower’s Authorized Representatives;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(g)the Administrative Agent shall have received the initial fees called for by Section 2.1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(h)the capital and organizational structure of the Borrower and its Subsidiaries shall be reasonably satisfactory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(i)the Administrative Agent shall have received a Compliance Certificate dated as of the Restatement Date which shall evidence compliance with the covenants set forth in Section 8.20 and 8.21 after giving effect to the making of the Credit Events on the Restatement Date and any repayment under the Existing BMO Agreement occurring on such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w:t>
      </w:r>
      <w:bookmarkStart w:id="122" w:name="_Hlk220443649"/>
      <w:bookmarkEnd w:id="122"/>
      <w:r>
        <w:rPr>
          <w:rFonts w:ascii="Times New Roman;Times;serif" w:hAnsi="Times New Roman;Times;serif"/>
          <w:sz w:val="24"/>
        </w:rPr>
        <w:t>the Administrative Agent shall have received financing statement, tax, and judgment lien search results against the Borrower evidencing the absence of Liens on its Property and other assets except as Permitted Liens or as otherwise permitted by Section 8.8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(k)the Administrative Agent shall have received a written opinion of counsel to the Borrower and each Material Subsidiary, in form and substance reasonably satisfactory to the Administrative Agent;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(l)the Administrative Agent shall have received a fully executed Internal Revenue Service Form W-9 for the Borrower; and the Administrative Agent and the Borrower shall have received the Internal Revenue Service Forms and any applicable attachments required by Section 12.1(b);</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(m)the Administrative Agent shall have received such other agreements, instruments, documents, certificates, and opinions as the Administrative Agent may reasonably request;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(n)the Administrative Agent shall have received evidence reasonably satisfactory to it that all Indebtedness under the Existing BMO Agreement shall have been repaid in full and the Existing BMO Agreement shall have been terminated;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(o)the Administrative Agent and any Lender shall have received any information or materials reasonably required by the Administrative Agent or such Lender in order to assist the Administrative Agent or such Lender in maintaining compliance with (i) the Patriot Act and (ii) any applicable “</w:t>
      </w:r>
      <w:r>
        <w:rPr>
          <w:rFonts w:ascii="Times New Roman;Times;serif" w:hAnsi="Times New Roman;Times;serif"/>
          <w:i/>
          <w:sz w:val="24"/>
        </w:rPr>
        <w:t>know your customer”</w:t>
      </w:r>
      <w:r>
        <w:rPr>
          <w:rFonts w:ascii="Times New Roman;Times;serif" w:hAnsi="Times New Roman;Times;serif"/>
          <w:sz w:val="24"/>
        </w:rPr>
        <w:t xml:space="preserve"> or similar rules and regulations;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(p)at least five days prior to the Restatement Date, if the Borrower qualifies as a “legal entity customer” under the Beneficial Ownership Regulation, the Borrower shall deliver a Beneficial Ownership Certification in relation to 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7.3.</w:t>
      </w:r>
      <w:bookmarkStart w:id="123" w:name="_Toc241229842"/>
      <w:bookmarkEnd w:id="123"/>
      <w:r>
        <w:rPr>
          <w:rFonts w:ascii="Times New Roman;Times;serif" w:hAnsi="Times New Roman;Times;serif"/>
          <w:i w:val="false"/>
          <w:caps w:val="false"/>
          <w:smallCaps w:val="false"/>
          <w:sz w:val="24"/>
          <w:u w:val="single"/>
        </w:rPr>
        <w:t>Unencumbered Assets Additions and Deletions to the Unencumbered Pool</w:t>
      </w:r>
      <w:r>
        <w:rPr>
          <w:rFonts w:ascii="Times New Roman;Times;serif" w:hAnsi="Times New Roman;Times;serif"/>
          <w:i/>
          <w:sz w:val="24"/>
        </w:rPr>
        <w:t>.  </w:t>
      </w:r>
      <w:r>
        <w:rPr>
          <w:rFonts w:ascii="Times New Roman;Times;serif" w:hAnsi="Times New Roman;Times;serif"/>
          <w:i w:val="false"/>
          <w:caps w:val="false"/>
          <w:smallCaps w:val="false"/>
          <w:sz w:val="24"/>
        </w:rPr>
        <w:t>As of the Restatement Date, the Borrower represents and warrants to the Lenders and the Administrative Agent that the Initial Unencumbered Assets qualify as Eligible Assets and that the information provided on Schedule 1.1 is true and correct in all material respects.</w:t>
      </w:r>
    </w:p>
    <w:p>
      <w:pPr>
        <w:pStyle w:val="TextBody"/>
        <w:bidi w:val="0"/>
        <w:spacing w:before="0" w:after="240"/>
        <w:ind w:left="0" w:right="0" w:firstLine="720"/>
        <w:jc w:val="both"/>
        <w:rPr>
          <w:rFonts w:ascii="Times" w:hAnsi="Times"/>
          <w:sz w:val="24"/>
        </w:rPr>
      </w:pPr>
      <w:r>
        <w:rPr>
          <w:rFonts w:ascii="Times" w:hAnsi="Times"/>
          <w:sz w:val="24"/>
        </w:rPr>
        <w:t>Upon not less than ten (10) Business Days prior written notice from the Borrower to the Administrative Agent, the Borrower can designate that an Eligible Asset be added (subject to the other requirements for a Property, Mortgage Receivable or PINE Common Equity qualifying as an Eligible Asset) or deleted as an Unencumbered Asset.  Such notice shall be accompanied by a certification that the applicable Property, Mortgage Receivable or PINE Common Equity meets the requirements of an Eligible Asset and a Compliance Certificate setting forth the calculations evidencing compliance with the covenants set forth in Section 8.20(e) and 8.21, as of the addition or deletion of the designated Property, Mortgage Receivable or PINE Common Equity as an Unencumbered Asset, and with respect to a deletion, Borrower’s certification in such detail as reasonably required by the Administrative Agent that no Default or Event of Default exists under this Agreement and such deletion shall not (A) cause the Unencumbered Pool to violate the Unencumbered Pool Requirements, (B) cause a Default, or (C) cause or result in the Borrower failing to comply with any of the covenants contained in Section 8.20 and 8.21 hereof.  Each addition shall be an Eligible Asset in a minimum amount equal to $500,000 of Unencumbered Asset Value, or shall be comprised of more than one qualifying Eligible Assets that in the aggregate have a minimum amount equal to $1,000,000 of Unencumbered Asset Value.  All additions of a Property, Mortgage Receivable or PINE Common Equity that does not satisfy the requirements to be an Eligible Asset shall be subject to reasonable approval by the Required Lenders.</w:t>
      </w:r>
    </w:p>
    <w:p>
      <w:pPr>
        <w:pStyle w:val="TextBody"/>
        <w:bidi w:val="0"/>
        <w:spacing w:before="0" w:after="240"/>
        <w:ind w:left="0" w:right="0" w:firstLine="720"/>
        <w:jc w:val="both"/>
        <w:rPr>
          <w:rFonts w:ascii="Times" w:hAnsi="Times"/>
          <w:sz w:val="24"/>
        </w:rPr>
      </w:pPr>
      <w:r>
        <w:rPr>
          <w:rFonts w:ascii="Times" w:hAnsi="Times"/>
          <w:sz w:val="24"/>
        </w:rPr>
        <w:t>If no Default exists at the time of any deletion of a Property, Mortgage Receivable or PINE Common Equity from qualifying as an Eligible Asset included in calculating the covenants set forth in Section 8.20 and 8.21, any Material Subsidiary which owned such Property, Mortgage Receivable or PINE Common Equity, but that does not otherwise own any other Eligible Asset, shall be released from its obligations under its Guaranty.</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8.</w:t>
      </w:r>
      <w:bookmarkStart w:id="124" w:name="_Toc241229843"/>
      <w:bookmarkEnd w:id="124"/>
      <w:r>
        <w:rPr>
          <w:rFonts w:ascii="Times New Roman;Times;serif" w:hAnsi="Times New Roman;Times;serif"/>
          <w:caps/>
          <w:sz w:val="24"/>
        </w:rPr>
        <w:t>Covenants.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Borrower agrees that, so long as any Loan is outstanding to, or credit is available to or in use by, the Borrower hereunder, except to the extent compliance in any case or cases is cured or waived in writing pursuant to the terms of Section 12.13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w:t>
      </w:r>
      <w:bookmarkStart w:id="125" w:name="_Toc241229844"/>
      <w:bookmarkEnd w:id="125"/>
      <w:r>
        <w:rPr>
          <w:rFonts w:ascii="Times New Roman;Times;serif" w:hAnsi="Times New Roman;Times;serif"/>
          <w:i w:val="false"/>
          <w:caps w:val="false"/>
          <w:smallCaps w:val="false"/>
          <w:sz w:val="24"/>
          <w:u w:val="single"/>
        </w:rPr>
        <w:t>Maintenance of Existence</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(i) The Borrower shall, and shall cause each Guarantor to, preserve and maintain its existence, except as otherwise provided in Section 8.10(c) hereof and where failure to preserve and maintain its existence could not reasonably be expected to have a Material Adverse Effect.  The Borrower shall, and shall cause each Guarantor to, preserve and keep in force and effect all licenses, permits, franchises, approvals, patents, trademarks, trade names, trade styles, copyrights, and other proprietary rights necessary to the proper conduct of its business except where such failure to preserve and keep in force and effect could not reasonably be expected to have a Material Adverse Effect.</w:t>
      </w:r>
    </w:p>
    <w:p>
      <w:pPr>
        <w:pStyle w:val="TextBody"/>
        <w:bidi w:val="0"/>
        <w:spacing w:before="0" w:after="240"/>
        <w:ind w:left="0" w:right="0" w:hanging="0"/>
        <w:jc w:val="both"/>
        <w:rPr>
          <w:rFonts w:ascii="Times" w:hAnsi="Times"/>
          <w:sz w:val="24"/>
        </w:rPr>
      </w:pPr>
      <w:r>
        <w:rPr>
          <w:rFonts w:ascii="Times" w:hAnsi="Times"/>
          <w:sz w:val="24"/>
        </w:rPr>
        <w:t>(ii)(a) At least one class of common stock of the Borrower shall at all times be duly listed on the New York Stock Exchange, the NYSE American or The NASDAQ Stock Market and (b) the Borrower shall timely file all reports required to be filed by it with the New York Stock Exchange, the NYSE American or The NASDAQ Stock Market, as applicable, and the Securities and Exchange Commission, unless such failure to timely file could not reasonably be expected to have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w:t>
      </w:r>
      <w:bookmarkStart w:id="126" w:name="_Toc241229845"/>
      <w:bookmarkEnd w:id="126"/>
      <w:r>
        <w:rPr>
          <w:rFonts w:ascii="Times New Roman;Times;serif" w:hAnsi="Times New Roman;Times;serif"/>
          <w:i w:val="false"/>
          <w:caps w:val="false"/>
          <w:smallCaps w:val="false"/>
          <w:sz w:val="24"/>
          <w:u w:val="single"/>
        </w:rPr>
        <w:t>Maintenance of Properties, Agreements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and each Guarantor shall cause each of its tenants to maintain, preserve, and keep all of the Borrower’s and each Guarantor’s Properties and other assets in working condition and order (ordinary wear and tear excepted) in all material respects,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and Borrower and each Guarantor shall from time to time make all needful and proper repairs, renewals, replacements, additions, and betterments to its Properties and other assets so that it shall at all times be fully preserved and maintained in all material respects.  The Borrower shall, and shall cause each Subsidiary to, keep in full force and effect all material contracts and agreements (except any terminations in accordance with the terms therein or approved by the board of directors of the Borrower in its business judgment or due to any breach by the other party thereto) and shall not modify or amend any material contract or agreement that would cause a Material Adverse Effect.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8.3.</w:t>
      </w:r>
      <w:bookmarkStart w:id="127" w:name="_Toc241229846"/>
      <w:bookmarkEnd w:id="127"/>
      <w:r>
        <w:rPr>
          <w:rFonts w:ascii="Times New Roman;Times;serif" w:hAnsi="Times New Roman;Times;serif"/>
          <w:i w:val="false"/>
          <w:caps w:val="false"/>
          <w:smallCaps w:val="false"/>
          <w:sz w:val="24"/>
          <w:u w:val="single"/>
        </w:rPr>
        <w:t>Taxes and Assessment</w:t>
      </w:r>
      <w:r>
        <w:rPr>
          <w:rFonts w:ascii="Times New Roman;Times;serif" w:hAnsi="Times New Roman;Times;serif"/>
          <w:i/>
          <w:sz w:val="24"/>
        </w:rPr>
        <w:t>s</w:t>
      </w:r>
      <w:r>
        <w:rPr>
          <w:rFonts w:ascii="Times New Roman;Times;serif" w:hAnsi="Times New Roman;Times;serif"/>
          <w:i w:val="false"/>
          <w:caps w:val="false"/>
          <w:smallCaps w:val="false"/>
          <w:sz w:val="24"/>
        </w:rPr>
        <w:t>.  The Borrower and each Guarantor shall, or shall cause its tenants to, duly pay and discharge all taxes, rates, assessments, fees, and governmental charges upon or against it or its Properties or other assets,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8.4.</w:t>
      </w:r>
      <w:bookmarkStart w:id="128" w:name="_Toc241229847"/>
      <w:bookmarkEnd w:id="128"/>
      <w:r>
        <w:rPr>
          <w:rFonts w:ascii="Times New Roman;Times;serif" w:hAnsi="Times New Roman;Times;serif"/>
          <w:i w:val="false"/>
          <w:caps w:val="false"/>
          <w:smallCaps w:val="false"/>
          <w:sz w:val="24"/>
          <w:u w:val="single"/>
        </w:rPr>
        <w:t>Insurance</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Except where the Tenant of a Property shall maintain insurance pursuant to the terms of its Lease, the Borrower shall insure and keep insured, and shall cause each Subsidiary to insure and keep insured, with good and responsible insurance companies all insurable Properties and other assets owned by it which is of a character usually insured by Persons similarly situated and operating like Properties against loss or damage from such hazards and risks, and in such amounts, as are insured by Persons similarly situated and operating like Properties; and the Borrower shall insure, and shall cause each Subsidiary to insure, such other hazards and risks (including, without limitation, business interruption, employers’ and public liability risks)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with good and responsible insurance companies</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as and to the extent usually insured by Persons similarly situated and conducting similar businesses.  The Borrower shall, upon the reasonable request of the Administrative Agent, furnish to the Administrative Agent and the Lenders a certificate setting forth in summary form the nature and extent of the insurance maintained pursuant to this Section 8.4.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8.5.</w:t>
      </w:r>
      <w:bookmarkStart w:id="129" w:name="_Toc241229848"/>
      <w:bookmarkEnd w:id="129"/>
      <w:r>
        <w:rPr>
          <w:rFonts w:ascii="Times New Roman;Times;serif" w:hAnsi="Times New Roman;Times;serif"/>
          <w:i w:val="false"/>
          <w:caps w:val="false"/>
          <w:smallCaps w:val="false"/>
          <w:sz w:val="24"/>
          <w:u w:val="single"/>
        </w:rPr>
        <w:t>Financial Reports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shall, and shall cause each Subsidiary to, maintain a standard system of accounting in accordance with GAAP and shall furnish to the Administrative Agent, each Lender and each of their duly authorized representatives such information respecting the business and financial condition of the Borrower and each Subsidiary as the Administrative Agent or such Lender may reasonably request; and without any request, shall furnish to the Administrative Agent for distribution to the Lenders: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(a)as soon as available, and in any event no later than ninety (90) days after the last day of each fiscal year of the Borrower, a copy of the consolidated and consolidating balance sheet of the Borrower and its Subsidiaries as of the last day of the fiscal year then ended and the consolidated and consolidating statements of income, retained earnings, and cash flows of the Borrower and its Subsidiaries for the fiscal year then ended, and accompanying notes thereto, each in reasonable detail showing in comparative form the figures for the previous fiscal year, accompanied by an unqualified opinion of independent public accountants of recognized national standing, selected by the Borrower and reasonably satisfactory to the Administrative Agent, to the effect that the consolidated financial statements have been prepared in accordance with GAAP and present fairly in accordance with GAAP the consolidated financial condition of the Borrower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 accordingly, such examination included such tests of the accounting records and such other auditing procedures as were considered necessary in the circumstances;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(b)within the period provided in subsection (a)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(c)as soon as available, and in any event no later than forty-five (45) days after the last day of each fiscal quarter of each fiscal year of the Borrower, a copy of the consolidated and consolidating balance sheet of the Borrower and its Subsidiaries as of the last day of such fiscal quarter and the consolidated and consolidating statements of income, retained earnings, and cash flows of the Borrower and its Subsidiaries for the fiscal quarter and for the fiscal year-to-date period then ended, each in reasonable detail showing in comparative form the figures for the corresponding date and period in the previous fiscal year, prepared by the Borrower in accordance with GAAP (subject to the absence of footnote disclosures and year-end audit adjustments) and certified to by its chief financial officer, chief accounting officer, or another officer of the Borrower reasonably acceptable to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130" w:name="_Ref70340828"/>
      <w:bookmarkEnd w:id="130"/>
      <w:r>
        <w:rPr>
          <w:rFonts w:ascii="Times New Roman;Times;serif" w:hAnsi="Times New Roman;Times;serif"/>
          <w:sz w:val="24"/>
        </w:rPr>
        <w:t>[Intentionally Omitted];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(e)with each of the financial statements delivered pursuant to subsections (a) and (c) above, a Compliance Certificate (“</w:t>
      </w:r>
      <w:r>
        <w:rPr>
          <w:rFonts w:ascii="Times New Roman;Times;serif" w:hAnsi="Times New Roman;Times;serif"/>
          <w:i/>
          <w:sz w:val="24"/>
        </w:rPr>
        <w:t>Compliance Certificate”</w:t>
      </w:r>
      <w:r>
        <w:rPr>
          <w:rFonts w:ascii="Times New Roman;Times;serif" w:hAnsi="Times New Roman;Times;serif"/>
          <w:sz w:val="24"/>
        </w:rPr>
        <w:t xml:space="preserve">) in the form attached hereto as Exhibit E signed by the chief financial officer, chief accounting officer or another officer of the Borrower reasonably acceptable to the Administrative Agent to the effect that to the best of such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Borrower or any Subsidiary to remedy the same.  Such certificate shall also set forth the calculations supporting such statements in respect of Section 8.20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(f)promptly after receipt thereof, any additional written reports, management letters or other detailed information contained in writing concerning significant aspects of the Borrower’s or any Subsidiary’s operations and financial affairs given to it by its independent public accountants;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(g)promptly after the sending or filing thereof, copies of each financial statement, report, notice or proxy statement sent by the Borrower or any Subsidiary to its stockholders or other equity holders, and upon written request from the Administrative Agent, copies of each regular, periodic or special report, registration statement or prospectus (including all Form 10-K, Form 10-Q and Form 8-K reports) filed by the Borrower or any Subsidiary with any securities exchange or the Securities and Exchange Commission or any successor agency;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(h)promptly after receipt thereof, a copy of each audit made by any regulatory agency of the books and records of the Borrower or any Subsidiary or of notice of any material noncompliance with any applicable law, regulation or guideline relating to the Borrower or any Subsidiary, or their respective business;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(i)[Intentionally Omitted];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(j)notice of any Change of Control;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(k)promptly after knowledge thereof shall have come to the attention of any Responsible Officer of the Borrower, written notice of (i) any threatened (in writing) or pending litigation or governmental or arbitration proceeding or labor controversy against the Borrower or any Subsidiary or any of their Property or other assets which could reasonably be expected to have a Material Adverse Effect, (ii) the occurrence of any matter which could reasonably be expected to have a Material Adverse Effect, (iii) the occurrence of any Default or Event of Default hereunder or (iv) any change in the information provided in the Beneficial Ownership Certification that would result in a change to the list of beneficial owners identified in such certification;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(l)within forty-five (45) days of the end of each of the first three (3) fiscal quarters and within ninety (90) days after the close of the last fiscal quarter of the year (i) a list of all newly formed or acquired Subsidiaries during such quarter (such list shall contain the information relative to such new Subsidiaries as set forth in Schedule 6.2 hereto); (ii) a list of newly executed Significant Leases during such quarter; (iii) a copy of any notice of a material default or any other material notice (including without limitation property condition reviews) received by the Borrower or any Guarantor from any ground lessor under a Significant Lease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during such quarter and (iv) a schedule showing for such quarter (A) any Significant Lease that was or is continuing to be in default with respect to monthly contractual rent payments in excess of sixty (60) days;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(m)promptly after knowledge thereof shall have come to the attention of any Responsible Officer of the Borrower, written notice to the Administrative Agent if (i) any amount payable under a Significant Lease of any Eligible Property or portion thereof included in the Unencumbered Asset Value is more than sixty (60) days past due, (ii) any amount payable under an Unencumbered Mortgage Receivable is more than sixty (60) days past due, or (iii) any Unencumbered Asset fails to qualify as an Eligible Asset;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(n)promptly after the request of any Lender, any other information or report reasonably requested by a Lender;</w:t>
      </w:r>
    </w:p>
    <w:p>
      <w:pPr>
        <w:pStyle w:val="TextBody"/>
        <w:bidi w:val="0"/>
        <w:spacing w:before="0" w:after="240"/>
        <w:ind w:left="0" w:right="0" w:firstLine="720"/>
        <w:jc w:val="both"/>
        <w:rPr>
          <w:rFonts w:ascii="Times" w:hAnsi="Times"/>
          <w:sz w:val="24"/>
        </w:rPr>
      </w:pPr>
      <w:r>
        <w:rPr>
          <w:rFonts w:ascii="Times" w:hAnsi="Times"/>
          <w:i/>
          <w:sz w:val="24"/>
        </w:rPr>
        <w:t>provided, however</w:t>
      </w:r>
      <w:r>
        <w:rPr>
          <w:rFonts w:ascii="Times" w:hAnsi="Times"/>
          <w:sz w:val="24"/>
        </w:rPr>
        <w:t>, to the extent such items set forth above are filed with the Securities and Exchange Commission or otherwise are publicly available, the Borrower shall be deemed to have satisfied this covenant once it provides notice to the Administrative Agent of such availability.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8.6.</w:t>
      </w:r>
      <w:bookmarkStart w:id="131" w:name="_Toc241229849"/>
      <w:bookmarkEnd w:id="131"/>
      <w:r>
        <w:rPr>
          <w:rFonts w:ascii="Times New Roman;Times;serif" w:hAnsi="Times New Roman;Times;serif"/>
          <w:i w:val="false"/>
          <w:caps w:val="false"/>
          <w:smallCaps w:val="false"/>
          <w:sz w:val="24"/>
          <w:u w:val="single"/>
        </w:rPr>
        <w:t>Inspection</w:t>
      </w:r>
      <w:r>
        <w:rPr>
          <w:rFonts w:ascii="Times New Roman;Times;serif" w:hAnsi="Times New Roman;Times;serif"/>
          <w:i w:val="false"/>
          <w:caps w:val="false"/>
          <w:smallCaps w:val="false"/>
          <w:sz w:val="24"/>
        </w:rPr>
        <w:t>.  The Borrower shall, and shall cause each Subsidiary to, permit the Administrative Agent, each Lender and each of their duly authorized representatives and agents during normal business hours to visit and inspect any of its Properties, corporate books, and financial records, to examine and make copies of its books of accounts and other financial records (which shall be subject to the confidentiality requirements of Section 12.25 hereof), and to discuss its affairs, finances, and accounts with, and to be advised as to the same by, its officers, employees (in the presence of a Responsible Officer) and independent public accountants (and by this provision the Borrower hereby authorizes such accountants with the Borrower present to discuss with the Administrative Agent and such Lenders the finances and affairs of the Borrower and its Subsidiaries) at such reasonable times and intervals as the Administrative Agent or any such Lender may designate and, so long as no Default or Event of Default exists, with reasonable prior notice to the Borrower.  The Administrative Agent, and Lenders shall use reasonable efforts to coordinate inspections undertaken in accordance with this Section 8.6 to reduce the administrative burden of such inspections on the Borrower and their Subsidiaries.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8.7.</w:t>
      </w:r>
      <w:bookmarkStart w:id="132" w:name="_Toc241229850"/>
      <w:bookmarkEnd w:id="132"/>
      <w:r>
        <w:rPr>
          <w:rFonts w:ascii="Times New Roman;Times;serif" w:hAnsi="Times New Roman;Times;serif"/>
          <w:i w:val="false"/>
          <w:caps w:val="false"/>
          <w:smallCaps w:val="false"/>
          <w:sz w:val="24"/>
          <w:u w:val="single"/>
        </w:rPr>
        <w:t>Liens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Borrower shall not, nor shall it permit any Subsidiary to, create, incur or permit to exist any Lien of any kind on any Property or other assets owned by any such Person;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foregoing shall not apply to nor operate to prevent any Permitted Liens.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8.8.</w:t>
      </w:r>
      <w:bookmarkStart w:id="133" w:name="_Toc241229851"/>
      <w:bookmarkEnd w:id="133"/>
      <w:r>
        <w:rPr>
          <w:rFonts w:ascii="Times New Roman;Times;serif" w:hAnsi="Times New Roman;Times;serif"/>
          <w:i w:val="false"/>
          <w:caps w:val="false"/>
          <w:smallCaps w:val="false"/>
          <w:sz w:val="24"/>
          <w:u w:val="single"/>
        </w:rPr>
        <w:t>Investments, Acquisitions, Loans and Advances</w:t>
      </w:r>
      <w:r>
        <w:rPr>
          <w:rFonts w:ascii="Times New Roman;Times;serif" w:hAnsi="Times New Roman;Times;serif"/>
          <w:i w:val="false"/>
          <w:caps w:val="false"/>
          <w:smallCaps w:val="false"/>
          <w:sz w:val="24"/>
        </w:rPr>
        <w:t xml:space="preserve">.  The Borrower shall not, nor shall it permit any Subsidiary to (i) directly or indirectly, make, retain or have outstanding any of the following any investments (whether through the purchase of stock or obligations or otherwise) in any Person, Property or improvements on Property, or any loans, advances, lines of credit, mortgage loans or other financings (including pursuant to sale/leaseback transactions) to any other Person, or (ii) acquire any Property, improvements on Property or all or any substantial part of the assets or business of any other Person or division thereof;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foregoing shall not apply to nor operate to prevent, with respect to the Borrower or any Subsidiary, any of the following: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(a)investments in direct obligations of the United States of America or of any agency or instrumentality thereof whose obligations constitute full faith and credit obligations of the United States of America, provided that any such obligations shall mature within one (1) year of the date of issuance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(b)investments in commercial paper with a Rating of at least P-1 by Moody’s and at least A-1 by S&amp;P maturing within one (1) year of the date of issuance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(c)interest bearing assets or investments in certificates of deposit issued by any Lender or by any United States commercial bank having capital and surplus of not less than $100,000,000 which have a maturity of one (1) year or less;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(d)investments in repurchase obligations with a term of not more than seven (7) days for underlying securities of the types described in subsection (a) above entered into with any bank meeting the qualifications specified in subsection (c) above, provided all such agreements require physical delivery of the securities securing such repurchase agreement, except those delivered through the Federal Reserve Book Entry System;</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(e)investments in money market funds that invest solely, and which are restricted by their respective charters to invest solely, in investments of the type described in the immediately preceding subsections (a), (b), (c), and (d) above;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(f)investments in (x) corporate debt issued by any real estate company or real estate investment trust, (y) Stock or Stock Equivalents issued by any real estate company or real estate investment trust, so long as in each case the real estate company or real estate investment trust is listed on the New York Stock Exchange, the NYSE American or The NASDAQ Stock Market or (z) Stock issued by Alpine; or (ii) investments in Stock Equivalents issued by Alpine or its operating partnership, including, without limitation, the PINE Common Equity;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(g)the Borrower’s investments from time to time in its Subsidiaries, and investments made from time to time by a Subsidiary in one or more of its Subsidiaries;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(h)intercompany advances made from time to time among the Borrower and its Subsidiaries in the ordinary course of business to finance working capital needs;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(i)investments from time to time in individual Properties, including Eligible Properties and Acceptable Leasehold Interests, Land Assets, and Assets Under Development, or in joint venture or other entities which own such individual Properties, including Eligible Properties, Acceptable Leasehold Interests, Land Assets, and Assets Under Development, provided that such investment does not cause a breach of the financial covenants set forth in Section 8.20 hereof;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w:t>
      </w:r>
      <w:bookmarkStart w:id="134" w:name="_Ref114676318"/>
      <w:bookmarkEnd w:id="134"/>
      <w:r>
        <w:rPr>
          <w:rFonts w:ascii="Times New Roman;Times;serif" w:hAnsi="Times New Roman;Times;serif"/>
          <w:sz w:val="24"/>
        </w:rPr>
        <w:t xml:space="preserve">Public Investments;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(k)investments from time to time in mortgages, deeds of trust, deeds to secure debt or similar instruments that are a lien upon Property, Mortgage Receivables, mezzanine loans, notes receivable, structured debt products, and preferred equity securities; provided that, such investment does not cause a breach of the financial covenants set forth in Section 8.20 hereof;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(l)repurchases (including tender offers (</w:t>
      </w:r>
      <w:r>
        <w:rPr>
          <w:rFonts w:ascii="Times New Roman;Times;serif" w:hAnsi="Times New Roman;Times;serif"/>
          <w:i/>
          <w:sz w:val="24"/>
        </w:rPr>
        <w:t>e.g.</w:t>
      </w:r>
      <w:r>
        <w:rPr>
          <w:rFonts w:ascii="Times New Roman;Times;serif" w:hAnsi="Times New Roman;Times;serif"/>
          <w:sz w:val="24"/>
        </w:rPr>
        <w:t xml:space="preserve"> Dutch or modified Dutch tender offers)) of Borrower’s stock in accordance with the provisions of this Agreement. </w:t>
      </w:r>
    </w:p>
    <w:p>
      <w:pPr>
        <w:pStyle w:val="TextBody"/>
        <w:bidi w:val="0"/>
        <w:spacing w:before="0" w:after="240"/>
        <w:ind w:left="0" w:right="0" w:hanging="0"/>
        <w:jc w:val="both"/>
        <w:rPr>
          <w:rFonts w:ascii="Times" w:hAnsi="Times"/>
          <w:sz w:val="24"/>
        </w:rPr>
      </w:pPr>
      <w:r>
        <w:rPr>
          <w:rFonts w:ascii="Times" w:hAnsi="Times"/>
          <w:sz w:val="24"/>
        </w:rPr>
        <w:t>In determining the amount of investments, acquisitions, loans, and advances permitted under this Section, investments and acquisitions shall always be taken at the book value (as defined in GAAP) thereof, and loans and advances shall be taken at the principal amount thereof then remaining unpaid.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8.9.</w:t>
      </w:r>
      <w:bookmarkStart w:id="135" w:name="_Toc241229852"/>
      <w:bookmarkEnd w:id="135"/>
      <w:r>
        <w:rPr>
          <w:rFonts w:ascii="Times New Roman;Times;serif" w:hAnsi="Times New Roman;Times;serif"/>
          <w:i w:val="false"/>
          <w:caps w:val="false"/>
          <w:smallCaps w:val="false"/>
          <w:sz w:val="24"/>
          <w:u w:val="single"/>
        </w:rPr>
        <w:t>Mergers, Consolidations and Sales</w:t>
      </w:r>
      <w:r>
        <w:rPr>
          <w:rFonts w:ascii="Times New Roman;Times;serif" w:hAnsi="Times New Roman;Times;serif"/>
          <w:i/>
          <w:sz w:val="24"/>
        </w:rPr>
        <w:t>.</w:t>
      </w:r>
      <w:r>
        <w:rPr>
          <w:rFonts w:ascii="Times New Roman;Times;serif" w:hAnsi="Times New Roman;Times;serif"/>
          <w:i/>
          <w:caps w:val="false"/>
          <w:smallCaps w:val="false"/>
          <w:sz w:val="24"/>
        </w:rPr>
        <w:t xml:space="preserve">  </w:t>
      </w:r>
      <w:bookmarkStart w:id="136" w:name="_Hlk219725200"/>
      <w:bookmarkEnd w:id="136"/>
      <w:r>
        <w:rPr>
          <w:rFonts w:ascii="Times New Roman;Times;serif" w:hAnsi="Times New Roman;Times;serif"/>
          <w:i w:val="false"/>
          <w:caps w:val="false"/>
          <w:smallCaps w:val="false"/>
          <w:sz w:val="24"/>
        </w:rPr>
        <w:t xml:space="preserve">Except with the prior written consent of the Required Lenders (which shall not be unreasonably withheld, conditioned or delayed), the Borrower shall not, nor shall it permit any Subsidiary to, be a party to any merger or consolidation, or sell, transfer, lease or otherwise dispose of all or substantially all of its Property or other assets;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so long as the Borrower and Subsidiaries are in compliance with all covenants and agreements in this Agreement and no Default or Event of Default then exist, this Section shall not apply to nor operate to prevent: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sale, transfer, lease or other disposition of Property and other assets of the Borrower and its Subsidiaries to one another in the ordinary course of its business;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merger of any Subsidiary with and into the Borrower or any other Subsidiary, </w:t>
      </w:r>
      <w:r>
        <w:rPr>
          <w:rFonts w:ascii="Times New Roman;Times;serif" w:hAnsi="Times New Roman;Times;serif"/>
          <w:i/>
          <w:sz w:val="24"/>
        </w:rPr>
        <w:t>provided</w:t>
      </w:r>
      <w:r>
        <w:rPr>
          <w:rFonts w:ascii="Times New Roman;Times;serif" w:hAnsi="Times New Roman;Times;serif"/>
          <w:sz w:val="24"/>
        </w:rPr>
        <w:t xml:space="preserve"> that, in the case of any merger involving the Borrower, the Borrower is the corporation surviving the merger;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sale, transfer or other disposition of any tangible personal property that, in the reasonable business judgment of the Borrower or its Subsidiary, has become obsolete or worn out, and which is disposed of in the ordinary course of business;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sale, transfer, lease or other disposition of Property of the Borrower or any Subsidiary (including any disposition of Property as part of a sale and leaseback transaction) aggregating not more than all or substantially all of the Total Asset Value of the Borrower on the last day of the prior Fiscal Quarter,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(e)any merger if it results in the simultaneous payoff in immediately available funds of the Obligations;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(f)any merger or consolidation, directly or indirectly, with any other Person so long as (i) the Borrower and the Subsidiaries, as applicable, shall be the survivor thereof; (ii) the Borrower shall have given the Administrative Agent and the Lenders at least fifteen (15) Business Days’ prior written notice of such consolidation or merger; (iii) immediately prior thereto, and immediately thereafter and after giving effect thereto, no Default or Event of Default has occurred or would result therefrom; and (iv) at the time the Borrower gives notice pursuant to clause (ii) of this subsection, the Borrower shall have delivered to the Administrative Agent for distribution to each of the Lenders a Compliance Certificate, calculated on a pro forma basis based on information then available to the Borrower, evidencing the continued compliance by the Borrower and the Subsidiaries with the terms and conditions of this Agreement and the other Loan Documents, including, without limitation, the financial covenants contained in Section 8.20, after giving effect to such consolidation or merger.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8.10.</w:t>
      </w:r>
      <w:bookmarkStart w:id="137" w:name="_Toc241229853"/>
      <w:bookmarkEnd w:id="137"/>
      <w:r>
        <w:rPr>
          <w:rFonts w:ascii="Times New Roman;Times;serif" w:hAnsi="Times New Roman;Times;serif"/>
          <w:i w:val="false"/>
          <w:caps w:val="false"/>
          <w:smallCaps w:val="false"/>
          <w:sz w:val="24"/>
          <w:u w:val="single"/>
        </w:rPr>
        <w:t>Maintenance of Subsidiaries</w:t>
      </w:r>
      <w:r>
        <w:rPr>
          <w:rFonts w:ascii="Times New Roman;Times;serif" w:hAnsi="Times New Roman;Times;serif"/>
          <w:i w:val="false"/>
          <w:caps w:val="false"/>
          <w:smallCaps w:val="false"/>
          <w:sz w:val="24"/>
        </w:rPr>
        <w:t xml:space="preserve">.  The Borrower shall not assign, sell or transfer, nor shall it permit any Material Subsidiary to issue, assign, sell or transfer, any shares of capital stock or other equity interests of a Material Subsidiary;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 the foregoing shall not operate to prevent (a) Liens on the capital stock or other equity interests of Material Subsidiaries granted to the Administrative Agent, (b) the issuance, sale and transfer to any Person of any shares of capital stock of a Material Subsidiary solely for the purpose of qualifying, and to the extent legally necessary to qualify, such person as a director of such Subsidiary, and (c) any transaction permitted by Section 8.9(b) above.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8.11.</w:t>
      </w:r>
      <w:bookmarkStart w:id="138" w:name="_Toc241229854"/>
      <w:bookmarkEnd w:id="138"/>
      <w:r>
        <w:rPr>
          <w:rFonts w:ascii="Times New Roman;Times;serif" w:hAnsi="Times New Roman;Times;serif"/>
          <w:i w:val="false"/>
          <w:caps w:val="false"/>
          <w:smallCaps w:val="false"/>
          <w:sz w:val="24"/>
          <w:u w:val="single"/>
        </w:rPr>
        <w:t>ERISA</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shall, and shall cause each Subsidiary to, promptly pay and discharge all obligations and liabilities arising under ERISA in excess of $1,000,000 of a character which if unpaid or unperformed could reasonably be expected to result in the imposition of a Lien against any of its Properties or other assets.  Upon the Borrower or a Subsidiary obtaining knowledge of any of the following events, the Borrower shall, and shall cause each Subsidiary to, promptly notify the Administrative Agent and each Lender of:  (a) the occurrence of any reportable event (as defined in Section 4043 of ERISA) with respect to a Plan (except for events for which reporting is waived), (b) receipt of any notice from the PBGC of its intention to seek termination of any Plan or appointment of a trustee therefor, (c) its intention to terminate or withdraw from any Plan, and (d) the occurrence of any event with respect to any Plan (other than normal operation of the Plan or investments of Plan assets) which would result in the incurrence by the Borrower or any Subsidiary of any material increase in liability, material penalty, or any material increase in the contingent liability of the Borrower or any Subsidiary with respect to any post-retirement Welfare Plan benefit.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8.12.</w:t>
      </w:r>
      <w:bookmarkStart w:id="139" w:name="_Toc241229855"/>
      <w:bookmarkEnd w:id="139"/>
      <w:r>
        <w:rPr>
          <w:rFonts w:ascii="Times New Roman;Times;serif" w:hAnsi="Times New Roman;Times;serif"/>
          <w:i w:val="false"/>
          <w:caps w:val="false"/>
          <w:smallCaps w:val="false"/>
          <w:sz w:val="24"/>
          <w:u w:val="single"/>
        </w:rPr>
        <w:t>Compliance with Laws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shall, and shall cause each Subsidiary to, comply in all material respects with the requirements of all federal, state, and local laws, rules, regulations, ordinances and orders applicable to or pertaining to its Properties, assets, or business operations, where any such non-compliance, individually or in the aggregate, could reasonably be expected to have a Material Adverse Effect.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Borrower shall and shall cause each Subsidiary to, at all times, do the following to the extent the failure to do so, individually or in the aggregate, could reasonably be expected to have a Material Adverse Effect:  (i) comply in all material respects with, and maintain each of the Properties in compliance in all material respects with, all applicable Environmental Laws; (ii) use commercially reasonable efforts to require that each tenant and subtenant, if any, of any of the Properties or any part thereof comply in all material respects with all applicable Environmental Laws; (iii) obtain and maintain in full force and effect all material governmental approvals required by any applicable Environmental Law for operations at each of the Properties; (iv) cure any material violation by it or at any of the Properties of applicable Environmental Laws; (v) not allow the presence or operation at any of the Properties of any (1) landfill or dump or (2) hazardous waste management facility or solid waste disposal facility as defined pursuant to RCRA or any comparable state law; (vi) not manufacture, use, generate, transport, treat, store, release, dispose or handle any Hazardous Material at any of the Properties except in the ordinary course of its business and in compliance with law; (vii) within ten (10) Business Days notify the Administrative Agent in writing of and provide any reasonably requested documents upon receipt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written notice of any of the following in connection with the Borrower or any Subsidiary or any of the Properties that could reasonably be expected to have a Material Adverse Effect: (1) any material liability for response or corrective action, natural resource damage or other harm pursuant to CERCLA, RCRA or any comparable state law; (2) any material Environmental Claim; (3) any material violation of an Environmental Law or material Release, threatened Release or disposal of a Hazardous Material; (4) any restriction on the ownership, occupancy, use or transferability arising pursuant to any (x) Release, threatened Release or disposal of a Hazardous Material or (y) Environmental Law; or (5) any environmental, natural resource, health or safety condition, which could reasonably be expected to have a Material Adverse Effect; (viii) conduct at its expense any investigation, study, sampling, testing, abatement, cleanup, removal, remediation or other response action necessary to remove, remediate, clean up or abate any material Release, threatened Release or disposal of a Hazardous Material as required to be performed by the Borrower or its Subsidiaries by any applicable Environmental Law, (ix) abide by and observe any restrictions on the use of the Properties imposed by any governmental authority as set forth in a deed or other instrument affecting the Borrower’s or any Subsidiary’s interest therein; (x) promptly provide or otherwise make available to the Administrative Agent any reasonably requested environmental record concerning the Properties which the Borrower or any Subsidiary possesses or can reasonably obtain; and (xi) perform, satisfy, and implement any operation or maintenance actions required by any governmental authority or Environmental Law, or included in any no further action letter or covenant not to sue issued by any governmental authority under any Environmental Law.</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8.13.</w:t>
      </w:r>
      <w:bookmarkStart w:id="140" w:name="_Toc241229856"/>
      <w:bookmarkEnd w:id="140"/>
      <w:r>
        <w:rPr>
          <w:rFonts w:ascii="Times New Roman;Times;serif" w:hAnsi="Times New Roman;Times;serif"/>
          <w:i w:val="false"/>
          <w:caps w:val="false"/>
          <w:smallCaps w:val="false"/>
          <w:sz w:val="24"/>
          <w:u w:val="single"/>
        </w:rPr>
        <w:t>Compliance with Sanctions and Anti-Corruption Laws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Borrower shall at all times comply in all material respects with the requirements of all Sanctions applicable to the Borrower and shall cause each of its Subsidiaries to comply with the requirements of all Sanctions applicable to such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Borrower shall provide the Administrative Agent and the Lenders any information regarding the Borrower, its Affiliates, and its Subsidiaries necessary for the Administrative Agent and the Lenders to comply with all applicable Sanctions, to verify the identity of the Loan Parties</w:t>
      </w:r>
      <w:bookmarkStart w:id="141" w:name="_DV_M813"/>
      <w:bookmarkEnd w:id="141"/>
      <w:r>
        <w:rPr>
          <w:rFonts w:ascii="Times New Roman;Times;serif" w:hAnsi="Times New Roman;Times;serif"/>
          <w:sz w:val="24"/>
        </w:rPr>
        <w:t>, or to comply with any Applicable Law, including, without limitation, Section 326 of the Patriot Act at 31 U.S.C. Section 5318; subject however, in the case of Affiliates, to the Borrower’s ability to provide information applicable to them.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(c)If a Responsible Officer of the Borrower obtains actual knowledge or receives any written notice that the Borrower, any Subsidiary of Borrower, or any officer, director or Affiliate of Borrower or any Subsidiary or that any Person that owns or controls any such Person is a Sanctioned Person (such occurrence, an “</w:t>
      </w:r>
      <w:r>
        <w:rPr>
          <w:rFonts w:ascii="Times New Roman;Times;serif" w:hAnsi="Times New Roman;Times;serif"/>
          <w:i/>
          <w:sz w:val="24"/>
        </w:rPr>
        <w:t>OFAC Event”</w:t>
      </w:r>
      <w:r>
        <w:rPr>
          <w:rFonts w:ascii="Times New Roman;Times;serif" w:hAnsi="Times New Roman;Times;serif"/>
          <w:sz w:val="24"/>
        </w:rPr>
        <w:t>), the Borrower shall promptly (i) give written notice to the Administrative Agent and the Lenders of such OFAC Event, and (ii) comply with all applicable laws with respect to such OFAC Event (regardless of whether the target Person is located within the jurisdiction of the United States of America), including the applicable Sanctions, and the Borrower hereby authorizes and consents to the Administrative Agent and the Lenders taking any and all steps the Administrative Agent or the Lenders deem necessary, in their sole but reasonable discretion, to avoid violation of all applicable laws with respect to any such OFAC Event, including the requirements of the applicable Sanctions (including the freezing and/or blocking of assets and reporting such action to OFAC).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(d)Borrower will not, nor will it permit any Subsidiary to directly or, to any such Person’s knowledge, indirectly, use the proceeds of the Loans, or lend, contribute or otherwise make available such proceeds to any other Person, (i) to fund any activities or business of or with any Person or in any country or territory, that, at the time of such funding, is, or whose government is, the subject of any Sanctions, or (ii) in any other manner that would result in a violation of Sanctions or Anti-Corruption Laws by any Person (including any Person participating in the Loans, whether as underwriter, lender, advisor, investor, or otherwise).  No part of the proceeds of the Loan or extensions of credit hereunder will be used, directly or indirectly, in furtherance of an offer, payment, promise to pay, or authorization of the payment or giving of money, or anything else of value, to any Person in violation of applicable Anti-Corruption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(e)Borrower will not, nor will it permit any Subsidiary to, violate any Anti-Corruption Law in any material respect.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(f)Borrower and each Subsidiary will maintain in effect policies and procedures designed to ensure compliance by such Persons, their Subsidiaries, and their respective directors, officers, employees, and agents with applicable Anti-Corruption Laws.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8.14.</w:t>
      </w:r>
      <w:bookmarkStart w:id="142" w:name="_Toc241229857"/>
      <w:bookmarkEnd w:id="142"/>
      <w:r>
        <w:rPr>
          <w:rFonts w:ascii="Times New Roman;Times;serif" w:hAnsi="Times New Roman;Times;serif"/>
          <w:i w:val="false"/>
          <w:caps w:val="false"/>
          <w:smallCaps w:val="false"/>
          <w:sz w:val="24"/>
          <w:u w:val="single"/>
        </w:rPr>
        <w:t>Burdensome Contracts With Affiliates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Except (a) compensation, bonus and benefit arrangements with employees, officers and directors approved by Borrower’s board of directors or committee thereof, (b) transactions permitted by Section 8.9 hereof, (c) transactions in the ordinary course of business of the Borrower or its Subsidiaries or (d) transactions approved by the Borrower’s board of directors and reasonably acceptable to the Administrative Agent, the Borrower shall not, nor shall it permit any Subsidiary to, enter into any contract, agreement or business arrangement with any of its Affiliates on terms and conditions which are less favorable to the Borrower or such Subsidiary than would be usual and customary in similar contracts, agreements or business arrangements between Persons not affiliated with each other.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8.15.</w:t>
      </w:r>
      <w:bookmarkStart w:id="143" w:name="_Toc241229858"/>
      <w:bookmarkEnd w:id="143"/>
      <w:r>
        <w:rPr>
          <w:rFonts w:ascii="Times New Roman;Times;serif" w:hAnsi="Times New Roman;Times;serif"/>
          <w:i w:val="false"/>
          <w:caps w:val="false"/>
          <w:smallCaps w:val="false"/>
          <w:sz w:val="24"/>
          <w:u w:val="single"/>
        </w:rPr>
        <w:t>No Changes in Fiscal Year</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Fiscal Year of the Borrower and its Subsidiaries ends on December 31</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of each year; and the Borrower shall not, nor shall it permit any Subsidiary to, change its Fiscal Year from its present basis.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8.16.</w:t>
      </w:r>
      <w:bookmarkStart w:id="144" w:name="_Toc241229859"/>
      <w:bookmarkEnd w:id="144"/>
      <w:r>
        <w:rPr>
          <w:rFonts w:ascii="Times New Roman;Times;serif" w:hAnsi="Times New Roman;Times;serif"/>
          <w:i w:val="false"/>
          <w:caps w:val="false"/>
          <w:smallCaps w:val="false"/>
          <w:sz w:val="24"/>
          <w:u w:val="single"/>
        </w:rPr>
        <w:t>Formation of Subsidiaries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Promptly upon the formation or acquisition of any Material Subsidiary, the Borrower shall provide the Administrative Agent and the Lenders notice thereof and timely comply with the requirements of Sections 4.2 and 8.24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8.17.</w:t>
      </w:r>
      <w:bookmarkStart w:id="145" w:name="_Toc241229860"/>
      <w:bookmarkEnd w:id="145"/>
      <w:r>
        <w:rPr>
          <w:rFonts w:ascii="Times New Roman;Times;serif" w:hAnsi="Times New Roman;Times;serif"/>
          <w:i w:val="false"/>
          <w:caps w:val="false"/>
          <w:smallCaps w:val="false"/>
          <w:sz w:val="24"/>
          <w:u w:val="single"/>
        </w:rPr>
        <w:t>Change in the Nature of Business</w:t>
      </w:r>
      <w:r>
        <w:rPr>
          <w:rFonts w:ascii="Times New Roman;Times;serif" w:hAnsi="Times New Roman;Times;serif"/>
          <w:i/>
          <w:sz w:val="24"/>
        </w:rPr>
        <w:t>.  </w:t>
      </w:r>
      <w:r>
        <w:rPr>
          <w:rFonts w:ascii="Times New Roman;Times;serif" w:hAnsi="Times New Roman;Times;serif"/>
          <w:i w:val="false"/>
          <w:caps w:val="false"/>
          <w:smallCaps w:val="false"/>
          <w:sz w:val="24"/>
        </w:rPr>
        <w:t>The Borrower shall not, nor shall it permit any Subsidiary to, engage in any business or activity if as a result the general nature of the business of the Borrower or any Subsidiary would be changed in any material respect from the general nature of the business engaged in by it as of the Restatement Date.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8.18.</w:t>
      </w:r>
      <w:bookmarkStart w:id="146" w:name="_Toc241229861"/>
      <w:bookmarkEnd w:id="146"/>
      <w:r>
        <w:rPr>
          <w:rFonts w:ascii="Times New Roman;Times;serif" w:hAnsi="Times New Roman;Times;serif"/>
          <w:i w:val="false"/>
          <w:caps w:val="false"/>
          <w:smallCaps w:val="false"/>
          <w:sz w:val="24"/>
          <w:u w:val="single"/>
        </w:rPr>
        <w:t>Use of Proceeds</w:t>
      </w:r>
      <w:r>
        <w:rPr>
          <w:rFonts w:ascii="Times New Roman;Times;serif" w:hAnsi="Times New Roman;Times;serif"/>
          <w:i w:val="false"/>
          <w:caps w:val="false"/>
          <w:smallCaps w:val="false"/>
          <w:sz w:val="24"/>
        </w:rPr>
        <w:t>.  The Borrower shall use the credit extended under this Agreement solely for the purposes set forth in, or otherwise permitted by, Section 6.4 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8.19.</w:t>
      </w:r>
      <w:bookmarkStart w:id="147" w:name="_Toc241229862"/>
      <w:bookmarkEnd w:id="147"/>
      <w:r>
        <w:rPr>
          <w:rFonts w:ascii="Times New Roman;Times;serif" w:hAnsi="Times New Roman;Times;serif"/>
          <w:i w:val="false"/>
          <w:caps w:val="false"/>
          <w:smallCaps w:val="false"/>
          <w:sz w:val="24"/>
          <w:u w:val="single"/>
        </w:rPr>
        <w:t>No Restrictions</w:t>
      </w:r>
      <w:r>
        <w:rPr>
          <w:rFonts w:ascii="Times New Roman;Times;serif" w:hAnsi="Times New Roman;Times;serif"/>
          <w:i w:val="false"/>
          <w:caps w:val="false"/>
          <w:smallCaps w:val="false"/>
          <w:sz w:val="24"/>
        </w:rPr>
        <w:t xml:space="preserve">.  Except as provided herein, the Borrower shall not, nor shall it permit any Subsidiary to, directly or indirectly create or otherwise cause or suffer to exist or become effective any consensual encumbrance or restriction of any kind on the ability of the Borrower or any Subsidiary to:  (a) pay Dividends or make any other distribution on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Subsidiary’s capital stock or other equity interests owned by the Borrower or any other Subsidiary (other than limitations on Restricted Payments comparable to those in Section 8.25 in any documentation evidencing any Other Unsecured Indebtedness), (b) pay any indebtedness owed to the Borrower or any other Subsidiary, (c) make loans or advances to the Borrower or any other Subsidiary, (d) transfer any of its Properties or other assets to the Borrower or any other Subsidiary (other than limitations on transfers comparable to those in Section 8.9 in any documentation evidencing any Other Unsecured Indebtedness)</w:t>
      </w:r>
      <w:r>
        <w:rPr>
          <w:rFonts w:ascii="Times New Roman;Times;serif" w:hAnsi="Times New Roman;Times;serif"/>
          <w:b w:val="false"/>
          <w:i/>
          <w:sz w:val="24"/>
        </w:rPr>
        <w:t>; provided however, that</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the foregoing does not apply to any limitation on transfers of property that is subject to a Permitted Lien or (e) guarantee the Obligations, Hedging Liability, and Funds Transfer and Deposit Account Liability and/or grant Liens on its assets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8.20.</w:t>
      </w:r>
      <w:bookmarkStart w:id="148" w:name="_Toc241229863"/>
      <w:bookmarkStart w:id="149" w:name="_Ref113883288"/>
      <w:bookmarkEnd w:id="148"/>
      <w:bookmarkEnd w:id="149"/>
      <w:r>
        <w:rPr>
          <w:rFonts w:ascii="Times New Roman;Times;serif" w:hAnsi="Times New Roman;Times;serif"/>
          <w:i w:val="false"/>
          <w:caps w:val="false"/>
          <w:smallCaps w:val="false"/>
          <w:sz w:val="24"/>
          <w:u w:val="single"/>
        </w:rPr>
        <w:t>Financial Covenants</w:t>
      </w:r>
      <w:r>
        <w:rPr>
          <w:rFonts w:ascii="Times New Roman;Times;serif" w:hAnsi="Times New Roman;Times;serif"/>
          <w:i/>
          <w:sz w:val="24"/>
        </w:rPr>
        <w:t>.</w:t>
      </w:r>
      <w:r>
        <w:rPr>
          <w:rFonts w:ascii="Times New Roman;Times;serif" w:hAnsi="Times New Roman;Times;serif"/>
          <w:i/>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Maximum Total Indebtedness to Total Asset Value Ratio</w:t>
      </w:r>
      <w:r>
        <w:rPr>
          <w:rFonts w:ascii="Times New Roman;Times;serif" w:hAnsi="Times New Roman;Times;serif"/>
          <w:sz w:val="24"/>
        </w:rPr>
        <w:t xml:space="preserve">.  As of the last day of each Fiscal Quarter of the Borrower, the Borrower shall not permit the ratio of Total Indebtedness to Total Asset Value to be greater than 0.60 to 1.00; </w:t>
      </w:r>
      <w:r>
        <w:rPr>
          <w:rFonts w:ascii="Times New Roman;Times;serif" w:hAnsi="Times New Roman;Times;serif"/>
          <w:sz w:val="24"/>
          <w:u w:val="single"/>
        </w:rPr>
        <w:t>provided</w:t>
      </w:r>
      <w:r>
        <w:rPr>
          <w:rFonts w:ascii="Times New Roman;Times;serif" w:hAnsi="Times New Roman;Times;serif"/>
          <w:sz w:val="24"/>
        </w:rPr>
        <w:t>, that, so long as no other Default or Event of Default has then occurred and is continuing, such ratio may increase to up to 0.65 to 1.00 in connection with a Material Acquisition so long as (i) the Borrower completed a Material Acquisition during the quarter in which such ratio first exceeded 0.60 to 1.00, (ii) such ratio does not exceed 0.60 to 1.00 for a period of more than three (3) fiscal quarters immediately following the fiscal quarter in which such Material Acquisition was completed, (iii) the Borrower has not maintained compliance with this Section 8.20(a) or Section 8.20(e) in reliance on this proviso more than two times during the term of the 2032 Term Facility or during the fiscal quarter immediately prior to such Material Acquisition, and (iv) such ratio is not greater than 0.65 to 1.00 at any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Maximum Secured Indebtedness to Total Asset Value Ratio</w:t>
      </w:r>
      <w:r>
        <w:rPr>
          <w:rFonts w:ascii="Times New Roman;Times;serif" w:hAnsi="Times New Roman;Times;serif"/>
          <w:sz w:val="24"/>
        </w:rPr>
        <w:t>.  As of the last day of each Fiscal Quarter of the Borrower, the Borrower shall not permit the ratio of Secured Indebtedness to Total Asset Value to be greater than 0.40 to 1.00.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Minimum Adjusted EBITDA to Fixed Charges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Adjusted EBITDA for the applicable Rolling Period to Fixed Charges for such Rolling Period to be less than 1.50 to 1.0.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Maximum Secured Recourse Indebtedness to Total Asset Value Ratio</w:t>
      </w:r>
      <w:r>
        <w:rPr>
          <w:rFonts w:ascii="Times New Roman;Times;serif" w:hAnsi="Times New Roman;Times;serif"/>
          <w:sz w:val="24"/>
        </w:rPr>
        <w:t>.  As of the last day of each Fiscal Quarter of the Borrower, the Borrower and its Subsidiaries shall not permit the ratio of Secured Recourse Indebtedness to Total Asset Value to be greater than 0.10 to 1.0.</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Maximum Unsecured Indebtedness to Unencumbered Asset Value Ratio</w:t>
      </w:r>
      <w:r>
        <w:rPr>
          <w:rFonts w:ascii="Times New Roman;Times;serif" w:hAnsi="Times New Roman;Times;serif"/>
          <w:sz w:val="24"/>
        </w:rPr>
        <w:t xml:space="preserve">.  As of the last day of each Fiscal Quarter of the Borrower, the Borrower shall not permit the ratio of Unsecured Indebtedness to Unencumbered Asset Value to be greater than 0.60 to 1.00; </w:t>
      </w:r>
      <w:r>
        <w:rPr>
          <w:rFonts w:ascii="Times New Roman;Times;serif" w:hAnsi="Times New Roman;Times;serif"/>
          <w:sz w:val="24"/>
          <w:u w:val="single"/>
        </w:rPr>
        <w:t>provided</w:t>
      </w:r>
      <w:r>
        <w:rPr>
          <w:rFonts w:ascii="Times New Roman;Times;serif" w:hAnsi="Times New Roman;Times;serif"/>
          <w:sz w:val="24"/>
        </w:rPr>
        <w:t xml:space="preserve">, that, so long as no other Default or Event of Default has then occurred and is continuing, such ratio may increase to up to 0.65 to 1.00 in connection with a Material Acquisition so long as (i) the Borrower completed a Material Acquisition during the quarter in which such ratio first exceeded 0.60 to 1.00, (ii) such ratio does not exceed 0.60 to 1.00 for a period of more than three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 fiscal quarters immediately following the fiscal quarter in which such Material Acquisition was completed, (iii) the Borrower has not maintained compliance with this Section 8.20(e) or Section 8.20(a) in reliance on this proviso more than two times during the term of the 2032 Term Facility or during the fiscal quarter immediately prior to such Material Acquisition, and (iv) such ratio is not greater than 0.65 to 1.00 at any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Minimum Income from Unencumbered Assets to Unsecured Interest Expense Ratio</w:t>
      </w:r>
      <w:r>
        <w:rPr>
          <w:rFonts w:ascii="Times New Roman;Times;serif" w:hAnsi="Times New Roman;Times;serif"/>
          <w:i/>
          <w:sz w:val="24"/>
        </w:rPr>
        <w:t>.</w:t>
      </w:r>
      <w:r>
        <w:rPr>
          <w:rFonts w:ascii="Times New Roman;Times;serif" w:hAnsi="Times New Roman;Times;serif"/>
          <w:sz w:val="24"/>
        </w:rPr>
        <w:t xml:space="preserve">  As of the last day of each Fiscal Quarter of the Borrower, the Borrower shall not permit the ratio of (i) the Unencumbered Pool Total Income for the applicable Rolling Period to (ii) Unsecured Interest Expense for such Rolling Period to be less than 1.75 to 1.0</w:t>
      </w:r>
      <w:bookmarkStart w:id="150" w:name="_Hlk115351521"/>
      <w:bookmarkEnd w:id="150"/>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Maintenance of Net Worth</w:t>
      </w:r>
      <w:r>
        <w:rPr>
          <w:rFonts w:ascii="Times New Roman;Times;serif" w:hAnsi="Times New Roman;Times;serif"/>
          <w:sz w:val="24"/>
        </w:rPr>
        <w:t xml:space="preserve">.  The Borrower shall, as of the last day of each Fiscal Quarter, maintain a Tangible Net Worth of not less than the sum of (a) $619,445,860 </w:t>
      </w:r>
      <w:r>
        <w:rPr>
          <w:rFonts w:ascii="Times New Roman;Times;serif" w:hAnsi="Times New Roman;Times;serif"/>
          <w:sz w:val="24"/>
          <w:u w:val="single"/>
        </w:rPr>
        <w:t>plus</w:t>
      </w:r>
      <w:r>
        <w:rPr>
          <w:rFonts w:ascii="Times New Roman;Times;serif" w:hAnsi="Times New Roman;Times;serif"/>
          <w:sz w:val="24"/>
        </w:rPr>
        <w:t xml:space="preserve"> (b) 75% of the aggregate net proceeds received by the Borrower or any of its Subsidiaries after June 30, 2026 in connection with any offering of Stock or Stock Equivalents of the Borrower or the Subsidiaries.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8.21.</w:t>
      </w:r>
      <w:bookmarkStart w:id="151" w:name="_Toc241229864"/>
      <w:bookmarkStart w:id="152" w:name="_Ref83720982"/>
      <w:bookmarkEnd w:id="151"/>
      <w:bookmarkEnd w:id="152"/>
      <w:r>
        <w:rPr>
          <w:rFonts w:ascii="Times New Roman;Times;serif" w:hAnsi="Times New Roman;Times;serif"/>
          <w:i w:val="false"/>
          <w:caps w:val="false"/>
          <w:smallCaps w:val="false"/>
          <w:sz w:val="24"/>
          <w:u w:val="single"/>
        </w:rPr>
        <w:t>Pool Covenants</w:t>
      </w:r>
      <w:r>
        <w:rPr>
          <w:rFonts w:ascii="Times New Roman;Times;serif" w:hAnsi="Times New Roman;Times;serif"/>
          <w:i w:val="false"/>
          <w:caps w:val="false"/>
          <w:smallCaps w:val="false"/>
          <w:sz w:val="24"/>
        </w:rPr>
        <w:t>.  The Borrower shall cause the Unencumbered Pool to at all times comply with the Unencumbered Pool Requirements (other than with respect to Unencumbered Assets that may exceed concentration limits but still be included in the Unencumbered Asset Value in compliance with the definition of Unencumbered Pool Requirements) and shall exclude from the calculation of Unencumbered Asset Value any portion of Property NOI, cost, or book value of any Unencumbered Assets attributable to any Unencumbered Assets that exceed the concentration limits set forth in the Unencumbered Pool Requirements or that cease to satisfy the conditions to be Unencumbered Assets.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8.22.</w:t>
      </w:r>
      <w:bookmarkStart w:id="153" w:name="_Toc241229865"/>
      <w:bookmarkEnd w:id="153"/>
      <w:r>
        <w:rPr>
          <w:rFonts w:ascii="Times New Roman;Times;serif" w:hAnsi="Times New Roman;Times;serif"/>
          <w:i w:val="false"/>
          <w:caps w:val="false"/>
          <w:smallCaps w:val="false"/>
          <w:sz w:val="24"/>
          <w:u w:val="single"/>
        </w:rPr>
        <w:t>Electronic Delivery of Certain Information</w:t>
      </w:r>
      <w:r>
        <w:rPr>
          <w:rFonts w:ascii="Times New Roman;Times;serif" w:hAnsi="Times New Roman;Times;serif"/>
          <w:i/>
          <w:sz w:val="24"/>
        </w:rPr>
        <w:t>.</w:t>
      </w:r>
      <w:r>
        <w:rPr>
          <w:rFonts w:ascii="Times New Roman;Times;serif" w:hAnsi="Times New Roman;Times;serif"/>
          <w:i/>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(a)Documents, including financial reports to be delivered pursuant to Section 8.5 hereof, required to be delivered pursuant to this Agreement may be delivered by electronic communication and delivery, including, the Internet, including the website maintained by the Securities and Exchange Commission,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L/C Issuer) pursuant to Section 1.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Chicago time on the opening of business on the next business day for the recipient. Notwithstanding anything contained herein, in every instance the Borrower shall be required to provide paper copies of the certificates required by Sections 8.5(d) and 8.5(e) to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Administrative Agent. Except for the certificates required by Sections 8.5(d) and 8.5(e), the Administrative Agent shall have no obligation to request the delivery of or to maintain paper copies of the documents delivered electronically, and in any event shall have no responsibility to monitor compliance by the Borrower with any such request for delivery.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(b)Documents required to be delivered pursuant to Section 1 may be delivered electronically to a website provided for such purpose by the Administrative Agent pursuant to the procedures provided to the Borrower by the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 This Agreement and any document, amendment, approval, consent, information, notice, certificate, request, statement, disclosure or authorization related to this Agreement (each a “</w:t>
      </w:r>
      <w:r>
        <w:rPr>
          <w:rFonts w:ascii="Times New Roman;Times;serif" w:hAnsi="Times New Roman;Times;serif"/>
          <w:i/>
          <w:sz w:val="24"/>
        </w:rPr>
        <w:t>Communication</w:t>
      </w:r>
      <w:r>
        <w:rPr>
          <w:rFonts w:ascii="Times New Roman;Times;serif" w:hAnsi="Times New Roman;Times;serif"/>
          <w:sz w:val="24"/>
        </w:rPr>
        <w:t>”), including Communications required to be in writing, may be in the form of an Electronic Record and may be executed using Electronic Signatures. Each of the Loan Parties agrees that any Electronic Signature on or associated with any Communication shall be valid and binding on each such Loan Party to the same extent as a manual, original signature, and that any Communication entered into by Electronic Signature, will constitute the legal, valid and binding obligation of such Loan Party, enforceable against such Loan Party in accordance with the terms thereof to the same extent as if a manually executed original signature was delivered or a paper-based recordkeeping system was used, as the case may be.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Administrative Agent and each of the Lenders of a manually signed paper Communication which has been converted into electronic form (such as scanned into PDF format), or an electronically signed Communication converted into another format, for transmission, delivery and/or retention. Administrative Agent and each of the Lenders may, at its option, create one or more copies of any Communication in the form of an imaged Electronic Record (“</w:t>
      </w:r>
      <w:r>
        <w:rPr>
          <w:rFonts w:ascii="Times New Roman;Times;serif" w:hAnsi="Times New Roman;Times;serif"/>
          <w:i/>
          <w:sz w:val="24"/>
        </w:rPr>
        <w:t>Electronic Copy</w:t>
      </w:r>
      <w:r>
        <w:rPr>
          <w:rFonts w:ascii="Times New Roman;Times;serif" w:hAnsi="Times New Roman;Times;serif"/>
          <w:sz w:val="24"/>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Administrative Agent is under no obligation to accept an Electronic Signature in any form or in any format unless expressly agreed to by Administrative Agent pursuant to procedures approved by it; provided, further, without limiting the foregoing, (i) to the extent Administrative Agent has agreed to accept such Electronic Signature, Administrative Agent and each of the Lenders shall be entitled to rely on any such Electronic Signature purportedly given by or on behalf of any Loan Party without further verification and (ii) upon the request of Administrative Agent or any Lender,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8.23.</w:t>
      </w:r>
      <w:bookmarkStart w:id="154" w:name="_Toc241229866"/>
      <w:bookmarkStart w:id="155" w:name="_Toc209549823"/>
      <w:bookmarkEnd w:id="154"/>
      <w:bookmarkEnd w:id="155"/>
      <w:r>
        <w:rPr>
          <w:rFonts w:ascii="Times New Roman;Times;serif" w:hAnsi="Times New Roman;Times;serif"/>
          <w:i w:val="false"/>
          <w:caps w:val="false"/>
          <w:smallCaps w:val="false"/>
          <w:sz w:val="24"/>
          <w:u w:val="single"/>
        </w:rPr>
        <w:t>1031 Properties</w:t>
      </w:r>
      <w:r>
        <w:rPr>
          <w:rFonts w:ascii="Times New Roman;Times;serif" w:hAnsi="Times New Roman;Times;serif"/>
          <w:i w:val="false"/>
          <w:caps w:val="false"/>
          <w:smallCaps w:val="false"/>
          <w:sz w:val="24"/>
        </w:rPr>
        <w:t xml:space="preserve">.  Upon the request of the Required Lenders after the occurrence and during the continuance of an Event of Default, the Borrower hereby agrees that it shall, or it shall cause any applicable Guarantor to, at the request of Administrative Agent, cause any 1031 Property Holder to (i) follow instructions given by the Administrative Agent regarding the transfer of the 1031 Property to any other Person without the further consent of the Borrower,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Guarantor or any other Person and (ii) transfer fee simple title to any 1031 Property to the Borrower, a Guarantor or another entity acceptable to the Required Lenders regardless of whether such required transfer shall cause the Borrower or any Subsidiary to incur any additional liabilities or reduce or negate the tax or other anticipated benefits to the Borrower or any Subsidiary.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8.24.</w:t>
      </w:r>
      <w:bookmarkStart w:id="156" w:name="_Toc241229867"/>
      <w:bookmarkEnd w:id="156"/>
      <w:r>
        <w:rPr>
          <w:rFonts w:ascii="Times New Roman;Times;serif" w:hAnsi="Times New Roman;Times;serif"/>
          <w:i w:val="false"/>
          <w:caps w:val="false"/>
          <w:smallCaps w:val="false"/>
          <w:sz w:val="24"/>
          <w:u w:val="single"/>
        </w:rPr>
        <w:t>REIT Status</w:t>
      </w:r>
      <w:r>
        <w:rPr>
          <w:rFonts w:ascii="Times New Roman;Times;serif" w:hAnsi="Times New Roman;Times;serif"/>
          <w:i/>
          <w:sz w:val="24"/>
        </w:rPr>
        <w:t>.  </w:t>
      </w:r>
      <w:r>
        <w:rPr>
          <w:rFonts w:ascii="Times New Roman;Times;serif" w:hAnsi="Times New Roman;Times;serif"/>
          <w:i w:val="false"/>
          <w:caps w:val="false"/>
          <w:smallCaps w:val="false"/>
          <w:sz w:val="24"/>
        </w:rPr>
        <w:t>The Borrower shall maintain its status as a REIT.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8.25.</w:t>
      </w:r>
      <w:bookmarkStart w:id="157" w:name="_Toc241229868"/>
      <w:bookmarkEnd w:id="157"/>
      <w:r>
        <w:rPr>
          <w:rFonts w:ascii="Times New Roman;Times;serif" w:hAnsi="Times New Roman;Times;serif"/>
          <w:i w:val="false"/>
          <w:caps w:val="false"/>
          <w:smallCaps w:val="false"/>
          <w:sz w:val="24"/>
          <w:u w:val="single"/>
        </w:rPr>
        <w:t>Restricted Payments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The Borrower shall not, nor shall it permit any Subsidiary to, declare or make any Restricted Payment; </w:t>
      </w:r>
      <w:r>
        <w:rPr>
          <w:rFonts w:ascii="Times New Roman;Times;serif" w:hAnsi="Times New Roman;Times;serif"/>
          <w:i/>
          <w:sz w:val="24"/>
        </w:rPr>
        <w:t>provided</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that: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(a)(i) so long as no Default or Event of Default has occurred and is continuing, Borrower may declare or make any Restricted Payments to its equity holders; </w:t>
      </w:r>
      <w:r>
        <w:rPr>
          <w:rFonts w:ascii="Times New Roman;Times;serif" w:hAnsi="Times New Roman;Times;serif"/>
          <w:i/>
          <w:sz w:val="24"/>
        </w:rPr>
        <w:t>provided</w:t>
      </w:r>
      <w:r>
        <w:rPr>
          <w:rFonts w:ascii="Times New Roman;Times;serif" w:hAnsi="Times New Roman;Times;serif"/>
          <w:sz w:val="24"/>
        </w:rPr>
        <w:t xml:space="preserve"> that, after the occurrence and during the continuance of a Default or Event of Default, the Borrower may not make any Restricted Payments in cash other than Restricted Payments in an aggregate amount not to exceed the minimum amount necessary to maintain its status as a REIT and to avoid the imposition of any federal or state income tax, and to avoid the imposition of the excise tax described by Section 4981 of the Code, in each case on Borrower;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following a Bankruptcy Event with respect to the Borrower or the acceleration of the Obligations, Borrower shall not make any cash Restricted Payments;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(b)each Subsidiary may make Restricted Payments ratably to the holders of its Equity Interests;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(c)the Borrower or any Guarantor may declare and make dividend payments or other distributions payable solely in the common equity interests or other equity interests of such entity including (i) “cashless exercises” of options granted under any share option plan adopted by such entity, (ii) distributions of rights or equity securities under any rights plan adopted by such entity and (iii) distributions (or effect stock splits or reverse stock splits) with respect to its equity interests payable solely in additional shares of its equity interests;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Borrower and each Guarantor may make cash payments in lieu of the issuance of fractional shares representing insignificant interests in connection with the exercise of warrants, options or other securities convertible into or exchangeable for equity interests of the Borrower or any Subsidiary;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(e)so long as no Change of Control results therefrom, the Borrower and each Subsidiary may make Restricted Payments in connection with the implementation of or pursuant to any retirement, health, stock option and other benefit plans, bonus plans, performance based incentive plans, and other similar forms of compensation;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(f)so long as no Change of Control results therefrom, the Borrower and each Subsidiary that is a Guarantor may make dividends or distributions to allow Borrower to make payments in connection with share purchase programs, to the extent not otherwise prohibited by the terms of this Agreement;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(g)the Borrower may exercise any redemption or conversion rights with respect to its Equity Interests in accordance with the terms of the governing documents setting out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any such rights and, to the extent paid in cash from sources other than a concurrent offering of Equity Interests of the Borrower, subject to Section 8.25(a).</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8.26.</w:t>
      </w:r>
      <w:bookmarkStart w:id="158" w:name="_Toc241229869"/>
      <w:bookmarkEnd w:id="158"/>
      <w:r>
        <w:rPr>
          <w:rFonts w:ascii="Times New Roman;Times;serif" w:hAnsi="Times New Roman;Times;serif"/>
          <w:i w:val="false"/>
          <w:caps w:val="false"/>
          <w:smallCaps w:val="false"/>
          <w:sz w:val="24"/>
          <w:u w:val="single"/>
        </w:rPr>
        <w:t>Other Unsecured Indebtedness Guarantees</w:t>
      </w:r>
      <w:r>
        <w:rPr>
          <w:rFonts w:ascii="Times New Roman;Times;serif" w:hAnsi="Times New Roman;Times;serif"/>
          <w:i w:val="false"/>
          <w:caps w:val="false"/>
          <w:smallCaps w:val="false"/>
          <w:sz w:val="24"/>
        </w:rPr>
        <w:t xml:space="preserve">.  No Subsidiary shall guaranty the payment of, or agree to enter into a guaranty of the payment of, any Other Unsecured Indebtedness without simultaneously entering into and delivering to the Administrative Agent, for the benefit of the Lenders, a comparable guaranty of the payment of the Obligations; </w:t>
      </w:r>
      <w:r>
        <w:rPr>
          <w:rFonts w:ascii="Times New Roman;Times;serif" w:hAnsi="Times New Roman;Times;serif"/>
          <w:i w:val="false"/>
          <w:caps w:val="false"/>
          <w:smallCaps w:val="false"/>
          <w:sz w:val="24"/>
          <w:u w:val="single"/>
        </w:rPr>
        <w:t>provided</w:t>
      </w:r>
      <w:r>
        <w:rPr>
          <w:rFonts w:ascii="Times New Roman;Times;serif" w:hAnsi="Times New Roman;Times;serif"/>
          <w:i w:val="false"/>
          <w:caps w:val="false"/>
          <w:smallCaps w:val="false"/>
          <w:sz w:val="24"/>
        </w:rPr>
        <w:t xml:space="preserve">, that the foregoing shall not restrict or prohibit any Subsidiary guaranty of any Property level Indebtedness for Borrowed Money which otherwise remains in compliance with Section 8.20.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8.27.</w:t>
      </w:r>
      <w:bookmarkStart w:id="159" w:name="_Toc241229870"/>
      <w:bookmarkEnd w:id="159"/>
      <w:r>
        <w:rPr>
          <w:rFonts w:ascii="Times New Roman;Times;serif" w:hAnsi="Times New Roman;Times;serif"/>
          <w:i w:val="false"/>
          <w:caps w:val="false"/>
          <w:smallCaps w:val="false"/>
          <w:sz w:val="24"/>
          <w:u w:val="single"/>
        </w:rPr>
        <w:t>Outbound Investment Rules</w:t>
      </w:r>
      <w:r>
        <w:rPr>
          <w:rFonts w:ascii="Times New Roman;Times;serif" w:hAnsi="Times New Roman;Times;serif"/>
          <w:i w:val="false"/>
          <w:caps w:val="false"/>
          <w:smallCaps w:val="false"/>
          <w:sz w:val="24"/>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and the Lenders to be in violation of the Outbound Investment Rules or cause the Administrative Agent and the Lenders to be legally prohibited by the Outbound Investment Rules from performing under this Agreement.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8.28.</w:t>
      </w:r>
      <w:bookmarkStart w:id="160" w:name="_Toc241229871"/>
      <w:bookmarkEnd w:id="160"/>
      <w:r>
        <w:rPr>
          <w:rFonts w:ascii="Times New Roman;Times;serif" w:hAnsi="Times New Roman;Times;serif"/>
          <w:i w:val="false"/>
          <w:caps w:val="false"/>
          <w:smallCaps w:val="false"/>
          <w:sz w:val="24"/>
          <w:u w:val="single"/>
        </w:rPr>
        <w:t>Florida Documentary Stamp Tax</w:t>
      </w:r>
      <w:r>
        <w:rPr>
          <w:rFonts w:ascii="Times New Roman;Times;serif" w:hAnsi="Times New Roman;Times;serif"/>
          <w:i w:val="false"/>
          <w:caps w:val="false"/>
          <w:smallCaps w:val="false"/>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To the extent any Notes described in Section 1.10 hereof are signed or delivered in the State of Florida, the Borrower shall pay any documentary stamp taxes due under Section 201.08, Florida Statutes on or prior to the date required thereunder with respect to such Notes.</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9.</w:t>
      </w:r>
      <w:bookmarkStart w:id="161" w:name="_Toc241229872"/>
      <w:bookmarkEnd w:id="161"/>
      <w:r>
        <w:rPr>
          <w:rFonts w:ascii="Times New Roman;Times;serif" w:hAnsi="Times New Roman;Times;serif"/>
          <w:caps/>
          <w:sz w:val="24"/>
        </w:rPr>
        <w:t>EVENTS OF DEFAULT AND REMEDIES.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9.1.</w:t>
      </w:r>
      <w:bookmarkStart w:id="162" w:name="_Toc241229873"/>
      <w:bookmarkEnd w:id="162"/>
      <w:r>
        <w:rPr>
          <w:rFonts w:ascii="Times New Roman;Times;serif" w:hAnsi="Times New Roman;Times;serif"/>
          <w:i w:val="false"/>
          <w:caps w:val="false"/>
          <w:smallCaps w:val="false"/>
          <w:sz w:val="24"/>
          <w:u w:val="single"/>
        </w:rPr>
        <w:t>Events of Default</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Any one or more of the following shall constitute an </w:t>
      </w:r>
      <w:r>
        <w:rPr>
          <w:rFonts w:ascii="Times New Roman;Times;serif" w:hAnsi="Times New Roman;Times;serif"/>
          <w:i/>
          <w:sz w:val="24"/>
        </w:rPr>
        <w:t>“Event of Default”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hereunder: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(a)default in the payment when due of all or any part of the principal of any Loan (whether at the stated maturity thereof or at any other time provided for in this Agreement, including a mandatory prepayment required by Section 1.8(b)) or of any Reimbursement Obligation; or default for a period of three (3) Business Days in the payment when due of any interest, fee or other Obligation payable hereunder or under any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(b)default in the observance or performance of any covenant set forth in Sections 8.1 (only with respect to the first sentence thereof), 8.5 (for a period of five (5) days), 8.7, 8.8, 8.9, 8.10, 8.13, 8.20, 8.21 (if not replaced with another Eligible Asset or Eligible Assets in accordance with Section 7.3 hereof within ten (10) Business Days after the period of notice required by Section 7.3), 8.23, 8.25, or 8.27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(c)default in the observance or performance of any other provision hereof or of any other Loan Document which is not remedied within thirty (30) days after the earlier of (i) the date on which such failure shall first become known to any Responsible Officer of the Borrower or (ii) written notice thereof is given to the Borrower by the Administrative Agent; </w:t>
      </w:r>
      <w:r>
        <w:rPr>
          <w:rFonts w:ascii="Times New Roman;Times;serif" w:hAnsi="Times New Roman;Times;serif"/>
          <w:i/>
          <w:sz w:val="24"/>
        </w:rPr>
        <w:t>provided, however</w:t>
      </w:r>
      <w:r>
        <w:rPr>
          <w:rFonts w:ascii="Times New Roman;Times;serif" w:hAnsi="Times New Roman;Times;serif"/>
          <w:sz w:val="24"/>
        </w:rPr>
        <w:t xml:space="preserve">, if such a default is susceptible of cure but cannot reasonably be cured within such thirty (30) day period and provided further that the Borrower shall have commenced to cure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such default within such thirty (30) day period and thereafter diligently and expeditiously proceeds to cure the same, such thirty (30) day period shall be extended for such time as is reasonably necessary for the Borrower in the exercise of due diligence to cure such default, provided such additional period shall not exceed sixty (60) days;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(d)any representation or warranty made herein or in any other Loan Document or in any certificate furnished to the Administrative Agent or the Lenders pursuant hereto or thereto or in connection with any transaction contemplated hereby or thereby proves untrue in any material respect as of the date of the issuance or making or deemed making thereof; </w:t>
      </w:r>
      <w:r>
        <w:rPr>
          <w:rFonts w:ascii="Times New Roman;Times;serif" w:hAnsi="Times New Roman;Times;serif"/>
          <w:i/>
          <w:sz w:val="24"/>
        </w:rPr>
        <w:t xml:space="preserve">provided, </w:t>
      </w:r>
      <w:r>
        <w:rPr>
          <w:rFonts w:ascii="Times New Roman;Times;serif" w:hAnsi="Times New Roman;Times;serif"/>
          <w:sz w:val="24"/>
        </w:rPr>
        <w:t xml:space="preserve">that such breach of a representation or warranty shall not constitute an Event of Default if within ten (10) days of the Borrower’s knowledge of such breach, the Borrower takes such action as may be required to make such representation or warranty to be true in all material respects as made and it did not have a Material Adverse Effect;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(e)any event occurs or condition exists (other than those described in subsections (a) through (d) above) which is specified as an event of default under any of the other Loan Documents (and the related grace period, if any, shall have expired), or any of the Loan Documents shall for any reason not be or shall cease to be in full force and effect or is declared to be null and void except as expressly permitted by the terms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(f)default and expiration of any cure periods related thereto shall occur under (x) any nonrecourse Indebtedness for Borrowed Money issued, assumed or guaranteed by the Borrower or any Subsidiary individually or aggregating in excess of $50,000,000 or (y) any recourse Indebtedness for Borrowed Money issued, assumed or guaranteed by the Borrower or any Subsidiary individually or aggregating in excess of $25,000,000, or a default and expiration of any cure periods related thereto, shall occur under any indenture, agreement or other instrument under which such Indebtedness for Borrowed Money may be issued, and such default shall continue for a period of time sufficient to permit the acceleration of the maturity of any such Indebtedness for Borrowed Money (whether or not such maturity is in fact accelerated), or any such Indebtedness for Borrowed Money shall not be paid when due (whether by demand, lapse of time, acceleration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(g)any judgment or judgments, writ or writs or warrant or warrants of attachment, or any similar process or processes, shall be entered or filed against the Borrower or any Subsidiary, or against any of its Properties or other assets, in an aggregate amount in excess of $5,000,000 (except to the extent fully covered by insurance pursuant to which the insurer has accepted liability therefor in writing), and which remains undischarged, unvacated, unbonded or unstayed for a period of thirty (30) days;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(h)the Borrower or any Subsidiary, or any member of its Controlled Group, shall fail to pay when due an amount or amounts aggregating in excess of $10,000,000 which it shall have become liable to pay to the PBGC or to a Plan under Title IV of ERISA; or notice of intent to terminate a Plan or Plans having aggregate Unfunded Vested Liabilities in excess of $5,000,000 (collectively, a “</w:t>
      </w:r>
      <w:r>
        <w:rPr>
          <w:rFonts w:ascii="Times New Roman;Times;serif" w:hAnsi="Times New Roman;Times;serif"/>
          <w:i/>
          <w:sz w:val="24"/>
        </w:rPr>
        <w:t>Material Plan”</w:t>
      </w:r>
      <w:r>
        <w:rPr>
          <w:rFonts w:ascii="Times New Roman;Times;serif" w:hAnsi="Times New Roman;Times;serif"/>
          <w:sz w:val="24"/>
        </w:rPr>
        <w:t xml:space="preserve">) shall be filed under Title IV of ERISA by the Borrower or any Subsidiary, or any other member of its Controlled Group, any plan administrator or any combination of the foregoing; or the PBGC shall institute proceedings under Title IV of ERISA to terminate or to cause a trustee to be appointed to administer any Material Plan or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proceeding shall be instituted by a fiduciary of any Material Plan against the Borrower or any Subsidiary,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(i)any Change of Control shall occur;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(j)the Borrower or any Material Subsidiary shall (i) have entered involuntarily against it an order for relief under the United States 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Properties or other assets,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within sixty (60) days, (vi) take any board of director or shareholder action (including the convening of a meeting) in furtherance of any matter described in parts (i) through (v) above, or (vii) fail to contest in good faith any appointment or proceeding described in Section 9.1(k)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(k)a custodian, receiver, trustee, examiner, liquidator or similar official shall be appointed for the Borrower or any Subsidiary, or any substantial part of any of its Properties or other assets, or a proceeding described in Section 9.1(j)(v) shall be instituted against the Borrower or any Subsidiary, and such appointment continues undischarged or such proceeding continues undismissed or unstayed for a period of sixty (60) days;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(l)the common stock of the Borrower fails to be duly listed on the New York Stock Exchange, the NYSE American or The NASDAQ Stock Market;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(m)any material provision of any Loan Document, at any time after its execution and delivery and for any reason other than in accordance with the terms hereof or thereof, or satisfaction in full or all the Obligations, is revoked, terminated, cancelled or rescinded, without the prior written approval of the Administrative Agent; or the Borrower or any Guarantor commences any legal proceeding at law or in equity to contest, or make unenforceable, cancel, revoke or rescind any of the Loan Documents, or any court or any other Governmental Authority of competent jurisdiction shall make a determination that, or issue a judgment, order, decree or ruling to the effect that, any one or more of the Loan Documents is illegal, invalid or unenforceable as to any material terms thereof.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9.2.</w:t>
      </w:r>
      <w:bookmarkStart w:id="163" w:name="_Toc241229874"/>
      <w:bookmarkEnd w:id="163"/>
      <w:r>
        <w:rPr>
          <w:rFonts w:ascii="Times New Roman;Times;serif" w:hAnsi="Times New Roman;Times;serif"/>
          <w:i w:val="false"/>
          <w:caps w:val="false"/>
          <w:smallCaps w:val="false"/>
          <w:sz w:val="24"/>
          <w:u w:val="single"/>
        </w:rPr>
        <w:t>Non-Bankruptcy Defaults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When any Event of Default (other than those described in subsection (j) or (k) of Section 9.1 hereof) has occurred and is continuing, the Administrative Agent shall, by written notice to the Borrower: (a) if so directed by the Required Lenders, terminate the remaining Commitments and all other obligations of the Lenders hereunder on the date stated in such notice (which may be the date thereof); and (b) if so directed by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Required Lenders, declare the principal of and the accrued interest on all outstanding Loans to be forthwith due and payable and thereupon all outstanding Loans, including both principal and interest thereon, shall be and become immediately due and payable together with all other amounts payable under the Loan Documents without further demand, presentment, protest or notice of any kind; and (c) if so directed by the Required Revolving Lenders, demand that the Borrower immediately pay to the Administrative Agent the full amount then available for drawing under each or any Letter of Credit, and the Borrower agrees to immediately make such payment.  The Administrative Agent, after giving notice to the Borrower pursuant to Section 9.1(c) or this Section 9.2, shall also promptly send a copy of such notice to the other Lenders, but the failure to do so shall not impair or annul the effect of such notice.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9.3.</w:t>
      </w:r>
      <w:bookmarkStart w:id="164" w:name="_Toc241229875"/>
      <w:bookmarkEnd w:id="164"/>
      <w:r>
        <w:rPr>
          <w:rFonts w:ascii="Times New Roman;Times;serif" w:hAnsi="Times New Roman;Times;serif"/>
          <w:i w:val="false"/>
          <w:caps w:val="false"/>
          <w:smallCaps w:val="false"/>
          <w:sz w:val="24"/>
          <w:u w:val="single"/>
        </w:rPr>
        <w:t>Bankruptcy Defaults</w:t>
      </w:r>
      <w:r>
        <w:rPr>
          <w:rFonts w:ascii="Times New Roman;Times;serif" w:hAnsi="Times New Roman;Times;serif"/>
          <w:i w:val="false"/>
          <w:caps w:val="false"/>
          <w:smallCaps w:val="false"/>
          <w:sz w:val="24"/>
        </w:rPr>
        <w:t>.  When any Event of Default described in subsections (j) or (k) of Section 9.1 hereof has occurred and is continuing, then all outstanding Loans shall immediately become due and payable together with all other amounts payable under the Loan Documents without presentment, demand, protest or notice of any kind, the obligation of the Lenders to extend further credit pursuant to any of the terms hereof shall immediately terminate and the Borrower shall immediately pay to the Administrative Agent the full amount then available for drawing under all outstanding Letters of Credit.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9.4.</w:t>
      </w:r>
      <w:bookmarkStart w:id="165" w:name="_Toc241229876"/>
      <w:bookmarkEnd w:id="165"/>
      <w:r>
        <w:rPr>
          <w:rFonts w:ascii="Times New Roman;Times;serif" w:hAnsi="Times New Roman;Times;serif"/>
          <w:i w:val="false"/>
          <w:caps w:val="false"/>
          <w:smallCaps w:val="false"/>
          <w:sz w:val="24"/>
          <w:u w:val="single"/>
        </w:rPr>
        <w:t>Collateral for Undrawn Letters of Credit</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the prepayment of the amount available for drawing under any or all outstanding Letters of Credit is required under Section 1.8(b), Section 1.14, Section 9.2 or Section 9.3 above, the Borrower shall forthwith pay one hundred three percent (103%) of the amount required to be so prepaid (to cash collateralize fees and interest as well as the amount of the Letter of Credit), to be held by the Administrative Agent as provided in subsection (b) below.</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(b)All amounts prepaid pursuant to subsection (a) above shall be held by the Administrative Agent in one or more separate collateral accounts (each such account, and the credit balances, properties, and any investments from time to time held therein, and any substitutions for such account, any certificate of deposit or other instrument evidencing any of the foregoing and all proceeds of and earnings on any of the foregoing being collectively called the “</w:t>
      </w:r>
      <w:r>
        <w:rPr>
          <w:rFonts w:ascii="Times New Roman;Times;serif" w:hAnsi="Times New Roman;Times;serif"/>
          <w:i/>
          <w:sz w:val="24"/>
        </w:rPr>
        <w:t>Collateral Account”</w:t>
      </w:r>
      <w:r>
        <w:rPr>
          <w:rFonts w:ascii="Times New Roman;Times;serif" w:hAnsi="Times New Roman;Times;serif"/>
          <w:sz w:val="24"/>
        </w:rPr>
        <w:t xml:space="preserve">) as security for, and for application by the Administrative Agent (to the extent available) to, the reimbursement of any payment under any Letter of Credit then or thereafter made by the L/C Issuer, and to the payment of the unpaid balance of all other Obligations (and to all Hedging Liability and Funds Transfer and Deposit Account Liability).  The Collateral Account shall be held in the name of and subject to the exclusive dominion and control of the Administrative Agent for the benefit of the Administrative Agent, the Lenders, and the L/C Issuer.  If and when requested by the Borrower, the Administrative Agent shall invest funds held in the Collateral Account from time to time in direct obligations of, or obligations the principal of and interest on which are unconditionally guaranteed by, the United States of America with a remaining maturity of one year or less, </w:t>
      </w:r>
      <w:r>
        <w:rPr>
          <w:rFonts w:ascii="Times New Roman;Times;serif" w:hAnsi="Times New Roman;Times;serif"/>
          <w:i/>
          <w:sz w:val="24"/>
        </w:rPr>
        <w:t>provided</w:t>
      </w:r>
      <w:r>
        <w:rPr>
          <w:rFonts w:ascii="Times New Roman;Times;serif" w:hAnsi="Times New Roman;Times;serif"/>
          <w:sz w:val="24"/>
        </w:rPr>
        <w:t xml:space="preserve"> that the Administrative Agent is irrevocably authorized to sell investments held in the Collateral Account when and as required to make payments out of the Collateral Account for application to amounts then due and owing from the Borrower to the L/C Issuer, the Administrative Agent or the Lenders; </w:t>
      </w:r>
      <w:r>
        <w:rPr>
          <w:rFonts w:ascii="Times New Roman;Times;serif" w:hAnsi="Times New Roman;Times;serif"/>
          <w:i/>
          <w:sz w:val="24"/>
        </w:rPr>
        <w:t>provided, however,</w:t>
      </w:r>
      <w:r>
        <w:rPr>
          <w:rFonts w:ascii="Times New Roman;Times;serif" w:hAnsi="Times New Roman;Times;serif"/>
          <w:sz w:val="24"/>
        </w:rPr>
        <w:t xml:space="preserve"> that (i) if the Borrower shall have made payment of all obligations referred to in subsection (a) above required under Section 1.8(b) and Section 1.14 hereof, if any, at the request of the Borrower the Administrative Agent shall release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to the Borrower amounts held in the Collateral Account so long as at the time of the release and after giving effect thereto no Default or Event of Default exists and, in the case of Section 1.14 hereof, the Defaulting Lender Period with respect to the relevant Defaulting Lender has terminated, and (ii) if the Borrower shall have made payment of all obligations referred to in subsection (a) above required under Section 9.2 or 9.3 hereof, so long as no Letters of Credit, Revolving Credit Commitments, Revolving Loans or other Obligations, Hedging Liability, or Funds Transfer and Deposit Account Liability remain outstanding, at the request of the Borrower the Administrative Agent shall release to the Borrower any remaining amounts held in the Collateral Account.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9.5.</w:t>
      </w:r>
      <w:bookmarkStart w:id="166" w:name="_Toc241229877"/>
      <w:bookmarkStart w:id="167" w:name="_Toc69823633"/>
      <w:bookmarkEnd w:id="166"/>
      <w:bookmarkEnd w:id="167"/>
      <w:r>
        <w:rPr>
          <w:rFonts w:ascii="Times New Roman;Times;serif" w:hAnsi="Times New Roman;Times;serif"/>
          <w:i w:val="false"/>
          <w:caps w:val="false"/>
          <w:smallCaps w:val="false"/>
          <w:sz w:val="24"/>
          <w:u w:val="single"/>
        </w:rPr>
        <w:t>Notice of Default</w:t>
      </w:r>
      <w:r>
        <w:rPr>
          <w:rFonts w:ascii="Times New Roman;Times;serif" w:hAnsi="Times New Roman;Times;serif"/>
          <w:i w:val="false"/>
          <w:caps w:val="false"/>
          <w:smallCaps w:val="false"/>
          <w:sz w:val="24"/>
        </w:rPr>
        <w:t>.  The Administrative Agent shall give notice to the Borrower under Section 9.1 hereof promptly upon being requested to do so by any Lender and shall thereupon notify all the Lenders thereof.</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10.</w:t>
      </w:r>
      <w:bookmarkStart w:id="168" w:name="_Toc241229878"/>
      <w:bookmarkEnd w:id="168"/>
      <w:r>
        <w:rPr>
          <w:rFonts w:ascii="Times New Roman;Times;serif" w:hAnsi="Times New Roman;Times;serif"/>
          <w:caps/>
          <w:sz w:val="24"/>
        </w:rPr>
        <w:t>Change in Circumstances.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10.1.</w:t>
      </w:r>
      <w:bookmarkStart w:id="169" w:name="_Toc241229879"/>
      <w:bookmarkEnd w:id="169"/>
      <w:r>
        <w:rPr>
          <w:rFonts w:ascii="Times New Roman;Times;serif" w:hAnsi="Times New Roman;Times;serif"/>
          <w:i w:val="false"/>
          <w:caps w:val="false"/>
          <w:smallCaps w:val="false"/>
          <w:sz w:val="24"/>
          <w:u w:val="single"/>
        </w:rPr>
        <w:t>Change of Law</w:t>
      </w:r>
      <w:r>
        <w:rPr>
          <w:rFonts w:ascii="Times New Roman;Times;serif" w:hAnsi="Times New Roman;Times;serif"/>
          <w:i w:val="false"/>
          <w:caps w:val="false"/>
          <w:smallCaps w:val="false"/>
          <w:sz w:val="24"/>
        </w:rPr>
        <w:t xml:space="preserve">.  Notwithstanding any other provisions of this Agreement or any other Loan Document, if at any time any Change in Law makes it unlawful for any Lender to make or continue to maintain any SOFR Loans or to perform its obligations as contemplated hereby related to SOFR Loans, such Lender shall promptly give written notice thereof to the Borrower and such Lender’s obligations to make or maintain SOFR Loans under this Agreement shall be suspended until it is no longer unlawful for such Lender to make or maintain SOFR Loans.  The Borrower shall promptly prepay the outstanding principal amount of any such affected SOFR Loans, together with all interest accrued thereon and all other amounts then due and payable to such Lender under this Agreement or, subject to all of the terms and conditions of this Agreement, convert such affected SOFR Loans into Base Rate Loans; </w:t>
      </w:r>
      <w:r>
        <w:rPr>
          <w:rFonts w:ascii="Times New Roman;Times;serif" w:hAnsi="Times New Roman;Times;serif"/>
          <w:i/>
          <w:sz w:val="24"/>
        </w:rPr>
        <w:t>provided, however,</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subject to all of the terms and conditions of this Agreement (unless the affected SOFR Loans are converted into Base Rate Loans), the Borrower may then elect to borrow the principal amount of the affected SOFR Loans from such Lender by means of Base Rate Loans from such Lender, which Base Rate Loans shall not be made ratably by the Lenders but only from such affected Lender.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10.2.</w:t>
      </w:r>
      <w:bookmarkStart w:id="170" w:name="_Toc241229880"/>
      <w:bookmarkStart w:id="171" w:name="_Ref99960797"/>
      <w:bookmarkStart w:id="172" w:name="_Toc97558778"/>
      <w:bookmarkStart w:id="173" w:name="_Toc93574619"/>
      <w:bookmarkStart w:id="174" w:name="_Ref93525415"/>
      <w:bookmarkStart w:id="175" w:name="_Toc81414265"/>
      <w:bookmarkStart w:id="176" w:name="_Ref17150935"/>
      <w:bookmarkStart w:id="177" w:name="_Ref16685928"/>
      <w:bookmarkStart w:id="178" w:name="_Ref16685467"/>
      <w:bookmarkStart w:id="179" w:name="_Ref524347559"/>
      <w:bookmarkStart w:id="180" w:name="_Ref524347558"/>
      <w:bookmarkStart w:id="181" w:name="_Ref524347557"/>
      <w:bookmarkStart w:id="182" w:name="_Toc128299749"/>
      <w:bookmarkEnd w:id="170"/>
      <w:bookmarkEnd w:id="171"/>
      <w:bookmarkEnd w:id="172"/>
      <w:bookmarkEnd w:id="173"/>
      <w:bookmarkEnd w:id="174"/>
      <w:bookmarkEnd w:id="175"/>
      <w:bookmarkEnd w:id="176"/>
      <w:bookmarkEnd w:id="177"/>
      <w:bookmarkEnd w:id="178"/>
      <w:bookmarkEnd w:id="179"/>
      <w:bookmarkEnd w:id="180"/>
      <w:bookmarkEnd w:id="181"/>
      <w:bookmarkEnd w:id="182"/>
      <w:r>
        <w:rPr>
          <w:rFonts w:ascii="Times New Roman;Times;serif" w:hAnsi="Times New Roman;Times;serif"/>
          <w:i w:val="false"/>
          <w:caps w:val="false"/>
          <w:smallCaps w:val="false"/>
          <w:sz w:val="24"/>
          <w:u w:val="single"/>
        </w:rPr>
        <w:t>Temporary Inability to Determine Rates Alternate Rate of Interest</w:t>
      </w:r>
      <w:r>
        <w:rPr>
          <w:rFonts w:ascii="Times New Roman;Times;serif" w:hAnsi="Times New Roman;Times;serif"/>
          <w:i w:val="false"/>
          <w:caps w:val="false"/>
          <w:smallCaps w:val="false"/>
          <w:sz w:val="24"/>
        </w:rPr>
        <w:t xml:space="preserve">.  If (A) the Administrative Agent determines (which determination shall be conclusive and binding absent manifest error) that Daily Simple SOFR or Term SOFR cannot be determined pursuant to the definition thereof or (B) the Required Lenders determine that for any reason in connection with any request for a SOFR Loan or a conversion thereto or a continuation thereof that Daily Simple SOFR or Term SOFR for any requested Interest Period with respect to a proposed SOFR Loan does not adequately and fairly reflect the cost to such Lenders of funding such Loan, and the Required Lenders have provided notice of such determination to the Administrative Agent, in each case of (A) and (B) with respect to a Term SOFR Loan, on or prior to the first day of any Interest Period, the Administrative Agent will promptly so notify the Borrower and each Lender.  Upon notice thereof by the Administrative Agent to the Borrower, (i) any obligation of the Lenders to make or continue the applicable SOFR Loans or to convert Base Rate Loans to SOFR Loans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 Upon receipt of such notice, (i) the Borrower may revoke any pending request for a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borrowing of, conversion to or continuation of any applicable SOFR Loans (to the extent of the affected SOFR Loans or affected Interest Periods) or, failing that, the Borrower will be deemed to have converted any such request into a request for a Borrowing of or conversion to Base Rate Loans in the amount specified therein and (ii) any outstanding affected SOFR Loans will be deemed to have been converted into Base Rate Loans at the end of the applicable Interest Period, in respect of Term SOFR Loans, or immediately in respect of Daily Simple SOFR Loans.  Upon any such conversion, the Borrower shall also pay accrued interest on the amount so converted, together with any additional amounts required pursuant to Section 1.11.   If the Administrative Agent determines (which determination shall be conclusive and binding absent manifest error) that “Term SOFR” cannot be determined pursuant to the definition thereof on any given day, the interest rate on Base Rate Loans shall be determined by the Administrative Agent without reference to clause (c) of the definition of “Base Rate” until the Administrative Agent revokes such determination.  The Administrative Agent shall promptly revoke any such determination promptly upon the circumstances leading to such determination ceasing to exist.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10.3.</w:t>
      </w:r>
      <w:bookmarkStart w:id="183" w:name="_Toc241229881"/>
      <w:bookmarkEnd w:id="183"/>
      <w:r>
        <w:rPr>
          <w:rFonts w:ascii="Times New Roman;Times;serif" w:hAnsi="Times New Roman;Times;serif"/>
          <w:i w:val="false"/>
          <w:caps w:val="false"/>
          <w:smallCaps w:val="false"/>
          <w:sz w:val="24"/>
          <w:u w:val="single"/>
        </w:rPr>
        <w:t>Increased Cost and Reduced Return</w:t>
      </w:r>
      <w:r>
        <w:rPr>
          <w:rFonts w:ascii="Times New Roman;Times;serif" w:hAnsi="Times New Roman;Times;serif"/>
          <w:i w:val="false"/>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(a)Increased Costs Generally.  If any Change in Law shall: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(i)subject any Lender (or its Lending Office) to any Tax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(ii)impose, modify or deem applicable any reserve, special deposit, compulsory loan, insurance charge or similar requirement (including, without limitation, any such requirement imposed by the Board of Governors of the Federal Reserve System) against assets of, deposits with or for the account of, or credit extended by, any Lender (or its Lending Office) or on the interbank market any other condition affecting its SOFR Loans, its Notes or its obligations to make SOFR Loans;</w:t>
      </w:r>
    </w:p>
    <w:p>
      <w:pPr>
        <w:pStyle w:val="TextBody"/>
        <w:bidi w:val="0"/>
        <w:spacing w:before="0" w:after="240"/>
        <w:ind w:left="0" w:right="0" w:hanging="0"/>
        <w:jc w:val="both"/>
        <w:rPr>
          <w:rFonts w:ascii="Times" w:hAnsi="Times"/>
          <w:sz w:val="24"/>
        </w:rPr>
      </w:pPr>
      <w:r>
        <w:rPr>
          <w:rFonts w:ascii="Times" w:hAnsi="Times"/>
          <w:sz w:val="24"/>
        </w:rPr>
        <w:t>and the result of any of the foregoing is to increase the cost to such Lender (or its Lending Office) or to reduce the amount of any sum received or receivable by such Lender (or its Lending Office) or under any other Loan Document with respect thereto, by an amount deemed by such Lender to be material, then, within 15 days after demand by such Lender (with a copy to the Administrative Agent), the Borrower shall be obligated to pay to such Lender such additional amount or amounts as will compensate such Lender for such increased cost or reduction.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(b)Capital Requirements.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time, within 15 days after demand by such Lender (with a copy to the Administrative Agent), the Borrower shall pay to such Lender, as the case may be, such additional amount or amounts as will compensate such Lender or such Lender’s holding company for any such reduction suffered.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(c)Certificates for Reimbursement.  A certificate of a Lender claiming compensation under Sections 1.11, 10.1, 10.3 and 12.1 and setting forth the additional amount or amounts to be paid to it hereunder shall be conclusive if reasonably determined.  In determining such amount, such Lender may use any reasonable averaging and attribution methods.  The Borrower shall pay such Lender the amount shown as due on any such certificate within ten (10) days after receipt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(d)Delay in Requests.  Failure or delay on the part of any Lender to demand compensation pursuant to this Section shall not constitute a waiver of such Lender’s right to demand such compensation; </w:t>
      </w:r>
      <w:r>
        <w:rPr>
          <w:rFonts w:ascii="Times New Roman;Times;serif" w:hAnsi="Times New Roman;Times;serif"/>
          <w:i/>
          <w:sz w:val="24"/>
        </w:rPr>
        <w:t>provided</w:t>
      </w:r>
      <w:r>
        <w:rPr>
          <w:rFonts w:ascii="Times New Roman;Times;serif" w:hAnsi="Times New Roman;Times;serif"/>
          <w:sz w:val="24"/>
        </w:rPr>
        <w:t xml:space="preserve"> that the Borrower shall not be required to compensate a Lender pursuant to this Section for any increased costs incurred or reductions suffered more than nine months prior to the date that such Lender, as the case may be, notifies the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10.4.</w:t>
      </w:r>
      <w:bookmarkStart w:id="184" w:name="_Toc241229882"/>
      <w:bookmarkEnd w:id="184"/>
      <w:r>
        <w:rPr>
          <w:rFonts w:ascii="Times New Roman;Times;serif" w:hAnsi="Times New Roman;Times;serif"/>
          <w:i w:val="false"/>
          <w:caps w:val="false"/>
          <w:smallCaps w:val="false"/>
          <w:sz w:val="24"/>
          <w:u w:val="single"/>
        </w:rPr>
        <w:t>Lending Offices</w:t>
      </w:r>
      <w:r>
        <w:rPr>
          <w:rFonts w:ascii="Times New Roman;Times;serif" w:hAnsi="Times New Roman;Times;serif"/>
          <w:i w:val="false"/>
          <w:caps w:val="false"/>
          <w:smallCaps w:val="false"/>
          <w:sz w:val="24"/>
        </w:rPr>
        <w:t xml:space="preserve">.  Each Lender may, at its option, elect to make its Loans hereunder at the branch, office or affiliate specified on the appropriate signature page hereof (each a </w:t>
      </w:r>
      <w:r>
        <w:rPr>
          <w:rFonts w:ascii="Times New Roman;Times;serif" w:hAnsi="Times New Roman;Times;serif"/>
          <w:i/>
          <w:sz w:val="24"/>
        </w:rPr>
        <w:t>“Lending Office”</w:t>
      </w:r>
      <w:r>
        <w:rPr>
          <w:rFonts w:ascii="Times New Roman;Times;serif" w:hAnsi="Times New Roman;Times;serif"/>
          <w:i w:val="false"/>
          <w:caps w:val="false"/>
          <w:smallCaps w:val="false"/>
          <w:sz w:val="24"/>
        </w:rPr>
        <w:t>) for each type of Loan available hereunder or at such other of its branches, offices or affiliates as it may from time to time elect and designate in a written notice to the Borrower and the Administrative Agent.  To the extent reasonably possible, a Lender shall designate an alternative branch or funding office with respect to its SOFR Loans to reduce any liability of the Borrower to such Lender under Section 10.3 hereof or to avoid the unavailability of SOFR Loans under Section 10.2 hereof, so long as such designation is not otherwise disadvantageous to the Lender.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10.5.</w:t>
      </w:r>
      <w:bookmarkStart w:id="185" w:name="_Toc241229883"/>
      <w:bookmarkEnd w:id="185"/>
      <w:r>
        <w:rPr>
          <w:rFonts w:ascii="Times New Roman;Times;serif" w:hAnsi="Times New Roman;Times;serif"/>
          <w:i w:val="false"/>
          <w:caps w:val="false"/>
          <w:smallCaps w:val="false"/>
          <w:sz w:val="24"/>
          <w:u w:val="single"/>
        </w:rPr>
        <w:t>Discretion of Lender as to Manner of Funding</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Notwithstanding any other provision of this Agreement, each Lender shall be entitled to fund and maintain its funding of all or any part of its Loans in any manner it sees fit, it being understood, however, that for the purposes of this Agreement all determinations hereunder with respect to SOFR Loans shall be made as if each Lender had actually funded and maintained each SOFR Loan through the purchase of deposits in the applicable interbank market having a maturity corresponding to such Loan’s Interest Period, and bearing an interest rate equal to the applicable SOFR for any applicable Interest Period.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10.6.</w:t>
      </w:r>
      <w:bookmarkStart w:id="186" w:name="_Toc93574626"/>
      <w:bookmarkStart w:id="187" w:name="_Ref93524401"/>
      <w:bookmarkStart w:id="188" w:name="_Toc241229884"/>
      <w:bookmarkStart w:id="189" w:name="_Ref99960761"/>
      <w:bookmarkStart w:id="190" w:name="_Toc97558786"/>
      <w:bookmarkEnd w:id="186"/>
      <w:bookmarkEnd w:id="187"/>
      <w:bookmarkEnd w:id="188"/>
      <w:bookmarkEnd w:id="189"/>
      <w:bookmarkEnd w:id="190"/>
      <w:r>
        <w:rPr>
          <w:rFonts w:ascii="Times New Roman;Times;serif" w:hAnsi="Times New Roman;Times;serif"/>
          <w:i w:val="false"/>
          <w:caps w:val="false"/>
          <w:smallCaps w:val="false"/>
          <w:sz w:val="24"/>
          <w:u w:val="single"/>
        </w:rPr>
        <w:t>Permanent Inability to Determine Rate; Benchmark Replacement</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91" w:name="_Ref93524393"/>
      <w:bookmarkEnd w:id="191"/>
      <w:r>
        <w:rPr>
          <w:rFonts w:ascii="Times New Roman;Times;serif" w:hAnsi="Times New Roman;Times;serif"/>
          <w:sz w:val="24"/>
          <w:u w:val="single"/>
        </w:rPr>
        <w:t>Benchmark Replacement</w:t>
      </w:r>
      <w:r>
        <w:rPr>
          <w:rFonts w:ascii="Times New Roman;Times;serif" w:hAnsi="Times New Roman;Times;serif"/>
          <w:sz w:val="24"/>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New York  time, on the fifth (5th) Business Day after the Administrative Agent has posted such proposed amendment to all Lenders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and the Borrower so long as the Administrative Agent has not received, by such time, written notice of objection to such amendment from Lenders comprising the Required Lenders. No replacement of the then-current Benchmark with a Benchmark Replacement pursuant to this Section 10.6 will occur prior to the applicable Benchmark Transition Start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Benchmark Replacement Conforming Changes</w:t>
      </w:r>
      <w:r>
        <w:rPr>
          <w:rFonts w:ascii="Times New Roman;Times;serif" w:hAnsi="Times New Roman;Times;serif"/>
          <w:sz w:val="24"/>
        </w:rPr>
        <w:t>.  In connection with the use, administration, adoption or implementation of a Benchmark Replacement, the Administrative Agent will have the right, in consultation with the Borrower,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Notices; Standards for Decisions and Determinations</w:t>
      </w:r>
      <w:r>
        <w:rPr>
          <w:rFonts w:ascii="Times New Roman;Times;serif" w:hAnsi="Times New Roman;Times;serif"/>
          <w:sz w:val="24"/>
        </w:rPr>
        <w:t>.  The Administrative Agent will promptly notify the Borrower and the Lenders of the implementation of any Benchmark Replacement and the effectiveness of any Conforming Changes.  The Administrative Agent will notify the Borrower of (x) the removal or reinstatement of any tenor of a Benchmark and (y) the commencement of any Benchmark Unavailability Period. Any determination, decision or election that may be made by the Administrative Agent or Lenders pursuant to this Section 10.6,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10.6.</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192" w:name="_Ref93525364"/>
      <w:bookmarkEnd w:id="192"/>
      <w:r>
        <w:rPr>
          <w:rFonts w:ascii="Times New Roman;Times;serif" w:hAnsi="Times New Roman;Times;serif"/>
          <w:sz w:val="24"/>
          <w:u w:val="single"/>
        </w:rPr>
        <w:t>Unavailability of Tenor of Benchmark</w:t>
      </w:r>
      <w:r>
        <w:rPr>
          <w:rFonts w:ascii="Times New Roman;Times;serif" w:hAnsi="Times New Roman;Times;serif"/>
          <w:sz w:val="24"/>
        </w:rPr>
        <w:t>.  Notwithstanding anything to the contrary herein or in any other Loan Document,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non-representative, non-compliant or non-aligned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Benchmark Unavailability Period</w:t>
      </w:r>
      <w:r>
        <w:rPr>
          <w:rFonts w:ascii="Times New Roman;Times;serif" w:hAnsi="Times New Roman;Times;serif"/>
          <w:sz w:val="24"/>
        </w:rPr>
        <w:t xml:space="preserve">.  Upon the Borrower’s receipt of notice of the commencement of a Benchmark Unavailability Period, the Borrower may revoke any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request for the applicable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Term SOFR (or then-current Benchmark) will not be used in any determination of Base Rate.</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11.</w:t>
      </w:r>
      <w:bookmarkStart w:id="193" w:name="_Toc241229885"/>
      <w:bookmarkEnd w:id="193"/>
      <w:r>
        <w:rPr>
          <w:rFonts w:ascii="Times New Roman;Times;serif" w:hAnsi="Times New Roman;Times;serif"/>
          <w:caps/>
          <w:sz w:val="24"/>
        </w:rPr>
        <w:t>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w:t>
      </w:r>
      <w:bookmarkStart w:id="194" w:name="_Toc241229886"/>
      <w:bookmarkEnd w:id="194"/>
      <w:r>
        <w:rPr>
          <w:rFonts w:ascii="Times New Roman;Times;serif" w:hAnsi="Times New Roman;Times;serif"/>
          <w:i w:val="false"/>
          <w:caps w:val="false"/>
          <w:smallCaps w:val="false"/>
          <w:sz w:val="24"/>
          <w:u w:val="single"/>
        </w:rPr>
        <w:t>Appointment and Authority</w:t>
      </w:r>
      <w:r>
        <w:rPr>
          <w:rFonts w:ascii="Times New Roman;Times;serif" w:hAnsi="Times New Roman;Times;serif"/>
          <w:i w:val="false"/>
          <w:caps w:val="false"/>
          <w:smallCaps w:val="false"/>
          <w:sz w:val="24"/>
        </w:rPr>
        <w:t>.  Each of the Lenders hereby irrevocably appoints KeyBank</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11 are solely for the benefit of the Administrative Agent and the Lenders, and neither the Borrower nor any Guarantor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11.2.</w:t>
      </w:r>
      <w:bookmarkStart w:id="195" w:name="_Toc241229887"/>
      <w:bookmarkEnd w:id="195"/>
      <w:r>
        <w:rPr>
          <w:rFonts w:ascii="Times New Roman;Times;serif" w:hAnsi="Times New Roman;Times;serif"/>
          <w:i w:val="false"/>
          <w:caps w:val="false"/>
          <w:smallCaps w:val="false"/>
          <w:sz w:val="24"/>
          <w:u w:val="single"/>
        </w:rPr>
        <w:t>Rights as a Lender</w:t>
      </w:r>
      <w:r>
        <w:rPr>
          <w:rFonts w:ascii="Times New Roman;Times;serif" w:hAnsi="Times New Roman;Times;serif"/>
          <w:i/>
          <w:sz w:val="24"/>
        </w:rPr>
        <w:t xml:space="preserve">. </w:t>
      </w:r>
      <w:r>
        <w:rPr>
          <w:rFonts w:ascii="Times New Roman;Times;serif" w:hAnsi="Times New Roman;Times;serif"/>
          <w:i w:val="false"/>
          <w:caps w:val="false"/>
          <w:smallCaps w:val="false"/>
          <w:sz w:val="24"/>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11.3.</w:t>
      </w:r>
      <w:bookmarkStart w:id="196" w:name="_Toc241229888"/>
      <w:bookmarkEnd w:id="196"/>
      <w:r>
        <w:rPr>
          <w:rFonts w:ascii="Times New Roman;Times;serif" w:hAnsi="Times New Roman;Times;serif"/>
          <w:i w:val="false"/>
          <w:caps w:val="false"/>
          <w:smallCaps w:val="false"/>
          <w:sz w:val="24"/>
          <w:u w:val="single"/>
        </w:rPr>
        <w:t>Action by Administrative Agent; Exculpatory Provisions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(i)shall not be subject to any fiduciary or other implied duties, regardless of whether a Default has occurred and is continuing;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of the Lenders as shall be expressly provided for herein or in the other Loan Documents), </w:t>
      </w:r>
      <w:r>
        <w:rPr>
          <w:rFonts w:ascii="Times New Roman;Times;serif" w:hAnsi="Times New Roman;Times;serif"/>
          <w:i/>
          <w:sz w:val="24"/>
        </w:rPr>
        <w:t>provided</w:t>
      </w:r>
      <w:r>
        <w:rPr>
          <w:rFonts w:ascii="Times New Roman;Times;serif" w:hAnsi="Times New Roman;Times;serif"/>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The Administrative Agent shall in all cases be fully justified in failing or refusing to act hereunder or under any other Loan Document unless it first receives any further assurances of its indemnification from the Lenders that it may require, including prepayment of any related expenses and any other protection it requires against any and all costs, expense, and liability which may be incurred by it by reason of taking or continuing to take any such action;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(iii)shall not, except as expressly set forth herein and in the other Loan Documents, have any duty or responsibility to disclose, and shall not be liable for the failure to disclose, any information relating to Borrower or any of its Affiliates or any Guarantor or any of their Affiliates that is communicated to or obtained by the Person serving as the Administrative Agent or any of its Affiliates in any capacity.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Sections 9.2, 9.3, 9.4, 9.5 and 12.13),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to the Administrative Agent in writing by the Borrower, a Lender.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(c)Neither the Administrative Agent nor any of its Related Parties shall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Section 7.1 or 7.2 or elsewhere herein, other than to confirm receipt of items expressly required to be delivered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11.4.</w:t>
      </w:r>
      <w:bookmarkStart w:id="197" w:name="_Toc241229889"/>
      <w:bookmarkEnd w:id="197"/>
      <w:r>
        <w:rPr>
          <w:rFonts w:ascii="Times New Roman;Times;serif" w:hAnsi="Times New Roman;Times;serif"/>
          <w:i w:val="false"/>
          <w:caps w:val="false"/>
          <w:smallCaps w:val="false"/>
          <w:sz w:val="24"/>
          <w:u w:val="single"/>
        </w:rPr>
        <w:t>Reliance by Administrative Agent</w:t>
      </w:r>
      <w:r>
        <w:rPr>
          <w:rFonts w:ascii="Times New Roman;Times;serif" w:hAnsi="Times New Roman;Times;serif"/>
          <w:i w:val="false"/>
          <w:caps w:val="false"/>
          <w:smallCaps w:val="false"/>
          <w:sz w:val="24"/>
        </w:rPr>
        <w:t xml:space="preserve">.  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L/C Issuer unless the Administrative Agent shall have received notice to the contrary from such Lender or L/C Issuer prior to the making of such Loan or the issuance of such Letter of Credit.  The Administrative Agent may consult with legal counsel (who may be counsel for the Borrower or Guarantors),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11.5.</w:t>
      </w:r>
      <w:bookmarkStart w:id="198" w:name="_Toc241229890"/>
      <w:bookmarkEnd w:id="198"/>
      <w:r>
        <w:rPr>
          <w:rFonts w:ascii="Times New Roman;Times;serif" w:hAnsi="Times New Roman;Times;serif"/>
          <w:i w:val="false"/>
          <w:caps w:val="false"/>
          <w:smallCaps w:val="false"/>
          <w:sz w:val="24"/>
          <w:u w:val="single"/>
        </w:rPr>
        <w:t>Delegation of Duties</w:t>
      </w:r>
      <w:r>
        <w:rPr>
          <w:rFonts w:ascii="Times New Roman;Times;serif" w:hAnsi="Times New Roman;Times;serif"/>
          <w:i w:val="false"/>
          <w:caps w:val="false"/>
          <w:smallCaps w:val="false"/>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Loans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11.6.</w:t>
      </w:r>
      <w:bookmarkStart w:id="199" w:name="_Toc241229891"/>
      <w:bookmarkEnd w:id="199"/>
      <w:r>
        <w:rPr>
          <w:rFonts w:ascii="Times New Roman;Times;serif" w:hAnsi="Times New Roman;Times;serif"/>
          <w:i w:val="false"/>
          <w:caps w:val="false"/>
          <w:smallCaps w:val="false"/>
          <w:sz w:val="24"/>
          <w:u w:val="single"/>
        </w:rPr>
        <w:t>Resignation of Administrative Agent; Removal of Administrative Agent</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may at any time give notice of its resignation to the Lenders, the L/C Issuer and the Borrower.  The Required Lenders may remove the Administrative Agent from its capacity as Administrative Agent in the event of the Administrative Agent’s willful misconduct or gross negligence.  Upon receipt of any such notice of resignation or removal, the Required Lenders shall have the right, in consultation with the Borrower, to appoint a successor, which shall be a bank with an office in the United States of America, or an Affiliate of any such bank with an office in the United States of America.  If no such successor shall have been so appointed by the Required Lenders and shall have accepted such appointment within thirty (30) days after the retiring Administrative Agent gives notice of its resignation or after removal by the Required Lenders (or such earlier day as shall be agreed by the Required Lenders) (the “</w:t>
      </w:r>
      <w:r>
        <w:rPr>
          <w:rFonts w:ascii="Times New Roman;Times;serif" w:hAnsi="Times New Roman;Times;serif"/>
          <w:i/>
          <w:sz w:val="24"/>
        </w:rPr>
        <w:t>Resignation Effective Date”</w:t>
      </w:r>
      <w:r>
        <w:rPr>
          <w:rFonts w:ascii="Times New Roman;Times;serif" w:hAnsi="Times New Roman;Times;serif"/>
          <w:sz w:val="24"/>
        </w:rPr>
        <w:t>), then the retiring Administrative Agent may (but shall not be obligated to), on behalf of the Lenders and the L/C Issuer, appoint a successor Administrative Agent meeting the qualifications set forth above.  Whether or not a successor has been appointed, such resignation or removal shall become effective in accordance with such notice on the Resignation Effective Date.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(b)With effect from the Resignation Effective Date, (i) the retiring Administrative Agent shall be discharged from its duties and obligations hereunder and under the other Loan Documents, and (ii) except for any indemnity payments owed to the retiring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removed Administrative Agent, all payments, communications and determinations provided to be made by, to or through the Administrative Agent shall instead be made by or to each Lender and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or other amounts owed to the retiring Administrative Agent), and the retiring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11 and Section 12.15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11.7.</w:t>
      </w:r>
      <w:bookmarkStart w:id="200" w:name="_Toc241229892"/>
      <w:bookmarkEnd w:id="200"/>
      <w:r>
        <w:rPr>
          <w:rFonts w:ascii="Times New Roman;Times;serif" w:hAnsi="Times New Roman;Times;serif"/>
          <w:i w:val="false"/>
          <w:caps w:val="false"/>
          <w:smallCaps w:val="false"/>
          <w:sz w:val="24"/>
          <w:u w:val="single"/>
        </w:rPr>
        <w:t>Non-Reliance on Administrative Agent and Other Lenders</w:t>
      </w:r>
      <w:r>
        <w:rPr>
          <w:rFonts w:ascii="Times New Roman;Times;serif" w:hAnsi="Times New Roman;Times;serif"/>
          <w:i w:val="false"/>
          <w:caps w:val="false"/>
          <w:smallCaps w:val="false"/>
          <w:sz w:val="24"/>
        </w:rPr>
        <w:t>.  Each Lender and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in each case in the ordinary course of business, and not for the purpose of investing in the general performance or operations of the Borrower, or for the purpose of purchasing, acquiring or holding any other type of financial instrument such as a security (and each Lender agrees not to assert a claim in contravention of the foregoing, such as a claim under the federal or state securities laws), (iii) it has, independently and without reliance upon the Administrative Agent, any Arranger, any Syndication Agent, any documentation agent or any other Lender,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0"/>
        <w:ind w:left="0" w:right="0" w:firstLine="720"/>
        <w:jc w:val="both"/>
        <w:rPr>
          <w:rFonts w:ascii="Times" w:hAnsi="Times"/>
          <w:sz w:val="24"/>
        </w:rPr>
      </w:pPr>
      <w:r>
        <w:rPr>
          <w:rFonts w:ascii="Times" w:hAnsi="Times"/>
          <w:sz w:val="24"/>
        </w:rPr>
        <w:t>Upon a Lender’s written request, the Administrative Agent agrees to forward to such Lender, when complete, copies of any field audit, examination, or appraisal report prepared by or for the Administrative Agent with respect to the Borrower or any Material Subsidiary (herein, “</w:t>
      </w:r>
      <w:r>
        <w:rPr>
          <w:rFonts w:ascii="Times" w:hAnsi="Times"/>
          <w:i/>
          <w:sz w:val="24"/>
        </w:rPr>
        <w:t>Reports”</w:t>
      </w:r>
      <w:r>
        <w:rPr>
          <w:rFonts w:ascii="Times" w:hAnsi="Times"/>
          <w:sz w:val="24"/>
        </w:rPr>
        <w:t xml:space="preserve">).  Each Lender hereby agrees that (a) it has requested a copy of each Report prepared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 xml:space="preserve">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will inspect only specific information regarding the Borrower and the other Material Subsidiaries and will rely significantly upon the books and records of Borrower and the other Material Subsidiaries, as well as on representations of personnel of the Borrower and the other Material Subsidiaries, and that the Administrative Agent undertakes no obligation to update, correct or supplement the Reports; (d) it will keep all Reports confidential and strictly for its internal use, not share the Report with any other Person except as otherwise permitted pursuant to this Agreement; and (e) without limiting the generality of </w:t>
      </w:r>
      <w:bookmarkStart w:id="201" w:name="_Toc33604089"/>
      <w:bookmarkEnd w:id="201"/>
      <w:r>
        <w:rPr>
          <w:rFonts w:ascii="Times" w:hAnsi="Times"/>
          <w:sz w:val="24"/>
        </w:rPr>
        <w:t>any other indemnification provision contained in this Agreement,</w:t>
      </w:r>
      <w:bookmarkStart w:id="202" w:name="_Toc33603732"/>
      <w:bookmarkEnd w:id="202"/>
      <w:r>
        <w:rPr>
          <w:rFonts w:ascii="Times" w:hAnsi="Times"/>
          <w:sz w:val="24"/>
        </w:rPr>
        <w:t xml:space="preserve"> it will pay and protect, and indemnify, defend, and hold the Administrative Agent and any such other Person preparing a Report harmless from and against, the claims, actions, proceedings, damages, costs, expenses, and other amounts (including reasonable attorney fees) incurred by as the direct or indirect result of any third parties who might obtain all or part of any Report through the indemnifying Lender.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11.8.</w:t>
      </w:r>
      <w:bookmarkStart w:id="203" w:name="_Toc241229893"/>
      <w:bookmarkEnd w:id="203"/>
      <w:r>
        <w:rPr>
          <w:rFonts w:ascii="Times New Roman;Times;serif" w:hAnsi="Times New Roman;Times;serif"/>
          <w:i w:val="false"/>
          <w:caps w:val="false"/>
          <w:smallCaps w:val="false"/>
          <w:sz w:val="24"/>
          <w:u w:val="single"/>
        </w:rPr>
        <w:t>L/C Issuer</w:t>
      </w:r>
      <w:r>
        <w:rPr>
          <w:rFonts w:ascii="Times New Roman;Times;serif" w:hAnsi="Times New Roman;Times;serif"/>
          <w:i/>
          <w:caps w:val="false"/>
          <w:smallCaps w:val="false"/>
          <w:sz w:val="24"/>
          <w:u w:val="single"/>
        </w:rPr>
        <w:t xml:space="preserve"> </w:t>
      </w:r>
      <w:r>
        <w:rPr>
          <w:rFonts w:ascii="Times New Roman;Times;serif" w:hAnsi="Times New Roman;Times;serif"/>
          <w:i w:val="false"/>
          <w:caps w:val="false"/>
          <w:smallCaps w:val="false"/>
          <w:sz w:val="24"/>
        </w:rPr>
        <w:t>.  The L/C Issuer shall act on behalf of the Revolving Lenders with respect to any Letters of Credit issued by it and the documents associated therewith.  The L/C Issuer shall have all of the benefits and immunities (i) provided to the Administrative Agent in this Section 11 with respect to any acts taken or omissions suffered by the L/C Issuer in connection with Letters of Credit issued by it or proposed to be issued by it and the Applications pertaining to such Letters of Credit made or to be made hereunder as fully as if the term “Administrative Agent”, as used in this Section 11, included the L/C Issuer with respect to such acts or omissions and (ii) as additionally provided in this Agreement with respect to such L/C Issuer.  Any resignation by the Person then acting as Administrative Agent pursuant to Section 11.6 shall also constitute its resignation or the resignation of its Affiliate as L/C except as it may otherwise agree.  If such Person then acting as L/C Issuer so resigns,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Loans or fund risk participations in Reimbursement Obligations pursuant to Section 1.3.  Upon the appointment by the Borrower of a successor L/C Issuer hereunder (which successor shall in all cases be a Lender other than a Defaulting Lender), (i) such successor shall succeed to and become vested with all of the rights, powers, privileges and duties of the retiring L/C Issuer (other than any rights to indemnity payments or other amounts that remain owing to the retiring L/C Issuer), and (ii) the retiring L/C Issuer shall be discharged from all of their respective duties and obligations hereunder or under the other Loan Documents other than with respect to its outstanding Letters of Credit, and (iii) upon the request of the resigning L/C Issuer,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11.9.</w:t>
      </w:r>
      <w:bookmarkStart w:id="204" w:name="_Hlk241153702"/>
      <w:bookmarkStart w:id="205" w:name="_Toc241229894"/>
      <w:bookmarkEnd w:id="204"/>
      <w:bookmarkEnd w:id="205"/>
      <w:r>
        <w:rPr>
          <w:rFonts w:ascii="Times New Roman;Times;serif" w:hAnsi="Times New Roman;Times;serif"/>
          <w:i w:val="false"/>
          <w:caps w:val="false"/>
          <w:smallCaps w:val="false"/>
          <w:sz w:val="24"/>
          <w:u w:val="single"/>
        </w:rPr>
        <w:t>Hedging Liability and Funds Transfer and Deposit Account Liability</w:t>
      </w:r>
      <w:r>
        <w:rPr>
          <w:rFonts w:ascii="Times New Roman;Times;serif" w:hAnsi="Times New Roman;Times;serif"/>
          <w:i w:val="false"/>
          <w:caps w:val="false"/>
          <w:smallCaps w:val="false"/>
          <w:sz w:val="24"/>
        </w:rPr>
        <w:t xml:space="preserve">.  By virtue of a Lender’s execution of this Agreement or an assignment agreement pursuant to Section 12.12, as the case may be, any Affiliate of such Lender (including any Qualifying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Counterparty) with whom the Borrower or any other Material Subsidiary has entered into an agreement creating Hedging Liability or Funds Transfer and Deposit Account Liability shall be deemed a Lender party hereto for purposes of any reference in a Loan Document to the parties for whom the Administrative Agent is acting, it being understood and agreed that the rights and benefits of such Affiliate under the Loan Documents consist exclusively of such Affiliate’s right to share in payments and collections out of the Guaranties as more fully set forth in Section 3.1.  In connection with any such distribution of payments and collections, or any request for the release of the Guaranties and the Administrative Agent’s Liens in connection with the termination of the Commitments and the payment in full of the Obligations, the Administrative Agent shall be entitled to assume no amounts are due to any Lender or its Affiliate with respect to Hedging Liability or Funds Transfer and Deposit Account Liability unless such Lender has notified the Administrative Agent in writing of the amount of any such liability owed to it or its Affiliate prior to such distribution or payment or release of Guaranties and Liens. Without limiting the generality of the foregoing, (i) each such Affiliate shall, for the avoidance of doubt, be deemed to have agreed to the provisions of Section 3.1(c) and (ii) no such Affiliate shall have any right to notice of any action or to consent to, direct or object to any action hereunder or under any other Loan Document or otherwise in respect of the Collateral (including the release or impairment of any Collateral).  Notwithstanding any other provision of this Section 11.9 to the contrary, the Administrative Agent shall not be required to verify the payment of, or that other satisfactory arrangements have been made with respect to Hedging Liability or Funds Transfer and Deposit Account Liability unless the Administrative Agent has received written notice of such Hedging Liability or Funds Transfer and Deposit Account Liability, together with such supporting documentation as the Administrative Agent may request, from the applicable Lender or Affiliate.  For the avoidance of doubt, all references in this Section 11.9 to any Lender or Affiliate of a Lender shall include or be deemed to include each Qualifying Counterparty, even if such Qualifying Counterparty or any Person affiliated with such Qualifying Counterparty shall cease to be a Lender hereunder, such that any such Qualifying Counterparty shall continue to be entitled to all of the rights and benefits otherwise afforded to such Qualifying Counterparty hereunder (including without limitation the Guaranties provided under Section 13).</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11.10.</w:t>
      </w:r>
      <w:bookmarkStart w:id="206" w:name="_Toc241229895"/>
      <w:bookmarkEnd w:id="206"/>
      <w:r>
        <w:rPr>
          <w:rFonts w:ascii="Times New Roman;Times;serif" w:hAnsi="Times New Roman;Times;serif"/>
          <w:i w:val="false"/>
          <w:caps w:val="false"/>
          <w:smallCaps w:val="false"/>
          <w:sz w:val="24"/>
          <w:u w:val="single"/>
        </w:rPr>
        <w:t>Designation of Additional Agents</w:t>
      </w:r>
      <w:r>
        <w:rPr>
          <w:rFonts w:ascii="Times New Roman;Times;serif" w:hAnsi="Times New Roman;Times;serif"/>
          <w:i w:val="false"/>
          <w:caps w:val="false"/>
          <w:smallCaps w:val="false"/>
          <w:sz w:val="24"/>
        </w:rPr>
        <w:t>.  The Administrative Agent shall have the continuing right, for purposes hereof, at any time and from time to time to designate, with the consent of the Borrower, which consent shall not be unreasonably withheld or delayed, one or more of the Lenders (and/or its or their Affiliates) as “syndication agents,” “documentation agents,” “book runners,” “lead arrangers,” “arrangers,” or other designations for purposes hereto, but such designation shall have no substantive effect, and such Lenders and their Affiliates shall have no additional powers, duties or responsibilities as a result thereof.</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11.11.</w:t>
      </w:r>
      <w:bookmarkStart w:id="207" w:name="_Toc241229896"/>
      <w:bookmarkEnd w:id="207"/>
      <w:r>
        <w:rPr>
          <w:rFonts w:ascii="Times New Roman;Times;serif" w:hAnsi="Times New Roman;Times;serif"/>
          <w:i w:val="false"/>
          <w:caps w:val="false"/>
          <w:smallCaps w:val="false"/>
          <w:sz w:val="24"/>
          <w:u w:val="single"/>
        </w:rPr>
        <w:t>Reserved</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11.12.</w:t>
      </w:r>
      <w:bookmarkStart w:id="208" w:name="_Toc241229897"/>
      <w:bookmarkEnd w:id="208"/>
      <w:r>
        <w:rPr>
          <w:rFonts w:ascii="Times New Roman;Times;serif" w:hAnsi="Times New Roman;Times;serif"/>
          <w:i w:val="false"/>
          <w:caps w:val="false"/>
          <w:smallCaps w:val="false"/>
          <w:sz w:val="24"/>
          <w:u w:val="single"/>
        </w:rPr>
        <w:t>Authorization to Release Guaranties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Administrative Agent is hereby irrevocably authorized by each of the Lenders and their Affiliates to release any Material Subsidiary from its obligations as a Guarantor if such Person ceases to be a Material Subsidiary as a result of a transaction permitted under the Loan Documents.  Upon the Administrative Agent’s request, the Required Lenders will confirm in writing the Administrative Agent’s authority to release any Material Subsidiary from its obligations as a Guarantor under the Loan Documents.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11.13.</w:t>
      </w:r>
      <w:bookmarkStart w:id="209" w:name="_Toc241229898"/>
      <w:bookmarkEnd w:id="209"/>
      <w:r>
        <w:rPr>
          <w:rFonts w:ascii="Times New Roman;Times;serif" w:hAnsi="Times New Roman;Times;serif"/>
          <w:i w:val="false"/>
          <w:caps w:val="false"/>
          <w:smallCaps w:val="false"/>
          <w:sz w:val="24"/>
          <w:u w:val="single"/>
        </w:rPr>
        <w:t>Authorization of Administrative Agent to File Proofs of Claim</w:t>
      </w:r>
      <w:r>
        <w:rPr>
          <w:rFonts w:ascii="Times New Roman;Times;serif" w:hAnsi="Times New Roman;Times;serif"/>
          <w:i/>
          <w:sz w:val="24"/>
        </w:rPr>
        <w:t>.  </w:t>
      </w:r>
      <w:r>
        <w:rPr>
          <w:rFonts w:ascii="Times New Roman;Times;serif" w:hAnsi="Times New Roman;Times;serif"/>
          <w:i w:val="false"/>
          <w:caps w:val="false"/>
          <w:smallCaps w:val="false"/>
          <w:sz w:val="24"/>
        </w:rPr>
        <w:t>In case of the pendency of any proceeding under any Debtor Relief Law or any other judicial proceeding relative to Borrower or any Guarantor,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the Loan Documents including, but not limited to, Sections 1.1, 10.3, 1.11, and 12.15) allowed in such judicial proceeding; and</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4"/>
        </w:rPr>
        <w:t>(b)to collect and receive any monies or other property payable or deliverable on any such claims and to distribute the same;</w:t>
      </w:r>
    </w:p>
    <w:p>
      <w:pPr>
        <w:pStyle w:val="TextBody"/>
        <w:bidi w:val="0"/>
        <w:spacing w:before="200" w:after="240"/>
        <w:ind w:left="0" w:right="0" w:hanging="0"/>
        <w:jc w:val="both"/>
        <w:rPr>
          <w:rFonts w:ascii="Times" w:hAnsi="Times"/>
          <w:sz w:val="24"/>
        </w:rPr>
      </w:pPr>
      <w:r>
        <w:rPr>
          <w:rFonts w:ascii="Times" w:hAnsi="Times"/>
          <w:sz w:val="24"/>
        </w:rPr>
        <w:t>and any custodian, receiver, assignee, trustee, liquidator, sequestrator or other similar official in any such judicial proceeding is hereby authorized by each Lender and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Sections 2.1 and 12.15.  Nothing contained herein shall be deemed to authorize the Administrative Agent to authorize or consent to or accept or adopt on behalf of any Lender or L/C Issuer any plan of reorganization, arrangement, adjustment or composition affecting the Obligations or the rights of any Lender or L/C Issuer or to authorize the Administrative Agent to vote in respect of the claim of any Lender or L/C Issuer in any such proceeding.</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12.</w:t>
      </w:r>
      <w:bookmarkStart w:id="210" w:name="_Toc241229899"/>
      <w:bookmarkEnd w:id="210"/>
      <w:r>
        <w:rPr>
          <w:rFonts w:ascii="Times New Roman;Times;serif" w:hAnsi="Times New Roman;Times;serif"/>
          <w:smallCaps/>
          <w:sz w:val="24"/>
        </w:rPr>
        <w:t>Miscellaneous</w:t>
      </w:r>
      <w:r>
        <w:rPr>
          <w:rFonts w:ascii="Times New Roman;Times;serif" w:hAnsi="Times New Roman;Times;serif"/>
          <w:caps/>
          <w:sz w:val="24"/>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w:t>
      </w:r>
      <w:bookmarkStart w:id="211" w:name="_Toc241229900"/>
      <w:bookmarkEnd w:id="211"/>
      <w:r>
        <w:rPr>
          <w:rFonts w:ascii="Times New Roman;Times;serif" w:hAnsi="Times New Roman;Times;serif"/>
          <w:i w:val="false"/>
          <w:caps w:val="false"/>
          <w:smallCaps w:val="false"/>
          <w:sz w:val="24"/>
          <w:u w:val="single"/>
        </w:rPr>
        <w:t>Withholding Taxes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Payments Free of Withholding</w:t>
      </w:r>
      <w:r>
        <w:rPr>
          <w:rFonts w:ascii="Times New Roman;Times;serif" w:hAnsi="Times New Roman;Times;serif"/>
          <w:sz w:val="24"/>
        </w:rPr>
        <w:t xml:space="preserve">.  Except as otherwise required by law and subject to Section 12.1(b) hereof, each payment by the Borrower and the Guarantors under this Agreement or the other Loan Documents shall be made without withholding for or on account of any present or future Indemnified Taxes.  If any such withholding is so required, the Borrower or such Guarantor shall make the withholding, pay the amount withheld to the appropriate governmental authority before penalties attach thereto or interest accrues thereon, and forthwith pay such additional amount as may be necessary to ensure that the net amount actually received by each Lender, the L/C Issuer, and the Administrative Agent free and clear of such taxes (including such taxes on such additional amount) is equal to the amount which that Lender, L/C Issuer, or the Administrative Agent (as the case may be) would have received had such withholding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 been made.  If the Administrative Agent, the L/C Issuer, or any Lender pays any amount in respect of any such taxes, penalties or interest, the Borrower or such Guarantor shall reimburse the Administrative Agent, the L/C Issuer or such Lender for that payment on demand in the currency in which such payment was made.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U.S. Withholding Tax Exemptions</w:t>
      </w:r>
      <w:r>
        <w:rPr>
          <w:rFonts w:ascii="Times New Roman;Times;serif" w:hAnsi="Times New Roman;Times;serif"/>
          <w:sz w:val="24"/>
        </w:rPr>
        <w:t>.  Each Lender or L/C Issuer that is not a United States person (as such term is defined in Section 7701(a)(30) of the Code) shall submit to the Borrower and the Administrative Agent on or before the date the initial Credit Event is made hereunder or, if later, the date such financial institution becomes a Lender or L/C Issuer hereunder, two duly completed and signed copies of (i) either Form W 8 BEN-E (relating to such Lender or L/C Issuer and entitling it to a complete exemption from withholding under the Code on all amounts to be received by such Lender or L/C Issuer, including fees, pursuant to the Loan Documents and the Obligations) or Form W 8 ECI (relating to all amounts to be received by such Lender or L/C Issuer, including fees, pursuant to the Loan Documents and the Obligations) of the United States Internal Revenue Service or (ii) solely if such Lender is claiming exemption from United States withholding tax under Section 871(h) or 881(c) of the Code with respect to payments of “portfolio interest”, a Form W 8 BEN-E, or any successor form prescribed by the Internal Revenue Service, and a certificate representing that such Lender is not a bank for purposes of Section 881(c) of the Code, is not a ten percent (10%) shareholder (within the meaning of Section 871(h)(3)(B) of the Code) of the Borrower and is not a controlled foreign corporation related to the Borrower (within the meaning of Section 864(d)(4) of the Code).  Thereafter and from time to time, each Lender and L/C Issuer shall submit to the Borrower and the Administrative Agent such additional duly completed and signed copies of one or the other of such Forms (or such successor forms as shall be adopted from time to time by the relevant United States taxing authorities) and such other certificates as may be (i) requested by the Borrower in a written notice, directly or through the Administrative Agent, to such Lender or L/C Issuer and (ii) required under then current United States law or regulations to avoid or reduce United States withholding taxes on payments in respect of all amounts to be received by such Lender or L/C Issuer, including fees, pursuant to the Loan Documents or the Obligations.  Upon the request of the Borrower or the Administrative Agent, each Lender and L/C Issuer that is a United States person (as such term is defined in Section 7701(a)(30) of the Code) shall submit to the Borrower and the Administrative Agent a certificate to the effect that it is such a United States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Inability of Lender to Submit Forms</w:t>
      </w:r>
      <w:r>
        <w:rPr>
          <w:rFonts w:ascii="Times New Roman;Times;serif" w:hAnsi="Times New Roman;Times;serif"/>
          <w:sz w:val="24"/>
        </w:rPr>
        <w:t>.  If any Lender or L/C Issuer determines, as a result of any change in applicable law, regulation or treaty, or in any official application or interpretation thereof, that it is unable to submit to the Borrower or the Administrative Agent any form or certificate that such Lender or L/C Issuer is obligated to submit pursuant to subsection (b) of this Section 12.1 or that such Lender or L/C Issuer is required to withdraw or cancel any such form or certificate previously submitted or any such form or certificate otherwise becomes ineffective or inaccurate, such Lender or L/C Issuer shall promptly notify the Borrower and Administrative Agent of such fact and the Lender or L/C Issuer shall to that extent not be obligated to provide any such form or certificate and will be entitled to withdraw or cancel any affected form or certificate, as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Compliance with FATCA</w:t>
      </w:r>
      <w:r>
        <w:rPr>
          <w:rFonts w:ascii="Times New Roman;Times;serif" w:hAnsi="Times New Roman;Times;serif"/>
          <w:i/>
          <w:sz w:val="24"/>
        </w:rPr>
        <w:t>.</w:t>
      </w:r>
      <w:r>
        <w:rPr>
          <w:rFonts w:ascii="Times New Roman;Times;serif" w:hAnsi="Times New Roman;Times;serif"/>
          <w:sz w:val="24"/>
        </w:rPr>
        <w:t xml:space="preserve">  If a payment made to a Lender under any Loan Document would be subject to U.S. federal withholding Tax imposed by FATCA if such Lender were to fail to comply with the applicable reporting requirements of FATCA (including those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Times;serif" w:hAnsi="Times New Roman;Times;serif"/>
          <w:i/>
          <w:sz w:val="24"/>
        </w:rPr>
        <w:t>FATCA”</w:t>
      </w:r>
      <w:r>
        <w:rPr>
          <w:rFonts w:ascii="Times New Roman;Times;serif" w:hAnsi="Times New Roman;Times;serif"/>
          <w:sz w:val="24"/>
        </w:rPr>
        <w:t xml:space="preserve"> shall include any amendments made to FATCA after the date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Indemnification by the Lenders.</w:t>
      </w:r>
      <w:r>
        <w:rPr>
          <w:rFonts w:ascii="Times New Roman;Times;serif" w:hAnsi="Times New Roman;Times;serif"/>
          <w:sz w:val="24"/>
        </w:rPr>
        <w:t xml:space="preserve"> Each Lender shall severally indemnify the Administrative Agent, within ten (10) days after demand therefor, for (i) any Indemnified Taxes attributable to such Lender (but only to the extent that the Borrower or Guarantor has not already indemnified the Administrative Agent for such Indemnified Taxes and without limiting the obligation of the Borrower or any Guarantor to do so), (ii) any Taxes attributable to such Lender’s failure to comply with the provisions of Section 12.11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clause (e).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Treatment of Certain Refunds</w:t>
      </w:r>
      <w:r>
        <w:rPr>
          <w:rFonts w:ascii="Times New Roman;Times;serif" w:hAnsi="Times New Roman;Times;serif"/>
          <w:sz w:val="24"/>
        </w:rPr>
        <w:t>.  If any Lender or L/C Issuer determines, in its sole discretion exercised in good faith, that it has received a refund in respect of any taxes as to which indemnification or additional amounts have been paid to it by the Borrower or a Guarantor pursuant to this Section 12.1, it shall pay to the indemnifying party an amount equal to such refund (but only to the extent of indemnity payments made under this Section with respect to the taxes giving rise to such refund), net of all out of pocket expenses of such Lender or L/C Issuer and without interest (other than any interest paid by the relevant Governmental Authority with respect to such refund); provided that the Borrower or such Guarantor, upon the request of such Lender or L/C Issuer, agrees to promptly repay the amount paid over with respect to such refund (plus any penalties, interest or other charges imposed by the relevant Governmental Authority) to such Lender or L/C Issuer in the event such Lender or L/C Issuer is required to repay such refund to the relevant Governmental Authority.  Nothing herein contained shall interfere with the right of a Lender or L/C Issuer to arrange its tax affairs in whatever manner it thinks fit nor oblige any Lender or L/C Issuer to claim any tax refund or to make available its tax returns or disclose any information relating to its tax affairs or any computations in respect thereof or any other confidential information or require any Lender or L/C Issuer to do anything that would prejudice its ability to benefit from any other refunds, credits, reliefs, remissions or repayments to which it may be entitled.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Evidence of Payments</w:t>
      </w:r>
      <w:r>
        <w:rPr>
          <w:rFonts w:ascii="Times New Roman;Times;serif" w:hAnsi="Times New Roman;Times;serif"/>
          <w:i/>
          <w:sz w:val="24"/>
        </w:rPr>
        <w:t>.</w:t>
      </w:r>
      <w:r>
        <w:rPr>
          <w:rFonts w:ascii="Times New Roman;Times;serif" w:hAnsi="Times New Roman;Times;serif"/>
          <w:sz w:val="24"/>
        </w:rPr>
        <w:t xml:space="preserve">  As soon as practicable after any payment of Taxes by the Borrower or a Guarantor to a Governmental Authority pursuant to this Section, </w:t>
      </w:r>
      <w:r>
        <w:rPr>
          <w:rFonts w:ascii="Cambria" w:hAnsi="Cambria"/>
          <w:sz w:val="24"/>
        </w:rPr>
        <w:t xml:space="preserve">the Borrower or such Guarantor </w:t>
      </w:r>
      <w:r>
        <w:rPr>
          <w:rFonts w:ascii="Times New Roman;Times;serif" w:hAnsi="Times New Roman;Times;serif"/>
          <w:sz w:val="24"/>
        </w:rPr>
        <w:t>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w:t>
      </w:r>
      <w:bookmarkStart w:id="212" w:name="_Toc241229901"/>
      <w:bookmarkEnd w:id="212"/>
      <w:r>
        <w:rPr>
          <w:rFonts w:ascii="Times New Roman;Times;serif" w:hAnsi="Times New Roman;Times;serif"/>
          <w:i w:val="false"/>
          <w:caps w:val="false"/>
          <w:smallCaps w:val="false"/>
          <w:sz w:val="24"/>
          <w:u w:val="single"/>
        </w:rPr>
        <w:t>No Waiver, Cumulative Remedies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No delay or failure on the part of the Administrative Agent, the L/C Issuer, or any Lender, or on the part of the holder or holders of any of the Obligations, in the exercise of any power or right under any Loan Document shall operate as a waiver thereof or as an acquiescence in any default, nor shall any single or partial exercise of any power or right preclude any other or further exercise thereof or the exercise of any other power or right.  The rights and remedies hereunder of the Administrative Agent, the L/C Issuer, the Lenders, and of the holder or holders of any of the Obligations are cumulative to, and not exclusive of, any rights or remedies which any of them would otherwise have.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12.3.</w:t>
      </w:r>
      <w:bookmarkStart w:id="213" w:name="_Toc241229902"/>
      <w:bookmarkEnd w:id="213"/>
      <w:r>
        <w:rPr>
          <w:rFonts w:ascii="Times New Roman;Times;serif" w:hAnsi="Times New Roman;Times;serif"/>
          <w:i w:val="false"/>
          <w:caps w:val="false"/>
          <w:smallCaps w:val="false"/>
          <w:sz w:val="24"/>
          <w:u w:val="single"/>
        </w:rPr>
        <w:t>Non-Business Days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12.4.</w:t>
      </w:r>
      <w:bookmarkStart w:id="214" w:name="_Toc241229903"/>
      <w:bookmarkEnd w:id="214"/>
      <w:r>
        <w:rPr>
          <w:rFonts w:ascii="Times New Roman;Times;serif" w:hAnsi="Times New Roman;Times;serif"/>
          <w:i w:val="false"/>
          <w:caps w:val="false"/>
          <w:smallCaps w:val="false"/>
          <w:sz w:val="24"/>
          <w:u w:val="single"/>
        </w:rPr>
        <w:t>Documentary Taxes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agrees to pay on demand any U.S.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12.5.</w:t>
      </w:r>
      <w:bookmarkStart w:id="215" w:name="_Toc241229904"/>
      <w:bookmarkEnd w:id="215"/>
      <w:r>
        <w:rPr>
          <w:rFonts w:ascii="Times New Roman;Times;serif" w:hAnsi="Times New Roman;Times;serif"/>
          <w:i w:val="false"/>
          <w:caps w:val="false"/>
          <w:smallCaps w:val="false"/>
          <w:sz w:val="24"/>
          <w:u w:val="single"/>
        </w:rPr>
        <w:t>Survival of Representations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All representations and warranties made herein or in any other Loan Document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12.6.</w:t>
      </w:r>
      <w:bookmarkStart w:id="216" w:name="_Toc241229905"/>
      <w:bookmarkEnd w:id="216"/>
      <w:r>
        <w:rPr>
          <w:rFonts w:ascii="Times New Roman;Times;serif" w:hAnsi="Times New Roman;Times;serif"/>
          <w:i w:val="false"/>
          <w:caps w:val="false"/>
          <w:smallCaps w:val="false"/>
          <w:sz w:val="24"/>
          <w:u w:val="single"/>
        </w:rPr>
        <w:t>Survival of Indemnities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All indemnities and other provisions relative to reimbursement to the Lenders and L/C Issuer of amounts sufficient to protect the yield of the Lenders and L/C Issuer with respect to the Revolving Loans and Letters of Credit, including, but not limited to, Sections 1.11, 10.3, and 12.15 hereof, shall (subject to Section 10.3(c) hereof) survive the termination of this Agreement and the other Loan Documents and the payment of the Obligations.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12.7.</w:t>
      </w:r>
      <w:bookmarkStart w:id="217" w:name="_Toc241229906"/>
      <w:bookmarkStart w:id="218" w:name="_Ref83736062"/>
      <w:bookmarkEnd w:id="217"/>
      <w:bookmarkEnd w:id="218"/>
      <w:r>
        <w:rPr>
          <w:rFonts w:ascii="Times New Roman;Times;serif" w:hAnsi="Times New Roman;Times;serif"/>
          <w:i w:val="false"/>
          <w:caps w:val="false"/>
          <w:smallCaps w:val="false"/>
          <w:sz w:val="24"/>
          <w:u w:val="single"/>
        </w:rPr>
        <w:t>Sharing of Set-Off</w:t>
      </w:r>
      <w:r>
        <w:rPr>
          <w:rFonts w:ascii="Times New Roman;Times;serif" w:hAnsi="Times New Roman;Times;serif"/>
          <w:i/>
          <w:sz w:val="24"/>
        </w:rPr>
        <w:t xml:space="preserve">. </w:t>
      </w:r>
      <w:r>
        <w:rPr>
          <w:rFonts w:ascii="Times New Roman;Times;serif" w:hAnsi="Times New Roman;Times;serif"/>
          <w:i w:val="false"/>
          <w:caps w:val="false"/>
          <w:smallCaps w:val="false"/>
          <w:sz w:val="24"/>
        </w:rPr>
        <w:t xml:space="preserve">Each Lender agrees with each other Lender a party hereto that if such Lender shall receive and retain any payment, whether by set off or application of deposit balances or otherwise, on any of the Loans or Reimbursement Obligations in excess of its ratable share of payments on all such Obligations then outstanding to the Lenders, then such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Lender shall purchase for cash at face value, but without recourse, ratably from each of the other Lenders such amount of the Loans or Reimbursement Obligations, or participations therein, held by each such other Lenders (or interest therein) as shall be necessary to cause such Lender to share such excess payment ratably with all the other Lenders; provided, however, that if any such purchase is made by any Lender, and if such excess payment or part thereof is thereafter recovered from such purchasing Lender, the related purchases from the other Lenders shall be rescinded ratably and the purchase price restored as to the portion of such excess payment so recovered, but without interest.  For purposes of this Section 12.7, amounts owed to or recovered by the L/C Issuer in connection with Reimbursement Obligations in which Lenders have been required to fund their participation shall be treated as amounts owed to or recovered by the L/C Issuer as a Lender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12.8.</w:t>
      </w:r>
      <w:bookmarkStart w:id="219" w:name="_Toc241229907"/>
      <w:bookmarkEnd w:id="219"/>
      <w:r>
        <w:rPr>
          <w:rFonts w:ascii="Times New Roman;Times;serif" w:hAnsi="Times New Roman;Times;serif"/>
          <w:i w:val="false"/>
          <w:caps w:val="false"/>
          <w:smallCaps w:val="false"/>
          <w:sz w:val="24"/>
          <w:u w:val="single"/>
        </w:rPr>
        <w:t>Notices</w:t>
      </w:r>
      <w:r>
        <w:rPr>
          <w:rFonts w:ascii="Times New Roman;Times;serif" w:hAnsi="Times New Roman;Times;serif"/>
          <w:i w:val="false"/>
          <w:caps w:val="false"/>
          <w:smallCaps w:val="false"/>
          <w:sz w:val="24"/>
        </w:rPr>
        <w:t>.  Except as otherwise specified herein, all notices hereunder and under the other Loan Documents shall be in writing (including, without limitation, notice by telecopy) and shall be given to the relevant party at its address or telecopier number set forth below, or such other address or telecopier number as such party may hereafter specify by notice to the Administrative Agent and the Borrower given by courier, by United States certified or registered mail, by telecopy or by other telecommunication device capable of creating a written record of such notice and its receipt.  Notices under the Loan Documents to any Lender shall be addressed to its address or telecopier number set forth on its Administrative Questionnaire; and notices under the Loan Documents to the Borrower, the Administrative Agent, or L/C Issuer shall be addressed to its respective address or telecopier number set forth below:</w:t>
      </w:r>
    </w:p>
    <w:tbl>
      <w:tblPr>
        <w:tblW w:w="9317" w:type="dxa"/>
        <w:jc w:val="left"/>
        <w:tblInd w:w="0" w:type="dxa"/>
        <w:tblLayout w:type="fixed"/>
        <w:tblCellMar>
          <w:top w:w="0" w:type="dxa"/>
          <w:left w:w="0" w:type="dxa"/>
          <w:bottom w:w="0" w:type="dxa"/>
          <w:right w:w="0" w:type="dxa"/>
        </w:tblCellMar>
      </w:tblPr>
      <w:tblGrid>
        <w:gridCol w:w="3406"/>
        <w:gridCol w:w="5911"/>
      </w:tblGrid>
      <w:tr>
        <w:trPr/>
        <w:tc>
          <w:tcPr>
            <w:tcW w:w="3406"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Borrower:</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369 N. New York Ave., Suite 201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Winter Park, Florida 32789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Philip Mays</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407-904-3324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Email:</w:t>
            </w:r>
            <w:r>
              <w:rPr>
                <w:rFonts w:ascii="Times New Roman;Times;serif" w:hAnsi="Times New Roman;Times;serif"/>
                <w:sz w:val="24"/>
              </w:rPr>
              <w:t>pmays@ctoreit.com</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CTO Realty Growth, Inc.</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1140 Williamson Boulevard</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Suite 140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Daytona Beach, Florida 32114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Attention:</w:t>
            </w:r>
            <w:r>
              <w:rPr>
                <w:rFonts w:ascii="Times New Roman;Times;serif" w:hAnsi="Times New Roman;Times;serif"/>
                <w:sz w:val="24"/>
              </w:rPr>
              <w:t>Lisa M. Vorakoun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386-944-5641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Email:</w:t>
            </w:r>
            <w:r>
              <w:rPr>
                <w:rFonts w:ascii="Times New Roman;Times;serif" w:hAnsi="Times New Roman;Times;serif"/>
                <w:sz w:val="24"/>
              </w:rPr>
              <w:t>lvorakoun@ctoreit.com</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Vinson &amp; Elkins LLP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845 Texas Avenue</w:t>
            </w:r>
          </w:p>
        </w:tc>
        <w:tc>
          <w:tcPr>
            <w:tcW w:w="5911"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to the Administrative Agent:</w:t>
            </w:r>
          </w:p>
          <w:p>
            <w:pPr>
              <w:pStyle w:val="TableContents"/>
              <w:bidi w:val="0"/>
              <w:spacing w:before="0" w:after="0"/>
              <w:ind w:left="0" w:right="0" w:hanging="0"/>
              <w:jc w:val="left"/>
              <w:rPr/>
            </w:pPr>
            <w:bookmarkStart w:id="220" w:name="_Hlk221024269"/>
            <w:bookmarkEnd w:id="220"/>
            <w:r>
              <w:rPr/>
              <w:t>​</w:t>
            </w:r>
          </w:p>
          <w:p>
            <w:pPr>
              <w:pStyle w:val="TableContents"/>
              <w:bidi w:val="0"/>
              <w:spacing w:before="0" w:after="0"/>
              <w:ind w:left="0" w:right="0" w:hanging="0"/>
              <w:jc w:val="left"/>
              <w:rPr>
                <w:rFonts w:ascii="Times New Roman;Times;serif" w:hAnsi="Times New Roman;Times;serif"/>
                <w:sz w:val="24"/>
              </w:rPr>
            </w:pPr>
            <w:bookmarkStart w:id="221" w:name="_Hlk221026067"/>
            <w:bookmarkEnd w:id="221"/>
            <w:r>
              <w:rPr>
                <w:rFonts w:ascii="Times New Roman;Times;serif" w:hAnsi="Times New Roman;Times;serif"/>
                <w:sz w:val="24"/>
              </w:rPr>
              <w:t>KeyBank National Association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4910 Tiedeman Rd., 3rd Floor</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Mail Code OH-01-51-0311</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Brooklyn, Ohio 44144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Attn: Real Estate Capital Servicing</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Reference: CTO Realty Growth, Inc. &amp; Loan No. 10257243</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And</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KeyBank National Association</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1000 Abernathy Road NE, Suite 1500</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Atlanta, GA 30328</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Tom Schmitt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Telephone:</w:t>
            </w:r>
            <w:r>
              <w:rPr>
                <w:rFonts w:ascii="Times New Roman;Times;serif" w:hAnsi="Times New Roman;Times;serif"/>
                <w:sz w:val="24"/>
              </w:rPr>
              <w:t>770-510-2109</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tom_schmitt@keybank.com</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With a copy to:</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Riemer &amp; Braunstein LP</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100 Cambridge Street</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Boston, MA 02114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Saúl De La Guardia</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sdelaguardia@riemerlaw.com</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617-880-3533</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50" w:type="dxa"/>
        <w:jc w:val="left"/>
        <w:tblInd w:w="0" w:type="dxa"/>
        <w:tblLayout w:type="fixed"/>
        <w:tblCellMar>
          <w:top w:w="0" w:type="dxa"/>
          <w:left w:w="0" w:type="dxa"/>
          <w:bottom w:w="0" w:type="dxa"/>
          <w:right w:w="0" w:type="dxa"/>
        </w:tblCellMar>
      </w:tblPr>
      <w:tblGrid>
        <w:gridCol w:w="2596"/>
        <w:gridCol w:w="154"/>
      </w:tblGrid>
      <w:tr>
        <w:trPr/>
        <w:tc>
          <w:tcPr>
            <w:tcW w:w="25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Suite 4700 </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Houston, TX 77002</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 Noelle C. Alix</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Telephone: 713-758-1124</w:t>
            </w:r>
          </w:p>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 nalix@velaw.com</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hanging="0"/>
        <w:jc w:val="both"/>
        <w:rPr>
          <w:rFonts w:ascii="Times" w:hAnsi="Times"/>
          <w:sz w:val="24"/>
        </w:rPr>
      </w:pPr>
      <w:r>
        <w:rPr>
          <w:rFonts w:ascii="Times" w:hAnsi="Times"/>
          <w:sz w:val="24"/>
        </w:rPr>
        <w:t xml:space="preserve">Each such notice, request or other communication shall be effective (i) if given by telecopier, when such telecopy is delivered to the telecopier number specified in this Section 12.8 or in the relevant Administrative Questionnaire and a confirmation of such telecopy has been received by the sender, (ii) if given by mail, upon receipt or first refusal of delivery or (iii) if given by any other means, when delivered at the addresses specified in this Section 12.8 or in the relevant Administrative Questionnaire; </w:t>
      </w:r>
      <w:r>
        <w:rPr>
          <w:rFonts w:ascii="Times" w:hAnsi="Times"/>
          <w:i/>
          <w:sz w:val="24"/>
        </w:rPr>
        <w:t xml:space="preserve">provided </w:t>
      </w:r>
      <w:r>
        <w:rPr>
          <w:rFonts w:ascii="Times" w:hAnsi="Times"/>
          <w:sz w:val="24"/>
        </w:rPr>
        <w:t>that any notice given pursuant to Section 1 hereof shall be effective only upon receipt.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12.9.</w:t>
      </w:r>
      <w:bookmarkStart w:id="222" w:name="_Toc241229908"/>
      <w:bookmarkEnd w:id="222"/>
      <w:r>
        <w:rPr>
          <w:rFonts w:ascii="Times New Roman;Times;serif" w:hAnsi="Times New Roman;Times;serif"/>
          <w:i w:val="false"/>
          <w:caps w:val="false"/>
          <w:smallCaps w:val="false"/>
          <w:sz w:val="24"/>
          <w:u w:val="single"/>
        </w:rPr>
        <w:t>Counterparts</w:t>
      </w:r>
      <w:r>
        <w:rPr>
          <w:rFonts w:ascii="Times New Roman;Times;serif" w:hAnsi="Times New Roman;Times;serif"/>
          <w:i w:val="false"/>
          <w:caps w:val="false"/>
          <w:smallCaps w:val="false"/>
          <w:sz w:val="24"/>
        </w:rPr>
        <w:t>.  This Agreement may be executed in any number of counterparts, and by the different parties hereto on separate counterpart signature pages, and all such counterparts taken together shall be deemed to constitute one and the same instrument. The words “execution”, “executed”, “signed”, “signature” and words of similar import in or related to this Agreement and the other Loan Documents shall be deemed to include electronic signatures and the electronic matching of assignment terms and contract formations on electronic platforms approved by Administrative Agent for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and any other similar applicable state laws based on the Uniform Electronic Transactions Act.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12.10.</w:t>
      </w:r>
      <w:bookmarkStart w:id="223" w:name="_Toc241229909"/>
      <w:bookmarkEnd w:id="223"/>
      <w:r>
        <w:rPr>
          <w:rFonts w:ascii="Times New Roman;Times;serif" w:hAnsi="Times New Roman;Times;serif"/>
          <w:i w:val="false"/>
          <w:caps w:val="false"/>
          <w:smallCaps w:val="false"/>
          <w:sz w:val="24"/>
          <w:u w:val="single"/>
        </w:rPr>
        <w:t>Successors and Assigns</w:t>
      </w:r>
      <w:r>
        <w:rPr>
          <w:rFonts w:ascii="Times New Roman;Times;serif" w:hAnsi="Times New Roman;Times;serif"/>
          <w:i w:val="false"/>
          <w:caps w:val="false"/>
          <w:smallCaps w:val="false"/>
          <w:sz w:val="24"/>
        </w:rPr>
        <w:t>.  This Agreement shall be binding upon the Borrower, the Guarantors and their respective successors and permitted assigns, and shall inure to the benefit of the Administrative Agent, the L/C Issuer, and each of the Lenders, and the benefit of their respective successors and permitted assigns, including any subsequent holder of any of the Obligations.  The Borrower and the Guarantors may not assign any of its rights or obligations under any Loan Document without the written consent of all of the Lenders and, with respect to any Letter of Credit or the Application therefor, the L/C Issuer.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12.11.</w:t>
      </w:r>
      <w:bookmarkStart w:id="224" w:name="_Toc241229910"/>
      <w:bookmarkEnd w:id="224"/>
      <w:r>
        <w:rPr>
          <w:rFonts w:ascii="Times New Roman;Times;serif" w:hAnsi="Times New Roman;Times;serif"/>
          <w:i w:val="false"/>
          <w:caps w:val="false"/>
          <w:smallCaps w:val="false"/>
          <w:sz w:val="24"/>
          <w:u w:val="single"/>
        </w:rPr>
        <w:t>Participants</w:t>
      </w:r>
      <w:r>
        <w:rPr>
          <w:rFonts w:ascii="Times New Roman;Times;serif" w:hAnsi="Times New Roman;Times;serif"/>
          <w:i w:val="false"/>
          <w:caps w:val="false"/>
          <w:smallCaps w:val="false"/>
          <w:sz w:val="24"/>
        </w:rPr>
        <w:t xml:space="preserve">.  Each Lender shall have the right at its own cost to grant participations (to be evidenced by one or more agreements or certificates of participation) in the Loans made and Reimbursement Obligations and/or Revolving Credit Commitments held by such Lender at any time and from time to time to one or more other Persons; provided that no such participation shall relieve any Lender of any of its obligations under this Agreement, and, provided, further that no such participant shall have any rights under this Agreement except as provided in this Section 12.11, and the Administrative Agent and the Borrower shall have no obligation or responsibility to such participant.  Any agreement pursuant to which such participation is granted shall provide that the granting Lender shall retain the sole right and responsibility to enforce the obligations of the Borrower under this Agreement and the other Loan Documents including, without limitation, the right to approve any amendment, modification or waiver of any provision of the Loan Documents, except that such agreement may provide that such Lender will not agree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any modification, amendment or waiver of the Loan Documents that would reduce the amount of or postpone any fixed date for payment of any Obligation in which such participant has an interest.  Any party to which such a participation has been granted shall have the benefits of Section 1.11 and Section 10.3 hereof.  The Borrower and each Guarantor authorizes each Lender to disclose to any participant or prospective participant under this Section 12.11 any financial or other information pertaining to each Guarantor, the Borrower or any Subsidiary; provided that prior to any such disclosure any such participant or prospective participant shall agree in writing to be subject to the confidentiality provisions contained herein.  No participation may be granted or sold to the Borrower, any Guarantor, any Affiliate or Subsidiary of Borrower or Guarantor, any Defaulting Lender or any natural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12.12.</w:t>
      </w:r>
      <w:bookmarkStart w:id="225" w:name="_Ref70341009"/>
      <w:bookmarkStart w:id="226" w:name="_Toc241229911"/>
      <w:bookmarkEnd w:id="225"/>
      <w:bookmarkEnd w:id="226"/>
      <w:r>
        <w:rPr>
          <w:rFonts w:ascii="Times New Roman;Times;serif" w:hAnsi="Times New Roman;Times;serif"/>
          <w:i w:val="false"/>
          <w:caps w:val="false"/>
          <w:smallCaps w:val="false"/>
          <w:sz w:val="24"/>
          <w:u w:val="single"/>
        </w:rPr>
        <w:t>Assignments</w:t>
      </w:r>
      <w:r>
        <w:rPr>
          <w:rFonts w:ascii="Times New Roman;Times;serif" w:hAnsi="Times New Roman;Times;serif"/>
          <w:i w:val="false"/>
          <w:caps w:val="false"/>
          <w:smallCaps w:val="false"/>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(a)Any Lender may at any time assign to one or more Eligible Assignees all or a portion of such Lender’s rights and obligations under this Agreement (including all or a portion of its Commitment and the Loans at the time owing to it); </w:t>
      </w:r>
      <w:r>
        <w:rPr>
          <w:rFonts w:ascii="Times New Roman;Times;serif" w:hAnsi="Times New Roman;Times;serif"/>
          <w:i/>
          <w:sz w:val="24"/>
        </w:rPr>
        <w:t>provided</w:t>
      </w:r>
      <w:r>
        <w:rPr>
          <w:rFonts w:ascii="Times New Roman;Times;serif" w:hAnsi="Times New Roman;Times;serif"/>
          <w:sz w:val="24"/>
        </w:rPr>
        <w:t xml:space="preserve"> that any such assignment shall be subject to the following conditions: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Minimum Amounts</w:t>
      </w:r>
      <w:r>
        <w:rPr>
          <w:rFonts w:ascii="Times New Roman;Times;serif" w:hAnsi="Times New Roman;Times;serif"/>
          <w:sz w:val="24"/>
        </w:rPr>
        <w:t>.  (A) In the case of an assignment of the entire remaining amount of the assigning Lender’s Revolving Credit Commitment and the Revolving Loans, and participation interest in L/C Obligations at the time owing to it, or the entire amount of 2029 Term Loans, 2030 Term Loans, 2031 Term Loans, 2032 Term Loans or Incremental Loans, or in the case of an assignment to a Lender, an Affiliate of a Lender or an Approved Fund, no minimum amount need be assigned; and (B) in any case not described in subsection (a)(i)(A) of this Section 12.12, the aggregate amount of the Revolving Credit Commitment (which for this purpose includes Revolving Loans and participation interest in L/C Obligations outstanding thereunder) or, if the Revolving Credit Commitment is not then in effect, the principal outstanding balance of the Revolving Loans and participation interest in L/C Obligations, or the principal outstanding balance of the Term Loans or Incremental Term Loans of the assigning Lender subject to each such assignment (determined as of the date the Assignment and Acceptance with respect to such assignment is delivered to the Administrative Agent or, if “Effective Date” is specified in the Assignment and Acceptance, as of the Effective Date specified in such Assignment and Acceptance) shall not be less than $5,000,000 for such Class unless each of the Administrative Agent and, so long as no Event of Default has occurred and is continuing, the Borrower otherwise consents (each such consent not to be unreasonably withheld or delayed);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Proportionate Amounts</w:t>
      </w:r>
      <w:r>
        <w:rPr>
          <w:rFonts w:ascii="Times New Roman;Times;serif" w:hAnsi="Times New Roman;Times;serif"/>
          <w:sz w:val="24"/>
        </w:rPr>
        <w:t>.  Each partial assignment shall be made as an assignment of a proportionate part of all the assigning Lender’s rights and obligations under this Agreement with respect to the applicable Facility; except that this clause (ii) shall not prohibit any Lender from assigning all or a portion of its rights and obligations among separate Facilities on a non-pro rata basis.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sz w:val="24"/>
          <w:u w:val="single"/>
        </w:rPr>
        <w:t>Required Consents</w:t>
      </w:r>
      <w:r>
        <w:rPr>
          <w:rFonts w:ascii="Times New Roman;Times;serif" w:hAnsi="Times New Roman;Times;serif"/>
          <w:sz w:val="24"/>
        </w:rPr>
        <w:t>.  No consent shall be required for any assignment except to the extent required by Section 12.12(a)(i)(B) and, in addition: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(A)the consent of the Borrower (such consent not to be unreasonably withheld or delayed and to be given or denied within five (5) Business Days of written request therefor) shall be required unless (x) an Event of Default has occurred and is continuing at the time of such assignment or (y) such assignment is to a Lender, an Affiliate of a Lender or an Approved Fund;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(B)the consent of the Administrative Agent (such consent not to be unreasonably withheld or delayed and to be given or denied within five (5) Business Days of written request therefor) shall be required in respect of (i) the Revolving Facility, if such assignment is to a Person that is not a Lender with a Revolving Credit Commitment, an Affiliate of such Lender or an Approved Fund with respect to such Lender or (ii) any Term Facility, if such assignment is to a Person who is not a Lender, an Affiliate of a Lender or an Approved Fund; and</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(C)the consent of the L/C Issuer (such consent not to be unreasonably withheld or delayed and to be given or denied within five (5) Business Days of written request therefor) shall be required for any assignment that increases the obligation of the assignee to participate in exposure under one or more Letters of Credit (whether or not then outstanding).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sz w:val="24"/>
          <w:u w:val="single"/>
        </w:rPr>
        <w:t>Assignment and Acceptance</w:t>
      </w:r>
      <w:r>
        <w:rPr>
          <w:rFonts w:ascii="Times New Roman;Times;serif" w:hAnsi="Times New Roman;Times;serif"/>
          <w:sz w:val="24"/>
        </w:rPr>
        <w:t>. The parties to each assignment shall execute and deliver to the Administrative Agent an Assignment and Acceptance, together with a processing and recordation fee of $5,500, and the assignee, if it is not a Lender, shall deliver to the Administrative Agent an Administrative Questionnaire.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sz w:val="24"/>
          <w:u w:val="single"/>
        </w:rPr>
        <w:t>No Assignment to Borrower, Guarantors, Affiliates or Subsidiaries</w:t>
      </w:r>
      <w:r>
        <w:rPr>
          <w:rFonts w:ascii="Times New Roman;Times;serif" w:hAnsi="Times New Roman;Times;serif"/>
          <w:sz w:val="24"/>
        </w:rPr>
        <w:t>.  No such assignment shall be made to the Borrower, any Guarantor or any Affiliate or Subsidiary of the Borrower or any Guarantor.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(vi)</w:t>
      </w:r>
      <w:r>
        <w:rPr>
          <w:rFonts w:ascii="Times New Roman;Times;serif" w:hAnsi="Times New Roman;Times;serif"/>
          <w:sz w:val="24"/>
          <w:u w:val="single"/>
        </w:rPr>
        <w:t>No Assignment to Natural Persons.</w:t>
      </w:r>
      <w:r>
        <w:rPr>
          <w:rFonts w:ascii="Times New Roman;Times;serif" w:hAnsi="Times New Roman;Times;serif"/>
          <w:sz w:val="24"/>
        </w:rPr>
        <w:t xml:space="preserve">  No such assignment shall be made to a natural person (or holding company, investment vehicle or trust for, or owned and operated for the primary benefit of a natural person).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(vii)</w:t>
      </w:r>
      <w:r>
        <w:rPr>
          <w:rFonts w:ascii="Times New Roman;Times;serif" w:hAnsi="Times New Roman;Times;serif"/>
          <w:sz w:val="24"/>
          <w:u w:val="single"/>
        </w:rPr>
        <w:t>No Assignment to Defaulting Lender</w:t>
      </w:r>
      <w:r>
        <w:rPr>
          <w:rFonts w:ascii="Times New Roman;Times;serif" w:hAnsi="Times New Roman;Times;serif"/>
          <w:i/>
          <w:sz w:val="24"/>
        </w:rPr>
        <w:t>.</w:t>
      </w:r>
      <w:r>
        <w:rPr>
          <w:rFonts w:ascii="Times New Roman;Times;serif" w:hAnsi="Times New Roman;Times;serif"/>
          <w:sz w:val="24"/>
        </w:rPr>
        <w:t xml:space="preserve">  No such assignment shall be made to a Defaulting Lender.</w:t>
      </w:r>
    </w:p>
    <w:p>
      <w:pPr>
        <w:pStyle w:val="TextBody"/>
        <w:bidi w:val="0"/>
        <w:spacing w:before="0" w:after="0"/>
        <w:ind w:left="0" w:right="0" w:hanging="0"/>
        <w:jc w:val="both"/>
        <w:rPr>
          <w:rFonts w:ascii="Times" w:hAnsi="Times"/>
          <w:sz w:val="24"/>
        </w:rPr>
      </w:pPr>
      <w:r>
        <w:rPr>
          <w:rFonts w:ascii="Times" w:hAnsi="Times"/>
          <w:sz w:val="24"/>
        </w:rPr>
        <w:t xml:space="preserve">Subject to acceptance and recording thereof by the Administrative Agent pursuant to Section 12.12(b) hereof,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12.6 and 12.15 with respect to facts and circumstances occurring prior to the effective date of such assignment.  Any assignment or transfer by a Lender of rights or obligations under this Agreement that does not comply with this Section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shall be treated for purposes of this Agreement as a sale by such Lender of a participation in such rights and obligations in accordance with Section 12.11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Register</w:t>
      </w:r>
      <w:r>
        <w:rPr>
          <w:rFonts w:ascii="Times New Roman;Times;serif" w:hAnsi="Times New Roman;Times;serif"/>
          <w:sz w:val="24"/>
        </w:rPr>
        <w:t>.  The Administrative Agent, acting solely for this purpose as an agent of the Borrower, shall maintain at one of its offices in Cleveland, Ohio, a copy of each Assignment and Acceptance delivered to it and a register for the recordation of the names and addresses of the Lenders, and the Revolving Credit Commitments of, and principal amounts of the Revolving Loans, Term Loans and Incremental Term Loans owing to, each Lender pursuant to the terms hereof from time to time (the “Register”).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or L/C Issuer that grants a participation as described in Section 12.11 shall, acting solely for this purpose as an agent of the Borrower, maintain a register on which it enters the name and address of each participant and the principal amounts (and stated interest) of each participant's interest in the Revolving Loans, Term Loans and Incremental Term Loans made and Reimbursement Obligations and/or Revolving Credit Commitments or other obligations under this Agreement (the “Participant Register”); provided that no Lender or L/C Issuer shall have any obligation to disclose all or any portion of the Participant Register to any Person (including the identity of any participant or any information relating to a participant's interest in any Revolving Loans made and Reimbursement Obligations and/or Revolving Credit Commitments or other obligations under this Agreement) except to the extent that such disclosure is necessary to establish that such Obligation or Revolving Credit Commitment is in registered form under Section 5f.103-1(c) of the Treasury Regulations or is otherwise required by this Agreement. The entries in the Participant Register shall be conclusive absent manifest error, and such Lender or L/C Issuer shall treat each person whose name is recorded in the Participant Register as the owner of such participation for all purposes of this Agreement notwithstanding any notice to the contrary.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(c)Any Lender may at any time pledge or grant a security interest in all or any portion of its rights under this Agreement to secure obligations of such Lender, including any such pledge or grant to a Federal Reserve Bank, and this Section 12.12 shall not apply to any such pledge or grant of a security interest; </w:t>
      </w:r>
      <w:r>
        <w:rPr>
          <w:rFonts w:ascii="Times New Roman;Times;serif" w:hAnsi="Times New Roman;Times;serif"/>
          <w:i/>
          <w:sz w:val="24"/>
        </w:rPr>
        <w:t>provided</w:t>
      </w:r>
      <w:r>
        <w:rPr>
          <w:rFonts w:ascii="Times New Roman;Times;serif" w:hAnsi="Times New Roman;Times;serif"/>
          <w:sz w:val="24"/>
        </w:rPr>
        <w:t xml:space="preserve"> that no such pledge or grant of a security interest shall release a Lender from any of its obligations hereunder or substitute any such pledgee or secured party for such Lender as a party hereto; </w:t>
      </w:r>
      <w:r>
        <w:rPr>
          <w:rFonts w:ascii="Times New Roman;Times;serif" w:hAnsi="Times New Roman;Times;serif"/>
          <w:i/>
          <w:sz w:val="24"/>
        </w:rPr>
        <w:t>provided further, however,</w:t>
      </w:r>
      <w:r>
        <w:rPr>
          <w:rFonts w:ascii="Times New Roman;Times;serif" w:hAnsi="Times New Roman;Times;serif"/>
          <w:sz w:val="24"/>
        </w:rPr>
        <w:t xml:space="preserve"> the right of any such pledgee or grantee (other than any Federal Reserve Bank) to further transfer all or any portion of the rights pledged or granted to it, whether by means of foreclosure or otherwise, shall be at all times subject to the terms of this Agreement.  </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12.13.</w:t>
      </w:r>
      <w:bookmarkStart w:id="227" w:name="_Toc241229912"/>
      <w:bookmarkEnd w:id="227"/>
      <w:r>
        <w:rPr>
          <w:rFonts w:ascii="Times New Roman;Times;serif" w:hAnsi="Times New Roman;Times;serif"/>
          <w:i w:val="false"/>
          <w:caps w:val="false"/>
          <w:smallCaps w:val="false"/>
          <w:sz w:val="24"/>
          <w:u w:val="single"/>
        </w:rPr>
        <w:t>Amendments</w:t>
      </w:r>
      <w:r>
        <w:rPr>
          <w:rFonts w:ascii="Times New Roman;Times;serif" w:hAnsi="Times New Roman;Times;serif"/>
          <w:i w:val="false"/>
          <w:caps w:val="false"/>
          <w:smallCaps w:val="false"/>
          <w:sz w:val="24"/>
        </w:rPr>
        <w:t>. Any provision of this Agreement or the other Loan Documents may be amended or waived if, but only if, such amendment or waiver is in writing and is signed by (a) the Borrower, (b) the Required Lenders (or Administrative Agent acting at the direction of the Required Lenders), and (c) if the rights or duties of the Administrative Agent, or the L/C Issuer are affected thereby, the Administrative Agent or the L/C Issuer, as applicable; provided that: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(i)no amendment or waiver pursuant to this Section 12.13 shall (A) increase any Commitment of any Lender without the consent of such Lender or (B) reduce the amount of or postpone the date for any scheduled payment of any principal of or interest on any Loan or of any Reimbursement Obligation or of any fee payable hereunder (including by way of a waiver of a Default or Event of Default under Section 9.1(a)) without the consent of the Lender to which such payment is owing or which has committed to make such Loan or Letter of Credit (or participate therein) hereunder; </w:t>
      </w:r>
      <w:r>
        <w:rPr>
          <w:rFonts w:ascii="Times New Roman;Times;serif" w:hAnsi="Times New Roman;Times;serif"/>
          <w:i/>
          <w:sz w:val="24"/>
        </w:rPr>
        <w:t>provided</w:t>
      </w:r>
      <w:r>
        <w:rPr>
          <w:rFonts w:ascii="Times New Roman;Times;serif" w:hAnsi="Times New Roman;Times;serif"/>
          <w:sz w:val="24"/>
        </w:rPr>
        <w:t xml:space="preserve"> that only the written consent of the Required Lenders shall be required for (x) the waiver or retraction of an imposition of interest payable under Section 1.9, or (y) any modification or waiver of the covenants set forth in Section 8.20 or 8.21, (C) extend the Revolving Credit Termination Date without the consent of each affected Revolving Lender or (D) extend the Term Loan Maturity Date of any Term Facility without the consent of each affected Term Loan Lender or Incremental Term Loan Lender, as applicable;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(ii)no amendment or waiver pursuant to this Section 12.13 shall, unless signed by each Lender, affected thereby, change the definitions of Required Lenders, Required Class Lenders or Required Revolving Lenders, change the provisions of this Section 12.13, affect the number of Lenders required to take any action hereunder or under any other Loan Document, change the pro rata application of payments or order of application of payments and collections set forth in Section 1.12(a), Section 3.1 or Section 12.7, or change any other provision of this Agreement or add any provision to this Agreement, in each case, in a manner that would alter, or would have the effect of altering the pro rata sharing of payments required thereby, or release any Guarantor (except as expressly contemplated in this Agreement);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(iii)while any Revolving Loans are outstanding, no amendment or waiver shall amend, modify or waive (A) Section 7.2 or any other provision of this Agreement if the effect of such amendment, modification or waiver is to require the Revolving Lenders to make Revolving Loans when such Lenders would not otherwise be required to do so, or (B) the L/C sublimit, in each case, without the prior written consent of the Required Revolving Lenders;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(iv)any term of this Agreement or of any other Loan Document relating solely to the rights or obligations of the Lenders of a particular Class, and not Lenders of any other Class, may be amended, and the performance or observance by the Borrower or any other Loan Party or any Subsidiary of any such terms may be waived (either generally or in a particular instance and either retroactively or prospectively) with, and only with, the written consent of the Required Class Lenders for such Class of Lenders (and, in the case of an amendment to any Loan Document, the written consent of each Loan Party which is a party thereto);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(v)no amendment to Section 13 hereof shall be made without the consent of the Guarantors affected thereby;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(vi)no amendment, modification or waiver shall be made, unless signed by each Lender affected thereby, that subordinates or has the effect of subordinating all or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any portion of the Obligations or any Liens under the Loan Documents to any other Indebtedness or obligation.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Notwithstanding anything to the contrary in this Section 12.13,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Further notwithstanding anything to the contrary in this Section 12.13, if the Administrative Agent and the Borrower have jointly identified an ambiguity, omission, mistake or defect in any provision of this Agreement or the other Loan Documents or an inconsistency between provision of this Agreement and/or the other Loan Documents, the Administrative Agent and the Borrower shall be permitted to amend such provision or provisions to cure such ambiguity, omission, mistake, defect or inconsistency so long as to do so would not adversely affect the interest of any Lender.  Any such amendment shall become effective without any further consent of any of other party to this Agreement; provided that the Administrative Agent shall post any such amendment implementing such changes to the Lenders reasonably promptly after such amendment becomes effective.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12.14.</w:t>
      </w:r>
      <w:bookmarkStart w:id="228" w:name="_Toc241229913"/>
      <w:bookmarkEnd w:id="228"/>
      <w:r>
        <w:rPr>
          <w:rFonts w:ascii="Times New Roman;Times;serif" w:hAnsi="Times New Roman;Times;serif"/>
          <w:i w:val="false"/>
          <w:caps w:val="false"/>
          <w:smallCaps w:val="false"/>
          <w:sz w:val="24"/>
          <w:u w:val="single"/>
        </w:rPr>
        <w:t>Headings</w:t>
      </w:r>
      <w:r>
        <w:rPr>
          <w:rFonts w:ascii="Times New Roman;Times;serif" w:hAnsi="Times New Roman;Times;serif"/>
          <w:i/>
          <w:sz w:val="24"/>
        </w:rPr>
        <w:t xml:space="preserve">. </w:t>
      </w:r>
      <w:r>
        <w:rPr>
          <w:rFonts w:ascii="Times New Roman;Times;serif" w:hAnsi="Times New Roman;Times;serif"/>
          <w:i w:val="false"/>
          <w:caps w:val="false"/>
          <w:smallCaps w:val="false"/>
          <w:sz w:val="24"/>
        </w:rPr>
        <w:t>Section headings used in this Agreement are for reference only and shall not affect the construction of this Agreement.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12.15.</w:t>
      </w:r>
      <w:bookmarkStart w:id="229" w:name="_Toc241229914"/>
      <w:bookmarkEnd w:id="229"/>
      <w:r>
        <w:rPr>
          <w:rFonts w:ascii="Times New Roman;Times;serif" w:hAnsi="Times New Roman;Times;serif"/>
          <w:i w:val="false"/>
          <w:caps w:val="false"/>
          <w:smallCaps w:val="false"/>
          <w:sz w:val="24"/>
          <w:u w:val="single"/>
        </w:rPr>
        <w:t>Costs and Expenses; Indemnification</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Borrower agrees to pay all reasonable costs and expenses of the Administrative Agent in connection with the preparation, negotiation, syndication, and administration of the Loan Documents, including, without limitation, the reasonable fees and disbursements of counsel to the Administrative Agent, in connection with the preparation and execution of the Loan Documents, and any amendment, waiver or consent related thereto, whether or not the transactions contemplated herein are consummated.  The Borrower agrees to pay to the Administrative Agent, , the L/C Issuer, and each Lender all costs and expenses reasonably incurred or paid by the Administrative Agent, the L/C Issuer, such Lender, or any such holder, including reasonable attorneys’ fees and disbursements and court costs, in connection with any Default or Event of Default hereunder or in connection with the enforcement of any of the Loan Documents (including all such costs and expenses incurred in connection with any proceeding under the United States Bankruptcy Code involving the Borrower or any Guarantor as a debtor thereunder).  The Borrower further agrees to indemnify the Administrative Agent,  the L/C Issuer, each Lender, and any security trustee therefor, and their respective directors, officers, employees, agents, financial advisors, and consultants (each such Person being called an “Indemnitee”) against all losses, claims, damages, penalties, judgments, liabilities and expenses (including, without limitation, all reasonable fees and disbursements of counsel for any such Indemnitee and all reasonable expenses of litigation or preparation therefor, whether or not the Indemnitee is a party thereto, or any settlement arrangement arising from or relating to any such litigation) which any of them may pay or incur arising out of or relating to any Loan Document or any of the transactions contemplated thereby or the direct or indirect application or proposed application of the proceeds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of any Loan or Letter of Credit, other than those which arise from the gross negligence or willful misconduct of the party claiming indemnification.  The Borrower, upon demand by the Administrative Agent, the L/C Issuer, or a Lender at any time, shall reimburse the Administrative Agent, the L/C Issuer, or such Lender for any reasonable legal or other expenses (including, without limitation, all reasonable fees and disbursements of counsel for any such Indemnitee) incurred in connection with investigating or defending against any of the foregoing (including any settlement costs relating to the foregoing) except to the extent the same is due to the gross negligence or willful misconduct of the party to be indemnified.  To the extent permitted by applicable law, the parties hereto shall not assert, and each hereby waives, any claim against any Indemnitee, on any theory of liability, for special, indirect, consequential or punitive damages (as opposed to direct or actual damages) arising out of, in connection with, or as a result of, this Agreement or the other Loan Documents or any agreement or instrument contemplated hereby or thereby, the transactions contemplated hereby or thereby, any Loan or Letter of Credit or the use of the proceeds thereof.  The obligations of the parties under this Section 12.15 shall survive the termination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Borrower unconditionally agrees to forever indemnify, defend and hold harmless, and covenants not to sue for any claim for contribution against, each Indemnitee for any damages, costs, loss or expense, including without limitation, response, remedial or removal costs and all fees and disbursements of counsel for any such Indemnitee, arising out of any of the following:  (i) any presence, release, threatened release or disposal of any hazardous or toxic substance or petroleum by the Borrower or any Subsidiary or otherwise occurring on or with respect to its Properties (whether owned or leased), (ii) the operation or violation of any environmental law, whether federal, state, or local, and any regulations promulgated thereunder, by the Borrower or any Subsidiary or otherwise occurring on or with respect to its Properties (whether owned or leased), (iii) any claim for personal injury or property damage in connection with the Borrower or any Subsidiary or otherwise occurring on or with respect to its Properties (whether owned or leased), and (iv) the inaccuracy or breach of any environmental representation, warranty or covenant by the Borrower or any Subsidiary made herein or in any other Loan Document evidencing or securing any Obligations or setting forth terms and conditions applicable thereto or otherwise relating thereto, except for damages arising from the willful misconduct or gross negligence of the relevant Indemnitee.  This indemnification shall survive the payment and satisfaction of all Obligations and the termination of this Agreement for a period of five (5) years, and shall remain in force beyond the expiration of any applicable statute of limitations and payment or satisfaction in full of any single claim under this indemnification.  This indemnification shall be binding upon the successors and assigns of the Borrower and shall inure to the benefit of each Indemnitee and its successors and assigns.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12.16.</w:t>
      </w:r>
      <w:bookmarkStart w:id="230" w:name="_Toc241229915"/>
      <w:bookmarkEnd w:id="230"/>
      <w:r>
        <w:rPr>
          <w:rFonts w:ascii="Times New Roman;Times;serif" w:hAnsi="Times New Roman;Times;serif"/>
          <w:i w:val="false"/>
          <w:caps w:val="false"/>
          <w:smallCaps w:val="false"/>
          <w:sz w:val="24"/>
          <w:u w:val="single"/>
        </w:rPr>
        <w:t>Set-off</w:t>
      </w:r>
      <w:r>
        <w:rPr>
          <w:rFonts w:ascii="Times New Roman;Times;serif" w:hAnsi="Times New Roman;Times;serif"/>
          <w:i w:val="false"/>
          <w:caps w:val="false"/>
          <w:smallCaps w:val="false"/>
          <w:sz w:val="24"/>
        </w:rPr>
        <w:t xml:space="preserve">.  In addition to any rights now or hereafter granted under the Loan Documents or applicable law and not by way of limitation of any such rights, during the continuance of any Event of Default, with the prior written consent of the Administrative Agent, each Lender, the L/C Issuer, each subsequent holder of any Obligation, and each of their respective affiliates, is hereby authorized by the Borrower and each Guarantor at any time or from time to time, without notice to the Borrower or such Guarantor or to any other Person, any such notice being hereby expressly waived, to set off and to appropriate and to apply any and all deposits (general or special, including, but not limited to, indebtedness evidenced by certificates of deposit, whether matured or unmatured, and in whatever currency denominated, but not including trust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accounts) and any other indebtedness at any time held or owing by that Lender, L/C Issuer, subsequent holder, or affiliate, to or for the credit or the account of the Borrower or such Guarantor, whether or not matured, against and on account of the Obligations then due of the Borrower or such Guarantor to that Lender, L/C Issuer, or subsequent holder under the Loan Documents, including, but not limited to, all claims of any nature or description arising out of or connected with the Loan Documents, irrespective of whether or not that Lender, L/C Issuer, or subsequent holder shall have made any demand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12.17.</w:t>
      </w:r>
      <w:bookmarkStart w:id="231" w:name="_Toc241229916"/>
      <w:bookmarkEnd w:id="231"/>
      <w:r>
        <w:rPr>
          <w:rFonts w:ascii="Times New Roman;Times;serif" w:hAnsi="Times New Roman;Times;serif"/>
          <w:i w:val="false"/>
          <w:caps w:val="false"/>
          <w:smallCaps w:val="false"/>
          <w:sz w:val="24"/>
          <w:u w:val="single"/>
        </w:rPr>
        <w:t>Entire Agreement</w:t>
      </w:r>
      <w:r>
        <w:rPr>
          <w:rFonts w:ascii="Times New Roman;Times;serif" w:hAnsi="Times New Roman;Times;serif"/>
          <w:i w:val="false"/>
          <w:caps w:val="false"/>
          <w:smallCaps w:val="false"/>
          <w:sz w:val="24"/>
        </w:rPr>
        <w:t>.  The Loan Documents constitute the entire understanding of the parties thereto with respect to the subject matter thereof and any prior agreements, whether written or oral, with respect thereto are superseded hereby.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12.18.</w:t>
      </w:r>
      <w:bookmarkStart w:id="232" w:name="_Toc241229917"/>
      <w:bookmarkEnd w:id="232"/>
      <w:r>
        <w:rPr>
          <w:rFonts w:ascii="Times New Roman;Times;serif" w:hAnsi="Times New Roman;Times;serif"/>
          <w:i w:val="false"/>
          <w:caps w:val="false"/>
          <w:smallCaps w:val="false"/>
          <w:sz w:val="24"/>
          <w:u w:val="single"/>
        </w:rPr>
        <w:t>Governing Law</w:t>
      </w:r>
      <w:r>
        <w:rPr>
          <w:rFonts w:ascii="Times New Roman;Times;serif" w:hAnsi="Times New Roman;Times;serif"/>
          <w:i w:val="false"/>
          <w:caps w:val="false"/>
          <w:smallCaps w:val="false"/>
          <w:sz w:val="24"/>
        </w:rPr>
        <w:t>.  This Agreement and the other Loan Documents (except as otherwise specified therein), and the rights and duties of the parties hereto, shall be construed and determined in accordance with the internal laws of the State of New York.</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12.19.</w:t>
      </w:r>
      <w:bookmarkStart w:id="233" w:name="_Toc241229918"/>
      <w:bookmarkEnd w:id="233"/>
      <w:r>
        <w:rPr>
          <w:rFonts w:ascii="Times New Roman;Times;serif" w:hAnsi="Times New Roman;Times;serif"/>
          <w:i w:val="false"/>
          <w:caps w:val="false"/>
          <w:smallCaps w:val="false"/>
          <w:sz w:val="24"/>
          <w:u w:val="single"/>
        </w:rPr>
        <w:t>Severability of Provisions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Any provision of any Loan Document which is unenforceable in any jurisdiction shall, as to such jurisdiction, be ineffective to the extent of such unenforceability without invalidating the remaining provisions hereof or affecting the validity or enforceability of such provision in any other jurisdiction.  All rights, remedies and powers provided in this Agreement and the other Loan Documents may be exercised only to the extent that the exercise thereof does not violate any applicable mandatory provisions of law, and all the provisions of this Agreement and other Loan Documents are intended to be subject to all applicable mandatory provisions of law which may be controlling and to be limited to the extent necessary so that they will not render this Agreement or the other Loan Documents invalid or unenforceable.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12.20.</w:t>
      </w:r>
      <w:bookmarkStart w:id="234" w:name="_Toc241229919"/>
      <w:bookmarkEnd w:id="234"/>
      <w:r>
        <w:rPr>
          <w:rFonts w:ascii="Times New Roman;Times;serif" w:hAnsi="Times New Roman;Times;serif"/>
          <w:i w:val="false"/>
          <w:caps w:val="false"/>
          <w:smallCaps w:val="false"/>
          <w:sz w:val="24"/>
          <w:u w:val="single"/>
        </w:rPr>
        <w:t>Excess Interest</w:t>
      </w:r>
      <w:r>
        <w:rPr>
          <w:rFonts w:ascii="Times New Roman;Times;serif" w:hAnsi="Times New Roman;Times;serif"/>
          <w:i w:val="false"/>
          <w:caps w:val="false"/>
          <w:smallCaps w:val="false"/>
          <w:sz w:val="24"/>
        </w:rPr>
        <w:t>.  Notwithstanding any provision to the contrary contained herein or in any other Loan Document, no such provision shall require the payment or permit the collection of any amount of interest in excess of the maximum amount of interest permitted by applicable law to be charged for the use or detention, or the forbearance in the collection, of all or any portion of the Loans or other obligations outstanding under this Agreement or any other Loan Document (</w:t>
      </w:r>
      <w:r>
        <w:rPr>
          <w:rFonts w:ascii="Times New Roman;Times;serif" w:hAnsi="Times New Roman;Times;serif"/>
          <w:i/>
          <w:sz w:val="24"/>
        </w:rPr>
        <w:t>“Excess Interest”</w:t>
      </w:r>
      <w:r>
        <w:rPr>
          <w:rFonts w:ascii="Times New Roman;Times;serif" w:hAnsi="Times New Roman;Times;serif"/>
          <w:i w:val="false"/>
          <w:caps w:val="false"/>
          <w:smallCaps w:val="false"/>
          <w:sz w:val="24"/>
        </w:rPr>
        <w:t xml:space="preserve">).  If any Excess Interest is provided for, or is adjudicated to be provided for, herein or in any other Loan Document, then in such event (a) the provisions of this Section 12.20 shall govern and control, (b) neither the Borrower nor any guarantor or endorser shall be obligated to pay any Excess Interest, (c) any Excess Interest that the Administrative Agent or any Lender may have received hereunder shall, at the option of the Administrative Agent, be (i) applied as a credit against the then outstanding principal amount of Obligations hereunder and accrued and unpaid interest thereon (not to exceed the maximum amount permitted by applicable law), (ii) refunded to the Borrower, or (iii) any combination of the foregoing, (d) the interest rate payable hereunder or under any other Loan Document shall be automatically subject to reduction to the maximum lawful contract rate allowed under applicable usury laws (the </w:t>
      </w:r>
      <w:r>
        <w:rPr>
          <w:rFonts w:ascii="Times New Roman;Times;serif" w:hAnsi="Times New Roman;Times;serif"/>
          <w:i/>
          <w:sz w:val="24"/>
        </w:rPr>
        <w:t>“Maximum Rate”</w:t>
      </w:r>
      <w:r>
        <w:rPr>
          <w:rFonts w:ascii="Times New Roman;Times;serif" w:hAnsi="Times New Roman;Times;serif"/>
          <w:i w:val="false"/>
          <w:caps w:val="false"/>
          <w:smallCaps w:val="false"/>
          <w:sz w:val="24"/>
        </w:rPr>
        <w:t xml:space="preserve">), and this Agreement and the other Loan Documents shall be deemed to have been, and shall be, reformed and modified to reflect such reduction in the relevant interest rate, and (e) neither the Borrower nor any guarantor or endorser shall have any action against the Administrative Agent or any Lender for any damages whatsoever arising out of the payment or collection of any Excess Interest.  Notwithstanding the foregoing, if for any period of time interest on any of Borrower’s Obligations is calculated at the Maximum Rate rather than the applicable rate under this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and thereafter such applicable rate becomes less than the Maximum Rate, the rate of interest payable on the Borrower’s Obligations shall remain at the Maximum Rate until the Lenders have received the amount of interest which such Lenders would have received during such period on the Borrower’s Obligations had the rate of interest not been limited to the Maximum Rate during such period.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12.21.</w:t>
      </w:r>
      <w:bookmarkStart w:id="235" w:name="_Toc241229920"/>
      <w:bookmarkEnd w:id="235"/>
      <w:r>
        <w:rPr>
          <w:rFonts w:ascii="Times New Roman;Times;serif" w:hAnsi="Times New Roman;Times;serif"/>
          <w:i w:val="false"/>
          <w:caps w:val="false"/>
          <w:smallCaps w:val="false"/>
          <w:sz w:val="24"/>
          <w:u w:val="single"/>
        </w:rPr>
        <w:t>Construction</w:t>
      </w:r>
      <w:r>
        <w:rPr>
          <w:rFonts w:ascii="Times New Roman;Times;serif" w:hAnsi="Times New Roman;Times;serif"/>
          <w:i w:val="false"/>
          <w:caps w:val="false"/>
          <w:smallCaps w:val="false"/>
          <w:sz w:val="24"/>
        </w:rPr>
        <w:t>.  The parties acknowledge and agree that the Loan Documents shall not be construed more favorably in favor of any party hereto based upon which party drafted the same, it being acknowledged that all parties hereto contributed substantially to the negotiation of the Loan Documents.  The provisions of this Agreement relating to Subsidiaries shall only apply during such times as the Borrower has one or more Subsidiaries</w:t>
      </w:r>
      <w:r>
        <w:rPr>
          <w:rFonts w:ascii="Times New Roman;Times;serif" w:hAnsi="Times New Roman;Times;serif"/>
          <w:i w:val="false"/>
          <w:smallCaps/>
          <w:sz w:val="24"/>
        </w:rPr>
        <w: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12.22.</w:t>
      </w:r>
      <w:bookmarkStart w:id="236" w:name="_Toc241229921"/>
      <w:bookmarkEnd w:id="236"/>
      <w:r>
        <w:rPr>
          <w:rFonts w:ascii="Times New Roman;Times;serif" w:hAnsi="Times New Roman;Times;serif"/>
          <w:i w:val="false"/>
          <w:caps w:val="false"/>
          <w:smallCaps w:val="false"/>
          <w:sz w:val="24"/>
          <w:u w:val="single"/>
        </w:rPr>
        <w:t>Lender’s Obligations Several</w:t>
      </w:r>
      <w:r>
        <w:rPr>
          <w:rFonts w:ascii="Times New Roman;Times;serif" w:hAnsi="Times New Roman;Times;serif"/>
          <w:i w:val="false"/>
          <w:caps w:val="false"/>
          <w:smallCaps w:val="false"/>
          <w:sz w:val="24"/>
        </w:rPr>
        <w:t>.  The obligations of the Lenders and L/C Issuer hereunder are several and not joint.  Nothing contained in this Agreement and no action taken by the Lenders or L/C Issuer pursuant hereto shall be deemed to constitute the Lenders and L/C Issuer a partnership, association, joint venture or other entity.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12.23.</w:t>
      </w:r>
      <w:bookmarkStart w:id="237" w:name="_Toc241229922"/>
      <w:bookmarkEnd w:id="237"/>
      <w:r>
        <w:rPr>
          <w:rFonts w:ascii="Times New Roman;Times;serif" w:hAnsi="Times New Roman;Times;serif"/>
          <w:i w:val="false"/>
          <w:caps w:val="false"/>
          <w:smallCaps w:val="false"/>
          <w:sz w:val="24"/>
          <w:u w:val="single"/>
        </w:rPr>
        <w:t>Submission to Jurisdiction; Waiver of Jury Trial</w:t>
      </w:r>
      <w:r>
        <w:rPr>
          <w:rFonts w:ascii="Times New Roman;Times;serif" w:hAnsi="Times New Roman;Times;serif"/>
          <w:i w:val="false"/>
          <w:caps w:val="false"/>
          <w:smallCaps w:val="false"/>
          <w:sz w:val="24"/>
        </w:rPr>
        <w:t>.  The Borrower and each Guarantor hereby submits to the nonexclusive jurisdiction of the United States District Court for the Southern District of New York and of any New York State court sitting in the City of New York for purposes of all legal proceedings arising out of or relating to this Agreement, the other Loan Documents or the transactions contemplated hereby or thereby.  The Borrower and each Guarantor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THE BORROWER, EACH GUARANTOR, THE ADMINISTRATIVE AGENT, THE L/C ISSUER, AND THE LENDERS HEREBY IRREVOCABLY WAIVE ANY AND ALL RIGHT TO TRIAL BY JURY IN ANY LEGAL PROCEEDING ARISING OUT OF OR RELATING TO ANY LOAN DOCUMENT OR THE TRANSACTIONS CONTEMPLATED THEREBY.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12.24.</w:t>
      </w:r>
      <w:bookmarkStart w:id="238" w:name="_Toc241229923"/>
      <w:bookmarkEnd w:id="238"/>
      <w:r>
        <w:rPr>
          <w:rFonts w:ascii="Times New Roman;Times;serif" w:hAnsi="Times New Roman;Times;serif"/>
          <w:i w:val="false"/>
          <w:caps w:val="false"/>
          <w:smallCaps w:val="false"/>
          <w:sz w:val="24"/>
          <w:u w:val="single"/>
        </w:rPr>
        <w:t>USA Patriot Act</w:t>
      </w:r>
      <w:r>
        <w:rPr>
          <w:rFonts w:ascii="Times New Roman;Times;serif" w:hAnsi="Times New Roman;Times;serif"/>
          <w:i w:val="false"/>
          <w:caps w:val="false"/>
          <w:smallCaps w:val="false"/>
          <w:sz w:val="24"/>
        </w:rPr>
        <w:t>.  Administrative Agent, each Lender and L/C Issuer hereby notifies the Loan Parties that (a) pursuant to the requirements of the USA PATRIOT Act (Title III of Pub. L. 107-56 (signed into law October 26, 2001)) (the “</w:t>
      </w:r>
      <w:r>
        <w:rPr>
          <w:rFonts w:ascii="Times New Roman;Times;serif" w:hAnsi="Times New Roman;Times;serif"/>
          <w:i/>
          <w:sz w:val="24"/>
        </w:rPr>
        <w:t>Patriot Act</w:t>
      </w:r>
      <w:r>
        <w:rPr>
          <w:rFonts w:ascii="Times New Roman;Times;serif" w:hAnsi="Times New Roman;Times;serif"/>
          <w:i/>
          <w:caps w:val="false"/>
          <w:smallCaps w:val="false"/>
          <w:sz w:val="24"/>
        </w:rPr>
        <w:t>”</w:t>
      </w:r>
      <w:r>
        <w:rPr>
          <w:rFonts w:ascii="Times New Roman;Times;serif" w:hAnsi="Times New Roman;Times;serif"/>
          <w:i w:val="false"/>
          <w:caps w:val="false"/>
          <w:smallCaps w:val="false"/>
          <w:sz w:val="24"/>
        </w:rPr>
        <w:t>), it is required to obtain, verify and record information that identifies each Loan Party, which information includes the name and address of such Loan Party and other information that will allow such Lender, L/C Issuer or Administrative Agent, as applicable, to identify such Loan Party in accordance with the Patriot Act and (b) pursuant to the Beneficial Ownership Regulation, it is required to obtain a Beneficial Ownership Certificate.  Each Loan Party shall provide to the extent commercially reasonable, such information and take such other actions as are reasonably requested by Administrative Agent or any Lender or L/C Issuer in order to assist Administrative Agent and each Lender and L/C Issuer in maintaining compliance with the Patriot Act and the Beneficial Ownership Regulation.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12.25.</w:t>
      </w:r>
      <w:bookmarkStart w:id="239" w:name="_Toc241229924"/>
      <w:bookmarkEnd w:id="239"/>
      <w:r>
        <w:rPr>
          <w:rFonts w:ascii="Times New Roman;Times;serif" w:hAnsi="Times New Roman;Times;serif"/>
          <w:i w:val="false"/>
          <w:caps w:val="false"/>
          <w:smallCaps w:val="false"/>
          <w:sz w:val="24"/>
          <w:u w:val="single"/>
        </w:rPr>
        <w:t>Confidentiality</w:t>
      </w:r>
      <w:r>
        <w:rPr>
          <w:rFonts w:ascii="Times New Roman;Times;serif" w:hAnsi="Times New Roman;Times;serif"/>
          <w:i w:val="false"/>
          <w:caps w:val="false"/>
          <w:smallCaps w:val="false"/>
          <w:sz w:val="24"/>
        </w:rPr>
        <w:t xml:space="preserve">.  Each of the Administrative Agent, the Lenders, and the L/C Issuer severally agrees to maintain the confidentiality of the Information (as defined below), except that Information may be disclosed in compliance with applicable law (a) to its and its Affiliates’ directors, officers, employees and agents, including accountants, legal counsel and other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advisors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provided that to the extent practicable and permitted by applicable law, the party requested to disclose any information will provide prompt written notice of such request to the Borrower, will allow the Borrower a reasonable opportunity to seek appropriate protective measures prior to disclosure and will disclose the minimum amount of information required to comply with such applicable law, regulation, subpoena or legal process, (d) to any other party hereto, (e) to the extent reasonably necessary after consultation with counsel, in connection with the exercise of any remedies hereunder or under any other Loan Document or any suit, action or proceeding relating to this Agreement or any other Loan Document or the enforcement of rights hereunder or thereunder, provided that, to the extent reasonably practicable, the party requested to disclose any such information will provide prompt written notice of such request to the Borrower and will allow the Borrower a reasonable opportunity to seek appropriate protective measures prior to such disclosure, (f) subject to an agreement containing provisions substantially the same as those of this Section 12.25,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12.25 or (B) becomes available to the Administrative Agent, any Lender or the L/C Issuer on a non confidential basis from a source other than the Borrower or any Subsidiary or any of their directors, officers, employees or agents, including accountants, legal counsel and other advisors; provided that the Administrative Agent, any Lender or the L/C Issuer may use such Information as permitted by clause (a) above, but the Administrative Agent, any Lender or the L/C Issuer shall not otherwise disclose such Information except as permitted by clauses (b) - (g), (i), (j) or (k) of this Section 12.25, (i) to rating agencies if requested or required by such agencies in connection with a rating relating to the Loans or the Commitments hereunder, (j) to Gold Sheets and other similar bank trade publications (such information to consist of deal terms and other information regarding the credit facilities evidenced by this Agreement customarily found in such publications), or (k) to entities which compile and publish information about the syndicated loan market, provided that only basic information about the pricing and structure of the transaction evidenced hereby may be disclosed pursuant to this subsection (j).  For purposes of this Section 12.25, “Information” means all information received from the Borrower or any of the Subsidiaries or from any other Person on behalf of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of its Subsidiaries or from any other Person on behalf of the Borrower or any of the Subsidiaries.  Each of the Administrative Agent, the Lenders, and the L/C Issuer specifically acknowledges that the common stock of the Borrower is traded on the New York Stock Exchange under the trading symbol “CTO.”  Each of the Administrative Agent, the Lenders, and the L/C Issuer further expressly acknowledges that it is aware that the securities laws of the United States prohibit any person who has received from an issuer material, non-public information, including information concerning the matters that are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subject of this Agreement, from purchasing or selling securities of such issuer on the basis of material, non-public information concerning the issuer of such securities or, subject to certain limited exceptions, from communicating such information to any other Person.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12.26.</w:t>
      </w:r>
      <w:bookmarkStart w:id="240" w:name="_Toc241229925"/>
      <w:bookmarkEnd w:id="240"/>
      <w:r>
        <w:rPr>
          <w:rFonts w:ascii="Times New Roman;Times;serif" w:hAnsi="Times New Roman;Times;serif"/>
          <w:i w:val="false"/>
          <w:caps w:val="false"/>
          <w:smallCaps w:val="false"/>
          <w:sz w:val="24"/>
          <w:u w:val="single"/>
        </w:rPr>
        <w:t>Limitation of Recourse</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There shall be full recourse to the Borrower and the Guarantors and all of their assets and properties for the Obligations and any other liability under the Loan Documents. Subject to clauses (i) and (ii) of the following sentence, in no event shall any officer or director of the Borrower or any of its Subsidiaries be personally liable or obligated for the Obligations or any other liability under the Loan Documents.  Nothing herein contained shall limit or be construed to (i) release any such officer or director from liability for his or her fraudulent actions, misappropriation of funds or willful misconduct or (ii) limit or impair the exercise of remedies with respect to the Borrower and the Guarantors under the Loan Documents.  The provisions of this Section 12.26 shall survive the termination of this Agreement.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12.27.</w:t>
      </w:r>
      <w:bookmarkStart w:id="241" w:name="_Toc241229926"/>
      <w:bookmarkEnd w:id="241"/>
      <w:r>
        <w:rPr>
          <w:rFonts w:ascii="Times New Roman;Times;serif" w:hAnsi="Times New Roman;Times;serif"/>
          <w:i w:val="false"/>
          <w:caps w:val="false"/>
          <w:smallCaps w:val="false"/>
          <w:sz w:val="24"/>
          <w:u w:val="single"/>
        </w:rPr>
        <w:t>Other Taxes</w:t>
      </w:r>
      <w:r>
        <w:rPr>
          <w:rFonts w:ascii="Times New Roman;Times;serif" w:hAnsi="Times New Roman;Times;serif"/>
          <w:i w:val="false"/>
          <w:caps w:val="false"/>
          <w:smallCaps w:val="false"/>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The Borrower agrees to pay on demand, and indemnify and hold the Administrative Agent and the Lenders harmless from, any Other Taxes payable in respect of this Agreement or any other Loan Document, including interest and penalties, in the event any such taxes are assessed, irrespective of when such assessment is made and whether or not any credit is then in use or available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12.28.</w:t>
      </w:r>
      <w:bookmarkStart w:id="242" w:name="_Toc241229927"/>
      <w:bookmarkEnd w:id="242"/>
      <w:r>
        <w:rPr>
          <w:rFonts w:ascii="Times New Roman;Times;serif" w:hAnsi="Times New Roman;Times;serif"/>
          <w:i w:val="false"/>
          <w:caps w:val="false"/>
          <w:smallCaps w:val="false"/>
          <w:sz w:val="24"/>
          <w:u w:val="single"/>
        </w:rPr>
        <w:t>Amendment and Restatement; No Novation; Reallocation of Existing Term Loans</w:t>
      </w:r>
      <w:r>
        <w:rPr>
          <w:rFonts w:ascii="Times New Roman;Times;serif" w:hAnsi="Times New Roman;Times;serif"/>
          <w:i w:val="false"/>
          <w:caps w:val="false"/>
          <w:smallCaps w:val="false"/>
          <w:sz w:val="24"/>
        </w:rPr>
        <w: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(a)From and after the date of this Agreement, all references to the Original Credit Agreement in any Loan Document or in any other instrument or document shall, unless otherwise explicitly stated therein, be deemed to refer to this Agreement.  This Agreement shall become effective as of the date hereof, and supersede all provisions of the Original Credit Agreement as of such date, upon the execution of this Agreement by each of the parties hereto and fulfillment of the conditions precedent contained in Section 7.2 hereof.  This Agreement shall constitute for all purposes an amendment and restatement of the Original Credit Agreement and not a new agreement and all obligations outstanding under the Original Credit Agreement shall continue to be outstanding hereunder and shall not constitute a novation of the indebtedness or other obligations outstanding under the Original Credit Agreement.  On the Restatement Date, the Loans and related Obligations made under the Original Credit Agreement shall be deemed to have been made under this Agreement, without the execution by the Borrower or the Lenders of any other documentation.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(b)On the Restatement Date, each Lender that will have a greater 2029 Term Loan Commitment or 2030 Term Loan Commitment upon the Restatement Date than its 2029 Term Loan Commitment (under and as defined in the Original Credit Agreement) or 2030 Term Loan Commitment (under and as defined in the Original Credit Agreement), respectively, immediately prior to the Restatement Date (each, a “</w:t>
      </w:r>
      <w:r>
        <w:rPr>
          <w:rFonts w:ascii="Times New Roman;Times;serif" w:hAnsi="Times New Roman;Times;serif"/>
          <w:i/>
          <w:sz w:val="24"/>
        </w:rPr>
        <w:t>Purchasing Lender</w:t>
      </w:r>
      <w:r>
        <w:rPr>
          <w:rFonts w:ascii="Times New Roman;Times;serif" w:hAnsi="Times New Roman;Times;serif"/>
          <w:sz w:val="24"/>
        </w:rPr>
        <w:t xml:space="preserve">”), without executing an Assignment and Assumption, shall be deemed to have purchased assignments pro rata from each Lender in the applicable Class that will have a smaller 2029 Term Loan Commitment or 2030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Term Loan Commitment, respectively, upon the Restatement Date than its 2029 Term Loan Commitment (under and as defined in the Original Credit Agreement) or 2030 Term Loan Commitment (under and as defined in the Original Credit Agreement only), respectively, immediately prior to the Restatement Date (each, a “</w:t>
      </w:r>
      <w:r>
        <w:rPr>
          <w:rFonts w:ascii="Times New Roman;Times;serif" w:hAnsi="Times New Roman;Times;serif"/>
          <w:i/>
          <w:sz w:val="24"/>
        </w:rPr>
        <w:t>Selling Lender</w:t>
      </w:r>
      <w:r>
        <w:rPr>
          <w:rFonts w:ascii="Times New Roman;Times;serif" w:hAnsi="Times New Roman;Times;serif"/>
          <w:sz w:val="24"/>
        </w:rPr>
        <w:t>”) in all such Selling Lender’s rights and obligations under this Agreement and the other Loan Documents as a Lender (collectively, the “</w:t>
      </w:r>
      <w:r>
        <w:rPr>
          <w:rFonts w:ascii="Times New Roman;Times;serif" w:hAnsi="Times New Roman;Times;serif"/>
          <w:i/>
          <w:sz w:val="24"/>
        </w:rPr>
        <w:t>Lender Assigned Rights and Obligations</w:t>
      </w:r>
      <w:r>
        <w:rPr>
          <w:rFonts w:ascii="Times New Roman;Times;serif" w:hAnsi="Times New Roman;Times;serif"/>
          <w:sz w:val="24"/>
        </w:rPr>
        <w:t>”) so that, after giving effect to such assignments, each Lender shall have its respective Commitments as set forth in Schedule 1 hereto and a corresponding Applicable Percentage of all Loans then outstanding under such Class.  Each such purchase hereunder shall be at par for a purchase price equal to the principal amount of the loans and without recourse, representation or warranty, except that each Selling Lender shall be deemed to represent and warrant to each applicable Purchasing Lender that the Lender Assigned Rights and Obligations of such Selling Lender being assigned to such Purchasing Lender are not subject to any Liens created by that Selling Lender.  For the avoidance of doubt, in no event shall the aggregate amount of each Lender’s Loans of any Class outstanding at any time exceed its Commitment of such Class, in each case, as set forth in Schedule 1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(c)The Administrative Agent shall calculate the net amount to be paid or received by each Lender in connection with the assignments effected hereunder on the Restatement Date.  Each Lender required to make a payment pursuant to this Section shall make the net amount of its required payment available to the Administrative Agent, in same day funds, at the office of the Administrative Agent not later than 12:00 P.M. (Chicago time) on the Restatement Date.  The Administrative Agent shall distribute on the Restatement Date the proceeds of such amounts to the Lenders entitled to receive payments pursuant to this Section, pro rata in proportion to the amount each such Lender is entitled to receive at the primary address set forth in Schedule I hereto or at such other address as such Lender may request in writing to the Administrative Agent.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12.29.</w:t>
      </w:r>
      <w:bookmarkStart w:id="243" w:name="_Toc241229928"/>
      <w:bookmarkStart w:id="244" w:name="_Ref114046781"/>
      <w:bookmarkEnd w:id="243"/>
      <w:bookmarkEnd w:id="244"/>
      <w:r>
        <w:rPr>
          <w:rFonts w:ascii="Times New Roman;Times;serif" w:hAnsi="Times New Roman;Times;serif"/>
          <w:i w:val="false"/>
          <w:caps w:val="false"/>
          <w:smallCaps w:val="false"/>
          <w:sz w:val="24"/>
          <w:u w:val="single"/>
        </w:rPr>
        <w:t>Acknowledgement and Consent to Bail-In of Affected Financial Institutions</w:t>
      </w:r>
      <w:r>
        <w:rPr>
          <w:rFonts w:ascii="Times New Roman;Times;serif" w:hAnsi="Times New Roman;Times;serif"/>
          <w:i/>
          <w:sz w:val="24"/>
        </w:rPr>
        <w:t>.  </w:t>
      </w:r>
      <w:r>
        <w:rPr>
          <w:rFonts w:ascii="Times New Roman;Times;serif" w:hAnsi="Times New Roman;Times;serif"/>
          <w:i w:val="false"/>
          <w:caps w:val="false"/>
          <w:smallCaps w:val="false"/>
          <w:sz w:val="24"/>
        </w:rPr>
        <w:t>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(b)the effects of any Bail-In Action on any such liability, including, if applicable:</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(i)a reduction in full or in part or cancellation of any such liability;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(iii)the variation of the terms of such liability in connection with the exercise of the Write-Down and Conversion Powers of any Affected Resolution Authority.</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12.30.</w:t>
      </w:r>
      <w:bookmarkStart w:id="245" w:name="_Toc241229929"/>
      <w:bookmarkEnd w:id="245"/>
      <w:r>
        <w:rPr>
          <w:rFonts w:ascii="Times New Roman;Times;serif" w:hAnsi="Times New Roman;Times;serif"/>
          <w:i w:val="false"/>
          <w:caps w:val="false"/>
          <w:smallCaps w:val="false"/>
          <w:sz w:val="24"/>
          <w:u w:val="single"/>
        </w:rPr>
        <w:t>Acknowledgement Regarding Any Supported QFCs</w:t>
      </w:r>
      <w:r>
        <w:rPr>
          <w:rFonts w:ascii="Times New Roman;Times;serif" w:hAnsi="Times New Roman;Times;serif"/>
          <w:i/>
          <w:sz w:val="24"/>
        </w:rPr>
        <w:t>.  </w:t>
      </w:r>
      <w:r>
        <w:rPr>
          <w:rFonts w:ascii="Times New Roman;Times;serif" w:hAnsi="Times New Roman;Times;serif"/>
          <w:i w:val="false"/>
          <w:caps w:val="false"/>
          <w:smallCaps w:val="false"/>
          <w:sz w:val="24"/>
        </w:rPr>
        <w:t xml:space="preserve">To the extent that the  Loan Documents provide support, through a guarantee or otherwise, for Hedging Agreements or any other agreement or instrument that is a QFC (such support, </w:t>
      </w:r>
      <w:r>
        <w:rPr>
          <w:rFonts w:ascii="Times New Roman;Times;serif" w:hAnsi="Times New Roman;Times;serif"/>
          <w:i/>
          <w:sz w:val="24"/>
        </w:rPr>
        <w:t>“QFC Credit Support”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 xml:space="preserve">and each such QFC a </w:t>
      </w:r>
      <w:r>
        <w:rPr>
          <w:rFonts w:ascii="Times New Roman;Times;serif" w:hAnsi="Times New Roman;Times;serif"/>
          <w:i/>
          <w:sz w:val="24"/>
        </w:rPr>
        <w:t>“Supported QFC”</w:t>
      </w:r>
      <w:r>
        <w:rPr>
          <w:rFonts w:ascii="Times New Roman;Times;serif" w:hAnsi="Times New Roman;Times;serif"/>
          <w:i w:val="false"/>
          <w:caps w:val="false"/>
          <w:smallCaps w:val="false"/>
          <w:sz w:val="24"/>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i/>
          <w:sz w:val="24"/>
        </w:rPr>
        <w:t>“U.S. Special Resolution Regimes”</w:t>
      </w:r>
      <w:r>
        <w:rPr>
          <w:rFonts w:ascii="Times New Roman;Times;serif" w:hAnsi="Times New Roman;Times;serif"/>
          <w:i w:val="false"/>
          <w:caps w:val="false"/>
          <w:smallCaps w:val="false"/>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(a)In the event a Covered Entity that is party to a Supported QFC (each, a “</w:t>
      </w:r>
      <w:r>
        <w:rPr>
          <w:rFonts w:ascii="Times New Roman;Times;serif" w:hAnsi="Times New Roman;Times;serif"/>
          <w:i/>
          <w:sz w:val="24"/>
        </w:rPr>
        <w:t>Covered Party”</w:t>
      </w:r>
      <w:r>
        <w:rPr>
          <w:rFonts w:ascii="Times New Roman;Times;serif" w:hAnsi="Times New Roman;Times;serif"/>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(b)As used in this Section, the following terms have the following meanings:</w:t>
      </w:r>
    </w:p>
    <w:p>
      <w:pPr>
        <w:pStyle w:val="TextBody"/>
        <w:bidi w:val="0"/>
        <w:spacing w:before="0" w:after="240"/>
        <w:ind w:left="720" w:right="0" w:hanging="0"/>
        <w:jc w:val="both"/>
        <w:rPr/>
      </w:pPr>
      <w:r>
        <w:rPr/>
        <w:t>“</w:t>
      </w:r>
      <w:r>
        <w:rPr>
          <w:rFonts w:ascii="Times" w:hAnsi="Times"/>
          <w:i/>
          <w:sz w:val="24"/>
        </w:rPr>
        <w:t xml:space="preserve">BHC Act Affiliate” </w:t>
      </w:r>
      <w:r>
        <w:rPr>
          <w:rFonts w:ascii="Times" w:hAnsi="Times"/>
          <w:sz w:val="24"/>
        </w:rPr>
        <w:t>of a party means an “affiliate” (as such term is defined under, and interpreted in accordance with, 12 U.S.C. 1841(k)) of such party.</w:t>
      </w:r>
    </w:p>
    <w:p>
      <w:pPr>
        <w:pStyle w:val="TextBody"/>
        <w:bidi w:val="0"/>
        <w:spacing w:before="0" w:after="240"/>
        <w:ind w:left="720" w:right="0" w:hanging="0"/>
        <w:jc w:val="both"/>
        <w:rPr/>
      </w:pPr>
      <w:r>
        <w:rPr/>
        <w:t>“</w:t>
      </w:r>
      <w:r>
        <w:rPr>
          <w:rFonts w:ascii="Times" w:hAnsi="Times"/>
          <w:i/>
          <w:sz w:val="24"/>
        </w:rPr>
        <w:t>Covered Entity</w:t>
      </w:r>
      <w:r>
        <w:rPr>
          <w:rFonts w:ascii="Times" w:hAnsi="Times"/>
          <w:sz w:val="24"/>
        </w:rPr>
        <w:t>” means any of the following: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(i)a “covered entity” as that term is defined in, and interpreted in accordance with, 12 C.F.R. §252.82(b);</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(ii)a “covered bank” as that term is defined in, and interpreted in accordance with, 12 C.F.R. §47.3(b);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(iii)a “covered FSI” as that term is defined in, and interpreted in accordance with, 12 C.F.R. §382.2(b).</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w:hAnsi="Times"/>
          <w:i/>
          <w:sz w:val="24"/>
        </w:rPr>
        <w:t>Default Rights”</w:t>
      </w:r>
      <w:r>
        <w:rPr>
          <w:rFonts w:ascii="Times" w:hAnsi="Times"/>
          <w:sz w:val="24"/>
        </w:rPr>
        <w:t xml:space="preserve"> has the meaning assigned to that term in, and shall be interpreted in accordance with, 12 C.F.R. §§252.81, 47.2 or 382.1, as applicable.</w:t>
      </w:r>
    </w:p>
    <w:p>
      <w:pPr>
        <w:pStyle w:val="TextBody"/>
        <w:bidi w:val="0"/>
        <w:spacing w:before="0" w:after="240"/>
        <w:ind w:left="720" w:right="0" w:hanging="0"/>
        <w:jc w:val="both"/>
        <w:rPr/>
      </w:pPr>
      <w:r>
        <w:rPr/>
        <w:t>“</w:t>
      </w:r>
      <w:r>
        <w:rPr>
          <w:rFonts w:ascii="Times" w:hAnsi="Times"/>
          <w:i/>
          <w:sz w:val="24"/>
        </w:rPr>
        <w:t>QFC”</w:t>
      </w:r>
      <w:r>
        <w:rPr>
          <w:rFonts w:ascii="Times" w:hAnsi="Times"/>
          <w:sz w:val="24"/>
        </w:rPr>
        <w:t xml:space="preserve"> has the meaning assigned to the term “qualified financial contract” in, and shall be interpreted in accordance with, 12 U.S.C. 5390(c)(8)(D).</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12.31.</w:t>
      </w:r>
      <w:bookmarkStart w:id="246" w:name="_Toc241229930"/>
      <w:bookmarkEnd w:id="246"/>
      <w:r>
        <w:rPr>
          <w:rFonts w:ascii="Times New Roman;Times;serif" w:hAnsi="Times New Roman;Times;serif"/>
          <w:i w:val="false"/>
          <w:caps w:val="false"/>
          <w:smallCaps w:val="false"/>
          <w:sz w:val="24"/>
          <w:u w:val="single"/>
        </w:rPr>
        <w:t>Erroneous Payment</w:t>
      </w:r>
      <w:r>
        <w:rPr>
          <w:rFonts w:ascii="Times New Roman;Times;serif" w:hAnsi="Times New Roman;Times;serif"/>
          <w:i w:val="false"/>
          <w:caps w:val="false"/>
          <w:smallCaps w:val="false"/>
          <w:sz w:val="24"/>
        </w:rPr>
        <w:t xml:space="preserve">.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(a)If Administrative Agent notifies a Lender, or any Person who has received funds on behalf of a Lender (any such Lender or other recipient, a “</w:t>
      </w:r>
      <w:r>
        <w:rPr>
          <w:rFonts w:ascii="Times New Roman;Times;serif" w:hAnsi="Times New Roman;Times;serif"/>
          <w:i/>
          <w:sz w:val="24"/>
        </w:rPr>
        <w:t>Payment Recipient</w:t>
      </w:r>
      <w:r>
        <w:rPr>
          <w:rFonts w:ascii="Times New Roman;Times;serif" w:hAnsi="Times New Roman;Times;serif"/>
          <w:sz w:val="24"/>
        </w:rPr>
        <w:t>”) that Administrative Agent has determined in its sole discretion (whether or not after receipt of any notice under Section 12.30(b)) that any funds received by such Payment Recipient from Administrative Agent or any of its Affiliates were erroneously or mistakenly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i/>
          <w:sz w:val="24"/>
        </w:rPr>
        <w:t>Erroneous Payment</w:t>
      </w:r>
      <w:r>
        <w:rPr>
          <w:rFonts w:ascii="Times New Roman;Times;serif" w:hAnsi="Times New Roman;Times;serif"/>
          <w:sz w:val="24"/>
        </w:rPr>
        <w:t>”) and demands the return of such Erroneous Payment (or a portion thereof), such Erroneous Payment shall at all times remain the property of Administrative Agent and shall be segregated by the Payment Recipient and held in trust for the benefit of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Administrative Agent in same day funds at the greater of the Federal Funds Effective Rate and a rate determined by Administrative Agent in accordance with banking industry rules on interbank compensation from time to time in effect. A notice from the Administrative Agent to any Payment Recipient under this Section 12.30(a) shall be conclusive, absent manifest error.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(b)Without limiting the provisions of Section 12.30(a), each Payment Recipient hereby further agrees that if it receives a payment, prepayment or repayment (whether received as a payment, prepayment or repayment of principal, interest, fees, distribution or otherwise) from Administrative Agent (or any of its Affiliates) (x) that is in a different amount than, or on a different date from, that specified in a notice of payment, prepayment or repayment sent by Administrative Agent (or any of its Affiliates) with respect to such payment, prepayment or repayment, (y) that was not preceded or accompanied by a notice of payment, prepayment or repayment sent by Administrative Agent (or any of its Affiliates), or (z) that such Payment Recipient otherwise becomes aware was transmitted, or received, in error or by mistake (in whole or in part), in each case: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 xml:space="preserve">it acknowledges and agrees that (A) in the case of immediately preceding clauses (x) or (y), an error and mistake shall be presumed to have been made (absent written confirmation from Administrative Agent to the contrary) or (B) an error and mistake has been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made (in the case of immediately preceding clause (z)), in each case, with respect to such payment, prepayment or repayment;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(ii)</w:t>
      </w:r>
      <w:r>
        <w:rPr>
          <w:rFonts w:ascii="Times New Roman;Times;serif" w:hAnsi="Times New Roman;Times;serif"/>
          <w:sz w:val="24"/>
        </w:rPr>
        <w:t>such Lender shall (and shall cause any other recipient that receives funds on its respective behalf to) promptly (and, in all events, within one Business Day of its knowledge of such error) notify Administrative Agent of its receipt of such payment, prepayment or repayment, the details thereof (in reasonable detail) and that it is so notifying Administrative Agent pursuant to this Section 12.30(b).</w:t>
      </w:r>
    </w:p>
    <w:p>
      <w:pPr>
        <w:pStyle w:val="TextBody"/>
        <w:bidi w:val="0"/>
        <w:spacing w:before="0" w:after="240"/>
        <w:ind w:left="0" w:right="0" w:firstLine="1440"/>
        <w:jc w:val="both"/>
        <w:rPr>
          <w:rFonts w:ascii="Times New Roman;Times;serif" w:hAnsi="Times New Roman;Times;serif"/>
          <w:sz w:val="24"/>
        </w:rPr>
      </w:pPr>
      <w:r>
        <w:rPr>
          <w:rFonts w:ascii="Times New Roman;Times;serif" w:hAnsi="Times New Roman;Times;serif"/>
          <w:sz w:val="24"/>
        </w:rPr>
        <w:t>For the avoidance of doubt, the failure to deliver a notice to the Administrative Agent pursuant to this Section 12.30(b) shall not have any effect on a Payment Recipient’s obligations pursuant to Section 12.30(b) or on whether or not an Erroneous Payment has been made.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(c)Each Lender hereby authorizes Administrative Agent to set off, net and apply any and all amounts at any time owing to such Lender under any Loan Document, or otherwise payable or distributable by Administrative Agent to such Lender from any source, against any amount due to Administrative Agent under Section 12.30(a) or under the indemnification provisions of this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(d)(i) Notwithstanding anything contained in Section 12.30, in the event that an Erroneous Payment (or portion thereof) is not recovered by Administrative Agent for any reason, after demand therefor by Administrative Agent in accordance with Section 12.30(a), from any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i/>
          <w:sz w:val="24"/>
        </w:rPr>
        <w:t>Erroneous Payment Return Deficiency</w:t>
      </w:r>
      <w:r>
        <w:rPr>
          <w:rFonts w:ascii="Times New Roman;Times;serif" w:hAnsi="Times New Roman;Times;serif"/>
          <w:sz w:val="24"/>
        </w:rPr>
        <w:t>”), upon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Times;serif" w:hAnsi="Times New Roman;Times;serif"/>
          <w:i/>
          <w:sz w:val="24"/>
        </w:rPr>
        <w:t>Erroneous Payment Impacted Class</w:t>
      </w:r>
      <w:r>
        <w:rPr>
          <w:rFonts w:ascii="Times New Roman;Times;serif" w:hAnsi="Times New Roman;Times;serif"/>
          <w:sz w:val="24"/>
        </w:rPr>
        <w:t>”) in an amount equal to the Erroneous Payment Return Deficiency (or such lesser amount as Administrative Agent may specify) (such assignment of the Loans (but not Commitments) of the Erroneous Payment Impacted Class, the “</w:t>
      </w:r>
      <w:r>
        <w:rPr>
          <w:rFonts w:ascii="Times New Roman;Times;serif" w:hAnsi="Times New Roman;Times;serif"/>
          <w:i/>
          <w:sz w:val="24"/>
        </w:rPr>
        <w:t>Erroneous Payment Deficiency Assignment</w:t>
      </w:r>
      <w:r>
        <w:rPr>
          <w:rFonts w:ascii="Times New Roman;Times;serif" w:hAnsi="Times New Roman;Times;serif"/>
          <w:sz w:val="24"/>
        </w:rPr>
        <w:t xml:space="preserve">”) (on a cashless basis and such amount calculated at par plus any accrued and unpaid interest (with the assignment fee to be waived by Administrative Agent in such instance)), and is hereby (together with Borrower) deemed to execute and deliver an Assignment and Acceptance with respect to such Erroneous Payment Deficiency Assignment, and such Lender shall deliver any Notes evidencing such Loans to Borrower Representative or Administrative Agent (but the failure of such Person to deliver any such Notes shall not affect the effectiveness of the foregoing assignment), (B) Administrative Agent as the assignee Lender shall be deemed to acquire the Erroneous Payment Deficiency Assignment, (C) upon such deemed acquisition,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(ii)  Subject to this Section 12.30,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Times;serif" w:hAnsi="Times New Roman;Times;serif"/>
          <w:i/>
          <w:sz w:val="24"/>
        </w:rPr>
        <w:t>Erroneous Payment Subrogation Rights</w:t>
      </w:r>
      <w:r>
        <w:rPr>
          <w:rFonts w:ascii="Times New Roman;Times;serif" w:hAnsi="Times New Roman;Times;serif"/>
          <w:sz w:val="24"/>
        </w:rPr>
        <w:t>”) (</w:t>
      </w:r>
      <w:r>
        <w:rPr>
          <w:rFonts w:ascii="Times New Roman;Times;serif" w:hAnsi="Times New Roman;Times;serif"/>
          <w:sz w:val="24"/>
          <w:u w:val="single"/>
        </w:rPr>
        <w:t>provided</w:t>
      </w:r>
      <w:r>
        <w:rPr>
          <w:rFonts w:ascii="Times New Roman;Times;serif" w:hAnsi="Times New Roman;Times;serif"/>
          <w:sz w:val="24"/>
        </w:rPr>
        <w:t xml:space="preserve"> that the Borrower’s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w:t>
      </w:r>
      <w:r>
        <w:rPr>
          <w:rFonts w:ascii="Times New Roman;Times;serif" w:hAnsi="Times New Roman;Times;serif"/>
          <w:sz w:val="24"/>
          <w:u w:val="single"/>
        </w:rPr>
        <w:t>provided</w:t>
      </w:r>
      <w:r>
        <w:rPr>
          <w:rFonts w:ascii="Times New Roman;Times;serif" w:hAnsi="Times New Roman;Times;serif"/>
          <w:sz w:val="24"/>
        </w:rPr>
        <w:t xml:space="preserve"> that this Section 12.30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Times;serif" w:hAnsi="Times New Roman;Times;serif"/>
          <w:sz w:val="24"/>
          <w:u w:val="single"/>
        </w:rPr>
        <w:t>provided</w:t>
      </w:r>
      <w:r>
        <w:rPr>
          <w:rFonts w:ascii="Times New Roman;Times;serif" w:hAnsi="Times New Roman;Times;serif"/>
          <w:sz w:val="24"/>
        </w:rPr>
        <w:t xml:space="preserve">, </w:t>
      </w:r>
      <w:r>
        <w:rPr>
          <w:rFonts w:ascii="Times New Roman;Times;serif" w:hAnsi="Times New Roman;Times;serif"/>
          <w:sz w:val="24"/>
          <w:u w:val="single"/>
        </w:rPr>
        <w:t>further</w:t>
      </w:r>
      <w:r>
        <w:rPr>
          <w:rFonts w:ascii="Times New Roman;Times;serif" w:hAnsi="Times New Roman;Times;serif"/>
          <w:sz w:val="24"/>
        </w:rPr>
        <w:t>,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Administrative Agent for the return of any Erroneous Payment received, including without limitation waiver of any defense based on “discharge for value” or any similar doctrine.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(g)Each party’s obligations, agreements and waivers under this Section 12.30 shall survive the resignation or replacement of Administrative Agent, any transfer of rights or obligations by, or the replacement of, a Lender, the termination of the Commitments and/or the repayment, satisfaction or discharge of all Obligations (or any portion thereof).</w:t>
      </w:r>
    </w:p>
    <w:p>
      <w:pPr>
        <w:pStyle w:val="TextBody"/>
        <w:bidi w:val="0"/>
        <w:spacing w:before="0" w:after="240"/>
        <w:ind w:left="0" w:right="0" w:hanging="0"/>
        <w:jc w:val="both"/>
        <w:rPr>
          <w:rFonts w:ascii="Times New Roman;Times;serif" w:hAnsi="Times New Roman;Times;serif"/>
          <w:caps/>
          <w:sz w:val="24"/>
        </w:rPr>
      </w:pPr>
      <w:r>
        <w:rPr>
          <w:rFonts w:ascii="Times New Roman;Times;serif" w:hAnsi="Times New Roman;Times;serif"/>
          <w:caps/>
          <w:sz w:val="24"/>
        </w:rPr>
        <w:t>SECTION 13.</w:t>
      </w:r>
      <w:bookmarkStart w:id="247" w:name="_Toc241229931"/>
      <w:bookmarkEnd w:id="247"/>
      <w:r>
        <w:rPr>
          <w:rFonts w:ascii="Times New Roman;Times;serif" w:hAnsi="Times New Roman;Times;serif"/>
          <w:caps/>
          <w:sz w:val="24"/>
        </w:rPr>
        <w:t>The Guarantees.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13.1.</w:t>
      </w:r>
      <w:bookmarkStart w:id="248" w:name="_Toc241229932"/>
      <w:bookmarkEnd w:id="248"/>
      <w:r>
        <w:rPr>
          <w:rFonts w:ascii="Times New Roman;Times;serif" w:hAnsi="Times New Roman;Times;serif"/>
          <w:i w:val="false"/>
          <w:caps w:val="false"/>
          <w:smallCaps w:val="false"/>
          <w:sz w:val="24"/>
          <w:u w:val="single"/>
        </w:rPr>
        <w:t>The Guarantees</w:t>
      </w:r>
      <w:r>
        <w:rPr>
          <w:rFonts w:ascii="Times New Roman;Times;serif" w:hAnsi="Times New Roman;Times;serif"/>
          <w:i w:val="false"/>
          <w:caps w:val="false"/>
          <w:smallCaps w:val="false"/>
          <w:sz w:val="24"/>
        </w:rPr>
        <w:t>.  To induce the Lenders to provide the credits described herein and in consideration of benefits expected to accrue to the Borrower by reason of the Loans and Commitments and for other good and valuable consideration, receipt of which is hereby acknowledged, each Material Subsidiary party hereto (including any Material Subsidiary formed or acquired after the Restatement Date executing an Additional Guarantor Supplement in the form attached hereto as Exhibit G or such other form acceptable to the Administrative Agent) hereby unconditionally and irrevocably guarantees jointly and severally to the Administrative Agent, the Lenders, and their Affiliates, and each Qualifying Counterparty (even if such Qualifying Counterparty or any Person affiliated with such Qualifying Counterparty shall cease to be a Lender hereunder), the due and punctual payment of all present and future Obligations, including, but not limited to, the due and punctual payment of principal of and interest on the Loans, the Reimbursement Obligations, Hedging Liability, Funds Transfer and Deposit Account Liability, and the due and punctual payment of all other obligations now or hereafter owed by the Borrower under the Loan Documents as and when the same shall become due and payable, whether at stated maturity, by acceleration, or otherwise, according to the terms hereof and thereof (including interest which, but for the filing of a petition in bankruptcy, would otherwise accrue on any such indebtedness, obligation, or liability).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13.2.</w:t>
      </w:r>
      <w:bookmarkStart w:id="249" w:name="_Toc241229933"/>
      <w:bookmarkEnd w:id="249"/>
      <w:r>
        <w:rPr>
          <w:rFonts w:ascii="Times New Roman;Times;serif" w:hAnsi="Times New Roman;Times;serif"/>
          <w:i w:val="false"/>
          <w:caps w:val="false"/>
          <w:smallCaps w:val="false"/>
          <w:sz w:val="24"/>
          <w:u w:val="single"/>
        </w:rPr>
        <w:t>Guarantee Unconditional</w:t>
      </w:r>
      <w:r>
        <w:rPr>
          <w:rFonts w:ascii="Times New Roman;Times;serif" w:hAnsi="Times New Roman;Times;serif"/>
          <w:i w:val="false"/>
          <w:caps w:val="false"/>
          <w:smallCaps w:val="false"/>
          <w:sz w:val="24"/>
        </w:rPr>
        <w:t>.  The obligations of each Guarantor under this Section 13 shall be unconditional and absolute and, without limiting the generality of the foregoing, shall not be released, discharged, or otherwise affected 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(a)any extension, renewal, settlement, compromise, waiver, or release in respect of any obligation of the Borrower or other obligor or of any other guarantor under this Agreement or any other Loan Document or by operation of law or otherwise;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(b)any modification or amendment of or supplement to this Agreement or any other Loan Document;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(c)any change in the corporate existence, structure, or ownership of, or any insolvency, bankruptcy, reorganization, or other similar proceeding affecting, the Borrower or other obligor, any other guarantor, or any of their respective assets, or any resulting release or discharge of any obligation of the Borrower or other obligor or of any other guarantor contained in any Loan Document;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(d)the existence of any claim, set-off, or other rights which the Borrower or other obligor or any other guarantor may have at any time against the Administrative Agent, any Lender, or any other Person, whether or not arising in connection herewith;</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(e)any failure to assert, or any assertion of, any claim or demand or any exercise of, or failure to exercise, any rights or remedies against the Borrower or other obligor, any other guarantor, or any other Person or Properties or other assets;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(f)any application of any sums by whomsoever paid or howsoever realized to any obligation of the Borrower or other obligor, regardless of what obligations of the Borrower or other obligor remain unpaid;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(g)any invalidity or unenforceability relating to or against the Borrower or other obligor or any other guarantor for any reason of this Agreement or of any other Loan Document or any provision of applicable law or regulation purporting to prohibit the payment by the Borrower or other obligor or any other guarantor of the principal of or interest on any Loan or any Reimbursement Obligation or any other amount payable under the Loan Documents; or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(h)any other act or omission to act or delay of any kind by the Administrative Agent, any Lender, or any other Person or any other circumstance whatsoever that might, but for the provisions of this paragraph, constitute a legal or equitable discharge of the obligations of any Guarantor under this Section 13.</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13.3.</w:t>
      </w:r>
      <w:bookmarkStart w:id="250" w:name="_Toc241229934"/>
      <w:bookmarkEnd w:id="250"/>
      <w:r>
        <w:rPr>
          <w:rFonts w:ascii="Times New Roman;Times;serif" w:hAnsi="Times New Roman;Times;serif"/>
          <w:i w:val="false"/>
          <w:caps w:val="false"/>
          <w:smallCaps w:val="false"/>
          <w:sz w:val="24"/>
          <w:u w:val="single"/>
        </w:rPr>
        <w:t>Discharge Only upon Payment in Full; Reinstatement in Certain Circumstances</w:t>
      </w:r>
      <w:r>
        <w:rPr>
          <w:rFonts w:ascii="Times New Roman;Times;serif" w:hAnsi="Times New Roman;Times;serif"/>
          <w:i w:val="false"/>
          <w:caps w:val="false"/>
          <w:smallCaps w:val="false"/>
          <w:sz w:val="24"/>
        </w:rPr>
        <w:t>.  Each Guarantor’s obligations under this Section 13 shall remain in full force and effect until all Commitments are terminated, all Letters of Credit have expired or been terminated, and the principal of and interest on the Loans and the Reimbursement Obligations and all other amounts payable by the Borrower and the Guarantors under this Agreement and all other Loan Documents have been paid in full.  If at any time any payment of the principal of or interest on any Loan or any Reimbursement Obligation or any other amount payable by the Borrower or other obligor or any Guarantor under the Loan Documents is rescinded or must be otherwise restored or returned upon the insolvency, bankruptcy, or reorganization of the Borrower or other obligor or of any guarantor, or otherwise, each Guarantor’s obligations under this Section 13 with respect to such payment shall be reinstated at such time as though such payment had become due but had not been made at such time.</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13.4.</w:t>
      </w:r>
      <w:bookmarkStart w:id="251" w:name="_Toc241229935"/>
      <w:bookmarkEnd w:id="251"/>
      <w:r>
        <w:rPr>
          <w:rFonts w:ascii="Times New Roman;Times;serif" w:hAnsi="Times New Roman;Times;serif"/>
          <w:i w:val="false"/>
          <w:caps w:val="false"/>
          <w:smallCaps w:val="false"/>
          <w:sz w:val="24"/>
          <w:u w:val="single"/>
        </w:rPr>
        <w:t>Subrogation</w:t>
      </w:r>
      <w:r>
        <w:rPr>
          <w:rFonts w:ascii="Times New Roman;Times;serif" w:hAnsi="Times New Roman;Times;serif"/>
          <w:i w:val="false"/>
          <w:caps w:val="false"/>
          <w:smallCaps w:val="false"/>
          <w:sz w:val="24"/>
        </w:rPr>
        <w:t xml:space="preserve">.  Each Guarantor agrees it will not exercise any rights which it may acquire by way of subrogation by any payment made hereunder, or otherwise, until all the obligations guaranteed hereby shall have been paid in full subsequent to the termination of all the Commitments and expiration or termination of all Letters of Credit.  If any amount shall be paid to a Guarantor on account of such subrogation rights at any time prior to the later of (x) the payment in full of the Obligations, Funds Transfer and Deposit Account Liability and Hedging Liability and all other amounts payable by the Borrower hereunder and the other Loan Documents and (y) the termination of the Commitments and expiration of all Letters of Credit, such amount shall be held in trust for the benefit of the Administrative Agent and the Lenders (and their Affiliates) and shall forthwith be paid to the Administrative Agent for the benefit of the Lenders (and their Affiliates) or be credited and applied upon the Obligations, Funds Transfer and Deposit Account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Liability and Hedging Liability, whether matured or unmatured, in accordance with the terms of this Agreement.</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13.5.</w:t>
      </w:r>
      <w:bookmarkStart w:id="252" w:name="_Toc241229936"/>
      <w:bookmarkEnd w:id="252"/>
      <w:r>
        <w:rPr>
          <w:rFonts w:ascii="Times New Roman;Times;serif" w:hAnsi="Times New Roman;Times;serif"/>
          <w:i w:val="false"/>
          <w:caps w:val="false"/>
          <w:smallCaps w:val="false"/>
          <w:sz w:val="24"/>
          <w:u w:val="single"/>
        </w:rPr>
        <w:t>Waivers</w:t>
      </w:r>
      <w:r>
        <w:rPr>
          <w:rFonts w:ascii="Times New Roman;Times;serif" w:hAnsi="Times New Roman;Times;serif"/>
          <w:i w:val="false"/>
          <w:caps w:val="false"/>
          <w:smallCaps w:val="false"/>
          <w:sz w:val="24"/>
        </w:rPr>
        <w:t>.  Each Guarantor irrevocably waives acceptance hereof, presentment, demand, protest, and any notice except as specifically provided for herein, as well as any requirement that at any time any action be taken by the Administrative Agent, any Lender, or any other Person against the Borrower or other obligor, another guarantor, or any other Person.</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13.6.</w:t>
      </w:r>
      <w:bookmarkStart w:id="253" w:name="_Toc241229937"/>
      <w:bookmarkEnd w:id="253"/>
      <w:r>
        <w:rPr>
          <w:rFonts w:ascii="Times New Roman;Times;serif" w:hAnsi="Times New Roman;Times;serif"/>
          <w:i w:val="false"/>
          <w:caps w:val="false"/>
          <w:smallCaps w:val="false"/>
          <w:sz w:val="24"/>
          <w:u w:val="single"/>
        </w:rPr>
        <w:t>Limit on Recovery</w:t>
      </w:r>
      <w:r>
        <w:rPr>
          <w:rFonts w:ascii="Times New Roman;Times;serif" w:hAnsi="Times New Roman;Times;serif"/>
          <w:i w:val="false"/>
          <w:caps w:val="false"/>
          <w:smallCaps w:val="false"/>
          <w:sz w:val="24"/>
        </w:rPr>
        <w:t>.  Notwithstanding any other provision hereof, the right of recovery against each Guarantor under this Section 13 shall not exceed $1.00 less than the lowest amount which would render such Guarantor’s obligations under this Section 13 void or voidable under applicable law, including, without limitation, fraudulent conveyance law.</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13.7.</w:t>
      </w:r>
      <w:bookmarkStart w:id="254" w:name="_Toc241229938"/>
      <w:bookmarkEnd w:id="254"/>
      <w:r>
        <w:rPr>
          <w:rFonts w:ascii="Times New Roman;Times;serif" w:hAnsi="Times New Roman;Times;serif"/>
          <w:i w:val="false"/>
          <w:caps w:val="false"/>
          <w:smallCaps w:val="false"/>
          <w:sz w:val="24"/>
          <w:u w:val="single"/>
        </w:rPr>
        <w:t>Stay of Acceleration</w:t>
      </w:r>
      <w:r>
        <w:rPr>
          <w:rFonts w:ascii="Times New Roman;Times;serif" w:hAnsi="Times New Roman;Times;serif"/>
          <w:i w:val="false"/>
          <w:caps w:val="false"/>
          <w:smallCaps w:val="false"/>
          <w:sz w:val="24"/>
        </w:rPr>
        <w:t>.  If acceleration of the time for payment of any amount payable by the Borrower or other obligor under this Agreement or any other Loan Document, is stayed upon the insolvency, bankruptcy or reorganization of the Borrower or such obligor, all such amounts otherwise subject to acceleration under the terms of this Agreement or the other Loan Documents, shall nonetheless be payable by the Guarantors hereunder forthwith on demand by the Administrative Agent made at the request of the Required Lenders.</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13.8.</w:t>
      </w:r>
      <w:bookmarkStart w:id="255" w:name="_Toc241229939"/>
      <w:bookmarkEnd w:id="255"/>
      <w:r>
        <w:rPr>
          <w:rFonts w:ascii="Times New Roman;Times;serif" w:hAnsi="Times New Roman;Times;serif"/>
          <w:i w:val="false"/>
          <w:caps w:val="false"/>
          <w:smallCaps w:val="false"/>
          <w:sz w:val="24"/>
          <w:u w:val="single"/>
        </w:rPr>
        <w:t>Benefit to Guarantors</w:t>
      </w:r>
      <w:r>
        <w:rPr>
          <w:rFonts w:ascii="Times New Roman;Times;serif" w:hAnsi="Times New Roman;Times;serif"/>
          <w:i w:val="false"/>
          <w:caps w:val="false"/>
          <w:smallCaps w:val="false"/>
          <w:sz w:val="24"/>
        </w:rPr>
        <w:t>.  The Borrower and the Guarantors are engaged in related businesses and integrated to such an extent that the financial strength and flexibility of the Borrower have a direct impact on the success of each Guarantor.  Each Guarantor will derive substantial direct and indirect benefit from the extensions of credit hereunder.</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13.9.</w:t>
      </w:r>
      <w:bookmarkStart w:id="256" w:name="_Toc241229940"/>
      <w:bookmarkEnd w:id="256"/>
      <w:r>
        <w:rPr>
          <w:rFonts w:ascii="Times New Roman;Times;serif" w:hAnsi="Times New Roman;Times;serif"/>
          <w:i w:val="false"/>
          <w:caps w:val="false"/>
          <w:smallCaps w:val="false"/>
          <w:sz w:val="24"/>
          <w:u w:val="single"/>
        </w:rPr>
        <w:t>Guarantor Covenants</w:t>
      </w:r>
      <w:r>
        <w:rPr>
          <w:rFonts w:ascii="Times New Roman;Times;serif" w:hAnsi="Times New Roman;Times;serif"/>
          <w:i/>
          <w:sz w:val="24"/>
        </w:rPr>
        <w:t>.</w:t>
      </w:r>
      <w:r>
        <w:rPr>
          <w:rFonts w:ascii="Times New Roman;Times;serif" w:hAnsi="Times New Roman;Times;serif"/>
          <w:i/>
          <w:caps w:val="false"/>
          <w:smallCaps w:val="false"/>
          <w:sz w:val="24"/>
        </w:rPr>
        <w:t xml:space="preserve">  </w:t>
      </w:r>
      <w:r>
        <w:rPr>
          <w:rFonts w:ascii="Times New Roman;Times;serif" w:hAnsi="Times New Roman;Times;serif"/>
          <w:i w:val="false"/>
          <w:caps w:val="false"/>
          <w:smallCaps w:val="false"/>
          <w:sz w:val="24"/>
        </w:rPr>
        <w:t>Each Guarantor shall take such action as the Borrower is required by this Agreement to cause such Guarantor to take, and shall refrain from taking such action as the Borrower is required by this Agreement to prohibit such Guarantor from taking.</w:t>
      </w:r>
    </w:p>
    <w:p>
      <w:pPr>
        <w:pStyle w:val="TextBody"/>
        <w:bidi w:val="0"/>
        <w:spacing w:before="0" w:after="240"/>
        <w:ind w:left="0" w:right="0" w:hanging="0"/>
        <w:jc w:val="both"/>
        <w:rPr>
          <w:rFonts w:ascii="Times New Roman;Times;serif" w:hAnsi="Times New Roman;Times;serif"/>
          <w:i/>
          <w:sz w:val="24"/>
        </w:rPr>
      </w:pPr>
      <w:r>
        <w:rPr>
          <w:rFonts w:ascii="Times New Roman;Times;serif" w:hAnsi="Times New Roman;Times;serif"/>
          <w:i w:val="false"/>
          <w:caps w:val="false"/>
          <w:smallCaps w:val="false"/>
          <w:sz w:val="24"/>
        </w:rPr>
        <w:t>Section 13.10.</w:t>
      </w:r>
      <w:bookmarkStart w:id="257" w:name="_Toc241229941"/>
      <w:bookmarkEnd w:id="257"/>
      <w:r>
        <w:rPr>
          <w:rFonts w:ascii="Times New Roman;Times;serif" w:hAnsi="Times New Roman;Times;serif"/>
          <w:i w:val="false"/>
          <w:caps w:val="false"/>
          <w:smallCaps w:val="false"/>
          <w:sz w:val="24"/>
          <w:u w:val="single"/>
        </w:rPr>
        <w:t>Keepwell</w:t>
      </w:r>
      <w:r>
        <w:rPr>
          <w:rFonts w:ascii="Times New Roman;Times;serif" w:hAnsi="Times New Roman;Times;serif"/>
          <w:i/>
          <w:sz w:val="24"/>
        </w:rPr>
        <w:t xml:space="preserve">. </w:t>
      </w:r>
      <w:r>
        <w:rPr>
          <w:rFonts w:ascii="Times New Roman;Times;serif" w:hAnsi="Times New Roman;Times;serif"/>
          <w:i/>
          <w:caps w:val="false"/>
          <w:smallCaps w:val="false"/>
          <w:sz w:val="24"/>
        </w:rPr>
        <w:t> </w:t>
      </w:r>
      <w:r>
        <w:rPr>
          <w:rFonts w:ascii="Times New Roman;Times;serif" w:hAnsi="Times New Roman;Times;serif"/>
          <w:i w:val="false"/>
          <w:caps w:val="false"/>
          <w:smallCaps w:val="false"/>
          <w:sz w:val="24"/>
        </w:rPr>
        <w:t>Each Qualified ECP Guarantor hereby jointly and severally absolutely, unconditionally and irrevocably undertakes to provide such funds or other support as may be needed from time to time by each other Guarantor to honor all of its obligations under this Guaranty in respect of Swap Obligations (provided, however, that each Qualified ECP Guarantor shall only be liable under this Section for the maximum amount of such liability that can be hereby incurred without rendering its obligations under this Section, or otherwise under this Guaranty, voidable under applicable law relating to fraudulent conveyance or fraudulent transfer, and not for any greater amount).  The obligations of each Qualified ECP Guarantor under this Section shall remain in full force and effect until discharged in accordance with Section 13.3.  Each Qualified ECP Guarantor intends that this Section constitute, and this Section shall be deemed to constitute, a “keepwell, support, or other agreement” for the benefit of each other Guarantor for all purposes of Section 1a(18)(A)(v)(II) of the Commodity Exchange Act.</w:t>
      </w:r>
    </w:p>
    <w:p>
      <w:pPr>
        <w:pStyle w:val="TextBody"/>
        <w:bidi w:val="0"/>
        <w:spacing w:before="0" w:after="240"/>
        <w:ind w:left="0" w:right="0" w:firstLine="240"/>
        <w:jc w:val="center"/>
        <w:rPr>
          <w:rFonts w:ascii="Times" w:hAnsi="Times"/>
          <w:smallCaps/>
          <w:sz w:val="24"/>
        </w:rPr>
      </w:pPr>
      <w:r>
        <w:rPr>
          <w:rFonts w:ascii="Times" w:hAnsi="Times"/>
          <w:smallCaps/>
          <w:sz w:val="24"/>
        </w:rPr>
        <w:t>[Signature Pages to Follow]</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This Credit Agreement is entered into between us for the uses and purposes hereinabove set forth as of the date first above written.    </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BORROWER</w:t>
      </w:r>
      <w:r>
        <w:rPr>
          <w:rFonts w:ascii="Times New Roman;Times;serif" w:hAnsi="Times New Roman;Times;serif"/>
          <w:sz w:val="24"/>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CTO REALTY GROWTH, INC.</w:t>
      </w:r>
      <w:r>
        <w:rPr>
          <w:rFonts w:ascii="Times New Roman;Times;serif" w:hAnsi="Times New Roman;Times;serif"/>
          <w:sz w:val="24"/>
        </w:rPr>
        <w:t xml:space="preserve">, </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 Maryland corporation</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pBdr/>
        <w:bidi w:val="0"/>
        <w:spacing w:before="0" w:after="240"/>
        <w:ind w:left="4320" w:right="0" w:hanging="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4320" w:right="0" w:hanging="720"/>
        <w:jc w:val="left"/>
        <w:rPr>
          <w:rFonts w:ascii="Times New Roman;Times;serif" w:hAnsi="Times New Roman;Times;serif"/>
          <w:sz w:val="24"/>
        </w:rPr>
      </w:pPr>
      <w:r>
        <w:rPr>
          <w:rFonts w:ascii="Times New Roman;Times;serif" w:hAnsi="Times New Roman;Times;serif"/>
          <w:b/>
          <w:sz w:val="24"/>
        </w:rPr>
        <w:t>GUARANTORS</w:t>
      </w:r>
      <w:r>
        <w:rPr>
          <w:rFonts w:ascii="Times New Roman;Times;serif" w:hAnsi="Times New Roman;Times;serif"/>
          <w:sz w:val="24"/>
        </w:rPr>
        <w:t>:</w:t>
      </w:r>
    </w:p>
    <w:p>
      <w:pPr>
        <w:pStyle w:val="TextBody"/>
        <w:pBdr/>
        <w:bidi w:val="0"/>
        <w:spacing w:before="0" w:after="240"/>
        <w:ind w:left="4320" w:right="0" w:hanging="720"/>
        <w:jc w:val="left"/>
        <w:rPr>
          <w:rFonts w:ascii="Times New Roman;Times;serif" w:hAnsi="Times New Roman;Times;serif"/>
          <w:sz w:val="24"/>
        </w:rPr>
      </w:pPr>
      <w:r>
        <w:rPr>
          <w:rFonts w:ascii="Times New Roman;Times;serif" w:hAnsi="Times New Roman;Times;serif"/>
          <w:b/>
          <w:sz w:val="24"/>
        </w:rPr>
        <w:t>INDIGO GROUP INC.</w:t>
      </w:r>
      <w:r>
        <w:rPr>
          <w:rFonts w:ascii="Times New Roman;Times;serif" w:hAnsi="Times New Roman;Times;serif"/>
          <w:sz w:val="24"/>
        </w:rPr>
        <w:t>, a Florida corporation</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CTO18 ALBUQUERQUE NM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INDIGO GROUP LTD.</w:t>
      </w:r>
      <w:r>
        <w:rPr>
          <w:rFonts w:ascii="Times New Roman;Times;serif" w:hAnsi="Times New Roman;Times;serif"/>
          <w:sz w:val="24"/>
        </w:rPr>
        <w:t>, a Florida limited partnership</w:t>
      </w:r>
    </w:p>
    <w:tbl>
      <w:tblPr>
        <w:tblW w:w="6153" w:type="dxa"/>
        <w:jc w:val="left"/>
        <w:tblInd w:w="0" w:type="dxa"/>
        <w:tblLayout w:type="fixed"/>
        <w:tblCellMar>
          <w:top w:w="0" w:type="dxa"/>
          <w:left w:w="0" w:type="dxa"/>
          <w:bottom w:w="0" w:type="dxa"/>
          <w:right w:w="0" w:type="dxa"/>
        </w:tblCellMar>
      </w:tblPr>
      <w:tblGrid>
        <w:gridCol w:w="23"/>
        <w:gridCol w:w="36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57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Indigo Group, Inc., a Florida corporation, its General Partner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0" w:right="0" w:firstLine="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CTO19 STRAND JAX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DAYTONA JV LLC</w:t>
      </w:r>
      <w:r>
        <w:rPr>
          <w:rFonts w:ascii="Times New Roman;Times;serif" w:hAnsi="Times New Roman;Times;serif"/>
          <w:sz w:val="24"/>
        </w:rPr>
        <w:t>, a Florida limited liability company</w:t>
      </w:r>
    </w:p>
    <w:tbl>
      <w:tblPr>
        <w:tblW w:w="8448" w:type="dxa"/>
        <w:jc w:val="left"/>
        <w:tblInd w:w="0" w:type="dxa"/>
        <w:tblLayout w:type="fixed"/>
        <w:tblCellMar>
          <w:top w:w="0" w:type="dxa"/>
          <w:left w:w="0" w:type="dxa"/>
          <w:bottom w:w="0" w:type="dxa"/>
          <w:right w:w="0" w:type="dxa"/>
        </w:tblCellMar>
      </w:tblPr>
      <w:tblGrid>
        <w:gridCol w:w="23"/>
        <w:gridCol w:w="365"/>
        <w:gridCol w:w="806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80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LHC15 Atlantic DB JV LLC, a Delaware limited liability company, its sole manager</w:t>
            </w:r>
          </w:p>
        </w:tc>
      </w:tr>
    </w:tbl>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CTO20 CROSSROADS AZ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pBdr/>
        <w:bidi w:val="0"/>
        <w:spacing w:before="0" w:after="240"/>
        <w:ind w:left="4320" w:right="0" w:hanging="72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IGI20 CROSSROADS AZ LLC</w:t>
      </w:r>
      <w:r>
        <w:rPr>
          <w:rFonts w:ascii="Times New Roman;Times;serif" w:hAnsi="Times New Roman;Times;serif"/>
          <w:sz w:val="24"/>
        </w:rPr>
        <w:t>, a Delaware limited liability company</w:t>
      </w:r>
    </w:p>
    <w:tbl>
      <w:tblPr>
        <w:tblW w:w="5808" w:type="dxa"/>
        <w:jc w:val="left"/>
        <w:tblInd w:w="0" w:type="dxa"/>
        <w:tblLayout w:type="fixed"/>
        <w:tblCellMar>
          <w:top w:w="0" w:type="dxa"/>
          <w:left w:w="0" w:type="dxa"/>
          <w:bottom w:w="0" w:type="dxa"/>
          <w:right w:w="0" w:type="dxa"/>
        </w:tblCellMar>
      </w:tblPr>
      <w:tblGrid>
        <w:gridCol w:w="23"/>
        <w:gridCol w:w="365"/>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542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Indigo Group Inc., a Florida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CTO20 PERIMETER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CTO20 PERIMETER II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CTO21 AL OUTPARCEL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CTO21 APEX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CTO21 BUFORD 1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CTO23 ROCKWALL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CTO22 SHORT PUMP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CTO22 FORSYTH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CTO24 MSTC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 TRS CRISP 39,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TOMOKA24 RIVANA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CTO25 MAIN STREET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CTO24 BRANDON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CTO24 FORSYTH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CTO24 MILLENIA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CTO24 CAROLINA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TOMOKA25 ASHLEY PARK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TOMOKA25 POMPANO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TOMOKA26 PALMS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CTO26 SOUTH CONGRESS,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CTO23 FOUNDERS DAL LLC</w:t>
      </w:r>
      <w:r>
        <w:rPr>
          <w:rFonts w:ascii="Times New Roman;Times;serif" w:hAnsi="Times New Roman;Times;serif"/>
          <w:sz w:val="24"/>
        </w:rPr>
        <w:t>, a Delaware limited liability company</w:t>
      </w:r>
    </w:p>
    <w:tbl>
      <w:tblPr>
        <w:tblW w:w="6783" w:type="dxa"/>
        <w:jc w:val="left"/>
        <w:tblInd w:w="0" w:type="dxa"/>
        <w:tblLayout w:type="fixed"/>
        <w:tblCellMar>
          <w:top w:w="0" w:type="dxa"/>
          <w:left w:w="0" w:type="dxa"/>
          <w:bottom w:w="0" w:type="dxa"/>
          <w:right w:w="0" w:type="dxa"/>
        </w:tblCellMar>
      </w:tblPr>
      <w:tblGrid>
        <w:gridCol w:w="23"/>
        <w:gridCol w:w="365"/>
        <w:gridCol w:w="6395"/>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639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CTO Realty Growth, Inc., a Maryland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bidi w:val="0"/>
        <w:spacing w:before="0" w:after="240"/>
        <w:ind w:left="432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IGI21 KATY LLC</w:t>
      </w:r>
      <w:r>
        <w:rPr>
          <w:rFonts w:ascii="Times New Roman;Times;serif" w:hAnsi="Times New Roman;Times;serif"/>
          <w:sz w:val="24"/>
        </w:rPr>
        <w:t>, a Delaware limited liability company</w:t>
      </w:r>
    </w:p>
    <w:tbl>
      <w:tblPr>
        <w:tblW w:w="5808" w:type="dxa"/>
        <w:jc w:val="left"/>
        <w:tblInd w:w="0" w:type="dxa"/>
        <w:tblLayout w:type="fixed"/>
        <w:tblCellMar>
          <w:top w:w="0" w:type="dxa"/>
          <w:left w:w="0" w:type="dxa"/>
          <w:bottom w:w="0" w:type="dxa"/>
          <w:right w:w="0" w:type="dxa"/>
        </w:tblCellMar>
      </w:tblPr>
      <w:tblGrid>
        <w:gridCol w:w="23"/>
        <w:gridCol w:w="365"/>
        <w:gridCol w:w="5420"/>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By:</w:t>
            </w:r>
          </w:p>
        </w:tc>
        <w:tc>
          <w:tcPr>
            <w:tcW w:w="542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Indigo Group Inc., a Florida corporation, its sole member</w:t>
            </w:r>
          </w:p>
        </w:tc>
      </w:tr>
    </w:tbl>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Daniel E. Smith​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Name:Daniel E. Smith</w:t>
      </w:r>
    </w:p>
    <w:tbl>
      <w:tblPr>
        <w:tblW w:w="5073" w:type="dxa"/>
        <w:jc w:val="left"/>
        <w:tblInd w:w="0" w:type="dxa"/>
        <w:tblLayout w:type="fixed"/>
        <w:tblCellMar>
          <w:top w:w="0" w:type="dxa"/>
          <w:left w:w="0" w:type="dxa"/>
          <w:bottom w:w="0" w:type="dxa"/>
          <w:right w:w="0" w:type="dxa"/>
        </w:tblCellMar>
      </w:tblPr>
      <w:tblGrid>
        <w:gridCol w:w="23"/>
        <w:gridCol w:w="51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Title:</w:t>
            </w:r>
          </w:p>
        </w:tc>
        <w:tc>
          <w:tcPr>
            <w:tcW w:w="4535" w:type="dxa"/>
            <w:tcBorders/>
            <w:vAlign w:val="center"/>
          </w:tcPr>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SVP, General Counsel and Corporate Secretary</w:t>
            </w:r>
          </w:p>
        </w:tc>
      </w:tr>
    </w:tbl>
    <w:p>
      <w:pPr>
        <w:pStyle w:val="TextBody"/>
        <w:pBdr/>
        <w:bidi w:val="0"/>
        <w:spacing w:before="0" w:after="0"/>
        <w:ind w:left="4320" w:right="0" w:hanging="648"/>
        <w:jc w:val="left"/>
        <w:rPr>
          <w:smallCaps/>
        </w:rPr>
      </w:pPr>
      <w:r>
        <w:rPr>
          <w:smallCaps/>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ADMINISTRATIVE AGENT</w:t>
      </w:r>
      <w:r>
        <w:rPr>
          <w:rFonts w:ascii="Times New Roman;Times;serif" w:hAnsi="Times New Roman;Times;serif"/>
          <w:sz w:val="24"/>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KEYBANK NATIONAL ASSOCIATION</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Administrative Agent</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Thomas Z. Schmitt​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Name:Thomas Z. Schmitt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LENDERS</w:t>
      </w:r>
      <w:r>
        <w:rPr>
          <w:rFonts w:ascii="Times New Roman;Times;serif" w:hAnsi="Times New Roman;Times;serif"/>
          <w:sz w:val="24"/>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KEYBANK NATIONAL ASSOCIATION</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 xml:space="preserve">as a Lender </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Thomas Z. Schmitt​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Name:Thomas Z. Schmitt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[Signatures Continue on Next Page]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THE HUNTINGTON NATIONAL BANK</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Joseph White​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Name:Joseph White</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pPr>
      <w:r>
        <w:rPr/>
        <w: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PNC BANK, NATIONAL ASSOCIATION</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Andrew White​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Name:Andrew White</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REGIONS BANK</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Ghi Gavin​ ​​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Name:Ghi Gavin</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TRUIST BANK</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Ryan Almond​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Name:Ryan Almond</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Title:Director</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WELLS FARGO BANK, N.A.</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Robert Conder​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Name:Robert Conder</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Title:Vice President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BANK OF AMERICA, N.A.</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Patricia Lu​ ​​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Name:Patricia Lu</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 xml:space="preserve">Title:Vice President </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RAYMOND JAMES BANK</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Alexander Sierra​ ​​ ​​ ​​ ​</w:t>
      </w:r>
      <w:r>
        <w:rPr>
          <w:rFonts w:ascii="Times New Roman;Times;serif" w:hAnsi="Times New Roman;Times;serif"/>
          <w:sz w:val="24"/>
        </w:rPr>
        <w:t xml:space="preserve">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Name:Alexander Sierra</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PINNACLE BANK (d/b/a Synovus Bank, as successor by merger to Synovus Bank)</w:t>
      </w:r>
      <w:r>
        <w:rPr>
          <w:rFonts w:ascii="Times New Roman;Times;serif" w:hAnsi="Times New Roman;Times;serif"/>
          <w:sz w:val="24"/>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Zachary Braun​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Name:Zachary Braun</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Title:Managing Director</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b/>
          <w:sz w:val="24"/>
        </w:rPr>
        <w:t>ASSOCIATED BANK, NATIONAL ASSOCIATION</w:t>
      </w:r>
      <w:r>
        <w:rPr>
          <w:rFonts w:ascii="Times New Roman;Times;serif" w:hAnsi="Times New Roman;Times;serif"/>
          <w:sz w:val="24"/>
        </w:rPr>
        <w:t>, 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Mitchell Vega​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Name:Mitchell Vega</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Title:Senior Vice President</w:t>
      </w:r>
    </w:p>
    <w:p>
      <w:pPr>
        <w:pStyle w:val="TextBody"/>
        <w:bidi w:val="0"/>
        <w:spacing w:before="0" w:after="240"/>
        <w:ind w:left="432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BANCO SANTANDER, S.A., NEW YORK BRANCH</w:t>
      </w:r>
      <w:r>
        <w:rPr>
          <w:rFonts w:ascii="Times New Roman;Times;serif" w:hAnsi="Times New Roman;Times;serif"/>
          <w:sz w:val="24"/>
        </w:rPr>
        <w:t>, as a Lender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Andres Barbosa​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Name:Andres Barbosa</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 Managing Director</w:t>
      </w:r>
    </w:p>
    <w:p>
      <w:pPr>
        <w:pStyle w:val="TextBody"/>
        <w:bidi w:val="0"/>
        <w:spacing w:before="0" w:after="240"/>
        <w:ind w:left="4320" w:right="0" w:hanging="0"/>
        <w:jc w:val="left"/>
        <w:rPr/>
      </w:pPr>
      <w:r>
        <w:rPr/>
        <w:t>​</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Zara Kamal​ ​​ ​​ ​​ ​​ ​</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Name:Zara Kamal</w:t>
      </w:r>
    </w:p>
    <w:p>
      <w:pPr>
        <w:pStyle w:val="TextBody"/>
        <w:bidi w:val="0"/>
        <w:spacing w:before="0" w:after="0"/>
        <w:ind w:left="3600" w:right="0" w:firstLine="720"/>
        <w:jc w:val="left"/>
        <w:rPr>
          <w:rFonts w:ascii="Times New Roman;Times;serif" w:hAnsi="Times New Roman;Times;serif"/>
          <w:sz w:val="24"/>
        </w:rPr>
      </w:pPr>
      <w:r>
        <w:rPr>
          <w:rFonts w:ascii="Times New Roman;Times;serif" w:hAnsi="Times New Roman;Times;serif"/>
          <w:sz w:val="24"/>
        </w:rPr>
        <w:t>Title: Executive Director</w:t>
      </w:r>
    </w:p>
    <w:p>
      <w:pPr>
        <w:pStyle w:val="TextBody"/>
        <w:bidi w:val="0"/>
        <w:spacing w:before="0" w:after="0"/>
        <w:ind w:left="0" w:right="0" w:hanging="0"/>
        <w:jc w:val="left"/>
        <w:rPr/>
      </w:pPr>
      <w:r>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mallCaps/>
          <w:sz w:val="18"/>
        </w:rPr>
      </w:pPr>
      <w:r>
        <w:rPr>
          <w:rFonts w:ascii="Times New Roman;Times;serif" w:hAnsi="Times New Roman;Times;serif"/>
          <w:smallCaps/>
          <w:sz w:val="18"/>
        </w:rPr>
        <w:t>[Signature Page to Amended and Restated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Payment Request</w:t>
      </w:r>
    </w:p>
    <w:p>
      <w:pPr>
        <w:pStyle w:val="TextBody"/>
        <w:bidi w:val="0"/>
        <w:spacing w:before="640" w:after="640"/>
        <w:ind w:left="0" w:right="0" w:hanging="0"/>
        <w:jc w:val="center"/>
        <w:rPr>
          <w:rFonts w:ascii="Times New Roman;Times;serif" w:hAnsi="Times New Roman;Times;serif"/>
          <w:sz w:val="24"/>
        </w:rPr>
      </w:pPr>
      <w:r>
        <w:rPr>
          <w:rFonts w:ascii="Times New Roman;Times;serif" w:hAnsi="Times New Roman;Times;serif"/>
          <w:sz w:val="24"/>
        </w:rPr>
        <w:t>[Date]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of Lender]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[Address]</w:t>
      </w:r>
    </w:p>
    <w:p>
      <w:pPr>
        <w:pStyle w:val="TextBody"/>
        <w:bidi w:val="0"/>
        <w:spacing w:before="0" w:after="240"/>
        <w:ind w:left="0" w:right="0" w:hanging="0"/>
        <w:jc w:val="both"/>
        <w:rPr>
          <w:rFonts w:ascii="Times" w:hAnsi="Times"/>
          <w:sz w:val="24"/>
        </w:rPr>
      </w:pPr>
      <w:r>
        <w:rPr>
          <w:rFonts w:ascii="Times" w:hAnsi="Times"/>
          <w:sz w:val="24"/>
        </w:rPr>
        <w:t>Attention:</w:t>
      </w:r>
    </w:p>
    <w:p>
      <w:pPr>
        <w:pStyle w:val="TextBody"/>
        <w:bidi w:val="0"/>
        <w:spacing w:before="0" w:after="240"/>
        <w:ind w:left="0" w:right="0" w:firstLine="720"/>
        <w:jc w:val="both"/>
        <w:rPr>
          <w:rFonts w:ascii="Times" w:hAnsi="Times"/>
          <w:sz w:val="24"/>
        </w:rPr>
      </w:pPr>
      <w:r>
        <w:rPr>
          <w:rFonts w:ascii="Times" w:hAnsi="Times"/>
          <w:sz w:val="24"/>
        </w:rPr>
        <w:t>Reference is made to the Amended and Restated Credit Agreement dated as of September 29, 2026, among CTO Realty Growth, Inc., the Guarantors from time to time party thereto, the Lenders from time to time party thereto, and KeyBank National Association, as Administrative Agent (as extended, renewed, amended or restated from time to time, the “</w:t>
      </w:r>
      <w:r>
        <w:rPr>
          <w:rFonts w:ascii="Times" w:hAnsi="Times"/>
          <w:i/>
          <w:sz w:val="24"/>
        </w:rPr>
        <w:t>Credit Agreement”</w:t>
      </w:r>
      <w:r>
        <w:rPr>
          <w:rFonts w:ascii="Times" w:hAnsi="Times"/>
          <w:sz w:val="24"/>
        </w:rPr>
        <w:t>).  Capitalized terms used herein and not defined herein have the meanings assigned to them in the Credit Agreement.  [The Borrower has failed to pay its Reimbursement Obligation in the amount of $____________.  Your Applicable Percentage of the unpaid Reimbursement Obligation is $_____________] or [__________________________ has been required to return a payment by the Borrower of a Reimbursement Obligation in the amount of $_______________.  Your Applicable Percentage of the returned Reimbursement Obligation is $_______________.]</w:t>
      </w:r>
    </w:p>
    <w:p>
      <w:pPr>
        <w:pStyle w:val="TextBody"/>
        <w:bidi w:val="0"/>
        <w:spacing w:before="320" w:after="0"/>
        <w:ind w:left="468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280" w:after="0"/>
        <w:ind w:left="4680" w:right="0" w:hanging="0"/>
        <w:jc w:val="left"/>
        <w:rPr>
          <w:rFonts w:ascii="Times New Roman;Times;serif" w:hAnsi="Times New Roman;Times;serif"/>
          <w:sz w:val="24"/>
        </w:rPr>
      </w:pPr>
      <w:r>
        <w:rPr>
          <w:rFonts w:ascii="Times New Roman;Times;serif" w:hAnsi="Times New Roman;Times;serif"/>
          <w:smallCaps/>
          <w:sz w:val="24"/>
        </w:rPr>
        <w:t>KeyBank National Association</w:t>
      </w:r>
      <w:r>
        <w:rPr>
          <w:rFonts w:ascii="Times New Roman;Times;serif" w:hAnsi="Times New Roman;Times;serif"/>
          <w:sz w:val="24"/>
        </w:rPr>
        <w:t xml:space="preserve">, as L/C Issuer </w:t>
      </w:r>
    </w:p>
    <w:p>
      <w:pPr>
        <w:pStyle w:val="TextBody"/>
        <w:pBdr/>
        <w:bidi w:val="0"/>
        <w:spacing w:before="64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Borrowing</w:t>
      </w:r>
    </w:p>
    <w:p>
      <w:pPr>
        <w:pStyle w:val="TextBody"/>
        <w:bidi w:val="0"/>
        <w:spacing w:before="0" w:after="240"/>
        <w:ind w:left="620" w:right="0" w:hanging="0"/>
        <w:jc w:val="both"/>
        <w:rPr>
          <w:rFonts w:ascii="Times" w:hAnsi="Times"/>
          <w:sz w:val="24"/>
        </w:rPr>
      </w:pPr>
      <w:r>
        <w:rPr>
          <w:rFonts w:ascii="Times" w:hAnsi="Times"/>
          <w:sz w:val="24"/>
          <w:shd w:fill="FFFFFF" w:val="clear"/>
        </w:rPr>
        <w:tab/>
      </w:r>
      <w:r>
        <w:rPr>
          <w:rFonts w:ascii="Times" w:hAnsi="Times"/>
          <w:b w:val="false"/>
          <w:i w:val="false"/>
          <w:caps w:val="false"/>
          <w:smallCaps w:val="false"/>
          <w:sz w:val="24"/>
          <w:shd w:fill="FFFFFF" w:val="clear"/>
        </w:rPr>
        <w:t>Date:</w:t>
      </w:r>
      <w:r>
        <w:rPr>
          <w:rFonts w:ascii="Times" w:hAnsi="Times"/>
          <w:b w:val="false"/>
          <w:i w:val="false"/>
          <w:caps w:val="false"/>
          <w:smallCaps w:val="false"/>
          <w:sz w:val="24"/>
          <w:shd w:fill="FFFFFF" w:val="clear"/>
        </w:rPr>
        <w:t>, ____</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895"/>
                <wp:effectExtent l="0" t="0" r="0" b="0"/>
                <wp:wrapNone/>
                <wp:docPr id="172" name="Frame17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8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240" w:after="240"/>
              <w:jc w:val="both"/>
              <w:rPr>
                <w:rFonts w:ascii="Times" w:hAnsi="Times"/>
                <w:sz w:val="24"/>
              </w:rPr>
            </w:pPr>
            <w:r>
              <w:rPr>
                <w:rFonts w:ascii="Times" w:hAnsi="Times"/>
                <w:sz w:val="24"/>
              </w:rPr>
              <w:t>To:</w:t>
            </w:r>
          </w:p>
        </w:tc>
        <w:tc>
          <w:tcPr>
            <w:tcW w:w="9903" w:type="dxa"/>
            <w:tcBorders/>
            <w:vAlign w:val="center"/>
          </w:tcPr>
          <w:p>
            <w:pPr>
              <w:pStyle w:val="TableContents"/>
              <w:bidi w:val="0"/>
              <w:spacing w:before="240" w:after="240"/>
              <w:jc w:val="both"/>
              <w:rPr>
                <w:rFonts w:ascii="Times" w:hAnsi="Times"/>
                <w:sz w:val="24"/>
              </w:rPr>
            </w:pPr>
            <w:r>
              <w:rPr>
                <w:rFonts w:ascii="Times" w:hAnsi="Times"/>
                <w:sz w:val="24"/>
              </w:rPr>
              <w:t>KeyBank National Association, as Administrative Agent for the Lenders from time to time parties to the Amended and Restated Credit Agreement dated as of September 29, 2026 (as extended, renewed, amended or restated from time to time, the “</w:t>
            </w:r>
            <w:r>
              <w:rPr>
                <w:rFonts w:ascii="Times" w:hAnsi="Times"/>
                <w:i/>
                <w:sz w:val="24"/>
              </w:rPr>
              <w:t>Credit Agreement”</w:t>
            </w:r>
            <w:r>
              <w:rPr>
                <w:rFonts w:ascii="Times" w:hAnsi="Times"/>
                <w:sz w:val="24"/>
              </w:rPr>
              <w:t xml:space="preserve">), among </w:t>
            </w:r>
            <w:r>
              <w:rPr>
                <w:rFonts w:ascii="Times" w:hAnsi="Times"/>
                <w:smallCaps/>
                <w:sz w:val="24"/>
              </w:rPr>
              <w:t>CTO Realty Growth, Inc.</w:t>
            </w:r>
            <w:r>
              <w:rPr>
                <w:rFonts w:ascii="Times" w:hAnsi="Times"/>
                <w:sz w:val="24"/>
              </w:rPr>
              <w:t>, certain Guarantors which are signatories thereto, certain Lenders which are from time to time parties thereto, and the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240" w:after="240"/>
        <w:ind w:left="0" w:right="0" w:firstLine="720"/>
        <w:jc w:val="both"/>
        <w:rPr>
          <w:rFonts w:ascii="Times" w:hAnsi="Times"/>
          <w:sz w:val="24"/>
        </w:rPr>
      </w:pPr>
      <w:r>
        <w:rPr>
          <w:rFonts w:ascii="Times" w:hAnsi="Times"/>
          <w:sz w:val="24"/>
        </w:rPr>
        <w:t>The undersigned, CTO Realty Growth, Inc. (the “</w:t>
      </w:r>
      <w:r>
        <w:rPr>
          <w:rFonts w:ascii="Times" w:hAnsi="Times"/>
          <w:i/>
          <w:sz w:val="24"/>
        </w:rPr>
        <w:t>Borrower”</w:t>
      </w:r>
      <w:r>
        <w:rPr>
          <w:rFonts w:ascii="Times" w:hAnsi="Times"/>
          <w:sz w:val="24"/>
        </w:rPr>
        <w:t>), refers to the Credit Agreement, the terms defined therein being used herein as therein defined, and hereby gives you notice irrevocably, pursuant to Section 1.6 of the Credit Agreement, of the Borrowing specified below:</w:t>
      </w:r>
    </w:p>
    <w:p>
      <w:pPr>
        <w:pStyle w:val="TextBody"/>
        <w:bidi w:val="0"/>
        <w:spacing w:before="240" w:after="240"/>
        <w:ind w:left="720" w:right="0" w:hanging="0"/>
        <w:jc w:val="both"/>
        <w:rPr>
          <w:rFonts w:ascii="Times" w:hAnsi="Times"/>
          <w:sz w:val="24"/>
        </w:rPr>
      </w:pPr>
      <w:r>
        <w:rPr>
          <w:rFonts w:ascii="Times" w:hAnsi="Times"/>
          <w:sz w:val="24"/>
        </w:rPr>
        <w:t>1.The Business Day of the proposed Borrowing is ___________, ____.</w:t>
      </w:r>
    </w:p>
    <w:p>
      <w:pPr>
        <w:pStyle w:val="TextBody"/>
        <w:bidi w:val="0"/>
        <w:spacing w:before="240" w:after="240"/>
        <w:ind w:left="720" w:right="0" w:hanging="0"/>
        <w:jc w:val="both"/>
        <w:rPr>
          <w:rFonts w:ascii="Times" w:hAnsi="Times"/>
          <w:sz w:val="24"/>
        </w:rPr>
      </w:pPr>
      <w:r>
        <w:rPr>
          <w:rFonts w:ascii="Times" w:hAnsi="Times"/>
          <w:sz w:val="24"/>
        </w:rPr>
        <w:t>2.The aggregate amount of the proposed Borrowing is $______________.</w:t>
      </w:r>
    </w:p>
    <w:p>
      <w:pPr>
        <w:pStyle w:val="TextBody"/>
        <w:bidi w:val="0"/>
        <w:spacing w:before="240" w:after="240"/>
        <w:ind w:left="720" w:right="0" w:hanging="0"/>
        <w:jc w:val="both"/>
        <w:rPr>
          <w:rFonts w:ascii="Times" w:hAnsi="Times"/>
          <w:sz w:val="24"/>
        </w:rPr>
      </w:pPr>
      <w:r>
        <w:rPr>
          <w:rFonts w:ascii="Times" w:hAnsi="Times"/>
          <w:sz w:val="24"/>
        </w:rPr>
        <w:t>3.The Borrowing is being advanced as a[n] [2029 Term Loan][2030 Term Loan][2031 Term Loan][2032 Term Loan][incremental Term Loan][Revolving Loan].</w:t>
      </w:r>
    </w:p>
    <w:p>
      <w:pPr>
        <w:pStyle w:val="TextBody"/>
        <w:bidi w:val="0"/>
        <w:spacing w:before="240" w:after="240"/>
        <w:ind w:left="720" w:right="0" w:hanging="0"/>
        <w:jc w:val="both"/>
        <w:rPr>
          <w:rFonts w:ascii="Times" w:hAnsi="Times"/>
          <w:sz w:val="24"/>
        </w:rPr>
      </w:pPr>
      <w:r>
        <w:rPr>
          <w:rFonts w:ascii="Times" w:hAnsi="Times"/>
          <w:sz w:val="24"/>
        </w:rPr>
        <w:t xml:space="preserve">4.The Borrowing is to be comprised of $___________ of </w:t>
      </w:r>
      <w:r>
        <w:rPr>
          <w:rFonts w:ascii="Times" w:hAnsi="Times"/>
          <w:b/>
          <w:sz w:val="24"/>
        </w:rPr>
        <w:t>[Base Rate] [Daily Simple SOFR] [Term SOFR]</w:t>
      </w:r>
      <w:r>
        <w:rPr>
          <w:rFonts w:ascii="Times" w:hAnsi="Times"/>
          <w:sz w:val="24"/>
        </w:rPr>
        <w:t xml:space="preserve"> Loans.</w:t>
      </w:r>
    </w:p>
    <w:p>
      <w:pPr>
        <w:pStyle w:val="TextBody"/>
        <w:bidi w:val="0"/>
        <w:spacing w:before="240" w:after="240"/>
        <w:ind w:left="720" w:right="0" w:hanging="0"/>
        <w:jc w:val="both"/>
        <w:rPr>
          <w:rFonts w:ascii="Times" w:hAnsi="Times"/>
          <w:b/>
          <w:sz w:val="24"/>
        </w:rPr>
      </w:pPr>
      <w:r>
        <w:rPr>
          <w:rFonts w:ascii="Times" w:hAnsi="Times"/>
          <w:b/>
          <w:sz w:val="24"/>
        </w:rPr>
        <w:t>[5.The duration of the Interest Period for the Term SOFR Loans included in the Borrowing shall be ____________ months.]</w:t>
      </w:r>
    </w:p>
    <w:p>
      <w:pPr>
        <w:pStyle w:val="TextBody"/>
        <w:bidi w:val="0"/>
        <w:spacing w:before="24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date of the proposed Borrowing, before and after giving effect thereto and to the application of the proceeds therefrom:</w:t>
      </w:r>
    </w:p>
    <w:p>
      <w:pPr>
        <w:pStyle w:val="TextBody"/>
        <w:bidi w:val="0"/>
        <w:spacing w:before="240" w:after="240"/>
        <w:ind w:left="720" w:right="0" w:hanging="0"/>
        <w:jc w:val="both"/>
        <w:rPr>
          <w:rFonts w:ascii="Times" w:hAnsi="Times"/>
          <w:sz w:val="24"/>
        </w:rPr>
      </w:pPr>
      <w:r>
        <w:rPr>
          <w:rFonts w:ascii="Times" w:hAnsi="Times"/>
          <w:sz w:val="24"/>
        </w:rPr>
        <w:t>(a)the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B-1]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(b)no Default or Event of Default has occurred and is continuing or would result from such proposed Borrowing.</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pBdr/>
        <w:bidi w:val="0"/>
        <w:spacing w:before="0" w:after="0"/>
        <w:ind w:left="4680" w:right="0" w:hanging="23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B-2]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w:t>
      </w:r>
    </w:p>
    <w:p>
      <w:pPr>
        <w:pStyle w:val="TextBody"/>
        <w:bidi w:val="0"/>
        <w:spacing w:before="240" w:after="0"/>
        <w:ind w:left="0" w:right="0" w:hanging="0"/>
        <w:jc w:val="center"/>
        <w:rPr>
          <w:rFonts w:ascii="Times New Roman;Times;serif" w:hAnsi="Times New Roman;Times;serif"/>
          <w:b/>
          <w:smallCaps/>
          <w:sz w:val="24"/>
        </w:rPr>
      </w:pPr>
      <w:r>
        <w:rPr>
          <w:rFonts w:ascii="Times New Roman;Times;serif" w:hAnsi="Times New Roman;Times;serif"/>
          <w:b/>
          <w:smallCaps/>
          <w:sz w:val="24"/>
        </w:rPr>
        <w:t>Notice of Continuation/Conversion</w:t>
      </w:r>
    </w:p>
    <w:p>
      <w:pPr>
        <w:pStyle w:val="TextBody"/>
        <w:bidi w:val="0"/>
        <w:spacing w:before="240" w:after="0"/>
        <w:ind w:left="0" w:right="0" w:hanging="0"/>
        <w:jc w:val="right"/>
        <w:rPr>
          <w:rFonts w:ascii="Times New Roman;Times;serif" w:hAnsi="Times New Roman;Times;serif"/>
          <w:sz w:val="24"/>
        </w:rPr>
      </w:pPr>
      <w:r>
        <w:rPr>
          <w:rFonts w:ascii="Times New Roman;Times;serif" w:hAnsi="Times New Roman;Times;serif"/>
          <w:sz w:val="24"/>
        </w:rPr>
        <w:t>Date: ____________, ____</w:t>
      </w:r>
    </w:p>
    <w:p>
      <w:pPr>
        <w:pStyle w:val="TextBody"/>
        <w:pBdr/>
        <w:bidi w:val="0"/>
        <w:spacing w:before="2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To:</w:t>
      </w:r>
      <w:r>
        <w:rPr>
          <w:rFonts w:ascii="Times New Roman;Times;serif" w:hAnsi="Times New Roman;Times;serif"/>
          <w:sz w:val="24"/>
        </w:rPr>
        <w:t>KeyBank National Association, as Administrative Agent for the Lenders from time to time parties to the Amended and Restated Credit Agreement dated as of September 29, 2026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among CTO Realty Growth, Inc., certain Guarantors which are from time to time signatories thereto, certain Lenders which are from time to time parties thereto, and the Administrative Agent</w:t>
      </w:r>
    </w:p>
    <w:p>
      <w:pPr>
        <w:pStyle w:val="TextBody"/>
        <w:bidi w:val="0"/>
        <w:spacing w:before="200" w:after="240"/>
        <w:ind w:left="0" w:right="0" w:hanging="0"/>
        <w:jc w:val="both"/>
        <w:rPr>
          <w:rFonts w:ascii="Times" w:hAnsi="Times"/>
          <w:sz w:val="24"/>
        </w:rPr>
      </w:pPr>
      <w:r>
        <w:rPr>
          <w:rFonts w:ascii="Times" w:hAnsi="Times"/>
          <w:sz w:val="24"/>
        </w:rPr>
        <w:t>Ladies and Gentlemen:</w:t>
      </w:r>
    </w:p>
    <w:p>
      <w:pPr>
        <w:pStyle w:val="TextBody"/>
        <w:bidi w:val="0"/>
        <w:spacing w:before="200" w:after="240"/>
        <w:ind w:left="0" w:right="0" w:firstLine="720"/>
        <w:jc w:val="both"/>
        <w:rPr>
          <w:rFonts w:ascii="Times" w:hAnsi="Times"/>
          <w:sz w:val="24"/>
        </w:rPr>
      </w:pPr>
      <w:r>
        <w:rPr>
          <w:rFonts w:ascii="Times" w:hAnsi="Times"/>
          <w:sz w:val="24"/>
        </w:rPr>
        <w:t>The undersigned, CTO Realty Growth, Inc. (the “</w:t>
      </w:r>
      <w:r>
        <w:rPr>
          <w:rFonts w:ascii="Times" w:hAnsi="Times"/>
          <w:i/>
          <w:sz w:val="24"/>
        </w:rPr>
        <w:t>Borrower”</w:t>
      </w:r>
      <w:r>
        <w:rPr>
          <w:rFonts w:ascii="Times" w:hAnsi="Times"/>
          <w:sz w:val="24"/>
        </w:rPr>
        <w:t xml:space="preserve">), refers to the Credit Agreement, the terms defined therein being used herein as therein defined, and hereby gives you notice irrevocably, pursuant to Section 1.6 of the Credit Agreement, of the </w:t>
      </w:r>
      <w:r>
        <w:rPr>
          <w:rFonts w:ascii="Times" w:hAnsi="Times"/>
          <w:b/>
          <w:sz w:val="24"/>
        </w:rPr>
        <w:t>[conversion] [continuation]</w:t>
      </w:r>
      <w:r>
        <w:rPr>
          <w:rFonts w:ascii="Times" w:hAnsi="Times"/>
          <w:sz w:val="24"/>
        </w:rPr>
        <w:t xml:space="preserve"> of the Loans specified herein, that:</w:t>
      </w:r>
    </w:p>
    <w:p>
      <w:pPr>
        <w:pStyle w:val="TextBody"/>
        <w:bidi w:val="0"/>
        <w:spacing w:before="220" w:after="240"/>
        <w:ind w:left="720" w:right="0" w:hanging="0"/>
        <w:jc w:val="both"/>
        <w:rPr>
          <w:rFonts w:ascii="Times" w:hAnsi="Times"/>
          <w:sz w:val="24"/>
        </w:rPr>
      </w:pPr>
      <w:r>
        <w:rPr>
          <w:rFonts w:ascii="Times" w:hAnsi="Times"/>
          <w:sz w:val="24"/>
        </w:rPr>
        <w:t>1.The conversion/continuation Date is __________, ____.</w:t>
      </w:r>
    </w:p>
    <w:p>
      <w:pPr>
        <w:pStyle w:val="TextBody"/>
        <w:bidi w:val="0"/>
        <w:spacing w:before="220" w:after="240"/>
        <w:ind w:left="720" w:right="0" w:hanging="0"/>
        <w:jc w:val="both"/>
        <w:rPr>
          <w:rFonts w:ascii="Times" w:hAnsi="Times"/>
          <w:sz w:val="24"/>
        </w:rPr>
      </w:pPr>
      <w:r>
        <w:rPr>
          <w:rFonts w:ascii="Times" w:hAnsi="Times"/>
          <w:sz w:val="24"/>
        </w:rPr>
        <w:t xml:space="preserve">2.The aggregate amount of the </w:t>
      </w:r>
      <w:r>
        <w:rPr>
          <w:rFonts w:ascii="Times" w:hAnsi="Times"/>
          <w:b/>
          <w:sz w:val="24"/>
        </w:rPr>
        <w:t>[Revolving Loans] [2029 Term Loans] [2030 Term Loans] [2031 Term Loans] [2032 Term Loans] [Incremental Term Loans]</w:t>
      </w:r>
      <w:r>
        <w:rPr>
          <w:rFonts w:ascii="Times" w:hAnsi="Times"/>
          <w:sz w:val="24"/>
        </w:rPr>
        <w:t xml:space="preserve"> to be </w:t>
      </w:r>
      <w:r>
        <w:rPr>
          <w:rFonts w:ascii="Times" w:hAnsi="Times"/>
          <w:b/>
          <w:sz w:val="24"/>
        </w:rPr>
        <w:t>[converted] [continued]</w:t>
      </w:r>
      <w:r>
        <w:rPr>
          <w:rFonts w:ascii="Times" w:hAnsi="Times"/>
          <w:sz w:val="24"/>
        </w:rPr>
        <w:t xml:space="preserve"> is $______________.</w:t>
      </w:r>
    </w:p>
    <w:p>
      <w:pPr>
        <w:pStyle w:val="TextBody"/>
        <w:bidi w:val="0"/>
        <w:spacing w:before="220" w:after="240"/>
        <w:ind w:left="720" w:right="0" w:hanging="0"/>
        <w:jc w:val="both"/>
        <w:rPr>
          <w:rFonts w:ascii="Times" w:hAnsi="Times"/>
          <w:sz w:val="24"/>
        </w:rPr>
      </w:pPr>
      <w:r>
        <w:rPr>
          <w:rFonts w:ascii="Times" w:hAnsi="Times"/>
          <w:sz w:val="24"/>
        </w:rPr>
        <w:t xml:space="preserve">3.The </w:t>
      </w:r>
      <w:r>
        <w:rPr>
          <w:rFonts w:ascii="Times" w:hAnsi="Times"/>
          <w:b/>
          <w:sz w:val="24"/>
        </w:rPr>
        <w:t>[Revolving Loans] [2029 Term Loans] [2030 Term Loans] [2031 Term Loans] [2032 Term Loans] [Incremental Term Loans]</w:t>
      </w:r>
      <w:r>
        <w:rPr>
          <w:rFonts w:ascii="Times" w:hAnsi="Times"/>
          <w:sz w:val="24"/>
        </w:rPr>
        <w:t xml:space="preserve"> are to be </w:t>
      </w:r>
      <w:r>
        <w:rPr>
          <w:rFonts w:ascii="Times" w:hAnsi="Times"/>
          <w:b/>
          <w:sz w:val="24"/>
        </w:rPr>
        <w:t>[converted into]</w:t>
      </w:r>
      <w:r>
        <w:rPr>
          <w:rFonts w:ascii="Times" w:hAnsi="Times"/>
          <w:sz w:val="24"/>
        </w:rPr>
        <w:t xml:space="preserve"> </w:t>
      </w:r>
      <w:r>
        <w:rPr>
          <w:rFonts w:ascii="Times" w:hAnsi="Times"/>
          <w:b/>
          <w:sz w:val="24"/>
        </w:rPr>
        <w:t>[continued as]</w:t>
      </w:r>
      <w:r>
        <w:rPr>
          <w:rFonts w:ascii="Times" w:hAnsi="Times"/>
          <w:sz w:val="24"/>
        </w:rPr>
        <w:t xml:space="preserve"> </w:t>
      </w:r>
      <w:r>
        <w:rPr>
          <w:rFonts w:ascii="Times" w:hAnsi="Times"/>
          <w:b/>
          <w:sz w:val="24"/>
        </w:rPr>
        <w:t>[Term SOFR] [Daily Simple SOFR]</w:t>
      </w:r>
      <w:r>
        <w:rPr>
          <w:rFonts w:ascii="Times" w:hAnsi="Times"/>
          <w:sz w:val="24"/>
        </w:rPr>
        <w:t xml:space="preserve"> </w:t>
      </w:r>
      <w:r>
        <w:rPr>
          <w:rFonts w:ascii="Times" w:hAnsi="Times"/>
          <w:b/>
          <w:sz w:val="24"/>
        </w:rPr>
        <w:t>[Base Rate]</w:t>
      </w:r>
      <w:r>
        <w:rPr>
          <w:rFonts w:ascii="Times" w:hAnsi="Times"/>
          <w:sz w:val="24"/>
        </w:rPr>
        <w:t xml:space="preserve"> Loans.</w:t>
      </w:r>
    </w:p>
    <w:p>
      <w:pPr>
        <w:pStyle w:val="TextBody"/>
        <w:bidi w:val="0"/>
        <w:spacing w:before="220" w:after="240"/>
        <w:ind w:left="720" w:right="0" w:hanging="0"/>
        <w:jc w:val="both"/>
        <w:rPr>
          <w:rFonts w:ascii="Times" w:hAnsi="Times"/>
          <w:sz w:val="24"/>
        </w:rPr>
      </w:pPr>
      <w:r>
        <w:rPr>
          <w:rFonts w:ascii="Times" w:hAnsi="Times"/>
          <w:sz w:val="24"/>
        </w:rPr>
        <w:t>4.</w:t>
      </w:r>
      <w:r>
        <w:rPr>
          <w:rFonts w:ascii="Times" w:hAnsi="Times"/>
          <w:b/>
          <w:sz w:val="24"/>
        </w:rPr>
        <w:t>[If applicable:]</w:t>
      </w:r>
      <w:r>
        <w:rPr>
          <w:rFonts w:ascii="Times" w:hAnsi="Times"/>
          <w:sz w:val="24"/>
        </w:rPr>
        <w:t xml:space="preserve"> The duration of the Interest Period for the </w:t>
      </w:r>
      <w:r>
        <w:rPr>
          <w:rFonts w:ascii="Times" w:hAnsi="Times"/>
          <w:b/>
          <w:sz w:val="24"/>
        </w:rPr>
        <w:t>[Revolving Loans] [2029 Term Loans] [2030 Term Loans] [2031 Term Loans] [2032 Term Loans] [Incremental Term Loans]</w:t>
      </w:r>
      <w:r>
        <w:rPr>
          <w:rFonts w:ascii="Times" w:hAnsi="Times"/>
          <w:sz w:val="24"/>
        </w:rPr>
        <w:t xml:space="preserve"> included in the </w:t>
      </w:r>
      <w:r>
        <w:rPr>
          <w:rFonts w:ascii="Times" w:hAnsi="Times"/>
          <w:b/>
          <w:sz w:val="24"/>
        </w:rPr>
        <w:t>[conversion] [continuation]</w:t>
      </w:r>
      <w:r>
        <w:rPr>
          <w:rFonts w:ascii="Times" w:hAnsi="Times"/>
          <w:sz w:val="24"/>
        </w:rPr>
        <w:t xml:space="preserve"> shall be _________ months.</w:t>
      </w:r>
    </w:p>
    <w:p>
      <w:pPr>
        <w:pStyle w:val="TextBody"/>
        <w:bidi w:val="0"/>
        <w:spacing w:before="200" w:after="240"/>
        <w:ind w:left="0" w:right="0" w:firstLine="720"/>
        <w:jc w:val="both"/>
        <w:rPr>
          <w:rFonts w:ascii="Times" w:hAnsi="Times"/>
          <w:sz w:val="24"/>
        </w:rPr>
      </w:pPr>
      <w:r>
        <w:rPr>
          <w:rFonts w:ascii="Times" w:hAnsi="Times"/>
          <w:sz w:val="24"/>
        </w:rPr>
        <w:t>The undersigned hereby certifies that the following statements are true on the date hereof, and will be true on the proposed conversion/continuation date, before and after giving effect thereto and to the application of the proceeds therefrom:</w:t>
      </w:r>
    </w:p>
    <w:p>
      <w:pPr>
        <w:pStyle w:val="TextBody"/>
        <w:bidi w:val="0"/>
        <w:spacing w:before="220" w:after="0"/>
        <w:ind w:left="720" w:right="0" w:hanging="0"/>
        <w:jc w:val="both"/>
        <w:rPr>
          <w:rFonts w:ascii="Times" w:hAnsi="Times"/>
          <w:sz w:val="24"/>
        </w:rPr>
      </w:pPr>
      <w:r>
        <w:rPr>
          <w:rFonts w:ascii="Times" w:hAnsi="Times"/>
          <w:sz w:val="24"/>
        </w:rPr>
        <w:t xml:space="preserve">(a)the representations and warranties of the Borrower contained in Section 6 of the Credit Agreement are true and correct as though made on and as of such date (except to the extent such representations and warranties relate to an earlier date, in which case they are true and correct as of such date); </w:t>
      </w:r>
      <w:r>
        <w:rPr>
          <w:rFonts w:ascii="Times" w:hAnsi="Times"/>
          <w:i/>
          <w:sz w:val="24"/>
        </w:rPr>
        <w:t>provided, however,</w:t>
      </w:r>
      <w:r>
        <w:rPr>
          <w:rFonts w:ascii="Times" w:hAnsi="Times"/>
          <w:sz w:val="24"/>
        </w:rPr>
        <w:t xml:space="preserve"> that this condition shall not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apply to the conversion of an outstanding Term SOFR Loan to a Base Rate Loan or a Daily Simple SOFR Loan to a Base Rate Loan; and</w:t>
      </w:r>
    </w:p>
    <w:p>
      <w:pPr>
        <w:pStyle w:val="TextBody"/>
        <w:bidi w:val="0"/>
        <w:spacing w:before="220" w:after="240"/>
        <w:ind w:left="720" w:right="0" w:hanging="0"/>
        <w:jc w:val="both"/>
        <w:rPr>
          <w:rFonts w:ascii="Times" w:hAnsi="Times"/>
          <w:sz w:val="24"/>
        </w:rPr>
      </w:pPr>
      <w:r>
        <w:rPr>
          <w:rFonts w:ascii="Times" w:hAnsi="Times"/>
          <w:sz w:val="24"/>
        </w:rPr>
        <w:t xml:space="preserve">(b)no Default or Event of Default has occurred and is continuing, or would result from such proposed </w:t>
      </w:r>
      <w:r>
        <w:rPr>
          <w:rFonts w:ascii="Times" w:hAnsi="Times"/>
          <w:b/>
          <w:sz w:val="24"/>
        </w:rPr>
        <w:t>[conversion] [continuation]</w:t>
      </w:r>
      <w:r>
        <w:rPr>
          <w:rFonts w:ascii="Times" w:hAnsi="Times"/>
          <w:sz w:val="24"/>
        </w:rPr>
        <w:t>.</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240"/>
        <w:ind w:left="72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C-2]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bookmarkStart w:id="258" w:name="_Hlk220969720"/>
      <w:bookmarkEnd w:id="258"/>
      <w:r>
        <w:rPr>
          <w:rFonts w:ascii="Times New Roman;Times;serif" w:hAnsi="Times New Roman;Times;serif"/>
          <w:b/>
          <w:smallCaps/>
          <w:sz w:val="24"/>
        </w:rPr>
        <w:t>Exhibit D-1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Revolving Note</w:t>
      </w:r>
    </w:p>
    <w:p>
      <w:pPr>
        <w:pStyle w:val="TextBody"/>
        <w:bidi w:val="0"/>
        <w:spacing w:before="0" w:after="240"/>
        <w:ind w:left="0" w:right="0" w:hanging="0"/>
        <w:jc w:val="both"/>
        <w:rPr>
          <w:rFonts w:ascii="Times" w:hAnsi="Times"/>
          <w:sz w:val="24"/>
        </w:rPr>
      </w:pPr>
      <w:r>
        <w:rPr>
          <w:rFonts w:ascii="Times" w:hAnsi="Times"/>
          <w:b w:val="false"/>
          <w:i w:val="false"/>
          <w:smallCaps/>
          <w:sz w:val="24"/>
          <w:shd w:fill="FFFFFF" w:val="clear"/>
        </w:rPr>
        <w:t>U.S. $_______________</w:t>
      </w:r>
      <w:r>
        <w:rPr>
          <w:rFonts w:ascii="Times" w:hAnsi="Times"/>
          <w:b w:val="false"/>
          <w:i w:val="false"/>
          <w:caps w:val="false"/>
          <w:smallCaps w:val="false"/>
          <w:sz w:val="24"/>
          <w:shd w:fill="FFFFFF" w:val="clear"/>
        </w:rPr>
        <w:t>_____________, 20___</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92.05pt;mso-position-horizontal:left;mso-position-horizontal-relative:text">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firstLine="720"/>
        <w:jc w:val="both"/>
        <w:rPr>
          <w:rFonts w:ascii="Times" w:hAnsi="Times"/>
          <w:sz w:val="24"/>
        </w:rPr>
      </w:pPr>
      <w:r>
        <w:rPr>
          <w:rFonts w:ascii="Times" w:hAnsi="Times"/>
          <w:smallCaps/>
          <w:sz w:val="24"/>
        </w:rPr>
        <w:t>For</w:t>
      </w:r>
      <w:r>
        <w:rPr>
          <w:rFonts w:ascii="Times" w:hAnsi="Times"/>
          <w:sz w:val="24"/>
        </w:rPr>
        <w:t xml:space="preserve"> </w:t>
      </w:r>
      <w:r>
        <w:rPr>
          <w:rFonts w:ascii="Times" w:hAnsi="Times"/>
          <w:smallCaps/>
          <w:sz w:val="24"/>
        </w:rPr>
        <w:t>Value</w:t>
      </w:r>
      <w:r>
        <w:rPr>
          <w:rFonts w:ascii="Times" w:hAnsi="Times"/>
          <w:sz w:val="24"/>
        </w:rPr>
        <w:t xml:space="preserve"> </w:t>
      </w:r>
      <w:r>
        <w:rPr>
          <w:rFonts w:ascii="Times" w:hAnsi="Times"/>
          <w:smallCaps/>
          <w:sz w:val="24"/>
        </w:rPr>
        <w:t>Received</w:t>
      </w:r>
      <w:r>
        <w:rPr>
          <w:rFonts w:ascii="Times" w:hAnsi="Times"/>
          <w:sz w:val="24"/>
        </w:rPr>
        <w:t>, the undersigned, CTO Realty Growth, Inc., a Maryland corporation (the “</w:t>
      </w:r>
      <w:r>
        <w:rPr>
          <w:rFonts w:ascii="Times" w:hAnsi="Times"/>
          <w:i/>
          <w:sz w:val="24"/>
        </w:rPr>
        <w:t>Borrower”</w:t>
      </w:r>
      <w:r>
        <w:rPr>
          <w:rFonts w:ascii="Times" w:hAnsi="Times"/>
          <w:sz w:val="24"/>
        </w:rPr>
        <w:t>), hereby promises to pay to ____________________ (the “</w:t>
      </w:r>
      <w:r>
        <w:rPr>
          <w:rFonts w:ascii="Times" w:hAnsi="Times"/>
          <w:i/>
          <w:sz w:val="24"/>
        </w:rPr>
        <w:t>Lender”</w:t>
      </w:r>
      <w:r>
        <w:rPr>
          <w:rFonts w:ascii="Times" w:hAnsi="Times"/>
          <w:sz w:val="24"/>
        </w:rPr>
        <w:t>) or its permitted assigns on the Revolving Credit Termination Date of the hereinafter defined Credit Agreement, at the principal office of the Administrative Agent in Cleveland, Ohio (or such other location as the Administrative Agent may designate to the Borrower), in immediately available funds, the principal sum of ___________________ Dollars ($__________) or, if less, the aggregate unpaid principal amount of all Revolving Loans made by the Lender to the Borrower pursuant to the Credit Agreement, together with interest on the principal amount of each Revolving Loan from time to time outstanding hereunder at the rates, and payable in the manner and on the dates, specified in the Credit Agreement.</w:t>
      </w:r>
    </w:p>
    <w:p>
      <w:pPr>
        <w:pStyle w:val="TextBody"/>
        <w:bidi w:val="0"/>
        <w:spacing w:before="0" w:after="240"/>
        <w:ind w:left="0" w:right="0" w:firstLine="720"/>
        <w:jc w:val="both"/>
        <w:rPr>
          <w:rFonts w:ascii="Times" w:hAnsi="Times"/>
          <w:sz w:val="24"/>
        </w:rPr>
      </w:pPr>
      <w:r>
        <w:rPr>
          <w:rFonts w:ascii="Times" w:hAnsi="Times"/>
          <w:sz w:val="24"/>
        </w:rPr>
        <w:t>This Note is one of the Revolving Notes referred to in the Amended and Restated Credit Agreement dated as of September 29, 2026, among the Borrower, the Guarantors party thereto, the Lenders parties thereto, and KeyBank National Association, as Administrative Agent (as extended, renewed, amended or restated from time to time, the “</w:t>
      </w:r>
      <w:r>
        <w:rPr>
          <w:rFonts w:ascii="Times" w:hAnsi="Times"/>
          <w:i/>
          <w:sz w:val="24"/>
        </w:rPr>
        <w:t>Credit Agreement”</w:t>
      </w:r>
      <w:r>
        <w:rPr>
          <w:rFonts w:ascii="Times" w:hAnsi="Times"/>
          <w:sz w:val="24"/>
        </w:rPr>
        <w:t xml:space="preserve">), and this Note and the holder hereof are entitled to all the benefits provided for thereby or referred to therein, to which Credit Agreement reference is hereby made for a statement thereof. </w:t>
      </w:r>
      <w:r>
        <w:rPr>
          <w:rFonts w:ascii="Times" w:hAnsi="Times"/>
          <w:b/>
          <w:sz w:val="24"/>
        </w:rPr>
        <w:t>[This Note is issued in replacement and substitution for, and supersedes, the Original Revolving Note.]</w:t>
      </w:r>
      <w:r>
        <w:rPr>
          <w:rFonts w:ascii="Times" w:hAnsi="Times"/>
          <w:sz w:val="24"/>
        </w:rPr>
        <w:t xml:space="preserve">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0" w:after="240"/>
        <w:ind w:left="0" w:right="0" w:firstLine="720"/>
        <w:jc w:val="both"/>
        <w:rPr>
          <w:rFonts w:ascii="Times" w:hAnsi="Times"/>
          <w:sz w:val="24"/>
        </w:rPr>
      </w:pPr>
      <w:r>
        <w:rPr>
          <w:rFonts w:ascii="Times" w:hAnsi="Times"/>
          <w:sz w:val="24"/>
        </w:rPr>
        <w:t>The Borrower hereby waives demand, presentment, protest or notice of any kind hereunder.</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D-2</w:t>
      </w:r>
    </w:p>
    <w:p>
      <w:pPr>
        <w:pStyle w:val="TextBody"/>
        <w:bidi w:val="0"/>
        <w:spacing w:before="0" w:after="0"/>
        <w:ind w:left="0" w:right="0" w:hanging="0"/>
        <w:jc w:val="center"/>
        <w:rPr>
          <w:smallCaps/>
        </w:rPr>
      </w:pPr>
      <w:bookmarkStart w:id="259" w:name="_Hlk220969660"/>
      <w:bookmarkEnd w:id="259"/>
      <w:r>
        <w:rPr>
          <w:smallCaps/>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176">
                <wp:simplePos x="0" y="0"/>
                <wp:positionH relativeFrom="page">
                  <wp:posOffset>0</wp:posOffset>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xml:space="preserve"> the undersigned, CTO Realty Growth, Inc., a Maryland corporation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or its permitted assigns on the Term Loan Maturity Date, at the principal office of the Administrative Agent in Cleveland, Ohio (or such other location as the Administrative Agent may designate to the Borrower), in immediately available funds, the principal sum of ___________________ Dollars ($__________) or, if less, the aggregate unpaid principal amount of all [2029 Term Loans] [2030 Term Loans] [2031 Term Loans] [2032 Term Loans] made by the Lender to the Borrower pursuant to the Credit Agreement, together with interest on the principal amount of each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Note is one of the Term Notes referred to in the Amended and Restated Credit Agreement dated as of September 29, 2026, among the Borrower, the Guarantors party thereto, the Lenders parties thereto, the L/C Issuer and KeyBank National Association,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 -2]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D-3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 Incremental Term Note</w:t>
      </w:r>
    </w:p>
    <w:p>
      <w:pPr>
        <w:pStyle w:val="TextBody"/>
        <w:bidi w:val="0"/>
        <w:spacing w:before="280" w:after="0"/>
        <w:ind w:left="0" w:right="0" w:hanging="0"/>
        <w:jc w:val="both"/>
        <w:rPr>
          <w:rFonts w:ascii="Times New Roman;Times;serif" w:hAnsi="Times New Roman;Times;serif"/>
          <w:sz w:val="24"/>
        </w:rPr>
      </w:pPr>
      <w:r>
        <w:rPr>
          <w:rFonts w:ascii="Times New Roman;Times;serif" w:hAnsi="Times New Roman;Times;serif"/>
          <w:b w:val="false"/>
          <w:i w:val="false"/>
          <w:smallCaps/>
          <w:sz w:val="24"/>
          <w:shd w:fill="FFFFFF" w:val="clear"/>
        </w:rPr>
        <w:t>U.S. $_______________</w:t>
      </w:r>
      <w:r>
        <w:rPr>
          <w:rFonts w:ascii="Times New Roman;Times;serif" w:hAnsi="Times New Roman;Times;serif"/>
          <w:b w:val="false"/>
          <w:i w:val="false"/>
          <w:caps w:val="false"/>
          <w:smallCaps w:val="false"/>
          <w:sz w:val="24"/>
          <w:shd w:fill="FFFFFF" w:val="clear"/>
        </w:rPr>
        <w:t>______________, 20__</w:t>
      </w:r>
      <w:r>
        <mc:AlternateContent>
          <mc:Choice Requires="wps">
            <w:drawing>
              <wp:anchor behindDoc="0" distT="0" distB="0" distL="0" distR="0" simplePos="0" locked="0" layoutInCell="1" allowOverlap="1" relativeHeight="177">
                <wp:simplePos x="0" y="0"/>
                <wp:positionH relativeFrom="page">
                  <wp:posOffset>0</wp:posOffset>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mallCaps/>
          <w:sz w:val="24"/>
        </w:rPr>
        <w:t>For</w:t>
      </w:r>
      <w:r>
        <w:rPr>
          <w:rFonts w:ascii="Times New Roman;Times;serif" w:hAnsi="Times New Roman;Times;serif"/>
          <w:sz w:val="24"/>
        </w:rPr>
        <w:t xml:space="preserve"> </w:t>
      </w:r>
      <w:r>
        <w:rPr>
          <w:rFonts w:ascii="Times New Roman;Times;serif" w:hAnsi="Times New Roman;Times;serif"/>
          <w:smallCaps/>
          <w:sz w:val="24"/>
        </w:rPr>
        <w:t>Value</w:t>
      </w:r>
      <w:r>
        <w:rPr>
          <w:rFonts w:ascii="Times New Roman;Times;serif" w:hAnsi="Times New Roman;Times;serif"/>
          <w:sz w:val="24"/>
        </w:rPr>
        <w:t xml:space="preserve"> </w:t>
      </w:r>
      <w:r>
        <w:rPr>
          <w:rFonts w:ascii="Times New Roman;Times;serif" w:hAnsi="Times New Roman;Times;serif"/>
          <w:smallCaps/>
          <w:sz w:val="24"/>
        </w:rPr>
        <w:t>Received</w:t>
      </w:r>
      <w:r>
        <w:rPr>
          <w:rFonts w:ascii="Times New Roman;Times;serif" w:hAnsi="Times New Roman;Times;serif"/>
          <w:sz w:val="24"/>
        </w:rPr>
        <w:t>, the undersigned, CTO Realty Growth, Inc., a Maryland corporation (the “</w:t>
      </w:r>
      <w:r>
        <w:rPr>
          <w:rFonts w:ascii="Times New Roman;Times;serif" w:hAnsi="Times New Roman;Times;serif"/>
          <w:i/>
          <w:sz w:val="24"/>
        </w:rPr>
        <w:t>Borrower”</w:t>
      </w:r>
      <w:r>
        <w:rPr>
          <w:rFonts w:ascii="Times New Roman;Times;serif" w:hAnsi="Times New Roman;Times;serif"/>
          <w:sz w:val="24"/>
        </w:rPr>
        <w:t>), hereby promises to pay to ____________________ (the “</w:t>
      </w:r>
      <w:r>
        <w:rPr>
          <w:rFonts w:ascii="Times New Roman;Times;serif" w:hAnsi="Times New Roman;Times;serif"/>
          <w:i/>
          <w:sz w:val="24"/>
        </w:rPr>
        <w:t>Lender”</w:t>
      </w:r>
      <w:r>
        <w:rPr>
          <w:rFonts w:ascii="Times New Roman;Times;serif" w:hAnsi="Times New Roman;Times;serif"/>
          <w:sz w:val="24"/>
        </w:rPr>
        <w:t>) or its permitted assigns on the [Term Loan Maturity Date], at the principal office of the Administrative Agent in Cleveland, Ohio (or such other location as the Administrative Agent may designate to the Borrower), in immediately available funds, the principal sum of ___________________ Dollars ($__________) or, if less, the aggregate unpaid principal amount of all [__] Incremental Term Loans made by the Lender to the Borrower pursuant to the Credit Agreement, together with interest on the principal amount of each [__] Incremental Term Loan from time to time outstanding hereunder at the rates, and payable in the manner and on the dates, specified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This Note is one of the Incremental Term Notes referred to in the Amended and Restated Credit Agreement dated as of September 29, 2026, among the Borrower, the Guarantors party thereto, the Lenders parties thereto, the L/C Issuer and KeyBank National Association, as Administrative Agent (as extended, renewed, amended or restated from time to time, the “</w:t>
      </w:r>
      <w:r>
        <w:rPr>
          <w:rFonts w:ascii="Times New Roman;Times;serif" w:hAnsi="Times New Roman;Times;serif"/>
          <w:i/>
          <w:sz w:val="24"/>
        </w:rPr>
        <w:t>Credit Agreement”</w:t>
      </w:r>
      <w:r>
        <w:rPr>
          <w:rFonts w:ascii="Times New Roman;Times;serif" w:hAnsi="Times New Roman;Times;serif"/>
          <w:sz w:val="24"/>
        </w:rPr>
        <w:t>), and this Note and the holder hereof are entitled to all the benefits provided for thereby or referred to therein, to which Credit Agreement reference is hereby made for a statement thereof. All defined terms used in this Note, except terms otherwise defined herein, shall have the same meaning as in the Credit Agreement.  This Note shall be governed by and construed in accordance with the internal laws of the State of New York.</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Voluntary prepayments may be made hereon, certain prepayments are required to be made hereon, and this Note may be declared due prior to the expressed maturity hereof, all in the events, on the terms and in the manner as provided for in the Credit Agreement.</w:t>
      </w:r>
    </w:p>
    <w:p>
      <w:pPr>
        <w:pStyle w:val="TextBody"/>
        <w:bidi w:val="0"/>
        <w:spacing w:before="280" w:after="0"/>
        <w:ind w:left="0" w:right="0" w:firstLine="720"/>
        <w:jc w:val="both"/>
        <w:rPr>
          <w:rFonts w:ascii="Times New Roman;Times;serif" w:hAnsi="Times New Roman;Times;serif"/>
          <w:sz w:val="24"/>
        </w:rPr>
      </w:pPr>
      <w:r>
        <w:rPr>
          <w:rFonts w:ascii="Times New Roman;Times;serif" w:hAnsi="Times New Roman;Times;serif"/>
          <w:sz w:val="24"/>
        </w:rPr>
        <w:t>The Borrower hereby waives demand, presentment, protest or notice of any kind hereunder.</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 -3]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Certificate</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To:</w:t>
            </w:r>
          </w:p>
        </w:tc>
        <w:tc>
          <w:tcPr>
            <w:tcW w:w="9868" w:type="dxa"/>
            <w:tcBorders/>
            <w:vAlign w:val="center"/>
          </w:tcPr>
          <w:p>
            <w:pPr>
              <w:pStyle w:val="TableContents"/>
              <w:bidi w:val="0"/>
              <w:spacing w:before="560" w:after="0"/>
              <w:jc w:val="both"/>
              <w:rPr>
                <w:rFonts w:ascii="Times New Roman;Times;serif" w:hAnsi="Times New Roman;Times;serif"/>
                <w:sz w:val="24"/>
              </w:rPr>
            </w:pPr>
            <w:r>
              <w:rPr>
                <w:rFonts w:ascii="Times New Roman;Times;serif" w:hAnsi="Times New Roman;Times;serif"/>
                <w:sz w:val="24"/>
              </w:rPr>
              <w:t>KeyBank National Association, as Administrative Agent under, and the Lenders party to, the Credit Agreement described below</w:t>
            </w:r>
          </w:p>
        </w:tc>
      </w:tr>
    </w:tbl>
    <w:p>
      <w:pPr>
        <w:pStyle w:val="TextBody"/>
        <w:pBdr/>
        <w:bidi w:val="0"/>
        <w:spacing w:before="560" w:after="0"/>
        <w:ind w:left="0" w:right="4680" w:hanging="720"/>
        <w:jc w:val="both"/>
        <w:rPr/>
      </w:pPr>
      <w:r>
        <w:rPr/>
        <w:t>​</w:t>
      </w:r>
    </w:p>
    <w:p>
      <w:pPr>
        <w:pStyle w:val="TextBody"/>
        <w:bidi w:val="0"/>
        <w:spacing w:before="0" w:after="240"/>
        <w:ind w:left="0" w:right="0" w:firstLine="720"/>
        <w:jc w:val="both"/>
        <w:rPr>
          <w:rFonts w:ascii="Times" w:hAnsi="Times"/>
          <w:sz w:val="24"/>
        </w:rPr>
      </w:pPr>
      <w:r>
        <w:rPr>
          <w:rFonts w:ascii="Times" w:hAnsi="Times"/>
          <w:sz w:val="24"/>
        </w:rPr>
        <w:t>This Compliance Certificate is furnished to the Administrative Agent and the Lenders pursuant to that certain Amended and Restated Credit Agreement dated as of September 29, 2026, as amended, among CTO Realty Growth, Inc., as Borrower, the Guarantors signatory thereto, the Administrative Agent and the Lenders party thereto (the “</w:t>
      </w:r>
      <w:r>
        <w:rPr>
          <w:rFonts w:ascii="Times" w:hAnsi="Times"/>
          <w:i/>
          <w:sz w:val="24"/>
        </w:rPr>
        <w:t>Credit Agreement”</w:t>
      </w:r>
      <w:r>
        <w:rPr>
          <w:rFonts w:ascii="Times" w:hAnsi="Times"/>
          <w:sz w:val="24"/>
        </w:rPr>
        <w:t>).  Unless otherwise defined herein, the terms used in this Compliance Certificate have the meanings ascribed thereto in the Credit Agreement</w:t>
      </w:r>
    </w:p>
    <w:p>
      <w:pPr>
        <w:pStyle w:val="TextBody"/>
        <w:bidi w:val="0"/>
        <w:spacing w:before="0" w:after="240"/>
        <w:ind w:left="0" w:right="0" w:firstLine="720"/>
        <w:jc w:val="both"/>
        <w:rPr>
          <w:rFonts w:ascii="Times" w:hAnsi="Times"/>
          <w:smallCaps/>
          <w:sz w:val="24"/>
        </w:rPr>
      </w:pPr>
      <w:r>
        <w:rPr>
          <w:rFonts w:ascii="Times" w:hAnsi="Times"/>
          <w:smallCaps/>
          <w:sz w:val="24"/>
        </w:rPr>
        <w:t>The Undersigned hereby certifies that:</w:t>
      </w:r>
    </w:p>
    <w:p>
      <w:pPr>
        <w:pStyle w:val="TextBody"/>
        <w:bidi w:val="0"/>
        <w:spacing w:before="0" w:after="240"/>
        <w:ind w:left="0" w:right="0" w:hanging="0"/>
        <w:jc w:val="both"/>
        <w:rPr>
          <w:rFonts w:ascii="Times" w:hAnsi="Times"/>
          <w:sz w:val="24"/>
        </w:rPr>
      </w:pPr>
      <w:r>
        <w:rPr>
          <w:rFonts w:ascii="Times" w:hAnsi="Times"/>
          <w:sz w:val="24"/>
        </w:rPr>
        <w:t>1.I am the duly elected ____________ of CTO Realty Growth, Inc.;</w:t>
      </w:r>
    </w:p>
    <w:p>
      <w:pPr>
        <w:pStyle w:val="TextBody"/>
        <w:bidi w:val="0"/>
        <w:spacing w:before="0" w:after="240"/>
        <w:ind w:left="0" w:right="0" w:hanging="0"/>
        <w:jc w:val="both"/>
        <w:rPr>
          <w:rFonts w:ascii="Times" w:hAnsi="Times"/>
          <w:sz w:val="24"/>
        </w:rPr>
      </w:pPr>
      <w:r>
        <w:rPr>
          <w:rFonts w:ascii="Times" w:hAnsi="Times"/>
          <w:sz w:val="24"/>
        </w:rPr>
        <w:t>2.I have reviewed the terms of the Credit Agreement and I have made, or have caused to be made under my supervision, a detailed review of the transactions and conditions of the Borrower and its Subsidiaries during the accounting period covered by the attached financial statements;</w:t>
      </w:r>
    </w:p>
    <w:p>
      <w:pPr>
        <w:pStyle w:val="TextBody"/>
        <w:bidi w:val="0"/>
        <w:spacing w:before="0" w:after="240"/>
        <w:ind w:left="0" w:right="0" w:hanging="0"/>
        <w:jc w:val="both"/>
        <w:rPr>
          <w:rFonts w:ascii="Times" w:hAnsi="Times"/>
          <w:sz w:val="24"/>
        </w:rPr>
      </w:pPr>
      <w:r>
        <w:rPr>
          <w:rFonts w:ascii="Times" w:hAnsi="Times"/>
          <w:sz w:val="24"/>
        </w:rPr>
        <w:t>3.The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Compliance Certificate, except as set forth below;</w:t>
      </w:r>
    </w:p>
    <w:p>
      <w:pPr>
        <w:pStyle w:val="TextBody"/>
        <w:bidi w:val="0"/>
        <w:spacing w:before="0" w:after="240"/>
        <w:ind w:left="0" w:right="0" w:hanging="0"/>
        <w:jc w:val="both"/>
        <w:rPr>
          <w:rFonts w:ascii="Times" w:hAnsi="Times"/>
          <w:sz w:val="24"/>
        </w:rPr>
      </w:pPr>
      <w:r>
        <w:rPr>
          <w:rFonts w:ascii="Times" w:hAnsi="Times"/>
          <w:sz w:val="24"/>
        </w:rPr>
        <w:t>4.The financial statements required by Section 8.5 of the Credit Agreement and being furnished to you concurrently with this Compliance Certificate are true, correct and complete as of the date and for the periods covered thereby; and</w:t>
      </w:r>
    </w:p>
    <w:p>
      <w:pPr>
        <w:pStyle w:val="TextBody"/>
        <w:bidi w:val="0"/>
        <w:spacing w:before="0" w:after="240"/>
        <w:ind w:left="0" w:right="0" w:hanging="0"/>
        <w:jc w:val="both"/>
        <w:rPr>
          <w:rFonts w:ascii="Times" w:hAnsi="Times"/>
          <w:sz w:val="24"/>
        </w:rPr>
      </w:pPr>
      <w:r>
        <w:rPr>
          <w:rFonts w:ascii="Times" w:hAnsi="Times"/>
          <w:sz w:val="24"/>
        </w:rPr>
        <w:t>5.The Schedule I hereto sets forth financial data and computations evidencing the Borrower’s compliance with certain covenants of the Credit Agreement, all of which data and computations are, to the best of my knowledge, true, complete and correct and have been made in accordance with the relevant Sections of the Credit Agreement.</w:t>
      </w:r>
    </w:p>
    <w:p>
      <w:pPr>
        <w:pStyle w:val="TextBody"/>
        <w:bidi w:val="0"/>
        <w:spacing w:before="0" w:after="240"/>
        <w:ind w:left="0" w:right="0" w:firstLine="720"/>
        <w:jc w:val="both"/>
        <w:rPr>
          <w:rFonts w:ascii="Times" w:hAnsi="Times"/>
          <w:sz w:val="24"/>
        </w:rPr>
      </w:pPr>
      <w:r>
        <w:rPr>
          <w:rFonts w:ascii="Times" w:hAnsi="Times"/>
          <w:sz w:val="24"/>
        </w:rPr>
        <w:t>Described below are the exceptions, if any, to paragraph 3 by listing, in detail, the nature of the condition or event, the period during which it has existed and the action which the Borrower has taken, is taking, or proposes to take with respect to each such condition or event: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907"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0"/>
        <w:ind w:left="720" w:right="90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The foregoing certifications, together with the computations set forth in Schedule I hereto and the financial statements delivered with this Certificate in support hereof, are made and delivered this ______ day of __________________, 20___.</w:t>
      </w:r>
    </w:p>
    <w:p>
      <w:pPr>
        <w:pStyle w:val="TextBody"/>
        <w:bidi w:val="0"/>
        <w:spacing w:before="0" w:after="0"/>
        <w:ind w:left="0" w:right="0" w:hanging="0"/>
        <w:jc w:val="center"/>
        <w:rPr>
          <w:smallCaps/>
        </w:rPr>
      </w:pPr>
      <w:r>
        <w:rPr>
          <w:smallCaps/>
        </w:rPr>
        <w:t>​</w:t>
      </w:r>
    </w:p>
    <w:p>
      <w:pPr>
        <w:pStyle w:val="TextBody"/>
        <w:pBdr/>
        <w:bidi w:val="0"/>
        <w:spacing w:before="28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pBdr/>
        <w:bidi w:val="0"/>
        <w:spacing w:before="0" w:after="0"/>
        <w:ind w:left="4680" w:right="0" w:hanging="230"/>
        <w:jc w:val="left"/>
        <w:rPr/>
      </w:pPr>
      <w:r>
        <w:rPr/>
        <w:t>​</w:t>
      </w:r>
    </w:p>
    <w:p>
      <w:pPr>
        <w:pStyle w:val="TextBody"/>
        <w:bidi w:val="0"/>
        <w:spacing w:before="0" w:after="24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w:hAnsi="Times"/>
          <w:b/>
          <w:smallCaps/>
          <w:sz w:val="24"/>
        </w:rPr>
      </w:pPr>
      <w:r>
        <w:rPr>
          <w:rFonts w:ascii="Times" w:hAnsi="Times"/>
          <w:b/>
          <w:smallCaps/>
          <w:sz w:val="24"/>
        </w:rPr>
        <w:t>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_________________________________________________</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Compliance Calculations</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for Amended and Restated Credit Agreement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dated as of September 29, 2026, as amended</w:t>
      </w:r>
    </w:p>
    <w:p>
      <w:pPr>
        <w:pStyle w:val="TextBody"/>
        <w:bidi w:val="0"/>
        <w:spacing w:before="0" w:after="240"/>
        <w:ind w:left="0" w:right="0" w:firstLine="720"/>
        <w:jc w:val="center"/>
        <w:rPr>
          <w:rFonts w:ascii="Times" w:hAnsi="Times"/>
          <w:b/>
          <w:smallCaps/>
          <w:sz w:val="24"/>
        </w:rPr>
      </w:pPr>
      <w:r>
        <w:rPr>
          <w:rFonts w:ascii="Times" w:hAnsi="Times"/>
          <w:b/>
          <w:smallCaps/>
          <w:sz w:val="24"/>
        </w:rPr>
        <w:t>Calculations as of _____________, _______</w:t>
      </w:r>
    </w:p>
    <w:p>
      <w:pPr>
        <w:pStyle w:val="TextBody"/>
        <w:pBdr>
          <w:bottom w:val="double" w:sz="6" w:space="1" w:color="000000"/>
        </w:pBdr>
        <w:bidi w:val="0"/>
        <w:spacing w:before="0" w:after="28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9"/>
        <w:gridCol w:w="6296"/>
      </w:tblGrid>
      <w:tr>
        <w:trPr/>
        <w:tc>
          <w:tcPr>
            <w:tcW w:w="390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Total Indebtedness to Total Asset Value Ratio (Section 8.20(a))</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A1 to A2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A3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0.60:1.0 (or 0.65 to 1.00 if a Material Acquisition was consummated in such Fiscal Quarter or the immediately preceding 3 Fiscal Quarters)</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3909" w:type="dxa"/>
            <w:tcBorders/>
            <w:vAlign w:val="center"/>
          </w:tcPr>
          <w:p>
            <w:pPr>
              <w:pStyle w:val="TableContents"/>
              <w:pBdr/>
              <w:bidi w:val="0"/>
              <w:spacing w:before="0" w:after="0"/>
              <w:ind w:left="0" w:right="0" w:hanging="720"/>
              <w:jc w:val="left"/>
              <w:rPr/>
            </w:pPr>
            <w:r>
              <w:rPr/>
              <w:t>​</w:t>
            </w:r>
          </w:p>
          <w:p>
            <w:pPr>
              <w:pStyle w:val="TableContents"/>
              <w:bidi w:val="0"/>
              <w:spacing w:before="0" w:after="0"/>
              <w:jc w:val="left"/>
              <w:rPr>
                <w:rFonts w:ascii="Times New Roman;Times;serif" w:hAnsi="Times New Roman;Times;serif"/>
                <w:sz w:val="24"/>
              </w:rPr>
            </w:pPr>
            <w:r>
              <w:rPr>
                <w:rFonts w:ascii="Times New Roman;Times;serif" w:hAnsi="Times New Roman;Times;serif"/>
                <w:sz w:val="24"/>
              </w:rPr>
              <w:t>B.</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Indebtedness to Total Asset Value Ratio (Section 8.20(b))</w:t>
            </w:r>
          </w:p>
        </w:tc>
        <w:tc>
          <w:tcPr>
            <w:tcW w:w="6296" w:type="dxa"/>
            <w:tcBorders/>
            <w:vAlign w:val="center"/>
          </w:tcPr>
          <w:p>
            <w:pPr>
              <w:pStyle w:val="TableContents"/>
              <w:bidi w:val="0"/>
              <w:spacing w:before="0" w:after="240"/>
              <w:ind w:left="0" w:right="0" w:hanging="0"/>
              <w:jc w:val="center"/>
              <w:rPr/>
            </w:pPr>
            <w:r>
              <w:rPr/>
              <w:t>​</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Secured Indebtedness</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B1 to B2</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3909"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B3 must not exceed</w:t>
            </w:r>
          </w:p>
        </w:tc>
        <w:tc>
          <w:tcPr>
            <w:tcW w:w="6296"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0.40:1.0</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28"/>
        <w:gridCol w:w="1477"/>
      </w:tblGrid>
      <w:tr>
        <w:trPr/>
        <w:tc>
          <w:tcPr>
            <w:tcW w:w="8728"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8728"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C.</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Adjusted EBITDA to Fixed Charges Ratio (Section 8.20(c))</w:t>
            </w:r>
          </w:p>
        </w:tc>
        <w:tc>
          <w:tcPr>
            <w:tcW w:w="1477" w:type="dxa"/>
            <w:tcBorders/>
            <w:vAlign w:val="center"/>
          </w:tcPr>
          <w:p>
            <w:pPr>
              <w:pStyle w:val="TableContents"/>
              <w:bidi w:val="0"/>
              <w:spacing w:before="0" w:after="240"/>
              <w:ind w:left="0" w:right="0" w:hanging="0"/>
              <w:jc w:val="center"/>
              <w:rPr/>
            </w:pPr>
            <w:r>
              <w:rPr/>
              <w:t>​</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Depreciation and amortization expense</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expense</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losses</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Non-Cash Compensation Paid in Equity Securities</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Extraordinary, unrealized or non-recurring gains</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 benefits</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9.</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Other non-cash items as reasonably determined by Borrower and approved by Administrative Agent</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C2, C3, C4, C5 and C6</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C7, C8 and C9</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 plus Line C10 minus Line C11</w:t>
            </w:r>
            <w:r>
              <w:rPr>
                <w:rFonts w:ascii="Times New Roman;Times;serif" w:hAnsi="Times New Roman;Times;serif"/>
                <w:i/>
                <w:sz w:val="24"/>
              </w:rPr>
              <w:t>(“EBITDA”</w:t>
            </w:r>
            <w:r>
              <w:rPr>
                <w:rFonts w:ascii="Times New Roman;Times;serif" w:hAnsi="Times New Roman;Times;serif"/>
                <w:sz w:val="24"/>
              </w:rPr>
              <w:t>)</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pBdr/>
              <w:bidi w:val="0"/>
              <w:spacing w:before="140" w:after="0"/>
              <w:ind w:left="0" w:right="0" w:hanging="0"/>
              <w:jc w:val="left"/>
              <w:rPr/>
            </w:pPr>
            <w:r>
              <w:rPr/>
              <w:t>​</w:t>
            </w:r>
          </w:p>
        </w:tc>
        <w:tc>
          <w:tcPr>
            <w:tcW w:w="1477" w:type="dxa"/>
            <w:tcBorders/>
            <w:vAlign w:val="center"/>
          </w:tcPr>
          <w:p>
            <w:pPr>
              <w:pStyle w:val="TableContents"/>
              <w:bidi w:val="0"/>
              <w:spacing w:before="140" w:after="240"/>
              <w:ind w:left="0" w:right="0" w:hanging="0"/>
              <w:jc w:val="center"/>
              <w:rPr/>
            </w:pPr>
            <w:r>
              <w:rPr/>
              <w:t>​</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Annual Capital Expenditure Reserve</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C12 minus Line C13 (“</w:t>
            </w:r>
            <w:r>
              <w:rPr>
                <w:rFonts w:ascii="Times New Roman;Times;serif" w:hAnsi="Times New Roman;Times;serif"/>
                <w:i/>
                <w:sz w:val="24"/>
              </w:rPr>
              <w:t>Adjusted EBITDA</w:t>
            </w:r>
            <w:r>
              <w:rPr>
                <w:rFonts w:ascii="Times New Roman;Times;serif" w:hAnsi="Times New Roman;Times;serif"/>
                <w:sz w:val="24"/>
              </w:rPr>
              <w:t>”)</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Interest Expense</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8728"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17.</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Principal Amortization Payments</w:t>
            </w:r>
          </w:p>
        </w:tc>
        <w:tc>
          <w:tcPr>
            <w:tcW w:w="1477"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96"/>
        <w:gridCol w:w="4909"/>
      </w:tblGrid>
      <w:tr>
        <w:trPr/>
        <w:tc>
          <w:tcPr>
            <w:tcW w:w="5296"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18.</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Dividends on Preferred Stock</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 xml:space="preserve">19. </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Cash payments of base rent under Eligible Leasehold Interests (if not included above)</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20.</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Income Taxes Paid</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Sum of Lines C15, C16, C17, C18 and C19 (“</w:t>
            </w:r>
            <w:r>
              <w:rPr>
                <w:rFonts w:ascii="Times New Roman;Times;serif" w:hAnsi="Times New Roman;Times;serif"/>
                <w:i/>
                <w:sz w:val="24"/>
              </w:rPr>
              <w:t>Fixed Charges”</w:t>
            </w:r>
            <w:r>
              <w:rPr>
                <w:rFonts w:ascii="Times New Roman;Times;serif" w:hAnsi="Times New Roman;Times;serif"/>
                <w:sz w:val="24"/>
              </w:rPr>
              <w:t>)</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C14 to Line C20</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C21 shall not be less than</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1.50:1.0</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29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D.</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Secured Recourse Indebtedness to Total Asset Value Ratio (Section 8.20(d))</w:t>
            </w:r>
          </w:p>
        </w:tc>
        <w:tc>
          <w:tcPr>
            <w:tcW w:w="4909" w:type="dxa"/>
            <w:tcBorders/>
            <w:vAlign w:val="center"/>
          </w:tcPr>
          <w:p>
            <w:pPr>
              <w:pStyle w:val="TableContents"/>
              <w:bidi w:val="0"/>
              <w:spacing w:before="0" w:after="240"/>
              <w:ind w:left="0" w:right="0" w:hanging="0"/>
              <w:jc w:val="center"/>
              <w:rPr/>
            </w:pPr>
            <w:r>
              <w:rPr/>
              <w:t>​</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 xml:space="preserve">Secured Recourse Indebtedness </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Asset Value as calculated on Exhibit A hereto</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D1 to Line D2</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D3 shall not exceed</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0.10:1.0</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E.</w:t>
            </w:r>
          </w:p>
          <w:p>
            <w:pPr>
              <w:pStyle w:val="TableContents"/>
              <w:bidi w:val="0"/>
              <w:spacing w:before="140" w:after="0"/>
              <w:ind w:left="0" w:right="0" w:hanging="0"/>
              <w:jc w:val="left"/>
              <w:rPr>
                <w:rFonts w:ascii="Times New Roman;Times;serif" w:hAnsi="Times New Roman;Times;serif"/>
                <w:sz w:val="24"/>
                <w:u w:val="single"/>
              </w:rPr>
            </w:pPr>
            <w:r>
              <w:rPr>
                <w:rFonts w:ascii="Times New Roman;Times;serif" w:hAnsi="Times New Roman;Times;serif"/>
                <w:sz w:val="24"/>
                <w:u w:val="single"/>
              </w:rPr>
              <w:t>Maximum Unsecured Indebtedness to Unencumbered Asset Value Ratio (Section 8.20(e))</w:t>
            </w:r>
          </w:p>
        </w:tc>
        <w:tc>
          <w:tcPr>
            <w:tcW w:w="4909" w:type="dxa"/>
            <w:tcBorders/>
            <w:vAlign w:val="center"/>
          </w:tcPr>
          <w:p>
            <w:pPr>
              <w:pStyle w:val="TableContents"/>
              <w:bidi w:val="0"/>
              <w:spacing w:before="140" w:after="240"/>
              <w:ind w:left="0" w:right="0" w:hanging="0"/>
              <w:jc w:val="center"/>
              <w:rPr/>
            </w:pPr>
            <w:r>
              <w:rPr/>
              <w:t>​</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Total Unsecured Indebtedness</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Line E1 to E2</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529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E3 must not exceed</w:t>
            </w:r>
          </w:p>
        </w:tc>
        <w:tc>
          <w:tcPr>
            <w:tcW w:w="490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 xml:space="preserve">0.60:1.0 (or 0.65 to 1.00 if a Material Acquisition was consummated in such Fiscal </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41"/>
        <w:gridCol w:w="965"/>
        <w:gridCol w:w="3899"/>
      </w:tblGrid>
      <w:tr>
        <w:trPr/>
        <w:tc>
          <w:tcPr>
            <w:tcW w:w="6306" w:type="dxa"/>
            <w:gridSpan w:val="2"/>
            <w:tcBorders/>
            <w:vAlign w:val="center"/>
          </w:tcPr>
          <w:p>
            <w:pPr>
              <w:pStyle w:val="TableContents"/>
              <w:bidi w:val="0"/>
              <w:spacing w:before="0" w:after="283"/>
              <w:ind w:left="0" w:right="0" w:hanging="0"/>
              <w:jc w:val="left"/>
              <w:rPr>
                <w:sz w:val="4"/>
                <w:szCs w:val="4"/>
              </w:rPr>
            </w:pPr>
            <w:r>
              <w:rPr>
                <w:sz w:val="4"/>
                <w:szCs w:val="4"/>
              </w:rPr>
            </w:r>
          </w:p>
        </w:tc>
        <w:tc>
          <w:tcPr>
            <w:tcW w:w="3899" w:type="dxa"/>
            <w:tcBorders/>
            <w:vAlign w:val="center"/>
          </w:tcPr>
          <w:p>
            <w:pPr>
              <w:pStyle w:val="TableContents"/>
              <w:bidi w:val="0"/>
              <w:spacing w:before="0" w:after="240"/>
              <w:ind w:left="0" w:right="0" w:hanging="0"/>
              <w:jc w:val="center"/>
              <w:rPr>
                <w:rFonts w:ascii="Times" w:hAnsi="Times"/>
                <w:sz w:val="24"/>
              </w:rPr>
            </w:pPr>
            <w:r>
              <w:rPr>
                <w:rFonts w:ascii="Times" w:hAnsi="Times"/>
                <w:sz w:val="24"/>
              </w:rPr>
              <w:t>Quarter or the immediately preceding 3 Fiscal Quarters)</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6306" w:type="dxa"/>
            <w:gridSpan w:val="2"/>
            <w:tcBorders/>
            <w:vAlign w:val="center"/>
          </w:tcPr>
          <w:p>
            <w:pPr>
              <w:pStyle w:val="TableContents"/>
              <w:bidi w:val="0"/>
              <w:spacing w:before="280" w:after="0"/>
              <w:jc w:val="left"/>
              <w:rPr>
                <w:rFonts w:ascii="Times New Roman;Times;serif" w:hAnsi="Times New Roman;Times;serif"/>
                <w:sz w:val="24"/>
              </w:rPr>
            </w:pPr>
            <w:bookmarkStart w:id="260" w:name="_Hlk115350997"/>
            <w:bookmarkEnd w:id="260"/>
            <w:r>
              <w:rPr>
                <w:rFonts w:ascii="Times New Roman;Times;serif" w:hAnsi="Times New Roman;Times;serif"/>
                <w:sz w:val="24"/>
              </w:rPr>
              <w:t>F.</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Minimum Income from Unencumbered Assets to Unsecured Interest Expense (Section 8.20(f))</w:t>
            </w:r>
          </w:p>
        </w:tc>
        <w:tc>
          <w:tcPr>
            <w:tcW w:w="3899" w:type="dxa"/>
            <w:tcBorders/>
            <w:vAlign w:val="center"/>
          </w:tcPr>
          <w:p>
            <w:pPr>
              <w:pStyle w:val="TableContents"/>
              <w:bidi w:val="0"/>
              <w:spacing w:before="0" w:after="240"/>
              <w:ind w:left="0" w:right="0" w:hanging="0"/>
              <w:jc w:val="center"/>
              <w:rPr/>
            </w:pPr>
            <w:r>
              <w:rPr/>
              <w:t>​</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Pool Total Income as calculated on Exhibit B hereto</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Unsecured Interest Expense</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Ratio of (i) Line F1 to (ii) Line F2</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____:1.0</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F3 shall not be less than</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1.75:1.0</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6306" w:type="dxa"/>
            <w:gridSpan w:val="2"/>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G.</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Tangible Net Worth (Section 8.20(g))</w:t>
            </w:r>
          </w:p>
        </w:tc>
        <w:tc>
          <w:tcPr>
            <w:tcW w:w="3899" w:type="dxa"/>
            <w:tcBorders/>
            <w:vAlign w:val="center"/>
          </w:tcPr>
          <w:p>
            <w:pPr>
              <w:pStyle w:val="TableContents"/>
              <w:bidi w:val="0"/>
              <w:spacing w:before="140" w:after="240"/>
              <w:ind w:left="0" w:right="0" w:hanging="0"/>
              <w:jc w:val="center"/>
              <w:rPr/>
            </w:pPr>
            <w:r>
              <w:rPr/>
              <w:t>​</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Tangible Net Worth</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net proceeds of Stock and Stock Equivalent offerings after June 30, 2026</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75% of Line G2</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before="140" w:after="0"/>
              <w:ind w:left="0" w:right="0" w:hanging="0"/>
              <w:jc w:val="left"/>
              <w:rPr/>
            </w:pPr>
            <w:r>
              <w:rPr>
                <w:rFonts w:ascii="Times New Roman;Times;serif" w:hAnsi="Times New Roman;Times;serif"/>
                <w:sz w:val="24"/>
              </w:rPr>
              <w:t>$[_________]</w:t>
            </w:r>
            <w:hyperlink w:anchor="footnote-2">
              <w:r>
                <w:rPr>
                  <w:rStyle w:val="InternetLink"/>
                  <w:rFonts w:ascii="Times" w:hAnsi="Times"/>
                  <w:sz w:val="20"/>
                </w:rPr>
                <w:t>1</w:t>
              </w:r>
            </w:hyperlink>
            <w:r>
              <w:rPr>
                <w:rFonts w:ascii="Times New Roman;Times;serif" w:hAnsi="Times New Roman;Times;serif"/>
                <w:sz w:val="24"/>
              </w:rPr>
              <w:t xml:space="preserve"> plus Line G3 </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G1 shall not be less than Line G4</w:t>
            </w:r>
          </w:p>
        </w:tc>
        <w:tc>
          <w:tcPr>
            <w:tcW w:w="3899" w:type="dxa"/>
            <w:tcBorders/>
            <w:vAlign w:val="center"/>
          </w:tcPr>
          <w:p>
            <w:pPr>
              <w:pStyle w:val="TableContents"/>
              <w:bidi w:val="0"/>
              <w:spacing w:before="140" w:after="240"/>
              <w:ind w:left="0" w:right="0" w:hanging="0"/>
              <w:jc w:val="center"/>
              <w:rPr/>
            </w:pPr>
            <w:r>
              <w:rPr/>
              <w:t>​</w:t>
            </w:r>
          </w:p>
        </w:tc>
      </w:tr>
      <w:tr>
        <w:trPr/>
        <w:tc>
          <w:tcPr>
            <w:tcW w:w="6306" w:type="dxa"/>
            <w:gridSpan w:val="2"/>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6.</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3899"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341" w:type="dxa"/>
            <w:tcBorders/>
            <w:vAlign w:val="center"/>
          </w:tcPr>
          <w:p>
            <w:pPr>
              <w:pStyle w:val="TableContents"/>
              <w:pBdr/>
              <w:bidi w:val="0"/>
              <w:spacing w:before="280" w:after="0"/>
              <w:ind w:left="0" w:right="0" w:hanging="0"/>
              <w:jc w:val="left"/>
              <w:rPr/>
            </w:pPr>
            <w:r>
              <w:rPr/>
              <w:t>​</w:t>
            </w:r>
          </w:p>
        </w:tc>
        <w:tc>
          <w:tcPr>
            <w:tcW w:w="4864" w:type="dxa"/>
            <w:gridSpan w:val="2"/>
            <w:tcBorders/>
            <w:vAlign w:val="center"/>
          </w:tcPr>
          <w:p>
            <w:pPr>
              <w:pStyle w:val="TableContents"/>
              <w:bidi w:val="0"/>
              <w:spacing w:before="0" w:after="240"/>
              <w:ind w:left="0" w:right="0" w:hanging="0"/>
              <w:jc w:val="center"/>
              <w:rPr/>
            </w:pPr>
            <w:r>
              <w:rPr/>
              <w:t>​</w:t>
            </w:r>
          </w:p>
        </w:tc>
      </w:tr>
      <w:tr>
        <w:trPr/>
        <w:tc>
          <w:tcPr>
            <w:tcW w:w="5341" w:type="dxa"/>
            <w:tcBorders/>
            <w:vAlign w:val="center"/>
          </w:tcPr>
          <w:p>
            <w:pPr>
              <w:pStyle w:val="TableContents"/>
              <w:pBdr/>
              <w:bidi w:val="0"/>
              <w:spacing w:before="140" w:after="0"/>
              <w:ind w:left="0" w:right="0" w:hanging="0"/>
              <w:jc w:val="left"/>
              <w:rPr/>
            </w:pPr>
            <w:r>
              <w:rPr/>
              <w:t>​</w:t>
            </w:r>
          </w:p>
        </w:tc>
        <w:tc>
          <w:tcPr>
            <w:tcW w:w="4864" w:type="dxa"/>
            <w:gridSpan w:val="2"/>
            <w:tcBorders/>
            <w:vAlign w:val="center"/>
          </w:tcPr>
          <w:p>
            <w:pPr>
              <w:pStyle w:val="TableContents"/>
              <w:bidi w:val="0"/>
              <w:spacing w:before="140" w:after="240"/>
              <w:ind w:left="0" w:right="0" w:hanging="0"/>
              <w:jc w:val="center"/>
              <w:rPr/>
            </w:pPr>
            <w:r>
              <w:rPr/>
              <w:t>​</w:t>
            </w:r>
          </w:p>
        </w:tc>
      </w:tr>
      <w:tr>
        <w:trPr/>
        <w:tc>
          <w:tcPr>
            <w:tcW w:w="5341" w:type="dxa"/>
            <w:tcBorders/>
            <w:vAlign w:val="center"/>
          </w:tcPr>
          <w:p>
            <w:pPr>
              <w:pStyle w:val="TableContents"/>
              <w:pBdr/>
              <w:bidi w:val="0"/>
              <w:spacing w:before="140" w:after="0"/>
              <w:ind w:left="0" w:right="0" w:hanging="0"/>
              <w:jc w:val="left"/>
              <w:rPr/>
            </w:pPr>
            <w:r>
              <w:rPr/>
              <w:t>​</w:t>
            </w:r>
          </w:p>
        </w:tc>
        <w:tc>
          <w:tcPr>
            <w:tcW w:w="4864" w:type="dxa"/>
            <w:gridSpan w:val="2"/>
            <w:tcBorders/>
            <w:vAlign w:val="center"/>
          </w:tcPr>
          <w:p>
            <w:pPr>
              <w:pStyle w:val="TableContents"/>
              <w:bidi w:val="0"/>
              <w:spacing w:before="140" w:after="240"/>
              <w:ind w:left="0" w:right="0" w:hanging="0"/>
              <w:jc w:val="center"/>
              <w:rPr/>
            </w:pPr>
            <w:r>
              <w:rPr/>
              <w:t>​</w:t>
            </w:r>
          </w:p>
        </w:tc>
      </w:tr>
    </w:tbl>
    <w:p>
      <w:pPr>
        <w:pStyle w:val="TextBody"/>
        <w:pBdr/>
        <w:bidi w:val="0"/>
        <w:spacing w:lineRule="atLeast" w:line="240" w:before="0" w:after="240"/>
        <w:ind w:left="0" w:right="0" w:hanging="720"/>
        <w:jc w:val="both"/>
        <w:rPr>
          <w:rFonts w:ascii="Times New Roman;Times;serif" w:hAnsi="Times New Roman;Times;serif"/>
          <w:sz w:val="20"/>
        </w:rPr>
      </w:pPr>
      <w:bookmarkStart w:id="261" w:name="footnote-2"/>
      <w:bookmarkEnd w:id="261"/>
      <w:r>
        <w:rPr>
          <w:rFonts w:ascii="Times" w:hAnsi="Times"/>
          <w:sz w:val="20"/>
        </w:rPr>
        <w:t>1</w:t>
      </w:r>
      <w:r>
        <w:rPr>
          <w:rFonts w:ascii="Times New Roman;Times;serif" w:hAnsi="Times New Roman;Times;serif"/>
          <w:sz w:val="20"/>
        </w:rPr>
        <w:t xml:space="preserve"> 75% of Total Net Worth as of the Restatement Date.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140" w:after="240"/>
              <w:ind w:left="0" w:right="0" w:hanging="0"/>
              <w:jc w:val="center"/>
              <w:rPr/>
            </w:pPr>
            <w:r>
              <w:rPr/>
              <w:t>​</w:t>
            </w:r>
          </w:p>
        </w:tc>
      </w:tr>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124" w:type="dxa"/>
            <w:tcBorders/>
            <w:vAlign w:val="center"/>
          </w:tcPr>
          <w:p>
            <w:pPr>
              <w:pStyle w:val="TableContents"/>
              <w:pBdr/>
              <w:bidi w:val="0"/>
              <w:spacing w:before="140" w:after="0"/>
              <w:ind w:left="0" w:right="0" w:hanging="0"/>
              <w:jc w:val="left"/>
              <w:rPr/>
            </w:pPr>
            <w:r>
              <w:rPr/>
              <w:t>​</w:t>
            </w:r>
          </w:p>
        </w:tc>
        <w:tc>
          <w:tcPr>
            <w:tcW w:w="154" w:type="dxa"/>
            <w:tcBorders/>
            <w:vAlign w:val="center"/>
          </w:tcPr>
          <w:p>
            <w:pPr>
              <w:pStyle w:val="TableContents"/>
              <w:bidi w:val="0"/>
              <w:spacing w:before="140" w:after="240"/>
              <w:ind w:left="0" w:right="0" w:hanging="0"/>
              <w:jc w:val="center"/>
              <w:rPr/>
            </w:pPr>
            <w:r>
              <w:rPr/>
              <w:t>​</w:t>
            </w:r>
          </w:p>
        </w:tc>
      </w:tr>
    </w:tbl>
    <w:p>
      <w:pPr>
        <w:pStyle w:val="TextBody"/>
        <w:bidi w:val="0"/>
        <w:spacing w:before="0" w:after="0"/>
        <w:ind w:left="0" w:right="0" w:hanging="0"/>
        <w:jc w:val="center"/>
        <w:rPr>
          <w:smallCaps/>
        </w:rPr>
      </w:pPr>
      <w:r>
        <w:rPr>
          <w:smallCaps/>
        </w:rPr>
        <w:t>​</w:t>
      </w:r>
    </w:p>
    <w:tbl>
      <w:tblPr>
        <w:tblW w:w="10205" w:type="dxa"/>
        <w:jc w:val="left"/>
        <w:tblInd w:w="0" w:type="dxa"/>
        <w:tblLayout w:type="fixed"/>
        <w:tblCellMar>
          <w:top w:w="0" w:type="dxa"/>
          <w:left w:w="0" w:type="dxa"/>
          <w:bottom w:w="0" w:type="dxa"/>
          <w:right w:w="0" w:type="dxa"/>
        </w:tblCellMar>
      </w:tblPr>
      <w:tblGrid>
        <w:gridCol w:w="9204"/>
        <w:gridCol w:w="1001"/>
      </w:tblGrid>
      <w:tr>
        <w:trPr/>
        <w:tc>
          <w:tcPr>
            <w:tcW w:w="920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w:t>
            </w:r>
          </w:p>
          <w:p>
            <w:pPr>
              <w:pStyle w:val="TableContents"/>
              <w:bidi w:val="0"/>
              <w:spacing w:before="0" w:after="0"/>
              <w:ind w:left="0" w:right="0" w:hanging="0"/>
              <w:jc w:val="left"/>
              <w:rPr/>
            </w:pPr>
            <w:r>
              <w:rPr>
                <w:rFonts w:ascii="Times New Roman;Times;serif" w:hAnsi="Times New Roman;Times;serif"/>
                <w:sz w:val="24"/>
                <w:u w:val="single"/>
              </w:rPr>
              <w:t xml:space="preserve">Restricted Payments (Section 8.25(a)) </w:t>
            </w:r>
            <w:r>
              <w:rPr>
                <w:rFonts w:ascii="Times New Roman;Times;serif" w:hAnsi="Times New Roman;Times;serif"/>
                <w:sz w:val="24"/>
                <w:u w:val="single"/>
                <w:shd w:fill="FFFF00" w:val="clear"/>
              </w:rPr>
              <w:t>[DURING AN EVENT OF DEFAULT]</w:t>
            </w:r>
            <w:hyperlink w:anchor="footnote-3">
              <w:r>
                <w:rPr>
                  <w:rStyle w:val="InternetLink"/>
                  <w:rFonts w:ascii="Times" w:hAnsi="Times"/>
                  <w:sz w:val="20"/>
                  <w:u w:val="single"/>
                  <w:shd w:fill="FFFF00" w:val="clear"/>
                </w:rPr>
                <w:t>2</w:t>
              </w:r>
            </w:hyperlink>
          </w:p>
        </w:tc>
        <w:tc>
          <w:tcPr>
            <w:tcW w:w="1001" w:type="dxa"/>
            <w:tcBorders/>
            <w:vAlign w:val="center"/>
          </w:tcPr>
          <w:p>
            <w:pPr>
              <w:pStyle w:val="TableContents"/>
              <w:bidi w:val="0"/>
              <w:spacing w:before="0" w:after="240"/>
              <w:ind w:left="0" w:right="0" w:hanging="0"/>
              <w:jc w:val="center"/>
              <w:rPr/>
            </w:pPr>
            <w:r>
              <w:rPr/>
              <w:t>​</w:t>
            </w:r>
          </w:p>
        </w:tc>
      </w:tr>
      <w:tr>
        <w:trPr/>
        <w:tc>
          <w:tcPr>
            <w:tcW w:w="920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Aggregate amount of Restricted Payments made in cash during such period</w:t>
            </w:r>
          </w:p>
        </w:tc>
        <w:tc>
          <w:tcPr>
            <w:tcW w:w="100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20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Amount necessary for the Borrower to be able to make Restricted Payments required to maintain its status as a REIT (i.e., to satisfy the distribution requirements set forth in Section 4981 of the Code)</w:t>
            </w:r>
          </w:p>
        </w:tc>
        <w:tc>
          <w:tcPr>
            <w:tcW w:w="1001" w:type="dxa"/>
            <w:tcBorders/>
            <w:vAlign w:val="center"/>
          </w:tcPr>
          <w:p>
            <w:pPr>
              <w:pStyle w:val="TableContents"/>
              <w:bidi w:val="0"/>
              <w:spacing w:before="140" w:after="240"/>
              <w:ind w:left="0" w:right="0" w:hanging="0"/>
              <w:jc w:val="center"/>
              <w:rPr/>
            </w:pPr>
            <w:r>
              <w:rPr/>
              <w:t>​</w:t>
            </w:r>
          </w:p>
          <w:p>
            <w:pPr>
              <w:pStyle w:val="TableContents"/>
              <w:bidi w:val="0"/>
              <w:spacing w:before="140" w:after="240"/>
              <w:ind w:left="0" w:right="0" w:hanging="0"/>
              <w:jc w:val="center"/>
              <w:rPr/>
            </w:pPr>
            <w:r>
              <w:rPr/>
              <w:t>​</w:t>
            </w:r>
          </w:p>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Greater of Line H1 and Line H2</w:t>
            </w:r>
          </w:p>
        </w:tc>
        <w:tc>
          <w:tcPr>
            <w:tcW w:w="100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____________</w:t>
            </w:r>
          </w:p>
        </w:tc>
      </w:tr>
      <w:tr>
        <w:trPr/>
        <w:tc>
          <w:tcPr>
            <w:tcW w:w="920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5.</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00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center"/>
        <w:rPr>
          <w:smallCaps/>
        </w:rPr>
      </w:pPr>
      <w:r>
        <w:rPr>
          <w:smallCaps/>
        </w:rPr>
        <w:t>​</w:t>
      </w:r>
    </w:p>
    <w:tbl>
      <w:tblPr>
        <w:tblW w:w="6557" w:type="dxa"/>
        <w:jc w:val="left"/>
        <w:tblInd w:w="0" w:type="dxa"/>
        <w:tblLayout w:type="fixed"/>
        <w:tblCellMar>
          <w:top w:w="0" w:type="dxa"/>
          <w:left w:w="0" w:type="dxa"/>
          <w:bottom w:w="0" w:type="dxa"/>
          <w:right w:w="0" w:type="dxa"/>
        </w:tblCellMar>
      </w:tblPr>
      <w:tblGrid>
        <w:gridCol w:w="5086"/>
        <w:gridCol w:w="1471"/>
      </w:tblGrid>
      <w:tr>
        <w:trPr/>
        <w:tc>
          <w:tcPr>
            <w:tcW w:w="50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w:t>
            </w:r>
          </w:p>
          <w:p>
            <w:pPr>
              <w:pStyle w:val="TableContents"/>
              <w:bidi w:val="0"/>
              <w:spacing w:before="0" w:after="0"/>
              <w:ind w:left="0" w:right="0" w:hanging="0"/>
              <w:jc w:val="left"/>
              <w:rPr>
                <w:rFonts w:ascii="Times New Roman;Times;serif" w:hAnsi="Times New Roman;Times;serif"/>
                <w:sz w:val="24"/>
                <w:u w:val="single"/>
              </w:rPr>
            </w:pPr>
            <w:r>
              <w:rPr>
                <w:rFonts w:ascii="Times New Roman;Times;serif" w:hAnsi="Times New Roman;Times;serif"/>
                <w:sz w:val="24"/>
                <w:u w:val="single"/>
              </w:rPr>
              <w:t>Number of Unencumbered Real Property Assets</w:t>
            </w:r>
          </w:p>
        </w:tc>
        <w:tc>
          <w:tcPr>
            <w:tcW w:w="1471" w:type="dxa"/>
            <w:tcBorders/>
            <w:vAlign w:val="center"/>
          </w:tcPr>
          <w:p>
            <w:pPr>
              <w:pStyle w:val="TableContents"/>
              <w:bidi w:val="0"/>
              <w:spacing w:before="0" w:after="240"/>
              <w:ind w:left="0" w:right="0" w:hanging="0"/>
              <w:jc w:val="center"/>
              <w:rPr/>
            </w:pPr>
            <w:r>
              <w:rPr/>
              <w:t>​</w:t>
            </w:r>
          </w:p>
        </w:tc>
      </w:tr>
      <w:tr>
        <w:trPr/>
        <w:tc>
          <w:tcPr>
            <w:tcW w:w="508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number of Unencumbered Real Property Assets</w:t>
            </w:r>
          </w:p>
        </w:tc>
        <w:tc>
          <w:tcPr>
            <w:tcW w:w="147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508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I1 shall not be less than 15</w:t>
            </w:r>
          </w:p>
        </w:tc>
        <w:tc>
          <w:tcPr>
            <w:tcW w:w="1471" w:type="dxa"/>
            <w:tcBorders/>
            <w:vAlign w:val="center"/>
          </w:tcPr>
          <w:p>
            <w:pPr>
              <w:pStyle w:val="TableContents"/>
              <w:bidi w:val="0"/>
              <w:spacing w:before="140" w:after="240"/>
              <w:ind w:left="0" w:right="0" w:hanging="0"/>
              <w:jc w:val="center"/>
              <w:rPr/>
            </w:pPr>
            <w:r>
              <w:rPr/>
              <w:t>​</w:t>
            </w:r>
          </w:p>
        </w:tc>
      </w:tr>
      <w:tr>
        <w:trPr/>
        <w:tc>
          <w:tcPr>
            <w:tcW w:w="5086"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147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5086"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J.</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 Value</w:t>
            </w:r>
          </w:p>
        </w:tc>
        <w:tc>
          <w:tcPr>
            <w:tcW w:w="1471" w:type="dxa"/>
            <w:tcBorders/>
            <w:vAlign w:val="center"/>
          </w:tcPr>
          <w:p>
            <w:pPr>
              <w:pStyle w:val="TableContents"/>
              <w:bidi w:val="0"/>
              <w:spacing w:before="0" w:after="240"/>
              <w:ind w:left="0" w:right="0" w:hanging="0"/>
              <w:jc w:val="center"/>
              <w:rPr/>
            </w:pPr>
            <w:r>
              <w:rPr/>
              <w:t>​</w:t>
            </w:r>
          </w:p>
        </w:tc>
      </w:tr>
    </w:tbl>
    <w:p>
      <w:pPr>
        <w:pStyle w:val="TextBody"/>
        <w:pBdr/>
        <w:bidi w:val="0"/>
        <w:spacing w:lineRule="atLeast" w:line="240" w:before="0" w:after="240"/>
        <w:ind w:left="0" w:right="0" w:hanging="720"/>
        <w:jc w:val="both"/>
        <w:rPr>
          <w:rFonts w:ascii="Times New Roman;Times;serif" w:hAnsi="Times New Roman;Times;serif"/>
          <w:sz w:val="20"/>
        </w:rPr>
      </w:pPr>
      <w:bookmarkStart w:id="262" w:name="footnote-3"/>
      <w:bookmarkEnd w:id="262"/>
      <w:r>
        <w:rPr>
          <w:rFonts w:ascii="Times" w:hAnsi="Times"/>
          <w:sz w:val="20"/>
        </w:rPr>
        <w:t>2</w:t>
      </w:r>
      <w:r>
        <w:rPr>
          <w:rFonts w:ascii="Times New Roman;Times;serif" w:hAnsi="Times New Roman;Times;serif"/>
          <w:sz w:val="20"/>
        </w:rPr>
        <w:t xml:space="preserve"> </w:t>
      </w:r>
      <w:r>
        <w:rPr>
          <w:rFonts w:ascii="Times New Roman;Times;serif" w:hAnsi="Times New Roman;Times;serif"/>
          <w:sz w:val="20"/>
          <w:shd w:fill="FFFF00" w:val="clear"/>
        </w:rPr>
        <w:t>SECTION H TO BE FILLED OUT ONLY IF AN EOD HAS OCCURRED</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5"/>
        <w:gridCol w:w="840"/>
      </w:tblGrid>
      <w:tr>
        <w:trPr/>
        <w:tc>
          <w:tcPr>
            <w:tcW w:w="9365"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Unencumbered Asset Value as calculated on Exhibit C hereto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$___________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J1 shall not be less than $600,000,000</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K.</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Individual Unencumbered Asset Value</w:t>
            </w:r>
          </w:p>
        </w:tc>
        <w:tc>
          <w:tcPr>
            <w:tcW w:w="840" w:type="dxa"/>
            <w:tcBorders/>
            <w:vAlign w:val="center"/>
          </w:tcPr>
          <w:p>
            <w:pPr>
              <w:pStyle w:val="TableContents"/>
              <w:bidi w:val="0"/>
              <w:spacing w:before="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Percentage of Unencumbered Asset Value of each Unencumbered Asset is set forth [above or on the attached Schedule] and the largest Unencumbered Asset Value or any Unencumbered Asset is $___________ for the ___________ Unencumbered Asset.</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No Unencumbered Asset comprises more than 20% of Unencumbered Asset Value</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pPr>
            <w:r>
              <w:rPr>
                <w:rFonts w:ascii="Times" w:hAnsi="Times"/>
                <w:sz w:val="24"/>
              </w:rPr>
              <w:t>yes/no</w:t>
            </w:r>
            <w:hyperlink w:anchor="footnote-4">
              <w:r>
                <w:rPr>
                  <w:rStyle w:val="InternetLink"/>
                  <w:rFonts w:ascii="Times" w:hAnsi="Times"/>
                  <w:sz w:val="20"/>
                </w:rPr>
                <w:t>3</w:t>
              </w:r>
            </w:hyperlink>
          </w:p>
        </w:tc>
      </w:tr>
      <w:tr>
        <w:trPr/>
        <w:tc>
          <w:tcPr>
            <w:tcW w:w="9365" w:type="dxa"/>
            <w:tcBorders/>
            <w:vAlign w:val="center"/>
          </w:tcPr>
          <w:p>
            <w:pPr>
              <w:pStyle w:val="TableContents"/>
              <w:bidi w:val="0"/>
              <w:spacing w:before="280" w:after="0"/>
              <w:jc w:val="left"/>
              <w:rPr>
                <w:rFonts w:ascii="Times New Roman;Times;serif" w:hAnsi="Times New Roman;Times;serif"/>
                <w:sz w:val="24"/>
              </w:rPr>
            </w:pPr>
            <w:r>
              <w:rPr>
                <w:rFonts w:ascii="Times New Roman;Times;serif" w:hAnsi="Times New Roman;Times;serif"/>
                <w:sz w:val="24"/>
              </w:rPr>
              <w:t>L.</w:t>
            </w:r>
          </w:p>
          <w:p>
            <w:pPr>
              <w:pStyle w:val="TableContents"/>
              <w:bidi w:val="0"/>
              <w:spacing w:before="280" w:after="0"/>
              <w:ind w:left="0" w:right="0" w:hanging="0"/>
              <w:jc w:val="left"/>
              <w:rPr>
                <w:rFonts w:ascii="Times New Roman;Times;serif" w:hAnsi="Times New Roman;Times;serif"/>
                <w:sz w:val="24"/>
                <w:u w:val="single"/>
              </w:rPr>
            </w:pPr>
            <w:r>
              <w:rPr>
                <w:rFonts w:ascii="Times New Roman;Times;serif" w:hAnsi="Times New Roman;Times;serif"/>
                <w:sz w:val="24"/>
                <w:u w:val="single"/>
              </w:rPr>
              <w:t>Unencumbered Assets Subject to Acceptable Leasehold Interests</w:t>
            </w:r>
          </w:p>
        </w:tc>
        <w:tc>
          <w:tcPr>
            <w:tcW w:w="840" w:type="dxa"/>
            <w:tcBorders/>
            <w:vAlign w:val="center"/>
          </w:tcPr>
          <w:p>
            <w:pPr>
              <w:pStyle w:val="TableContents"/>
              <w:bidi w:val="0"/>
              <w:spacing w:before="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that are leased by Borrower or a Subsidiary pursuant to an Acceptable Leasehold Interest</w:t>
            </w:r>
          </w:p>
        </w:tc>
        <w:tc>
          <w:tcPr>
            <w:tcW w:w="840"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L1 shall not be greater than 15%</w:t>
            </w:r>
          </w:p>
        </w:tc>
        <w:tc>
          <w:tcPr>
            <w:tcW w:w="840" w:type="dxa"/>
            <w:tcBorders/>
            <w:vAlign w:val="center"/>
          </w:tcPr>
          <w:p>
            <w:pPr>
              <w:pStyle w:val="TableContents"/>
              <w:bidi w:val="0"/>
              <w:spacing w:before="140" w:after="240"/>
              <w:ind w:left="0" w:right="0" w:hanging="0"/>
              <w:jc w:val="center"/>
              <w:rPr/>
            </w:pPr>
            <w:r>
              <w:rPr/>
              <w:t>​</w:t>
            </w:r>
          </w:p>
        </w:tc>
      </w:tr>
      <w:tr>
        <w:trPr/>
        <w:tc>
          <w:tcPr>
            <w:tcW w:w="9365"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840" w:type="dxa"/>
            <w:tcBorders/>
            <w:vAlign w:val="center"/>
          </w:tcPr>
          <w:p>
            <w:pPr>
              <w:pStyle w:val="TableContents"/>
              <w:bidi w:val="0"/>
              <w:spacing w:before="140" w:after="240"/>
              <w:ind w:left="0" w:right="0" w:hanging="0"/>
              <w:jc w:val="center"/>
              <w:rPr/>
            </w:pPr>
            <w:r>
              <w:rPr>
                <w:rFonts w:ascii="Times" w:hAnsi="Times"/>
                <w:sz w:val="24"/>
              </w:rPr>
              <w:t>yes/no</w:t>
            </w:r>
            <w:hyperlink w:anchor="footnote-5">
              <w:r>
                <w:rPr>
                  <w:rStyle w:val="InternetLink"/>
                  <w:rFonts w:ascii="Times" w:hAnsi="Times"/>
                  <w:sz w:val="20"/>
                </w:rPr>
                <w:t>4</w:t>
              </w:r>
            </w:hyperlink>
          </w:p>
        </w:tc>
      </w:tr>
    </w:tbl>
    <w:p>
      <w:pPr>
        <w:pStyle w:val="TextBody"/>
        <w:bidi w:val="0"/>
        <w:spacing w:lineRule="atLeast" w:line="240" w:before="0" w:after="240"/>
        <w:ind w:left="0" w:right="0" w:hanging="0"/>
        <w:jc w:val="both"/>
        <w:rPr>
          <w:rFonts w:ascii="Times New Roman;Times;serif" w:hAnsi="Times New Roman;Times;serif"/>
          <w:sz w:val="20"/>
        </w:rPr>
      </w:pPr>
      <w:bookmarkStart w:id="263" w:name="footnote-4"/>
      <w:bookmarkEnd w:id="263"/>
      <w:r>
        <w:rPr>
          <w:rFonts w:ascii="Times" w:hAnsi="Times"/>
          <w:sz w:val="20"/>
        </w:rPr>
        <w:t>3</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attributable to any Unencumbered Assets to the extent it exceeds the 20% concentration limit.</w:t>
      </w:r>
    </w:p>
    <w:p>
      <w:pPr>
        <w:pStyle w:val="TextBody"/>
        <w:bidi w:val="0"/>
        <w:spacing w:lineRule="atLeast" w:line="240" w:before="0" w:after="240"/>
        <w:ind w:left="0" w:right="0" w:hanging="0"/>
        <w:jc w:val="both"/>
        <w:rPr>
          <w:rFonts w:ascii="Times New Roman;Times;serif" w:hAnsi="Times New Roman;Times;serif"/>
          <w:sz w:val="20"/>
        </w:rPr>
      </w:pPr>
      <w:bookmarkStart w:id="264" w:name="footnote-5"/>
      <w:bookmarkEnd w:id="264"/>
      <w:r>
        <w:rPr>
          <w:rFonts w:ascii="Times" w:hAnsi="Times"/>
          <w:sz w:val="20"/>
        </w:rPr>
        <w:t>4</w:t>
      </w:r>
      <w:r>
        <w:rPr>
          <w:rFonts w:ascii="Times New Roman;Times;serif" w:hAnsi="Times New Roman;Times;serif"/>
          <w:sz w:val="20"/>
        </w:rPr>
        <w:t xml:space="preserve"> If applicable, the calculation of Unencumbered Asset Value includes an adjustment to exclude that portion of the Property NOI or book value of any Unencumbered Assets leased by the Borrower or a Subsidiary pursuant to an Acceptable Leasehold Interest to the extent it exceeds the 15%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22"/>
        <w:gridCol w:w="683"/>
      </w:tblGrid>
      <w:tr>
        <w:trPr/>
        <w:tc>
          <w:tcPr>
            <w:tcW w:w="9522"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M.</w:t>
            </w:r>
          </w:p>
          <w:p>
            <w:pPr>
              <w:pStyle w:val="TableContents"/>
              <w:bidi w:val="0"/>
              <w:spacing w:before="280" w:after="0"/>
              <w:ind w:left="0" w:right="0" w:hanging="0"/>
              <w:jc w:val="left"/>
              <w:rPr/>
            </w:pPr>
            <w:r>
              <w:rPr>
                <w:rFonts w:ascii="Times New Roman;Times;serif" w:hAnsi="Times New Roman;Times;serif"/>
                <w:sz w:val="24"/>
                <w:u w:val="single"/>
              </w:rPr>
              <w:t>MSA</w:t>
            </w:r>
            <w:hyperlink w:anchor="footnote-6">
              <w:r>
                <w:rPr>
                  <w:rStyle w:val="InternetLink"/>
                  <w:rFonts w:ascii="Times" w:hAnsi="Times"/>
                  <w:sz w:val="20"/>
                  <w:u w:val="single"/>
                </w:rPr>
                <w:t>5</w:t>
              </w:r>
            </w:hyperlink>
          </w:p>
        </w:tc>
        <w:tc>
          <w:tcPr>
            <w:tcW w:w="683" w:type="dxa"/>
            <w:tcBorders/>
            <w:vAlign w:val="center"/>
          </w:tcPr>
          <w:p>
            <w:pPr>
              <w:pStyle w:val="TableContents"/>
              <w:pBdr/>
              <w:bidi w:val="0"/>
              <w:spacing w:before="280" w:after="0"/>
              <w:ind w:left="0" w:right="0" w:hanging="0"/>
              <w:jc w:val="left"/>
              <w:rPr/>
            </w:pPr>
            <w:r>
              <w:rPr/>
              <w:t>​</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Assets in [________] MSA</w:t>
            </w:r>
          </w:p>
        </w:tc>
        <w:tc>
          <w:tcPr>
            <w:tcW w:w="68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M1 shall not be greater than 35%</w:t>
            </w:r>
          </w:p>
        </w:tc>
        <w:tc>
          <w:tcPr>
            <w:tcW w:w="683" w:type="dxa"/>
            <w:tcBorders/>
            <w:vAlign w:val="center"/>
          </w:tcPr>
          <w:p>
            <w:pPr>
              <w:pStyle w:val="TableContents"/>
              <w:bidi w:val="0"/>
              <w:spacing w:before="140" w:after="240"/>
              <w:ind w:left="0" w:right="0" w:hanging="0"/>
              <w:jc w:val="center"/>
              <w:rPr/>
            </w:pPr>
            <w:r>
              <w:rPr/>
              <w:t>​</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2"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N.</w:t>
            </w:r>
            <w:r>
              <w:rPr>
                <w:rFonts w:ascii="Times New Roman;Times;serif" w:hAnsi="Times New Roman;Times;serif"/>
                <w:sz w:val="24"/>
                <w:u w:val="single"/>
              </w:rPr>
              <w:t>Mortgage Receivables Value</w:t>
            </w:r>
            <w:hyperlink w:anchor="footnote-7">
              <w:r>
                <w:rPr>
                  <w:rStyle w:val="InternetLink"/>
                  <w:rFonts w:ascii="Times" w:hAnsi="Times"/>
                  <w:sz w:val="20"/>
                </w:rPr>
                <w:t>6</w:t>
              </w:r>
            </w:hyperlink>
            <w:r>
              <w:rPr>
                <w:rFonts w:ascii="Times New Roman;Times;serif" w:hAnsi="Times New Roman;Times;serif"/>
                <w:sz w:val="24"/>
              </w:rPr>
              <w:t xml:space="preserve"> </w:t>
            </w:r>
          </w:p>
        </w:tc>
        <w:tc>
          <w:tcPr>
            <w:tcW w:w="683" w:type="dxa"/>
            <w:tcBorders/>
            <w:vAlign w:val="center"/>
          </w:tcPr>
          <w:p>
            <w:pPr>
              <w:pStyle w:val="TableContents"/>
              <w:bidi w:val="0"/>
              <w:spacing w:before="140" w:after="240"/>
              <w:ind w:left="0" w:right="0" w:hanging="0"/>
              <w:jc w:val="center"/>
              <w:rPr/>
            </w:pPr>
            <w:r>
              <w:rPr/>
              <w:t>​</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 in the aggregate</w:t>
            </w:r>
          </w:p>
        </w:tc>
        <w:tc>
          <w:tcPr>
            <w:tcW w:w="68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N1 shall not be greater than 15%</w:t>
            </w:r>
          </w:p>
        </w:tc>
        <w:tc>
          <w:tcPr>
            <w:tcW w:w="683" w:type="dxa"/>
            <w:tcBorders/>
            <w:vAlign w:val="center"/>
          </w:tcPr>
          <w:p>
            <w:pPr>
              <w:pStyle w:val="TableContents"/>
              <w:bidi w:val="0"/>
              <w:spacing w:before="140" w:after="240"/>
              <w:ind w:left="0" w:right="0" w:hanging="0"/>
              <w:jc w:val="center"/>
              <w:rPr/>
            </w:pPr>
            <w:r>
              <w:rPr/>
              <w:t>​</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2"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O.</w:t>
            </w:r>
            <w:r>
              <w:rPr>
                <w:rFonts w:ascii="Times New Roman;Times;serif" w:hAnsi="Times New Roman;Times;serif"/>
                <w:sz w:val="24"/>
                <w:u w:val="single"/>
              </w:rPr>
              <w:t xml:space="preserve">Mortgage Receivables Value (Other approved Type) </w:t>
            </w:r>
            <w:hyperlink w:anchor="footnote-8">
              <w:r>
                <w:rPr>
                  <w:rStyle w:val="InternetLink"/>
                  <w:rFonts w:ascii="Times" w:hAnsi="Times"/>
                  <w:sz w:val="20"/>
                </w:rPr>
                <w:t>7</w:t>
              </w:r>
            </w:hyperlink>
            <w:r>
              <w:rPr>
                <w:rFonts w:ascii="Times New Roman;Times;serif" w:hAnsi="Times New Roman;Times;serif"/>
                <w:sz w:val="24"/>
              </w:rPr>
              <w:t xml:space="preserve"> </w:t>
            </w:r>
          </w:p>
        </w:tc>
        <w:tc>
          <w:tcPr>
            <w:tcW w:w="683" w:type="dxa"/>
            <w:tcBorders/>
            <w:vAlign w:val="center"/>
          </w:tcPr>
          <w:p>
            <w:pPr>
              <w:pStyle w:val="TableContents"/>
              <w:bidi w:val="0"/>
              <w:spacing w:before="140" w:after="240"/>
              <w:ind w:left="0" w:right="0" w:hanging="0"/>
              <w:jc w:val="center"/>
              <w:rPr/>
            </w:pPr>
            <w:r>
              <w:rPr/>
              <w:t>​</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 secured by Properties of an Other Approved Type</w:t>
            </w:r>
          </w:p>
        </w:tc>
        <w:tc>
          <w:tcPr>
            <w:tcW w:w="68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O1 shall not be greater than 5%</w:t>
            </w:r>
          </w:p>
        </w:tc>
        <w:tc>
          <w:tcPr>
            <w:tcW w:w="683" w:type="dxa"/>
            <w:tcBorders/>
            <w:vAlign w:val="center"/>
          </w:tcPr>
          <w:p>
            <w:pPr>
              <w:pStyle w:val="TableContents"/>
              <w:bidi w:val="0"/>
              <w:spacing w:before="140" w:after="240"/>
              <w:ind w:left="0" w:right="0" w:hanging="0"/>
              <w:jc w:val="center"/>
              <w:rPr/>
            </w:pPr>
            <w:r>
              <w:rPr/>
              <w:t>​</w:t>
            </w:r>
          </w:p>
        </w:tc>
      </w:tr>
      <w:tr>
        <w:trPr/>
        <w:tc>
          <w:tcPr>
            <w:tcW w:w="9522"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3"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2"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P.</w:t>
            </w:r>
            <w:r>
              <w:rPr>
                <w:rFonts w:ascii="Times New Roman;Times;serif" w:hAnsi="Times New Roman;Times;serif"/>
                <w:sz w:val="24"/>
                <w:u w:val="single"/>
              </w:rPr>
              <w:t>Mortgage Receivables Income</w:t>
            </w:r>
            <w:hyperlink w:anchor="footnote-9">
              <w:r>
                <w:rPr>
                  <w:rStyle w:val="InternetLink"/>
                  <w:rFonts w:ascii="Times" w:hAnsi="Times"/>
                  <w:sz w:val="20"/>
                </w:rPr>
                <w:t>8</w:t>
              </w:r>
            </w:hyperlink>
            <w:r>
              <w:rPr>
                <w:rFonts w:ascii="Times New Roman;Times;serif" w:hAnsi="Times New Roman;Times;serif"/>
                <w:sz w:val="24"/>
              </w:rPr>
              <w:t xml:space="preserve"> </w:t>
            </w:r>
          </w:p>
        </w:tc>
        <w:tc>
          <w:tcPr>
            <w:tcW w:w="683" w:type="dxa"/>
            <w:tcBorders/>
            <w:vAlign w:val="center"/>
          </w:tcPr>
          <w:p>
            <w:pPr>
              <w:pStyle w:val="TableContents"/>
              <w:bidi w:val="0"/>
              <w:spacing w:before="140" w:after="240"/>
              <w:ind w:left="0" w:right="0" w:hanging="0"/>
              <w:jc w:val="center"/>
              <w:rPr/>
            </w:pPr>
            <w:r>
              <w:rPr/>
              <w:t>​</w:t>
            </w:r>
          </w:p>
        </w:tc>
      </w:tr>
    </w:tbl>
    <w:p>
      <w:pPr>
        <w:pStyle w:val="TextBody"/>
        <w:pBdr/>
        <w:bidi w:val="0"/>
        <w:spacing w:lineRule="atLeast" w:line="240" w:before="0" w:after="240"/>
        <w:ind w:left="0" w:right="0" w:hanging="720"/>
        <w:jc w:val="both"/>
        <w:rPr>
          <w:rFonts w:ascii="Times New Roman;Times;serif" w:hAnsi="Times New Roman;Times;serif"/>
          <w:sz w:val="20"/>
        </w:rPr>
      </w:pPr>
      <w:bookmarkStart w:id="265" w:name="footnote-6"/>
      <w:bookmarkEnd w:id="265"/>
      <w:r>
        <w:rPr>
          <w:rFonts w:ascii="Times" w:hAnsi="Times"/>
          <w:sz w:val="20"/>
        </w:rPr>
        <w:t>5</w:t>
      </w:r>
      <w:r>
        <w:rPr>
          <w:rFonts w:ascii="Times New Roman;Times;serif" w:hAnsi="Times New Roman;Times;serif"/>
          <w:sz w:val="20"/>
        </w:rPr>
        <w:t xml:space="preserve"> To be duplicated for each MSA with Unencumbered Assets. [NTD: % for largest MSA and above threshold to be sufficient]</w:t>
      </w:r>
    </w:p>
    <w:p>
      <w:pPr>
        <w:pStyle w:val="TextBody"/>
        <w:bidi w:val="0"/>
        <w:spacing w:lineRule="atLeast" w:line="240" w:before="0" w:after="240"/>
        <w:ind w:left="0" w:right="0" w:hanging="0"/>
        <w:jc w:val="both"/>
        <w:rPr>
          <w:rFonts w:ascii="Times New Roman;Times;serif" w:hAnsi="Times New Roman;Times;serif"/>
          <w:sz w:val="20"/>
        </w:rPr>
      </w:pPr>
      <w:bookmarkStart w:id="266" w:name="footnote-7"/>
      <w:bookmarkEnd w:id="266"/>
      <w:r>
        <w:rPr>
          <w:rFonts w:ascii="Times" w:hAnsi="Times"/>
          <w:sz w:val="20"/>
        </w:rPr>
        <w:t>6</w:t>
      </w:r>
      <w:r>
        <w:rPr>
          <w:rFonts w:ascii="Times New Roman;Times;serif" w:hAnsi="Times New Roman;Times;serif"/>
          <w:sz w:val="20"/>
        </w:rPr>
        <w:t xml:space="preserve"> If applicable, the calculation of Unencumbered Asset Value includes an adjustment to exclude that portion of the book value of any Unencumbered Mortgage Receivables to the extent it exceeds the 15% concentration limit.</w:t>
      </w:r>
    </w:p>
    <w:p>
      <w:pPr>
        <w:pStyle w:val="TextBody"/>
        <w:bidi w:val="0"/>
        <w:spacing w:lineRule="atLeast" w:line="240" w:before="0" w:after="240"/>
        <w:ind w:left="0" w:right="0" w:hanging="0"/>
        <w:jc w:val="both"/>
        <w:rPr>
          <w:rFonts w:ascii="Times New Roman;Times;serif" w:hAnsi="Times New Roman;Times;serif"/>
          <w:sz w:val="20"/>
        </w:rPr>
      </w:pPr>
      <w:bookmarkStart w:id="267" w:name="footnote-8"/>
      <w:bookmarkEnd w:id="267"/>
      <w:r>
        <w:rPr>
          <w:rFonts w:ascii="Times" w:hAnsi="Times"/>
          <w:sz w:val="20"/>
        </w:rPr>
        <w:t>7</w:t>
      </w:r>
      <w:r>
        <w:rPr>
          <w:rFonts w:ascii="Times New Roman;Times;serif" w:hAnsi="Times New Roman;Times;serif"/>
          <w:sz w:val="20"/>
        </w:rPr>
        <w:t xml:space="preserve"> If applicable, the calculation of Unencumbered Asset Value includes an adjustment to exclude that portion of the book value of any Unencumbered Mortgage Receivables of an Other Approved Type to the extent it exceeds the 5% concentration limit.</w:t>
      </w:r>
    </w:p>
    <w:p>
      <w:pPr>
        <w:pStyle w:val="TextBody"/>
        <w:bidi w:val="0"/>
        <w:spacing w:lineRule="atLeast" w:line="240" w:before="0" w:after="240"/>
        <w:ind w:left="0" w:right="0" w:hanging="0"/>
        <w:jc w:val="both"/>
        <w:rPr>
          <w:rFonts w:ascii="Times New Roman;Times;serif" w:hAnsi="Times New Roman;Times;serif"/>
          <w:sz w:val="20"/>
        </w:rPr>
      </w:pPr>
      <w:bookmarkStart w:id="268" w:name="footnote-9"/>
      <w:bookmarkEnd w:id="268"/>
      <w:r>
        <w:rPr>
          <w:rFonts w:ascii="Times" w:hAnsi="Times"/>
          <w:sz w:val="20"/>
        </w:rPr>
        <w:t>8</w:t>
      </w:r>
      <w:r>
        <w:rPr>
          <w:rFonts w:ascii="Times New Roman;Times;serif" w:hAnsi="Times New Roman;Times;serif"/>
          <w:sz w:val="20"/>
        </w:rPr>
        <w:t xml:space="preserve"> If applicable, the calculation of Unencumbered Pool Total Income includes an adjustment to exclude that portion of the cash interest form any Unencumbered Mortgage Receivables to the extent it exceeds the 15% concentration limit.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521"/>
        <w:gridCol w:w="684"/>
      </w:tblGrid>
      <w:tr>
        <w:trPr/>
        <w:tc>
          <w:tcPr>
            <w:tcW w:w="9521"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Pool Total Income attributable to Unencumbered Mortgage Receivables</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P1 shall not be greater than 15%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1" w:type="dxa"/>
            <w:tcBorders/>
            <w:vAlign w:val="center"/>
          </w:tcPr>
          <w:p>
            <w:pPr>
              <w:pStyle w:val="TableContents"/>
              <w:bidi w:val="0"/>
              <w:spacing w:before="140" w:after="0"/>
              <w:ind w:left="0" w:right="0" w:hanging="0"/>
              <w:jc w:val="left"/>
              <w:rPr/>
            </w:pPr>
            <w:r>
              <w:rPr>
                <w:rFonts w:ascii="Times New Roman;Times;serif" w:hAnsi="Times New Roman;Times;serif"/>
                <w:sz w:val="24"/>
              </w:rPr>
              <w:t xml:space="preserve">Q. </w:t>
            </w:r>
            <w:r>
              <w:rPr>
                <w:rFonts w:ascii="Times New Roman;Times;serif" w:hAnsi="Times New Roman;Times;serif"/>
                <w:sz w:val="24"/>
                <w:u w:val="single"/>
              </w:rPr>
              <w:t>Mortgage Receivables Income (Other Approved Type)</w:t>
            </w:r>
            <w:hyperlink w:anchor="footnote-10">
              <w:r>
                <w:rPr>
                  <w:rStyle w:val="InternetLink"/>
                  <w:rFonts w:ascii="Times" w:hAnsi="Times"/>
                  <w:sz w:val="20"/>
                </w:rPr>
                <w:t>9</w:t>
              </w:r>
            </w:hyperlink>
            <w:r>
              <w:rPr>
                <w:rFonts w:ascii="Times New Roman;Times;serif" w:hAnsi="Times New Roman;Times;serif"/>
                <w:sz w:val="20"/>
              </w:rPr>
              <w:t xml:space="preserve"> </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Mortgage Receivables secured by Properties of an Other Approved Type</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Q1 shall not be greater than 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r>
        <w:trPr/>
        <w:tc>
          <w:tcPr>
            <w:tcW w:w="9521"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Q.</w:t>
            </w:r>
            <w:r>
              <w:rPr>
                <w:rFonts w:ascii="Times New Roman;Times;serif" w:hAnsi="Times New Roman;Times;serif"/>
                <w:sz w:val="24"/>
                <w:u w:val="single"/>
              </w:rPr>
              <w:t>PINE Common Equity Value</w:t>
            </w:r>
            <w:hyperlink w:anchor="footnote-11">
              <w:r>
                <w:rPr>
                  <w:rStyle w:val="InternetLink"/>
                  <w:rFonts w:ascii="Times" w:hAnsi="Times"/>
                  <w:sz w:val="20"/>
                </w:rPr>
                <w:t>10</w:t>
              </w:r>
            </w:hyperlink>
            <w:r>
              <w:rPr>
                <w:rFonts w:ascii="Times New Roman;Times;serif" w:hAnsi="Times New Roman;Times;serif"/>
                <w:sz w:val="24"/>
              </w:rPr>
              <w:t xml:space="preserve"> </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Asset Value attributable to Unencumbered PINE Common Equity in the aggregate</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521"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Q1 shall not be greater than 5%</w:t>
            </w:r>
          </w:p>
        </w:tc>
        <w:tc>
          <w:tcPr>
            <w:tcW w:w="684" w:type="dxa"/>
            <w:tcBorders/>
            <w:vAlign w:val="center"/>
          </w:tcPr>
          <w:p>
            <w:pPr>
              <w:pStyle w:val="TableContents"/>
              <w:bidi w:val="0"/>
              <w:spacing w:before="140" w:after="240"/>
              <w:ind w:left="0" w:right="0" w:hanging="0"/>
              <w:jc w:val="center"/>
              <w:rPr/>
            </w:pPr>
            <w:r>
              <w:rPr/>
              <w:t>​</w:t>
            </w:r>
          </w:p>
        </w:tc>
      </w:tr>
      <w:tr>
        <w:trPr/>
        <w:tc>
          <w:tcPr>
            <w:tcW w:w="9521" w:type="dxa"/>
            <w:tcBorders/>
            <w:vAlign w:val="center"/>
          </w:tcPr>
          <w:p>
            <w:pPr>
              <w:pStyle w:val="TableContents"/>
              <w:pBdr/>
              <w:bidi w:val="0"/>
              <w:spacing w:before="14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rPr>
              <w:t>The Borrower is in compliance (circle yes or no)</w:t>
            </w:r>
          </w:p>
        </w:tc>
        <w:tc>
          <w:tcPr>
            <w:tcW w:w="684"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smallCaps/>
        </w:rPr>
      </w:pPr>
      <w:r>
        <w:rPr>
          <w:smallCaps/>
        </w:rPr>
        <w:t>​</w:t>
      </w:r>
    </w:p>
    <w:tbl>
      <w:tblPr>
        <w:tblW w:w="3710" w:type="dxa"/>
        <w:jc w:val="left"/>
        <w:tblInd w:w="0" w:type="dxa"/>
        <w:tblLayout w:type="fixed"/>
        <w:tblCellMar>
          <w:top w:w="0" w:type="dxa"/>
          <w:left w:w="0" w:type="dxa"/>
          <w:bottom w:w="0" w:type="dxa"/>
          <w:right w:w="0" w:type="dxa"/>
        </w:tblCellMar>
      </w:tblPr>
      <w:tblGrid>
        <w:gridCol w:w="3556"/>
        <w:gridCol w:w="154"/>
      </w:tblGrid>
      <w:tr>
        <w:trPr/>
        <w:tc>
          <w:tcPr>
            <w:tcW w:w="3556" w:type="dxa"/>
            <w:tcBorders/>
            <w:vAlign w:val="center"/>
          </w:tcPr>
          <w:p>
            <w:pPr>
              <w:pStyle w:val="TableContents"/>
              <w:bidi w:val="0"/>
              <w:spacing w:before="140" w:after="0"/>
              <w:ind w:left="0" w:right="0" w:hanging="0"/>
              <w:jc w:val="left"/>
              <w:rPr/>
            </w:pPr>
            <w:r>
              <w:rPr>
                <w:rFonts w:ascii="Times New Roman;Times;serif" w:hAnsi="Times New Roman;Times;serif"/>
                <w:b w:val="false"/>
                <w:i w:val="false"/>
                <w:caps w:val="false"/>
                <w:smallCaps w:val="false"/>
                <w:sz w:val="24"/>
              </w:rPr>
              <w:t>R.</w:t>
            </w:r>
            <w:r>
              <w:rPr>
                <w:rFonts w:ascii="Times New Roman;Times;serif" w:hAnsi="Times New Roman;Times;serif"/>
                <w:sz w:val="24"/>
                <w:u w:val="single"/>
              </w:rPr>
              <w:t>PINE Common Equity Income</w:t>
            </w:r>
            <w:hyperlink w:anchor="footnote-12">
              <w:r>
                <w:rPr>
                  <w:rStyle w:val="InternetLink"/>
                  <w:rFonts w:ascii="Times" w:hAnsi="Times"/>
                  <w:sz w:val="20"/>
                </w:rPr>
                <w:t>11</w:t>
              </w:r>
            </w:hyperlink>
            <w:r>
              <w:rPr>
                <w:rFonts w:ascii="Times New Roman;Times;serif" w:hAnsi="Times New Roman;Times;serif"/>
                <w:sz w:val="24"/>
              </w:rPr>
              <w:t xml:space="preserve"> </w:t>
            </w:r>
          </w:p>
        </w:tc>
        <w:tc>
          <w:tcPr>
            <w:tcW w:w="154" w:type="dxa"/>
            <w:tcBorders/>
            <w:vAlign w:val="center"/>
          </w:tcPr>
          <w:p>
            <w:pPr>
              <w:pStyle w:val="TableContents"/>
              <w:bidi w:val="0"/>
              <w:spacing w:before="140" w:after="240"/>
              <w:ind w:left="0" w:right="0" w:hanging="0"/>
              <w:jc w:val="center"/>
              <w:rPr/>
            </w:pPr>
            <w:r>
              <w:rPr/>
              <w:t>​</w:t>
            </w:r>
          </w:p>
        </w:tc>
      </w:tr>
    </w:tbl>
    <w:p>
      <w:pPr>
        <w:pStyle w:val="TextBody"/>
        <w:bidi w:val="0"/>
        <w:spacing w:lineRule="atLeast" w:line="240" w:before="0" w:after="240"/>
        <w:ind w:left="0" w:right="0" w:hanging="0"/>
        <w:jc w:val="both"/>
        <w:rPr>
          <w:rFonts w:ascii="Times New Roman;Times;serif" w:hAnsi="Times New Roman;Times;serif"/>
          <w:sz w:val="20"/>
        </w:rPr>
      </w:pPr>
      <w:bookmarkStart w:id="269" w:name="footnote-10"/>
      <w:bookmarkEnd w:id="269"/>
      <w:r>
        <w:rPr>
          <w:rFonts w:ascii="Times" w:hAnsi="Times"/>
          <w:sz w:val="20"/>
        </w:rPr>
        <w:t>9</w:t>
      </w:r>
      <w:r>
        <w:rPr>
          <w:rFonts w:ascii="Times New Roman;Times;serif" w:hAnsi="Times New Roman;Times;serif"/>
          <w:sz w:val="20"/>
        </w:rPr>
        <w:t xml:space="preserve"> If applicable, the calculation of Unencumbered Pool Total Income includes an adjustment to exclude that portion of the cash interest form any Unencumbered Mortgage Receivables of an Other Approved Type to the extent it exceeds the 5% concentration limit.</w:t>
      </w:r>
    </w:p>
    <w:p>
      <w:pPr>
        <w:pStyle w:val="TextBody"/>
        <w:bidi w:val="0"/>
        <w:spacing w:lineRule="atLeast" w:line="240" w:before="0" w:after="240"/>
        <w:ind w:left="0" w:right="0" w:hanging="0"/>
        <w:jc w:val="both"/>
        <w:rPr/>
      </w:pPr>
      <w:r>
        <w:rPr/>
        <w:t>​</w:t>
      </w:r>
    </w:p>
    <w:p>
      <w:pPr>
        <w:pStyle w:val="TextBody"/>
        <w:bidi w:val="0"/>
        <w:spacing w:lineRule="atLeast" w:line="240" w:before="0" w:after="240"/>
        <w:ind w:left="0" w:right="0" w:hanging="0"/>
        <w:jc w:val="both"/>
        <w:rPr>
          <w:rFonts w:ascii="Times New Roman;Times;serif" w:hAnsi="Times New Roman;Times;serif"/>
          <w:sz w:val="20"/>
        </w:rPr>
      </w:pPr>
      <w:bookmarkStart w:id="270" w:name="footnote-11"/>
      <w:bookmarkEnd w:id="270"/>
      <w:r>
        <w:rPr>
          <w:rFonts w:ascii="Times" w:hAnsi="Times"/>
          <w:sz w:val="20"/>
        </w:rPr>
        <w:t>10</w:t>
      </w:r>
      <w:r>
        <w:rPr>
          <w:rFonts w:ascii="Times New Roman;Times;serif" w:hAnsi="Times New Roman;Times;serif"/>
          <w:sz w:val="20"/>
        </w:rPr>
        <w:t xml:space="preserve"> If applicable, the calculation of Unencumbered Asset Value includes an adjustment to exclude that portion of the book value of any Unencumbered PINE Common Equity to the extent it exceeds the 5% concentration limit.</w:t>
      </w:r>
    </w:p>
    <w:p>
      <w:pPr>
        <w:pStyle w:val="TextBody"/>
        <w:bidi w:val="0"/>
        <w:spacing w:lineRule="atLeast" w:line="240" w:before="0" w:after="240"/>
        <w:ind w:left="0" w:right="0" w:hanging="0"/>
        <w:jc w:val="both"/>
        <w:rPr>
          <w:rFonts w:ascii="Times New Roman;Times;serif" w:hAnsi="Times New Roman;Times;serif"/>
          <w:sz w:val="20"/>
        </w:rPr>
      </w:pPr>
      <w:bookmarkStart w:id="271" w:name="footnote-12"/>
      <w:bookmarkEnd w:id="271"/>
      <w:r>
        <w:rPr>
          <w:rFonts w:ascii="Times" w:hAnsi="Times"/>
          <w:sz w:val="20"/>
        </w:rPr>
        <w:t>11</w:t>
      </w:r>
      <w:r>
        <w:rPr>
          <w:rFonts w:ascii="Times New Roman;Times;serif" w:hAnsi="Times New Roman;Times;serif"/>
          <w:sz w:val="20"/>
        </w:rPr>
        <w:t xml:space="preserve"> If applicable, the calculation of Unencumbered Pool Total Income includes an adjustment to exclude that portion of the cash dividends form any Unencumbered PINE Common Equity to the extent it exceeds the 5% concentration limit.</w:t>
      </w:r>
    </w:p>
    <w:p>
      <w:pPr>
        <w:pStyle w:val="TextBody"/>
        <w:bidi w:val="0"/>
        <w:spacing w:lineRule="atLeast" w:line="240"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484"/>
        <w:gridCol w:w="721"/>
      </w:tblGrid>
      <w:tr>
        <w:trPr/>
        <w:tc>
          <w:tcPr>
            <w:tcW w:w="9484" w:type="dxa"/>
            <w:tcBorders/>
            <w:vAlign w:val="center"/>
          </w:tcPr>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1.</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Percent of Unencumbered Pool Total Income attributable to cash dividends from Unencumbered Pine Common Equity</w:t>
            </w:r>
          </w:p>
        </w:tc>
        <w:tc>
          <w:tcPr>
            <w:tcW w:w="72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__%</w:t>
            </w:r>
          </w:p>
        </w:tc>
      </w:tr>
      <w:tr>
        <w:trPr/>
        <w:tc>
          <w:tcPr>
            <w:tcW w:w="948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Line R1 shall not be greater than 5%</w:t>
            </w:r>
          </w:p>
        </w:tc>
        <w:tc>
          <w:tcPr>
            <w:tcW w:w="721" w:type="dxa"/>
            <w:tcBorders/>
            <w:vAlign w:val="center"/>
          </w:tcPr>
          <w:p>
            <w:pPr>
              <w:pStyle w:val="TableContents"/>
              <w:bidi w:val="0"/>
              <w:spacing w:before="140" w:after="240"/>
              <w:ind w:left="0" w:right="0" w:hanging="0"/>
              <w:jc w:val="center"/>
              <w:rPr/>
            </w:pPr>
            <w:r>
              <w:rPr/>
              <w:t>​</w:t>
            </w:r>
          </w:p>
        </w:tc>
      </w:tr>
      <w:tr>
        <w:trPr/>
        <w:tc>
          <w:tcPr>
            <w:tcW w:w="9484" w:type="dxa"/>
            <w:tcBorders/>
            <w:vAlign w:val="center"/>
          </w:tcPr>
          <w:p>
            <w:pPr>
              <w:pStyle w:val="TableContents"/>
              <w:bidi w:val="0"/>
              <w:spacing w:before="14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before="140" w:after="0"/>
              <w:ind w:left="0" w:right="0" w:hanging="0"/>
              <w:jc w:val="left"/>
              <w:rPr>
                <w:rFonts w:ascii="Times New Roman;Times;serif" w:hAnsi="Times New Roman;Times;serif"/>
                <w:sz w:val="24"/>
              </w:rPr>
            </w:pPr>
            <w:r>
              <w:rPr>
                <w:rFonts w:ascii="Times New Roman;Times;serif" w:hAnsi="Times New Roman;Times;serif"/>
                <w:sz w:val="24"/>
              </w:rPr>
              <w:t>The Borrower is in compliance (circle yes or no)</w:t>
            </w:r>
          </w:p>
        </w:tc>
        <w:tc>
          <w:tcPr>
            <w:tcW w:w="721" w:type="dxa"/>
            <w:tcBorders/>
            <w:vAlign w:val="center"/>
          </w:tcPr>
          <w:p>
            <w:pPr>
              <w:pStyle w:val="TableContents"/>
              <w:bidi w:val="0"/>
              <w:spacing w:before="140" w:after="240"/>
              <w:ind w:left="0" w:right="0" w:hanging="0"/>
              <w:jc w:val="center"/>
              <w:rPr>
                <w:rFonts w:ascii="Times" w:hAnsi="Times"/>
                <w:sz w:val="24"/>
              </w:rPr>
            </w:pPr>
            <w:r>
              <w:rPr>
                <w:rFonts w:ascii="Times" w:hAnsi="Times"/>
                <w:sz w:val="24"/>
              </w:rPr>
              <w:t>yes/no</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A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CTO Realty Growth, Inc.</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A, with a calculation date of __________,______, is attached to Schedule I to the Compliance Certificate of CTO Realty Growth, Inc. dated ___________, 20__, as amended, and delivered to KeyBank National Association, as Administrative Agent, and the Lenders party to the Amended and Restated Credit Agreement, as amended, referred to therein.  The undersigned hereby certifies that the following is a true, correct and complete calculation of Total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pBdr/>
        <w:bidi w:val="0"/>
        <w:spacing w:before="0" w:after="0"/>
        <w:ind w:left="4680" w:right="0" w:hanging="288"/>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pPr>
      <w:r>
        <w:rPr/>
        <w:t>  </w:t>
      </w:r>
      <w:r>
        <w:rPr>
          <w:rFonts w:ascii="Times New Roman;Times;serif" w:hAnsi="Times New Roman;Times;serif"/>
          <w:sz w:val="24"/>
        </w:rPr>
        <w:t>Name:</w:t>
      </w:r>
    </w:p>
    <w:p>
      <w:pPr>
        <w:pStyle w:val="TextBody"/>
        <w:pBdr/>
        <w:bidi w:val="0"/>
        <w:spacing w:before="0" w:after="0"/>
        <w:ind w:left="4680" w:right="0" w:hanging="288"/>
        <w:jc w:val="left"/>
        <w:rPr/>
      </w:pPr>
      <w:r>
        <w:rPr/>
        <w:t>  </w:t>
      </w:r>
      <w:r>
        <w:rPr>
          <w:rFonts w:ascii="Times New Roman;Times;serif" w:hAnsi="Times New Roman;Times;serif"/>
          <w:sz w:val="24"/>
        </w:rPr>
        <w:t>Title:</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B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CTO Realty Growth, Inc.</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B, with a calculation date of __________,______, is attached to Schedule I to the Compliance Certificate of CTO Realty Growth, Inc. dated _________, 202_, as amended, and delivered to KeyBank National Association, as Administrative Agent, and the Lenders party to the Amended and Restated Credit Agreement, as amended, referred to therein.  The undersigned hereby certifies that the following is a true, correct and complete calculation of the Unencumbered Pool Total Income for all Properties, Mortgage Receivables and PINE Common Equity for the Rolling Period most recently ended:</w:t>
      </w:r>
    </w:p>
    <w:p>
      <w:pPr>
        <w:pStyle w:val="TextBody"/>
        <w:bidi w:val="0"/>
        <w:spacing w:before="0" w:after="0"/>
        <w:ind w:left="0" w:right="0" w:hanging="0"/>
        <w:jc w:val="left"/>
        <w:rPr>
          <w:smallCaps/>
        </w:rPr>
      </w:pPr>
      <w:r>
        <w:rPr>
          <w:smallCaps/>
        </w:rPr>
        <w:t>​</w:t>
      </w:r>
    </w:p>
    <w:tbl>
      <w:tblPr>
        <w:tblW w:w="10205" w:type="dxa"/>
        <w:jc w:val="center"/>
        <w:tblInd w:w="0" w:type="dxa"/>
        <w:tblLayout w:type="fixed"/>
        <w:tblCellMar>
          <w:top w:w="28" w:type="dxa"/>
          <w:left w:w="103" w:type="dxa"/>
          <w:bottom w:w="28" w:type="dxa"/>
          <w:right w:w="103" w:type="dxa"/>
        </w:tblCellMar>
      </w:tblPr>
      <w:tblGrid>
        <w:gridCol w:w="796"/>
        <w:gridCol w:w="925"/>
        <w:gridCol w:w="556"/>
        <w:gridCol w:w="2071"/>
        <w:gridCol w:w="556"/>
        <w:gridCol w:w="1468"/>
        <w:gridCol w:w="556"/>
        <w:gridCol w:w="1760"/>
        <w:gridCol w:w="601"/>
        <w:gridCol w:w="916"/>
      </w:tblGrid>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w:t>
            </w:r>
          </w:p>
        </w:tc>
        <w:tc>
          <w:tcPr>
            <w:tcW w:w="9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Income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Expenses (without Cap. Ex. Reserve or Management Fees)</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4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Capital Expenditure Reserve</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Minus</w:t>
            </w:r>
          </w:p>
        </w:tc>
        <w:tc>
          <w:tcPr>
            <w:tcW w:w="17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Greater of 3% of rents or actual management fees</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Property NOI</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r>
        <w:trPr/>
        <w:tc>
          <w:tcPr>
            <w:tcW w:w="7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pPr>
            <w:r>
              <w:rPr/>
              <w:t>​</w:t>
            </w:r>
          </w:p>
        </w:tc>
        <w:tc>
          <w:tcPr>
            <w:tcW w:w="92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46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5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76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Property NOI for all Unencumbered Real Property Assets:$_____________</w:t>
      </w:r>
    </w:p>
    <w:p>
      <w:pPr>
        <w:pStyle w:val="TextBody"/>
        <w:bidi w:val="0"/>
        <w:spacing w:before="0" w:after="0"/>
        <w:ind w:left="0" w:right="0" w:hanging="0"/>
        <w:jc w:val="left"/>
        <w:rPr>
          <w:smallCaps/>
        </w:rPr>
      </w:pPr>
      <w:r>
        <w:rPr>
          <w:smallCaps/>
        </w:rPr>
        <w:t>​</w:t>
      </w:r>
    </w:p>
    <w:tbl>
      <w:tblPr>
        <w:tblW w:w="10205" w:type="dxa"/>
        <w:jc w:val="center"/>
        <w:tblInd w:w="0" w:type="dxa"/>
        <w:tblLayout w:type="fixed"/>
        <w:tblCellMar>
          <w:top w:w="28" w:type="dxa"/>
          <w:left w:w="103" w:type="dxa"/>
          <w:bottom w:w="28" w:type="dxa"/>
          <w:right w:w="103" w:type="dxa"/>
        </w:tblCellMar>
      </w:tblPr>
      <w:tblGrid>
        <w:gridCol w:w="2702"/>
        <w:gridCol w:w="3250"/>
        <w:gridCol w:w="526"/>
        <w:gridCol w:w="1964"/>
        <w:gridCol w:w="631"/>
        <w:gridCol w:w="1132"/>
      </w:tblGrid>
      <w:tr>
        <w:trPr/>
        <w:tc>
          <w:tcPr>
            <w:tcW w:w="2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Unencumbered Mortgage Receivable</w:t>
            </w:r>
          </w:p>
        </w:tc>
        <w:tc>
          <w:tcPr>
            <w:tcW w:w="32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Outstanding Principal (net of participations)</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Times</w:t>
            </w:r>
          </w:p>
        </w:tc>
        <w:tc>
          <w:tcPr>
            <w:tcW w:w="19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Annual cash Interest Rate</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Equals</w:t>
            </w:r>
          </w:p>
        </w:tc>
        <w:tc>
          <w:tcPr>
            <w:tcW w:w="11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mallCaps/>
                <w:sz w:val="16"/>
                <w:u w:val="single"/>
              </w:rPr>
            </w:pPr>
            <w:r>
              <w:rPr>
                <w:rFonts w:ascii="Times New Roman;Times;serif" w:hAnsi="Times New Roman;Times;serif"/>
                <w:smallCaps/>
                <w:sz w:val="16"/>
                <w:u w:val="single"/>
              </w:rPr>
              <w:t>Cash Interest</w:t>
            </w:r>
          </w:p>
        </w:tc>
      </w:tr>
      <w:tr>
        <w:trPr/>
        <w:tc>
          <w:tcPr>
            <w:tcW w:w="2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32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9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r>
        <w:trPr/>
        <w:tc>
          <w:tcPr>
            <w:tcW w:w="2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32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9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r>
        <w:trPr/>
        <w:tc>
          <w:tcPr>
            <w:tcW w:w="2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32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9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r>
        <w:trPr/>
        <w:tc>
          <w:tcPr>
            <w:tcW w:w="2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325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$___________</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96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6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c>
          <w:tcPr>
            <w:tcW w:w="113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Cash Interest for all Unencumbered Mortgage Receivables:$_____________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b/>
          <w:smallCaps/>
          <w:sz w:val="24"/>
        </w:rPr>
      </w:pPr>
      <w:r>
        <w:rPr>
          <w:rFonts w:ascii="Times New Roman;Times;serif" w:hAnsi="Times New Roman;Times;serif"/>
          <w:b/>
          <w:smallCaps/>
          <w:sz w:val="24"/>
        </w:rPr>
        <w:t>Total Annual Cash Dividends from Unencumbered PINE Common Equity:$_____________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smallCaps/>
          <w:sz w:val="24"/>
        </w:rPr>
        <w:t>Total Unencumbered Pool Total Income for all Properties</w:t>
      </w:r>
      <w:r>
        <w:rPr>
          <w:rFonts w:ascii="Times New Roman;Times;serif" w:hAnsi="Times New Roman;Times;serif"/>
          <w:sz w:val="24"/>
        </w:rPr>
        <w:t xml:space="preserve">, </w:t>
      </w:r>
      <w:r>
        <w:rPr>
          <w:rFonts w:ascii="Times New Roman;Times;serif" w:hAnsi="Times New Roman;Times;serif"/>
          <w:b/>
          <w:smallCaps/>
          <w:sz w:val="24"/>
        </w:rPr>
        <w:t>Mortgage Receivables AND PINE Common Equity:$_____________</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smallCaps/>
        </w:rPr>
      </w:pPr>
      <w:r>
        <w:rPr>
          <w:smallCaps/>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0"/>
        <w:ind w:left="4680" w:right="0" w:hanging="288"/>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pPr>
      <w:r>
        <w:rPr/>
        <w:t>  </w:t>
      </w:r>
      <w:r>
        <w:rPr>
          <w:rFonts w:ascii="Times New Roman;Times;serif" w:hAnsi="Times New Roman;Times;serif"/>
          <w:sz w:val="24"/>
        </w:rPr>
        <w:t>Name:</w:t>
      </w:r>
    </w:p>
    <w:p>
      <w:pPr>
        <w:pStyle w:val="TextBody"/>
        <w:pBdr/>
        <w:bidi w:val="0"/>
        <w:spacing w:before="0" w:after="0"/>
        <w:ind w:left="4680" w:right="0" w:hanging="288"/>
        <w:jc w:val="left"/>
        <w:rPr/>
      </w:pPr>
      <w:r>
        <w:rPr/>
        <w:t>  </w:t>
      </w:r>
      <w:r>
        <w:rPr>
          <w:rFonts w:ascii="Times New Roman;Times;serif" w:hAnsi="Times New Roman;Times;serif"/>
          <w:sz w:val="24"/>
        </w:rPr>
        <w:t>Title:</w:t>
      </w:r>
    </w:p>
    <w:p>
      <w:pPr>
        <w:pStyle w:val="TextBody"/>
        <w:pBdr/>
        <w:bidi w:val="0"/>
        <w:spacing w:before="0" w:after="0"/>
        <w:ind w:left="4680" w:right="0" w:hanging="288"/>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E-2]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C to Schedule I</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to Compliance Certificate</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of CTO Realty Growth, Inc.</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rFonts w:ascii="Times" w:hAnsi="Times"/>
          <w:sz w:val="24"/>
        </w:rPr>
      </w:pPr>
      <w:r>
        <w:rPr>
          <w:rFonts w:ascii="Times" w:hAnsi="Times"/>
          <w:sz w:val="24"/>
        </w:rPr>
        <w:t>This Exhibit C, with a calculation date of __________,______, is attached to Schedule I to the Compliance Certificate of CTO Realty Growth, Inc. dated ___________, 20__, as amended, and delivered to KeyBank National Association, as Administrative Agent, and the Lenders party to the Amended and Restated Credit Agreement, as amended, referred to therein.  The undersigned hereby certifies that the following is a true, correct and complete calculation of Unencumbered Asset Value for Rolling Period most recently ended:</w:t>
      </w:r>
    </w:p>
    <w:p>
      <w:pPr>
        <w:pStyle w:val="TextBody"/>
        <w:bidi w:val="0"/>
        <w:spacing w:before="0" w:after="240"/>
        <w:ind w:left="0" w:right="0" w:firstLine="720"/>
        <w:jc w:val="both"/>
        <w:rPr>
          <w:rFonts w:ascii="Times" w:hAnsi="Times"/>
          <w:b/>
          <w:sz w:val="24"/>
        </w:rPr>
      </w:pPr>
      <w:r>
        <w:rPr>
          <w:rFonts w:ascii="Times" w:hAnsi="Times"/>
          <w:b/>
          <w:sz w:val="24"/>
        </w:rPr>
        <w:t>[Insert Calculation or attach Schedule with exclusions for concentration limits]</w:t>
      </w:r>
    </w:p>
    <w:p>
      <w:pPr>
        <w:pStyle w:val="TextBody"/>
        <w:bidi w:val="0"/>
        <w:spacing w:before="0" w:after="0"/>
        <w:ind w:left="0" w:right="0" w:hanging="0"/>
        <w:jc w:val="both"/>
        <w:rPr/>
      </w:pPr>
      <w:r>
        <w:rPr/>
        <w:t>​</w:t>
      </w:r>
    </w:p>
    <w:p>
      <w:pPr>
        <w:pStyle w:val="TextBody"/>
        <w:bidi w:val="0"/>
        <w:spacing w:before="0" w:after="0"/>
        <w:ind w:left="0" w:right="0" w:hanging="0"/>
        <w:jc w:val="left"/>
        <w:rPr>
          <w:smallCaps/>
        </w:rPr>
      </w:pPr>
      <w:r>
        <w:rPr>
          <w:smallCaps/>
        </w:rPr>
        <w:t>​</w:t>
      </w:r>
    </w:p>
    <w:p>
      <w:pPr>
        <w:pStyle w:val="TextBody"/>
        <w:pBdr/>
        <w:bidi w:val="0"/>
        <w:spacing w:before="0" w:after="0"/>
        <w:ind w:left="4680" w:right="0" w:hanging="288"/>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pPr>
      <w:r>
        <w:rPr/>
        <w:t>​</w:t>
      </w:r>
    </w:p>
    <w:p>
      <w:pPr>
        <w:pStyle w:val="TextBody"/>
        <w:pBdr/>
        <w:bidi w:val="0"/>
        <w:spacing w:before="0" w:after="0"/>
        <w:ind w:left="4680" w:right="0" w:hanging="288"/>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88"/>
        <w:jc w:val="left"/>
        <w:rPr/>
      </w:pPr>
      <w:r>
        <w:rPr/>
        <w:t>  </w:t>
      </w:r>
      <w:r>
        <w:rPr>
          <w:rFonts w:ascii="Times New Roman;Times;serif" w:hAnsi="Times New Roman;Times;serif"/>
          <w:sz w:val="24"/>
        </w:rPr>
        <w:t>Name:</w:t>
      </w:r>
    </w:p>
    <w:p>
      <w:pPr>
        <w:pStyle w:val="TextBody"/>
        <w:pBdr/>
        <w:bidi w:val="0"/>
        <w:spacing w:before="0" w:after="0"/>
        <w:ind w:left="4680" w:right="0" w:hanging="288"/>
        <w:jc w:val="left"/>
        <w:rPr/>
      </w:pPr>
      <w:r>
        <w:rPr/>
        <w:t>  </w:t>
      </w:r>
      <w:r>
        <w:rPr>
          <w:rFonts w:ascii="Times New Roman;Times;serif" w:hAnsi="Times New Roman;Times;serif"/>
          <w:sz w:val="24"/>
        </w:rPr>
        <w:t>Title:</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F</w:t>
        <w:br/>
        <w:br/>
        <w:t>Assignment and Acceptance</w:t>
      </w:r>
    </w:p>
    <w:p>
      <w:pPr>
        <w:pStyle w:val="TextBody"/>
        <w:bidi w:val="0"/>
        <w:spacing w:before="360" w:after="0"/>
        <w:ind w:left="0" w:right="0" w:hanging="0"/>
        <w:jc w:val="center"/>
        <w:rPr>
          <w:rFonts w:ascii="Times New Roman;Times;serif" w:hAnsi="Times New Roman;Times;serif"/>
          <w:b w:val="false"/>
          <w:caps w:val="false"/>
          <w:smallCaps w:val="false"/>
          <w:sz w:val="24"/>
        </w:rPr>
      </w:pPr>
      <w:r>
        <w:rPr>
          <w:rFonts w:ascii="Times New Roman;Times;serif" w:hAnsi="Times New Roman;Times;serif"/>
          <w:b w:val="false"/>
          <w:caps w:val="false"/>
          <w:smallCaps w:val="false"/>
          <w:sz w:val="24"/>
        </w:rPr>
        <w:t>Dated _____________, _______</w:t>
      </w:r>
    </w:p>
    <w:p>
      <w:pPr>
        <w:pStyle w:val="TextBody"/>
        <w:bidi w:val="0"/>
        <w:spacing w:before="200" w:after="240"/>
        <w:ind w:left="0" w:right="0" w:firstLine="720"/>
        <w:jc w:val="both"/>
        <w:rPr>
          <w:rFonts w:ascii="Times" w:hAnsi="Times"/>
          <w:sz w:val="24"/>
        </w:rPr>
      </w:pPr>
      <w:r>
        <w:rPr>
          <w:rFonts w:ascii="Times" w:hAnsi="Times"/>
          <w:sz w:val="24"/>
        </w:rPr>
        <w:t>Reference is made to the Amended and Restated Credit Agreement dated as of September 29, 2026, as extended, renewed, amended or restated from time to time, the “</w:t>
      </w:r>
      <w:r>
        <w:rPr>
          <w:rFonts w:ascii="Times" w:hAnsi="Times"/>
          <w:i/>
          <w:sz w:val="24"/>
        </w:rPr>
        <w:t>Credit Agreement”</w:t>
      </w:r>
      <w:r>
        <w:rPr>
          <w:rFonts w:ascii="Times" w:hAnsi="Times"/>
          <w:sz w:val="24"/>
        </w:rPr>
        <w:t>) among CTO Realty Growth, Inc., the Guarantors from time to time party thereto, the Lenders and KeyBank National Association, as Administrative Agent (the “</w:t>
      </w:r>
      <w:r>
        <w:rPr>
          <w:rFonts w:ascii="Times" w:hAnsi="Times"/>
          <w:i/>
          <w:sz w:val="24"/>
        </w:rPr>
        <w:t>Administrative Agent”</w:t>
      </w:r>
      <w:r>
        <w:rPr>
          <w:rFonts w:ascii="Times" w:hAnsi="Times"/>
          <w:sz w:val="24"/>
        </w:rPr>
        <w:t>).  Terms defined in the Credit Agreement are used herein with the same meaning.</w:t>
      </w:r>
    </w:p>
    <w:p>
      <w:pPr>
        <w:pStyle w:val="TextBody"/>
        <w:bidi w:val="0"/>
        <w:spacing w:before="200" w:after="240"/>
        <w:ind w:left="0" w:right="0" w:firstLine="720"/>
        <w:jc w:val="both"/>
        <w:rPr>
          <w:rFonts w:ascii="Times" w:hAnsi="Times"/>
          <w:sz w:val="24"/>
        </w:rPr>
      </w:pPr>
      <w:r>
        <w:rPr>
          <w:rFonts w:ascii="Times" w:hAnsi="Times"/>
          <w:sz w:val="24"/>
        </w:rPr>
        <w:t>______________________________________________________ (the “</w:t>
      </w:r>
      <w:r>
        <w:rPr>
          <w:rFonts w:ascii="Times" w:hAnsi="Times"/>
          <w:i/>
          <w:sz w:val="24"/>
        </w:rPr>
        <w:t>Assignor”</w:t>
      </w:r>
      <w:r>
        <w:rPr>
          <w:rFonts w:ascii="Times" w:hAnsi="Times"/>
          <w:sz w:val="24"/>
        </w:rPr>
        <w:t>) and _________________________ (the “</w:t>
      </w:r>
      <w:r>
        <w:rPr>
          <w:rFonts w:ascii="Times" w:hAnsi="Times"/>
          <w:i/>
          <w:sz w:val="24"/>
        </w:rPr>
        <w:t>Assignee”</w:t>
      </w:r>
      <w:r>
        <w:rPr>
          <w:rFonts w:ascii="Times" w:hAnsi="Times"/>
          <w:sz w:val="24"/>
        </w:rPr>
        <w:t>) agree as follows:</w:t>
      </w:r>
    </w:p>
    <w:p>
      <w:pPr>
        <w:pStyle w:val="TextBody"/>
        <w:bidi w:val="0"/>
        <w:spacing w:before="0" w:after="240"/>
        <w:ind w:left="720" w:right="0" w:hanging="0"/>
        <w:jc w:val="both"/>
        <w:rPr>
          <w:rFonts w:ascii="Times" w:hAnsi="Times"/>
          <w:sz w:val="24"/>
        </w:rPr>
      </w:pPr>
      <w:r>
        <w:rPr>
          <w:rFonts w:ascii="Times" w:hAnsi="Times"/>
          <w:sz w:val="24"/>
        </w:rPr>
        <w:t>1.The Assignor hereby sells and assigns to the Assignee, and the Assignee hereby purchases and assumes from the Assignor, the amount and specified percentage interest shown on Annex I hereto of the Assignor’s rights and obligations under the Credit Agreement as of the Effective Date (as defined below), including, without limitation, the Assignor’s Commitments of each applicable Class as in effect on the Effective Date and the Loans of such Class, if any, owing to the Assignor on the Effective Date and the Assignor’s Applicable Percentage of any outstanding L/C Obligations.</w:t>
      </w:r>
    </w:p>
    <w:p>
      <w:pPr>
        <w:pStyle w:val="TextBody"/>
        <w:bidi w:val="0"/>
        <w:spacing w:before="0" w:after="240"/>
        <w:ind w:left="720" w:right="0" w:hanging="0"/>
        <w:jc w:val="both"/>
        <w:rPr>
          <w:rFonts w:ascii="Times" w:hAnsi="Times"/>
          <w:sz w:val="24"/>
        </w:rPr>
      </w:pPr>
      <w:r>
        <w:rPr>
          <w:rFonts w:ascii="Times" w:hAnsi="Times"/>
          <w:sz w:val="24"/>
        </w:rPr>
        <w:t>2.The Assignor (i) represents and warrants that it is the legal and beneficial owner of the interest being assigned by it hereunder and that such interest is free and clear of any adverse claim, lien, or encumbrance of any kind;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any Subsidiary or the performance or observance by the Borrower or any Subsidiary of any of their respective obligations under the Credit Agreement or any other instrument or document furnished pursuant thereto.</w:t>
      </w:r>
    </w:p>
    <w:p>
      <w:pPr>
        <w:pStyle w:val="TextBody"/>
        <w:bidi w:val="0"/>
        <w:spacing w:before="0" w:after="0"/>
        <w:ind w:left="720" w:right="0" w:hanging="0"/>
        <w:jc w:val="both"/>
        <w:rPr>
          <w:rFonts w:ascii="Times" w:hAnsi="Times"/>
          <w:sz w:val="24"/>
        </w:rPr>
      </w:pPr>
      <w:r>
        <w:rPr>
          <w:rFonts w:ascii="Times" w:hAnsi="Times"/>
          <w:sz w:val="24"/>
        </w:rPr>
        <w:t xml:space="preserve">3.The Assignee (i) confirms that it has received a copy of the Credit Agreement, together with copies of the most recent financial statements delivered to the Lenders pursuant to Section 8.5(b) and (c)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Administrative Agent on its behalf and to exercise such powers under the Credit Agreement and the other Loan Documents as are delegated to the Administrative Agent by the terms thereof,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w:hAnsi="Times"/>
          <w:sz w:val="24"/>
        </w:rPr>
      </w:pPr>
      <w:r>
        <w:rPr>
          <w:rFonts w:ascii="Times" w:hAnsi="Times"/>
          <w:sz w:val="24"/>
        </w:rPr>
        <w:t>together with such powers as are reasonably incidental thereto; (iv) agrees that it will perform in accordance with their terms all of the obligations which by the terms of the Credit Agreement are required to be performed by it as a Lender; and (v) specifies as its lending office (and address for notices) the offices set forth on its Administrative Questionnaire.</w:t>
      </w:r>
    </w:p>
    <w:p>
      <w:pPr>
        <w:pStyle w:val="TextBody"/>
        <w:bidi w:val="0"/>
        <w:spacing w:before="0" w:after="240"/>
        <w:ind w:left="720" w:right="0" w:hanging="0"/>
        <w:jc w:val="both"/>
        <w:rPr>
          <w:rFonts w:ascii="Times" w:hAnsi="Times"/>
          <w:sz w:val="24"/>
        </w:rPr>
      </w:pPr>
      <w:r>
        <w:rPr>
          <w:rFonts w:ascii="Times" w:hAnsi="Times"/>
          <w:sz w:val="24"/>
        </w:rPr>
        <w:t>4.As consideration for the assignment and sale contemplated in Annex I hereof, the Assignee shall pay to the Assignor on the Effective Date in Federal funds the amount agreed upon between them.  It is understood that commitment and/or letter of credit fees accrued to the Effective Date with respect to the interest assigned hereby are for the account of the Assignor and such fees accruing from and including the Effective Date are for the account of the Assignee.  Each of the Assignor and the Assignee hereby agrees that if it receives any amount under the Credit Agreement which is for the account of the other party hereto, it shall receive the same for the account of such other party to the extent of such other party’s interest therein and shall promptly pay the same to such other party.</w:t>
      </w:r>
    </w:p>
    <w:p>
      <w:pPr>
        <w:pStyle w:val="TextBody"/>
        <w:bidi w:val="0"/>
        <w:spacing w:before="0" w:after="240"/>
        <w:ind w:left="720" w:right="0" w:hanging="0"/>
        <w:jc w:val="both"/>
        <w:rPr>
          <w:rFonts w:ascii="Times" w:hAnsi="Times"/>
          <w:sz w:val="24"/>
        </w:rPr>
      </w:pPr>
      <w:r>
        <w:rPr>
          <w:rFonts w:ascii="Times" w:hAnsi="Times"/>
          <w:sz w:val="24"/>
        </w:rPr>
        <w:t xml:space="preserve">5.The effective date for this Assignment and Acceptance shall be </w:t>
      </w:r>
      <w:r>
        <w:rPr>
          <w:rFonts w:ascii="Times" w:hAnsi="Times"/>
          <w:sz w:val="24"/>
          <w:u w:val="single"/>
        </w:rPr>
        <w:t>___________</w:t>
      </w:r>
      <w:r>
        <w:rPr>
          <w:rFonts w:ascii="Times" w:hAnsi="Times"/>
          <w:sz w:val="24"/>
        </w:rPr>
        <w:t xml:space="preserve"> (the “</w:t>
      </w:r>
      <w:r>
        <w:rPr>
          <w:rFonts w:ascii="Times" w:hAnsi="Times"/>
          <w:i/>
          <w:sz w:val="24"/>
        </w:rPr>
        <w:t xml:space="preserve">Effective </w:t>
      </w:r>
      <w:r>
        <w:rPr>
          <w:rFonts w:ascii="Times" w:hAnsi="Times"/>
          <w:sz w:val="24"/>
        </w:rPr>
        <w:t>Date”).  Following the execution of this Assignment and Acceptance, it will be delivered to the Administrative Agent for acceptance and recording by the Administrative Agent and, if required, the Borrower.</w:t>
      </w:r>
    </w:p>
    <w:p>
      <w:pPr>
        <w:pStyle w:val="TextBody"/>
        <w:bidi w:val="0"/>
        <w:spacing w:before="0" w:after="240"/>
        <w:ind w:left="720" w:right="0" w:hanging="0"/>
        <w:jc w:val="both"/>
        <w:rPr>
          <w:rFonts w:ascii="Times" w:hAnsi="Times"/>
          <w:sz w:val="24"/>
        </w:rPr>
      </w:pPr>
      <w:r>
        <w:rPr>
          <w:rFonts w:ascii="Times" w:hAnsi="Times"/>
          <w:sz w:val="24"/>
        </w:rPr>
        <w:t>6.Upon such acceptance and recording,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pStyle w:val="TextBody"/>
        <w:bidi w:val="0"/>
        <w:spacing w:before="0" w:after="240"/>
        <w:ind w:left="720" w:right="0" w:hanging="0"/>
        <w:jc w:val="both"/>
        <w:rPr>
          <w:rFonts w:ascii="Times" w:hAnsi="Times"/>
          <w:sz w:val="24"/>
        </w:rPr>
      </w:pPr>
      <w:r>
        <w:rPr>
          <w:rFonts w:ascii="Times" w:hAnsi="Times"/>
          <w:sz w:val="24"/>
        </w:rPr>
        <w:t>7.Upon such acceptance and recording, from and after the Effective Date, the Administrative Agent shall make all payments under the Credit Agreement in respect of the interest assigned hereby (including, without limitation, all payments of principal, interest and commitment fees with respect thereto) to the Assignee.  The Assignor and Assignee shall make all appropriate adjustments in payments under the Credit Agreement for periods prior to the Effective Date directly between themselves.</w:t>
      </w:r>
    </w:p>
    <w:p>
      <w:pPr>
        <w:pStyle w:val="TextBody"/>
        <w:bidi w:val="0"/>
        <w:spacing w:before="0" w:after="240"/>
        <w:ind w:left="720" w:right="0" w:hanging="0"/>
        <w:jc w:val="both"/>
        <w:rPr>
          <w:rFonts w:ascii="Times" w:hAnsi="Times"/>
          <w:sz w:val="24"/>
        </w:rPr>
      </w:pPr>
      <w:r>
        <w:rPr>
          <w:rFonts w:ascii="Times" w:hAnsi="Times"/>
          <w:sz w:val="24"/>
        </w:rPr>
        <w:t>8.This Assignment and Acceptance shall be governed by, and construed in accordance with, the internal laws of the State of New York.</w:t>
      </w:r>
    </w:p>
    <w:p>
      <w:pPr>
        <w:pStyle w:val="TextBody"/>
        <w:bidi w:val="0"/>
        <w:spacing w:before="280" w:after="0"/>
        <w:ind w:left="468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4680" w:right="0" w:hanging="0"/>
        <w:jc w:val="left"/>
        <w:rPr>
          <w:rFonts w:ascii="Times New Roman;Times;serif" w:hAnsi="Times New Roman;Times;serif"/>
          <w:smallCaps/>
          <w:sz w:val="24"/>
        </w:rPr>
      </w:pPr>
      <w:r>
        <w:rPr>
          <w:rFonts w:ascii="Times New Roman;Times;serif" w:hAnsi="Times New Roman;Times;serif"/>
          <w:smallCaps/>
          <w:sz w:val="24"/>
        </w:rPr>
        <w:t>[Assignor Lender]</w:t>
      </w:r>
    </w:p>
    <w:p>
      <w:pPr>
        <w:pStyle w:val="TextBody"/>
        <w:pBdr/>
        <w:bidi w:val="0"/>
        <w:spacing w:before="64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280" w:after="0"/>
        <w:ind w:left="4680" w:right="0" w:hanging="0"/>
        <w:jc w:val="left"/>
        <w:rPr>
          <w:rFonts w:ascii="Times New Roman;Times;serif" w:hAnsi="Times New Roman;Times;serif"/>
          <w:smallCaps/>
          <w:sz w:val="24"/>
        </w:rPr>
      </w:pPr>
      <w:r>
        <w:rPr>
          <w:rFonts w:ascii="Times New Roman;Times;serif" w:hAnsi="Times New Roman;Times;serif"/>
          <w:smallCaps/>
          <w:sz w:val="24"/>
        </w:rPr>
        <w:t>[Assignee Lender]</w:t>
      </w:r>
    </w:p>
    <w:p>
      <w:pPr>
        <w:pStyle w:val="TextBody"/>
        <w:pBdr/>
        <w:bidi w:val="0"/>
        <w:spacing w:before="64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280" w:after="0"/>
        <w:ind w:left="0" w:right="0" w:hanging="4954"/>
        <w:jc w:val="left"/>
        <w:rPr>
          <w:rFonts w:ascii="Times New Roman;Times;serif" w:hAnsi="Times New Roman;Times;serif"/>
          <w:sz w:val="24"/>
        </w:rPr>
      </w:pPr>
      <w:r>
        <w:rPr>
          <w:rFonts w:ascii="Times New Roman;Times;serif" w:hAnsi="Times New Roman;Times;serif"/>
          <w:sz w:val="24"/>
        </w:rPr>
        <w:t>Accepted and consented this</w:t>
      </w:r>
    </w:p>
    <w:p>
      <w:pPr>
        <w:pStyle w:val="TextBody"/>
        <w:pBdr/>
        <w:bidi w:val="0"/>
        <w:spacing w:before="0" w:after="0"/>
        <w:ind w:left="0" w:right="0" w:hanging="4950"/>
        <w:jc w:val="left"/>
        <w:rPr>
          <w:rFonts w:ascii="Times New Roman;Times;serif" w:hAnsi="Times New Roman;Times;serif"/>
          <w:sz w:val="24"/>
        </w:rPr>
      </w:pPr>
      <w:r>
        <w:rPr>
          <w:rFonts w:ascii="Times New Roman;Times;serif" w:hAnsi="Times New Roman;Times;serif"/>
          <w:sz w:val="24"/>
        </w:rPr>
        <w:t>____ day of _____________</w:t>
      </w:r>
    </w:p>
    <w:p>
      <w:pPr>
        <w:pStyle w:val="TextBody"/>
        <w:pBdr/>
        <w:bidi w:val="0"/>
        <w:spacing w:before="320" w:after="0"/>
        <w:ind w:left="0" w:right="0" w:hanging="4954"/>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360" w:after="0"/>
        <w:ind w:left="0" w:right="0" w:hanging="4954"/>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pBdr/>
        <w:bidi w:val="0"/>
        <w:spacing w:before="280" w:after="0"/>
        <w:ind w:left="0" w:right="4500" w:hanging="180"/>
        <w:jc w:val="left"/>
        <w:rPr>
          <w:rFonts w:ascii="Times New Roman;Times;serif" w:hAnsi="Times New Roman;Times;serif"/>
          <w:sz w:val="24"/>
        </w:rPr>
      </w:pPr>
      <w:r>
        <w:rPr>
          <w:rFonts w:ascii="Times New Roman;Times;serif" w:hAnsi="Times New Roman;Times;serif"/>
          <w:sz w:val="24"/>
        </w:rPr>
        <w:t>Accepted and consented to by the Administrative Agent this ___ day of _________</w:t>
      </w:r>
    </w:p>
    <w:p>
      <w:pPr>
        <w:pStyle w:val="TextBody"/>
        <w:pBdr/>
        <w:bidi w:val="0"/>
        <w:spacing w:before="280" w:after="0"/>
        <w:ind w:left="0" w:right="4500" w:hanging="180"/>
        <w:jc w:val="left"/>
        <w:rPr>
          <w:rFonts w:ascii="Times New Roman;Times;serif" w:hAnsi="Times New Roman;Times;serif"/>
          <w:sz w:val="24"/>
        </w:rPr>
      </w:pPr>
      <w:r>
        <w:rPr>
          <w:rFonts w:ascii="Times New Roman;Times;serif" w:hAnsi="Times New Roman;Times;serif"/>
          <w:smallCaps/>
          <w:sz w:val="24"/>
        </w:rPr>
        <w:t xml:space="preserve">KeyBank National Association, </w:t>
      </w:r>
      <w:r>
        <w:rPr>
          <w:rFonts w:ascii="Times New Roman;Times;serif" w:hAnsi="Times New Roman;Times;serif"/>
          <w:sz w:val="24"/>
        </w:rPr>
        <w:t>as Administrative Agent</w:t>
      </w:r>
    </w:p>
    <w:p>
      <w:pPr>
        <w:pStyle w:val="TextBody"/>
        <w:pBdr/>
        <w:bidi w:val="0"/>
        <w:spacing w:before="360" w:after="0"/>
        <w:ind w:left="0" w:right="0" w:hanging="4954"/>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Annex I</w:t>
      </w:r>
    </w:p>
    <w:p>
      <w:pPr>
        <w:pStyle w:val="TextBody"/>
        <w:bidi w:val="0"/>
        <w:spacing w:before="0" w:after="400"/>
        <w:ind w:left="0" w:right="0" w:hanging="0"/>
        <w:jc w:val="center"/>
        <w:rPr>
          <w:rFonts w:ascii="Times New Roman;Times;serif" w:hAnsi="Times New Roman;Times;serif"/>
          <w:b/>
          <w:smallCaps/>
          <w:sz w:val="24"/>
        </w:rPr>
      </w:pPr>
      <w:r>
        <w:rPr>
          <w:rFonts w:ascii="Times New Roman;Times;serif" w:hAnsi="Times New Roman;Times;serif"/>
          <w:b/>
          <w:smallCaps/>
          <w:sz w:val="24"/>
        </w:rPr>
        <w:t>to Assignment and Acceptance</w:t>
      </w:r>
    </w:p>
    <w:p>
      <w:pPr>
        <w:pStyle w:val="TextBody"/>
        <w:bidi w:val="0"/>
        <w:spacing w:before="0" w:after="240"/>
        <w:ind w:left="0" w:right="0" w:firstLine="720"/>
        <w:jc w:val="both"/>
        <w:rPr>
          <w:rFonts w:ascii="Times" w:hAnsi="Times"/>
          <w:sz w:val="24"/>
        </w:rPr>
      </w:pPr>
      <w:r>
        <w:rPr>
          <w:rFonts w:ascii="Times" w:hAnsi="Times"/>
          <w:sz w:val="24"/>
        </w:rPr>
        <w:t>The assignee hereby purchases and assumes from the assignor the following interest in and to all of the Assignor’s rights and obligations under the Credit Agreement as of the effective date.</w:t>
      </w:r>
    </w:p>
    <w:tbl>
      <w:tblPr>
        <w:tblW w:w="10205" w:type="dxa"/>
        <w:jc w:val="left"/>
        <w:tblInd w:w="0" w:type="dxa"/>
        <w:tblLayout w:type="fixed"/>
        <w:tblCellMar>
          <w:top w:w="0" w:type="dxa"/>
          <w:left w:w="0" w:type="dxa"/>
          <w:bottom w:w="0" w:type="dxa"/>
          <w:right w:w="0" w:type="dxa"/>
        </w:tblCellMar>
      </w:tblPr>
      <w:tblGrid>
        <w:gridCol w:w="2829"/>
        <w:gridCol w:w="2324"/>
        <w:gridCol w:w="2443"/>
        <w:gridCol w:w="2609"/>
      </w:tblGrid>
      <w:tr>
        <w:trPr/>
        <w:tc>
          <w:tcPr>
            <w:tcW w:w="2829"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Facility Assigned</w:t>
            </w:r>
          </w:p>
        </w:tc>
        <w:tc>
          <w:tcPr>
            <w:tcW w:w="2324"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Aggregate</w:t>
              <w:br/>
              <w:t>Commitment/Loans</w:t>
              <w:br/>
              <w:t>for All Lenders of such Class</w:t>
            </w:r>
          </w:p>
        </w:tc>
        <w:tc>
          <w:tcPr>
            <w:tcW w:w="2443"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Amount of</w:t>
              <w:br/>
              <w:t>Commitment/Loans of such Class</w:t>
              <w:br/>
              <w:t>Assigned</w:t>
            </w:r>
          </w:p>
        </w:tc>
        <w:tc>
          <w:tcPr>
            <w:tcW w:w="2609" w:type="dxa"/>
            <w:tcBorders/>
            <w:vAlign w:val="center"/>
          </w:tcPr>
          <w:p>
            <w:pPr>
              <w:pStyle w:val="TableContents"/>
              <w:bidi w:val="0"/>
              <w:spacing w:before="280" w:after="0"/>
              <w:ind w:left="0" w:right="0" w:hanging="0"/>
              <w:jc w:val="center"/>
              <w:rPr>
                <w:rFonts w:ascii="Times New Roman;Times;serif" w:hAnsi="Times New Roman;Times;serif"/>
                <w:smallCaps/>
                <w:sz w:val="24"/>
              </w:rPr>
            </w:pPr>
            <w:r>
              <w:rPr>
                <w:rFonts w:ascii="Times New Roman;Times;serif" w:hAnsi="Times New Roman;Times;serif"/>
                <w:smallCaps/>
                <w:sz w:val="24"/>
              </w:rPr>
              <w:t>Percentage Assigned</w:t>
              <w:br/>
              <w:t>of Commitment/Loans of such Class</w:t>
            </w:r>
          </w:p>
        </w:tc>
      </w:tr>
      <w:tr>
        <w:trPr/>
        <w:tc>
          <w:tcPr>
            <w:tcW w:w="2829"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[2029][2030][2031][2032][Incremental] Term Loan</w:t>
            </w:r>
          </w:p>
        </w:tc>
        <w:tc>
          <w:tcPr>
            <w:tcW w:w="2324" w:type="dxa"/>
            <w:tcBorders/>
            <w:vAlign w:val="center"/>
          </w:tcPr>
          <w:p>
            <w:pPr>
              <w:pStyle w:val="TableContents"/>
              <w:bidi w:val="0"/>
              <w:spacing w:before="28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$____________</w:t>
            </w:r>
          </w:p>
        </w:tc>
        <w:tc>
          <w:tcPr>
            <w:tcW w:w="2443"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609"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w:t>
            </w:r>
          </w:p>
        </w:tc>
      </w:tr>
      <w:tr>
        <w:trPr/>
        <w:tc>
          <w:tcPr>
            <w:tcW w:w="2829" w:type="dxa"/>
            <w:tcBorders/>
            <w:vAlign w:val="center"/>
          </w:tcPr>
          <w:p>
            <w:pPr>
              <w:pStyle w:val="TableContents"/>
              <w:bidi w:val="0"/>
              <w:spacing w:before="280" w:after="0"/>
              <w:ind w:left="0" w:right="0" w:hanging="0"/>
              <w:jc w:val="left"/>
              <w:rPr>
                <w:rFonts w:ascii="Times New Roman;Times;serif" w:hAnsi="Times New Roman;Times;serif"/>
                <w:sz w:val="24"/>
              </w:rPr>
            </w:pPr>
            <w:r>
              <w:rPr>
                <w:rFonts w:ascii="Times New Roman;Times;serif" w:hAnsi="Times New Roman;Times;serif"/>
                <w:sz w:val="24"/>
              </w:rPr>
              <w:t>[Revolving Facility]</w:t>
            </w:r>
          </w:p>
        </w:tc>
        <w:tc>
          <w:tcPr>
            <w:tcW w:w="2324" w:type="dxa"/>
            <w:tcBorders/>
            <w:vAlign w:val="center"/>
          </w:tcPr>
          <w:p>
            <w:pPr>
              <w:pStyle w:val="TableContents"/>
              <w:bidi w:val="0"/>
              <w:spacing w:before="280" w:after="0"/>
              <w:ind w:left="0" w:right="0" w:hanging="0"/>
              <w:jc w:val="center"/>
              <w:rPr>
                <w:rFonts w:ascii="Times New Roman;Times;serif" w:hAnsi="Times New Roman;Times;serif"/>
                <w:caps w:val="false"/>
                <w:smallCaps w:val="false"/>
                <w:sz w:val="24"/>
              </w:rPr>
            </w:pPr>
            <w:r>
              <w:rPr>
                <w:rFonts w:ascii="Times New Roman;Times;serif" w:hAnsi="Times New Roman;Times;serif"/>
                <w:caps w:val="false"/>
                <w:smallCaps w:val="false"/>
                <w:sz w:val="24"/>
              </w:rPr>
              <w:t>$____________</w:t>
            </w:r>
          </w:p>
        </w:tc>
        <w:tc>
          <w:tcPr>
            <w:tcW w:w="2443"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$____________</w:t>
            </w:r>
          </w:p>
        </w:tc>
        <w:tc>
          <w:tcPr>
            <w:tcW w:w="2609" w:type="dxa"/>
            <w:tcBorders/>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_____%</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F-4]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G</w:t>
      </w:r>
    </w:p>
    <w:p>
      <w:pPr>
        <w:pStyle w:val="TextBody"/>
        <w:bidi w:val="0"/>
        <w:spacing w:before="280" w:after="0"/>
        <w:ind w:left="0" w:right="0" w:hanging="0"/>
        <w:jc w:val="center"/>
        <w:rPr>
          <w:rFonts w:ascii="Times New Roman;Times;serif" w:hAnsi="Times New Roman;Times;serif"/>
          <w:b/>
          <w:smallCaps/>
          <w:sz w:val="24"/>
        </w:rPr>
      </w:pPr>
      <w:r>
        <w:rPr>
          <w:rFonts w:ascii="Times New Roman;Times;serif" w:hAnsi="Times New Roman;Times;serif"/>
          <w:b/>
          <w:smallCaps/>
          <w:sz w:val="24"/>
        </w:rPr>
        <w:t>Additional Guarantor Supplement</w:t>
      </w:r>
    </w:p>
    <w:p>
      <w:pPr>
        <w:pStyle w:val="TextBody"/>
        <w:bidi w:val="0"/>
        <w:spacing w:before="0" w:after="240"/>
        <w:ind w:left="0" w:right="0" w:firstLine="720"/>
        <w:jc w:val="right"/>
        <w:rPr>
          <w:rFonts w:ascii="Times" w:hAnsi="Times"/>
          <w:sz w:val="24"/>
        </w:rPr>
      </w:pPr>
      <w:r>
        <w:rPr>
          <w:rFonts w:ascii="Times" w:hAnsi="Times"/>
          <w:sz w:val="24"/>
        </w:rPr>
        <w:t>______________, ___</w:t>
      </w:r>
    </w:p>
    <w:p>
      <w:pPr>
        <w:pStyle w:val="TextBody"/>
        <w:bidi w:val="0"/>
        <w:spacing w:before="140" w:after="240"/>
        <w:ind w:left="0" w:right="4320" w:hanging="0"/>
        <w:jc w:val="both"/>
        <w:rPr>
          <w:rFonts w:ascii="Times" w:hAnsi="Times"/>
          <w:sz w:val="24"/>
        </w:rPr>
      </w:pPr>
      <w:r>
        <w:rPr>
          <w:rFonts w:ascii="Times" w:hAnsi="Times"/>
          <w:sz w:val="24"/>
        </w:rPr>
        <w:t>KeyBank National Association,</w:t>
      </w:r>
      <w:r>
        <w:rPr>
          <w:rFonts w:ascii="Times" w:hAnsi="Times"/>
          <w:smallCaps/>
          <w:sz w:val="24"/>
        </w:rPr>
        <w:t xml:space="preserve"> </w:t>
      </w:r>
      <w:r>
        <w:rPr>
          <w:rFonts w:ascii="Times" w:hAnsi="Times"/>
          <w:sz w:val="24"/>
        </w:rPr>
        <w:t>as Administrative Agent for the Lenders named in the Amended and Restated Credit Agreement dated as of September 29, 2026, among CTO Realty Growth, Inc., as Borrower, the Guarantors signatories thereto, the Lenders from time to time party thereto, and the Administrative Agent (the “</w:t>
      </w:r>
      <w:r>
        <w:rPr>
          <w:rFonts w:ascii="Times" w:hAnsi="Times"/>
          <w:i/>
          <w:sz w:val="24"/>
        </w:rPr>
        <w:t>Credit Agreement”</w:t>
      </w:r>
      <w:r>
        <w:rPr>
          <w:rFonts w:ascii="Times" w:hAnsi="Times"/>
          <w:sz w:val="24"/>
        </w:rPr>
        <w:t>)</w:t>
      </w:r>
    </w:p>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w:hAnsi="Times"/>
          <w:sz w:val="24"/>
        </w:rPr>
      </w:pPr>
      <w:r>
        <w:rPr>
          <w:rFonts w:ascii="Times" w:hAnsi="Times"/>
          <w:sz w:val="24"/>
        </w:rPr>
        <w:t>Reference is made to the Credit Agreement described above.  Terms not defined herein which are defined in the Credit Agreement shall have for the purposes hereof the meaning provided therein.</w:t>
      </w:r>
    </w:p>
    <w:p>
      <w:pPr>
        <w:pStyle w:val="TextBody"/>
        <w:bidi w:val="0"/>
        <w:spacing w:before="0" w:after="240"/>
        <w:ind w:left="0" w:right="0" w:firstLine="720"/>
        <w:jc w:val="both"/>
        <w:rPr>
          <w:rFonts w:ascii="Times" w:hAnsi="Times"/>
          <w:sz w:val="24"/>
        </w:rPr>
      </w:pPr>
      <w:r>
        <w:rPr>
          <w:rFonts w:ascii="Times" w:hAnsi="Times"/>
          <w:sz w:val="24"/>
        </w:rPr>
        <w:t xml:space="preserve">The undersigned, </w:t>
      </w:r>
      <w:r>
        <w:rPr>
          <w:rFonts w:ascii="Times" w:hAnsi="Times"/>
          <w:b/>
          <w:sz w:val="24"/>
        </w:rPr>
        <w:t>[name of Subsidiary Guarantor]</w:t>
      </w:r>
      <w:r>
        <w:rPr>
          <w:rFonts w:ascii="Times" w:hAnsi="Times"/>
          <w:sz w:val="24"/>
        </w:rPr>
        <w:t xml:space="preserve">, a </w:t>
      </w:r>
      <w:r>
        <w:rPr>
          <w:rFonts w:ascii="Times" w:hAnsi="Times"/>
          <w:b/>
          <w:sz w:val="24"/>
        </w:rPr>
        <w:t>[jurisdiction of incorporation or organization]</w:t>
      </w:r>
      <w:r>
        <w:rPr>
          <w:rFonts w:ascii="Times" w:hAnsi="Times"/>
          <w:sz w:val="24"/>
        </w:rPr>
        <w:t xml:space="preserve"> hereby elects to be a “</w:t>
      </w:r>
      <w:r>
        <w:rPr>
          <w:rFonts w:ascii="Times" w:hAnsi="Times"/>
          <w:i/>
          <w:sz w:val="24"/>
        </w:rPr>
        <w:t>Guarantor”</w:t>
      </w:r>
      <w:r>
        <w:rPr>
          <w:rFonts w:ascii="Times" w:hAnsi="Times"/>
          <w:sz w:val="24"/>
        </w:rPr>
        <w:t xml:space="preserve"> for all purposes of the Credit Agreement, effective from the date hereof.  The undersigned confirms that the representations and warranties set forth in Section 6 of the Credit Agreement are true and correct as to the undersigned as of the date hereof and the undersigned shall comply with each of the covenants set forth in Section 8 of the Credit Agreement applicable to it.</w:t>
      </w:r>
    </w:p>
    <w:p>
      <w:pPr>
        <w:pStyle w:val="TextBody"/>
        <w:bidi w:val="0"/>
        <w:spacing w:before="0" w:after="240"/>
        <w:ind w:left="0" w:right="0" w:firstLine="720"/>
        <w:jc w:val="both"/>
        <w:rPr>
          <w:rFonts w:ascii="Times" w:hAnsi="Times"/>
          <w:sz w:val="24"/>
        </w:rPr>
      </w:pPr>
      <w:r>
        <w:rPr>
          <w:rFonts w:ascii="Times" w:hAnsi="Times"/>
          <w:sz w:val="24"/>
        </w:rPr>
        <w:t>Without limiting the generality of the foregoing, the undersigned hereby agrees to perform all the obligations of a Guarantor under, and to be bound in all respects by the terms of, the Credit Agreement, including, without limitation, Section 13 thereof, to the same extent and with the same force and effect as if the undersigned were a signatory party thereto.  </w:t>
      </w:r>
    </w:p>
    <w:p>
      <w:pPr>
        <w:pStyle w:val="TextBody"/>
        <w:bidi w:val="0"/>
        <w:spacing w:before="0" w:after="240"/>
        <w:ind w:left="0" w:right="0" w:firstLine="720"/>
        <w:jc w:val="both"/>
        <w:rPr>
          <w:rFonts w:ascii="Times" w:hAnsi="Times"/>
          <w:sz w:val="24"/>
        </w:rPr>
      </w:pPr>
      <w:r>
        <w:rPr>
          <w:rFonts w:ascii="Times" w:hAnsi="Times"/>
          <w:sz w:val="24"/>
        </w:rPr>
        <w:t>The undersigned acknowledges that this Agreement shall be effective upon its execution and delivery by the undersigned to the Administrative Agent, and it shall not be necessary for the Administrative Agent or any Lender, or any of their Affiliates entitled to the benefits hereof, to execute this Agreement or any other acceptance hereof.  This Agreement shall be construed in accordance with and governed by the internal laws of the State of New York.</w:t>
      </w:r>
    </w:p>
    <w:p>
      <w:pPr>
        <w:pStyle w:val="TextBody"/>
        <w:bidi w:val="0"/>
        <w:spacing w:before="240" w:after="0"/>
        <w:ind w:left="5040" w:right="0" w:hanging="0"/>
        <w:jc w:val="left"/>
        <w:rPr>
          <w:rFonts w:ascii="Times New Roman;Times;serif" w:hAnsi="Times New Roman;Times;serif"/>
          <w:sz w:val="24"/>
        </w:rPr>
      </w:pPr>
      <w:r>
        <w:rPr>
          <w:rFonts w:ascii="Times New Roman;Times;serif" w:hAnsi="Times New Roman;Times;serif"/>
          <w:sz w:val="24"/>
        </w:rPr>
        <w:t>Very truly yours,</w:t>
      </w:r>
    </w:p>
    <w:p>
      <w:pPr>
        <w:pStyle w:val="TextBody"/>
        <w:bidi w:val="0"/>
        <w:spacing w:before="160" w:after="0"/>
        <w:ind w:left="5040" w:right="0" w:hanging="0"/>
        <w:jc w:val="left"/>
        <w:rPr>
          <w:rFonts w:ascii="Times New Roman;Times;serif" w:hAnsi="Times New Roman;Times;serif"/>
          <w:smallCaps/>
          <w:sz w:val="24"/>
        </w:rPr>
      </w:pPr>
      <w:r>
        <w:rPr>
          <w:rFonts w:ascii="Times New Roman;Times;serif" w:hAnsi="Times New Roman;Times;serif"/>
          <w:smallCaps/>
          <w:sz w:val="24"/>
        </w:rPr>
        <w:t>[Name of Subsidiary Guarantor]</w:t>
      </w:r>
    </w:p>
    <w:p>
      <w:pPr>
        <w:pStyle w:val="TextBody"/>
        <w:bidi w:val="0"/>
        <w:spacing w:before="480" w:after="0"/>
        <w:ind w:left="5040" w:right="0" w:hanging="0"/>
        <w:jc w:val="left"/>
        <w:rPr>
          <w:rFonts w:ascii="Times New Roman;Times;serif" w:hAnsi="Times New Roman;Times;serif"/>
          <w:sz w:val="24"/>
        </w:rPr>
      </w:pPr>
      <w:r>
        <w:rPr>
          <w:rFonts w:ascii="Times New Roman;Times;serif" w:hAnsi="Times New Roman;Times;serif"/>
          <w:sz w:val="24"/>
        </w:rPr>
        <w:t>By</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4"/>
        </w:rPr>
        <w:t>Name</w:t>
      </w:r>
    </w:p>
    <w:p>
      <w:pPr>
        <w:pStyle w:val="TextBody"/>
        <w:bidi w:val="0"/>
        <w:spacing w:before="0" w:after="0"/>
        <w:ind w:left="5040" w:right="0" w:hanging="0"/>
        <w:jc w:val="left"/>
        <w:rPr>
          <w:rFonts w:ascii="Times New Roman;Times;serif" w:hAnsi="Times New Roman;Times;serif"/>
          <w:sz w:val="24"/>
        </w:rPr>
      </w:pPr>
      <w:r>
        <w:rPr>
          <w:rFonts w:ascii="Times New Roman;Times;serif" w:hAnsi="Times New Roman;Times;serif"/>
          <w:sz w:val="24"/>
        </w:rPr>
        <w:t>Title________________________________</w:t>
      </w:r>
    </w:p>
    <w:p>
      <w:pPr>
        <w:pStyle w:val="TextBody"/>
        <w:bidi w:val="0"/>
        <w:spacing w:before="0" w:after="0"/>
        <w:ind w:left="504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G]</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Exhibit H</w:t>
        <w:br/>
        <w:br/>
        <w:t>Commitment Increase Request</w:t>
      </w:r>
    </w:p>
    <w:p>
      <w:pPr>
        <w:pStyle w:val="TextBody"/>
        <w:bidi w:val="0"/>
        <w:spacing w:before="360" w:after="640"/>
        <w:ind w:left="0" w:right="0" w:hanging="0"/>
        <w:jc w:val="center"/>
        <w:rPr>
          <w:rFonts w:ascii="Times New Roman;Times;serif" w:hAnsi="Times New Roman;Times;serif"/>
          <w:sz w:val="24"/>
        </w:rPr>
      </w:pPr>
      <w:r>
        <w:rPr>
          <w:rFonts w:ascii="Times New Roman;Times;serif" w:hAnsi="Times New Roman;Times;serif"/>
          <w:sz w:val="24"/>
        </w:rPr>
        <w:t>_______________, ____</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40"/>
              <w:jc w:val="both"/>
              <w:rPr>
                <w:rFonts w:ascii="Times" w:hAnsi="Times"/>
                <w:sz w:val="24"/>
              </w:rPr>
            </w:pPr>
            <w:r>
              <w:rPr>
                <w:rFonts w:ascii="Times" w:hAnsi="Times"/>
                <w:sz w:val="24"/>
              </w:rPr>
              <w:t>To:</w:t>
            </w:r>
          </w:p>
        </w:tc>
        <w:tc>
          <w:tcPr>
            <w:tcW w:w="9901" w:type="dxa"/>
            <w:tcBorders/>
            <w:vAlign w:val="center"/>
          </w:tcPr>
          <w:p>
            <w:pPr>
              <w:pStyle w:val="TableContents"/>
              <w:bidi w:val="0"/>
              <w:spacing w:before="0" w:after="240"/>
              <w:jc w:val="both"/>
              <w:rPr>
                <w:rFonts w:ascii="Times" w:hAnsi="Times"/>
                <w:sz w:val="24"/>
              </w:rPr>
            </w:pPr>
            <w:r>
              <w:rPr>
                <w:rFonts w:ascii="Times" w:hAnsi="Times"/>
                <w:sz w:val="24"/>
              </w:rPr>
              <w:t>KeyBank National Association, as Administrative Agent for the Lenders parties to the Amended and Restated Credit Agreement dated as of September 29, 2026 (as extended, renewed, amended or restated from time to time, the “</w:t>
            </w:r>
            <w:r>
              <w:rPr>
                <w:rFonts w:ascii="Times" w:hAnsi="Times"/>
                <w:i/>
                <w:sz w:val="24"/>
              </w:rPr>
              <w:t>Credit Agreement”</w:t>
            </w:r>
            <w:r>
              <w:rPr>
                <w:rFonts w:ascii="Times" w:hAnsi="Times"/>
                <w:sz w:val="24"/>
              </w:rPr>
              <w:t>), among CTO Realty Growth, Inc., the Guarantors which are signatories thereto, certain Lenders parties thereto, and the Administrative Agent</w:t>
            </w:r>
          </w:p>
        </w:tc>
      </w:tr>
    </w:tbl>
    <w:p>
      <w:pPr>
        <w:pStyle w:val="TextBody"/>
        <w:bidi w:val="0"/>
        <w:spacing w:before="0" w:after="240"/>
        <w:ind w:left="0" w:right="0" w:hanging="0"/>
        <w:jc w:val="both"/>
        <w:rPr>
          <w:rFonts w:ascii="Times" w:hAnsi="Times"/>
          <w:sz w:val="24"/>
        </w:rPr>
      </w:pPr>
      <w:r>
        <w:rPr>
          <w:rFonts w:ascii="Times" w:hAnsi="Times"/>
          <w:sz w:val="24"/>
        </w:rPr>
        <w:t>Ladies and Gentlemen:</w:t>
      </w:r>
    </w:p>
    <w:p>
      <w:pPr>
        <w:pStyle w:val="TextBody"/>
        <w:bidi w:val="0"/>
        <w:spacing w:before="0" w:after="240"/>
        <w:ind w:left="0" w:right="0" w:firstLine="720"/>
        <w:jc w:val="both"/>
        <w:rPr>
          <w:rFonts w:ascii="Times" w:hAnsi="Times"/>
          <w:sz w:val="24"/>
        </w:rPr>
      </w:pPr>
      <w:r>
        <w:rPr>
          <w:rFonts w:ascii="Times" w:hAnsi="Times"/>
          <w:sz w:val="24"/>
        </w:rPr>
        <w:t>The undersigned, CTO Realty Growth, Inc. (the “</w:t>
      </w:r>
      <w:r>
        <w:rPr>
          <w:rFonts w:ascii="Times" w:hAnsi="Times"/>
          <w:i/>
          <w:sz w:val="24"/>
        </w:rPr>
        <w:t>Borrower”</w:t>
      </w:r>
      <w:r>
        <w:rPr>
          <w:rFonts w:ascii="Times" w:hAnsi="Times"/>
          <w:sz w:val="24"/>
        </w:rPr>
        <w:t xml:space="preserve">) hereby refers to the Credit Agreement and requests that the Administrative Agent consent to an </w:t>
      </w:r>
      <w:r>
        <w:rPr>
          <w:rFonts w:ascii="Times" w:hAnsi="Times"/>
          <w:b/>
          <w:sz w:val="24"/>
        </w:rPr>
        <w:t>[increase in the aggregate [Revolving Credit][2029 Term Loan][2030 Term Loan][2031 Term Loan][2032 Term Loan] Commitments] [[__] Incremental Term Loan Commitment]</w:t>
      </w:r>
      <w:r>
        <w:rPr>
          <w:rFonts w:ascii="Times" w:hAnsi="Times"/>
          <w:sz w:val="24"/>
        </w:rPr>
        <w:t xml:space="preserve"> (the “</w:t>
      </w:r>
      <w:r>
        <w:rPr>
          <w:rFonts w:ascii="Times" w:hAnsi="Times"/>
          <w:i/>
          <w:sz w:val="24"/>
        </w:rPr>
        <w:t>Commitment Increase”</w:t>
      </w:r>
      <w:r>
        <w:rPr>
          <w:rFonts w:ascii="Times" w:hAnsi="Times"/>
          <w:sz w:val="24"/>
        </w:rPr>
        <w:t xml:space="preserve">), in accordance with Section 1.15 of the Credit Agreement, to be effected by </w:t>
      </w:r>
      <w:r>
        <w:rPr>
          <w:rFonts w:ascii="Times" w:hAnsi="Times"/>
          <w:b/>
          <w:sz w:val="24"/>
        </w:rPr>
        <w:t xml:space="preserve">[an increase in the [Revolving Credit][2029 Term Loan][2030 Term Loan][2031 Term Loan][2032 Term Loan] Commitment] of [name of existing Lender] [[__] Incremental Term Loan Commitment] [the addition of [name of new Lender] (the </w:t>
      </w:r>
      <w:r>
        <w:rPr>
          <w:rFonts w:ascii="Times" w:hAnsi="Times"/>
          <w:sz w:val="24"/>
        </w:rPr>
        <w:t>“</w:t>
      </w:r>
      <w:r>
        <w:rPr>
          <w:rFonts w:ascii="Times" w:hAnsi="Times"/>
          <w:b/>
          <w:i/>
          <w:sz w:val="24"/>
        </w:rPr>
        <w:t>New Lender”</w:t>
      </w:r>
      <w:r>
        <w:rPr>
          <w:rFonts w:ascii="Times" w:hAnsi="Times"/>
          <w:b/>
          <w:sz w:val="24"/>
        </w:rPr>
        <w:t>) as a Lender under the terms of the Credit Agreement]</w:t>
      </w:r>
      <w:r>
        <w:rPr>
          <w:rFonts w:ascii="Times" w:hAnsi="Times"/>
          <w:sz w:val="24"/>
        </w:rPr>
        <w:t>.  Capitalized terms used herein without definition shall have the same meanings herein as such terms have in the Credit Agreement.</w:t>
      </w:r>
    </w:p>
    <w:p>
      <w:pPr>
        <w:pStyle w:val="TextBody"/>
        <w:bidi w:val="0"/>
        <w:spacing w:before="0" w:after="240"/>
        <w:ind w:left="0" w:right="0" w:firstLine="720"/>
        <w:jc w:val="both"/>
        <w:rPr>
          <w:rFonts w:ascii="Times" w:hAnsi="Times"/>
          <w:sz w:val="24"/>
        </w:rPr>
      </w:pPr>
      <w:r>
        <w:rPr>
          <w:rFonts w:ascii="Times" w:hAnsi="Times"/>
          <w:sz w:val="24"/>
        </w:rPr>
        <w:t xml:space="preserve">After giving effect to such Commitment Amount Increase, </w:t>
      </w:r>
      <w:r>
        <w:rPr>
          <w:rFonts w:ascii="Times" w:hAnsi="Times"/>
          <w:b/>
          <w:sz w:val="24"/>
        </w:rPr>
        <w:t>[the [Revolving Credit][2029 Term Loan][2030 Term Loan][2031 Term Loan][2032 Term Loan] Commitment] [[__] Incremental Term Loan Commitment]</w:t>
      </w:r>
      <w:r>
        <w:rPr>
          <w:rFonts w:ascii="Times" w:hAnsi="Times"/>
          <w:sz w:val="24"/>
        </w:rPr>
        <w:t xml:space="preserve"> of the </w:t>
      </w:r>
      <w:r>
        <w:rPr>
          <w:rFonts w:ascii="Times" w:hAnsi="Times"/>
          <w:b/>
          <w:sz w:val="24"/>
        </w:rPr>
        <w:t xml:space="preserve">[Lender] [New Lender] </w:t>
      </w:r>
      <w:r>
        <w:rPr>
          <w:rFonts w:ascii="Times" w:hAnsi="Times"/>
          <w:sz w:val="24"/>
        </w:rPr>
        <w:t>shall be $_____________.</w:t>
      </w:r>
    </w:p>
    <w:p>
      <w:pPr>
        <w:pStyle w:val="TextBody"/>
        <w:bidi w:val="0"/>
        <w:spacing w:before="0" w:after="240"/>
        <w:ind w:left="0" w:right="0" w:firstLine="720"/>
        <w:jc w:val="center"/>
        <w:rPr>
          <w:rFonts w:ascii="Times" w:hAnsi="Times"/>
          <w:b/>
          <w:sz w:val="24"/>
        </w:rPr>
      </w:pPr>
      <w:r>
        <w:rPr>
          <w:rFonts w:ascii="Times" w:hAnsi="Times"/>
          <w:b/>
          <w:sz w:val="24"/>
        </w:rPr>
        <w:t>[Include paragraphs 1-4 for a New Lender]</w:t>
      </w:r>
    </w:p>
    <w:p>
      <w:pPr>
        <w:pStyle w:val="TextBody"/>
        <w:bidi w:val="0"/>
        <w:spacing w:before="0" w:after="240"/>
        <w:ind w:left="0" w:right="0" w:hanging="0"/>
        <w:jc w:val="both"/>
        <w:rPr>
          <w:rFonts w:ascii="Times" w:hAnsi="Times"/>
          <w:sz w:val="24"/>
        </w:rPr>
      </w:pPr>
      <w:r>
        <w:rPr>
          <w:rFonts w:ascii="Times" w:hAnsi="Times"/>
          <w:sz w:val="24"/>
        </w:rPr>
        <w:t>1.The New Lender hereby confirms that it has received a copy of the Loan Documents and the exhibits related thereto, together with copies of the documents which were required to be delivered under the Credit Agreement as a condition to the making of the Revolving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Borrower or any other party to the Credit Agreement or any other Loan Document or with respect to the legality, validity, sufficiency or enforceability of the Credit Agreement or any other Loan Document or the value of any security therefor.</w:t>
      </w:r>
    </w:p>
    <w:p>
      <w:pPr>
        <w:pStyle w:val="TextBody"/>
        <w:bidi w:val="0"/>
        <w:spacing w:before="0" w:after="0"/>
        <w:ind w:left="0" w:right="0" w:hanging="0"/>
        <w:jc w:val="both"/>
        <w:rPr>
          <w:rFonts w:ascii="Times" w:hAnsi="Times"/>
          <w:sz w:val="24"/>
        </w:rPr>
      </w:pPr>
      <w:r>
        <w:rPr>
          <w:rFonts w:ascii="Times" w:hAnsi="Times"/>
          <w:sz w:val="24"/>
        </w:rPr>
        <w:t xml:space="preserve">2.Except as otherwise provided in the Credit Agreement, effective as of the date of acceptance hereof by the Administrative Agent, the New Lender (i) shall be deemed automatically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w:hAnsi="Times"/>
          <w:sz w:val="24"/>
        </w:rPr>
      </w:pPr>
      <w:r>
        <w:rPr>
          <w:rFonts w:ascii="Times" w:hAnsi="Times"/>
          <w:sz w:val="24"/>
        </w:rPr>
        <w:t>to have become a party to the Credit Agreement and have all the rights and obligations of a “</w:t>
      </w:r>
      <w:r>
        <w:rPr>
          <w:rFonts w:ascii="Times" w:hAnsi="Times"/>
          <w:i/>
          <w:sz w:val="24"/>
        </w:rPr>
        <w:t>Lender”</w:t>
      </w:r>
      <w:r>
        <w:rPr>
          <w:rFonts w:ascii="Times" w:hAnsi="Times"/>
          <w:sz w:val="24"/>
        </w:rPr>
        <w:t xml:space="preserve"> under the Credit Agreement as if it were an original signatory thereto and (ii) agrees to be bound by the terms and conditions set forth in the Credit Agreement as if it were an original signatory thereto.</w:t>
      </w:r>
    </w:p>
    <w:p>
      <w:pPr>
        <w:pStyle w:val="TextBody"/>
        <w:bidi w:val="0"/>
        <w:spacing w:before="0" w:after="240"/>
        <w:ind w:left="0" w:right="0" w:hanging="0"/>
        <w:jc w:val="both"/>
        <w:rPr>
          <w:rFonts w:ascii="Times" w:hAnsi="Times"/>
          <w:sz w:val="24"/>
        </w:rPr>
      </w:pPr>
      <w:r>
        <w:rPr>
          <w:rFonts w:ascii="Times" w:hAnsi="Times"/>
          <w:sz w:val="24"/>
        </w:rPr>
        <w:t>3.The New Lender shall deliver to the Administrative Agent an Administrative Questionnaire and shall have executed an Incremental Term Loan Amendment.</w:t>
      </w:r>
    </w:p>
    <w:p>
      <w:pPr>
        <w:pStyle w:val="TextBody"/>
        <w:bidi w:val="0"/>
        <w:spacing w:before="0" w:after="240"/>
        <w:ind w:left="0" w:right="0" w:hanging="0"/>
        <w:jc w:val="both"/>
        <w:rPr/>
      </w:pPr>
      <w:r>
        <w:rPr>
          <w:rFonts w:ascii="Times" w:hAnsi="Times"/>
          <w:b/>
          <w:sz w:val="24"/>
        </w:rPr>
        <w:t>[4.The New Lender has delivered, if appropriate, to the Borrower and the Administrative Agent (or is delivering to the Borrower and the Administrative Agent concurrently herewith) the tax forms referred to in [Section 12.1] of the Credit Agreement.]</w:t>
      </w:r>
      <w:hyperlink w:anchor="footnote-13">
        <w:r>
          <w:rPr>
            <w:rStyle w:val="InternetLink"/>
            <w:rFonts w:ascii="Symbol" w:hAnsi="Symbol"/>
            <w:b w:val="false"/>
            <w:sz w:val="20"/>
          </w:rPr>
          <w:t>*</w:t>
        </w:r>
      </w:hyperlink>
    </w:p>
    <w:p>
      <w:pPr>
        <w:pStyle w:val="TextBody"/>
        <w:bidi w:val="0"/>
        <w:spacing w:before="160" w:after="240"/>
        <w:ind w:left="0" w:right="0" w:firstLine="720"/>
        <w:jc w:val="both"/>
        <w:rPr>
          <w:rFonts w:ascii="Times" w:hAnsi="Times"/>
          <w:smallCaps/>
          <w:sz w:val="24"/>
        </w:rPr>
      </w:pPr>
      <w:r>
        <w:rPr>
          <w:rFonts w:ascii="Times" w:hAnsi="Times"/>
          <w:smallCaps/>
          <w:sz w:val="24"/>
        </w:rPr>
        <w:t>This Agreement shall be deemed to be a contractual obligation under, and shall be governed by and construed in accordance with, the internal laws of the state of New York.</w:t>
      </w:r>
    </w:p>
    <w:p>
      <w:pPr>
        <w:pStyle w:val="TextBody"/>
        <w:bidi w:val="0"/>
        <w:spacing w:before="0" w:after="240"/>
        <w:ind w:left="0" w:right="0" w:firstLine="720"/>
        <w:jc w:val="both"/>
        <w:rPr>
          <w:rFonts w:ascii="Times" w:hAnsi="Times"/>
          <w:sz w:val="24"/>
        </w:rPr>
      </w:pPr>
      <w:r>
        <w:rPr>
          <w:rFonts w:ascii="Times" w:hAnsi="Times"/>
          <w:sz w:val="24"/>
        </w:rPr>
        <w:t>The Commitment Increase shall be effective when the executed consent of the Administrative Agent is received or otherwise in accordance with Section 1.15 of the Credit Agreement, but not in any case prior to ___________________, ____.  It shall be a condition to the effectiveness of the Commitment Amount Increase that all expenses referred to in Section 1.15 of the Credit Agreement shall have been paid.</w:t>
      </w:r>
    </w:p>
    <w:p>
      <w:pPr>
        <w:pStyle w:val="TextBody"/>
        <w:bidi w:val="0"/>
        <w:spacing w:before="0" w:after="240"/>
        <w:ind w:left="0" w:right="0" w:firstLine="720"/>
        <w:jc w:val="both"/>
        <w:rPr>
          <w:rFonts w:ascii="Times" w:hAnsi="Times"/>
          <w:sz w:val="24"/>
        </w:rPr>
      </w:pPr>
      <w:r>
        <w:rPr>
          <w:rFonts w:ascii="Times" w:hAnsi="Times"/>
          <w:sz w:val="24"/>
        </w:rPr>
        <w:t>The Borrower hereby certifies that no Default or Event of Default has occurred and is continuing.</w:t>
      </w:r>
    </w:p>
    <w:p>
      <w:pPr>
        <w:pStyle w:val="TextBody"/>
        <w:pBdr/>
        <w:bidi w:val="0"/>
        <w:spacing w:lineRule="atLeast" w:line="240" w:before="0" w:after="240"/>
        <w:ind w:left="0" w:right="0" w:hanging="180"/>
        <w:jc w:val="both"/>
        <w:rPr>
          <w:rFonts w:ascii="Times New Roman;Times;serif" w:hAnsi="Times New Roman;Times;serif"/>
          <w:sz w:val="20"/>
        </w:rPr>
      </w:pPr>
      <w:bookmarkStart w:id="272" w:name="footnote-13"/>
      <w:bookmarkEnd w:id="272"/>
      <w:r>
        <w:rPr>
          <w:rFonts w:ascii="Symbol" w:hAnsi="Symbol"/>
          <w:sz w:val="20"/>
        </w:rPr>
        <w:t>*</w:t>
      </w:r>
      <w:r>
        <w:rPr>
          <w:rFonts w:ascii="Times New Roman;Times;serif" w:hAnsi="Times New Roman;Times;serif"/>
          <w:sz w:val="20"/>
        </w:rPr>
        <w:t xml:space="preserve"> Insert bracketed paragraph if New Lender is organized under the law of a jurisdiction other than the United States of America or a state thereof.</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w:hAnsi="Times"/>
          <w:sz w:val="24"/>
        </w:rPr>
      </w:pPr>
      <w:r>
        <w:rPr>
          <w:rFonts w:ascii="Times" w:hAnsi="Times"/>
          <w:sz w:val="24"/>
        </w:rPr>
        <w:t>Please indicate the Administrative Agent’s consent to such Commitment Increase by signing the enclosed copy of this letter in the space provided below.</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Very truly yours,</w:t>
      </w:r>
    </w:p>
    <w:p>
      <w:pPr>
        <w:pStyle w:val="TextBody"/>
        <w:pBdr/>
        <w:bidi w:val="0"/>
        <w:spacing w:before="0" w:after="0"/>
        <w:ind w:left="4680" w:right="0" w:hanging="230"/>
        <w:jc w:val="left"/>
        <w:rPr>
          <w:smallCaps/>
        </w:rPr>
      </w:pPr>
      <w:r>
        <w:rPr>
          <w:smallCaps/>
        </w:rPr>
        <w:t>​</w:t>
      </w:r>
    </w:p>
    <w:p>
      <w:pPr>
        <w:pStyle w:val="TextBody"/>
        <w:pBdr/>
        <w:bidi w:val="0"/>
        <w:spacing w:before="0" w:after="0"/>
        <w:ind w:left="4680" w:right="0" w:hanging="230"/>
        <w:jc w:val="left"/>
        <w:rPr>
          <w:rFonts w:ascii="Times New Roman;Times;serif" w:hAnsi="Times New Roman;Times;serif"/>
          <w:smallCaps/>
          <w:sz w:val="24"/>
        </w:rPr>
      </w:pPr>
      <w:r>
        <w:rPr>
          <w:rFonts w:ascii="Times New Roman;Times;serif" w:hAnsi="Times New Roman;Times;serif"/>
          <w:smallCaps/>
          <w:sz w:val="24"/>
        </w:rPr>
        <w:t>CTO REALTY GROWTH, INC.</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b/>
          <w:sz w:val="24"/>
        </w:rPr>
        <w:t>[</w:t>
      </w:r>
      <w:r>
        <w:rPr>
          <w:rFonts w:ascii="Times New Roman;Times;serif" w:hAnsi="Times New Roman;Times;serif"/>
          <w:b/>
          <w:smallCaps/>
          <w:sz w:val="24"/>
        </w:rPr>
        <w:t>New or existing Lender Increasing Commitments]</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pPr>
      <w:r>
        <w:rPr/>
        <w:t>​</w:t>
      </w:r>
    </w:p>
    <w:p>
      <w:pPr>
        <w:pStyle w:val="TextBody"/>
        <w:pBdr/>
        <w:bidi w:val="0"/>
        <w:spacing w:before="0" w:after="0"/>
        <w:ind w:left="4680" w:right="0" w:hanging="23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4680" w:right="0" w:hanging="230"/>
        <w:jc w:val="left"/>
        <w:rPr/>
      </w:pPr>
      <w:r>
        <w:rPr/>
        <w:t>  </w:t>
      </w:r>
      <w:r>
        <w:rPr>
          <w:rFonts w:ascii="Times New Roman;Times;serif" w:hAnsi="Times New Roman;Times;serif"/>
          <w:sz w:val="24"/>
        </w:rPr>
        <w:t>Name:</w:t>
      </w:r>
    </w:p>
    <w:p>
      <w:pPr>
        <w:pStyle w:val="TextBody"/>
        <w:pBdr/>
        <w:bidi w:val="0"/>
        <w:spacing w:before="0" w:after="0"/>
        <w:ind w:left="4680" w:right="0" w:hanging="230"/>
        <w:jc w:val="left"/>
        <w:rPr/>
      </w:pPr>
      <w:r>
        <w:rPr/>
        <w:t>  </w:t>
      </w:r>
      <w:r>
        <w:rPr>
          <w:rFonts w:ascii="Times New Roman;Times;serif" w:hAnsi="Times New Roman;Times;serif"/>
          <w:sz w:val="24"/>
        </w:rPr>
        <w:t>Title:</w:t>
      </w:r>
    </w:p>
    <w:p>
      <w:pPr>
        <w:pStyle w:val="TextBody"/>
        <w:bidi w:val="0"/>
        <w:spacing w:before="0" w:after="240"/>
        <w:ind w:left="0" w:right="5587" w:firstLine="720"/>
        <w:jc w:val="left"/>
        <w:rPr/>
      </w:pPr>
      <w:r>
        <w:rPr/>
        <w:t>​</w:t>
      </w:r>
    </w:p>
    <w:p>
      <w:pPr>
        <w:pStyle w:val="TextBody"/>
        <w:bidi w:val="0"/>
        <w:spacing w:before="0" w:after="240"/>
        <w:ind w:left="0" w:right="5587" w:firstLine="720"/>
        <w:jc w:val="left"/>
        <w:rPr>
          <w:rFonts w:ascii="Times New Roman;Times;serif" w:hAnsi="Times New Roman;Times;serif"/>
          <w:sz w:val="24"/>
        </w:rPr>
      </w:pPr>
      <w:r>
        <w:rPr>
          <w:rFonts w:ascii="Times New Roman;Times;serif" w:hAnsi="Times New Roman;Times;serif"/>
          <w:sz w:val="24"/>
        </w:rPr>
        <w:t>The undersigned hereby consents on this __ day of _____________, _____ to the above-requested Commitment Amount Increase.</w:t>
      </w:r>
    </w:p>
    <w:p>
      <w:pPr>
        <w:pStyle w:val="TextBody"/>
        <w:bidi w:val="0"/>
        <w:spacing w:before="400" w:after="500"/>
        <w:ind w:left="0" w:right="0" w:hanging="0"/>
        <w:jc w:val="left"/>
        <w:rPr>
          <w:rFonts w:ascii="Times New Roman;Times;serif" w:hAnsi="Times New Roman;Times;serif"/>
          <w:sz w:val="24"/>
        </w:rPr>
      </w:pPr>
      <w:r>
        <w:rPr>
          <w:rFonts w:ascii="Times New Roman;Times;serif" w:hAnsi="Times New Roman;Times;serif"/>
          <w:smallCaps/>
          <w:sz w:val="24"/>
        </w:rPr>
        <w:t>KEYBANK NATIONAL ASSOCIATION,</w:t>
        <w:br/>
      </w:r>
      <w:r>
        <w:rPr>
          <w:rFonts w:ascii="Times New Roman;Times;serif" w:hAnsi="Times New Roman;Times;serif"/>
          <w:sz w:val="24"/>
        </w:rPr>
        <w:t>as Administrative Agent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p>
      <w:pPr>
        <w:pStyle w:val="TextBody"/>
        <w:pBdr/>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H-3]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mallCaps/>
          <w:sz w:val="24"/>
        </w:rPr>
      </w:pPr>
      <w:bookmarkStart w:id="273" w:name="_Hlk241226297"/>
      <w:bookmarkEnd w:id="273"/>
      <w:r>
        <w:rPr>
          <w:rFonts w:ascii="Times New Roman;Times;serif" w:hAnsi="Times New Roman;Times;serif"/>
          <w:b/>
          <w:smallCaps/>
          <w:sz w:val="24"/>
        </w:rPr>
        <w:t>Schedule 1</w:t>
        <w:br/>
        <w:br/>
        <w:t>Commitments</w:t>
      </w:r>
    </w:p>
    <w:tbl>
      <w:tblPr>
        <w:tblW w:w="10205" w:type="dxa"/>
        <w:jc w:val="center"/>
        <w:tblInd w:w="0" w:type="dxa"/>
        <w:tblLayout w:type="fixed"/>
        <w:tblCellMar>
          <w:top w:w="0" w:type="dxa"/>
          <w:left w:w="0" w:type="dxa"/>
          <w:bottom w:w="0" w:type="dxa"/>
          <w:right w:w="0" w:type="dxa"/>
        </w:tblCellMar>
      </w:tblPr>
      <w:tblGrid>
        <w:gridCol w:w="1248"/>
        <w:gridCol w:w="1447"/>
        <w:gridCol w:w="1525"/>
        <w:gridCol w:w="1445"/>
        <w:gridCol w:w="1523"/>
        <w:gridCol w:w="1445"/>
        <w:gridCol w:w="1572"/>
      </w:tblGrid>
      <w:tr>
        <w:trPr/>
        <w:tc>
          <w:tcPr>
            <w:tcW w:w="1248"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left"/>
              <w:rPr/>
            </w:pPr>
            <w:r>
              <w:rPr/>
              <w:t>​</w:t>
            </w:r>
          </w:p>
        </w:tc>
        <w:tc>
          <w:tcPr>
            <w:tcW w:w="1525" w:type="dxa"/>
            <w:tcBorders/>
            <w:vAlign w:val="center"/>
          </w:tcPr>
          <w:p>
            <w:pPr>
              <w:pStyle w:val="TableContents"/>
              <w:bidi w:val="0"/>
              <w:spacing w:before="0" w:after="0"/>
              <w:ind w:left="0" w:right="0" w:hanging="0"/>
              <w:jc w:val="left"/>
              <w:rPr/>
            </w:pPr>
            <w:r>
              <w:rPr/>
              <w:t>​</w:t>
            </w:r>
          </w:p>
        </w:tc>
        <w:tc>
          <w:tcPr>
            <w:tcW w:w="1445" w:type="dxa"/>
            <w:tcBorders/>
            <w:vAlign w:val="center"/>
          </w:tcPr>
          <w:p>
            <w:pPr>
              <w:pStyle w:val="TableContents"/>
              <w:bidi w:val="0"/>
              <w:spacing w:before="0" w:after="0"/>
              <w:ind w:left="0" w:right="0" w:hanging="0"/>
              <w:jc w:val="left"/>
              <w:rPr/>
            </w:pPr>
            <w:r>
              <w:rPr/>
              <w:t>​</w:t>
            </w:r>
          </w:p>
        </w:tc>
        <w:tc>
          <w:tcPr>
            <w:tcW w:w="1523" w:type="dxa"/>
            <w:tcBorders/>
            <w:vAlign w:val="center"/>
          </w:tcPr>
          <w:p>
            <w:pPr>
              <w:pStyle w:val="TableContents"/>
              <w:bidi w:val="0"/>
              <w:spacing w:before="0" w:after="0"/>
              <w:ind w:left="0" w:right="0" w:hanging="0"/>
              <w:jc w:val="left"/>
              <w:rPr/>
            </w:pPr>
            <w:r>
              <w:rPr/>
              <w:t>​</w:t>
            </w:r>
          </w:p>
        </w:tc>
        <w:tc>
          <w:tcPr>
            <w:tcW w:w="1445"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0" w:hanging="0"/>
              <w:jc w:val="left"/>
              <w:rPr/>
            </w:pPr>
            <w:r>
              <w:rPr/>
              <w:t>​</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Name of Lender</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Revolving Credit Commitment</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120"/>
              <w:ind w:left="0" w:right="0" w:hanging="0"/>
              <w:jc w:val="center"/>
              <w:rPr>
                <w:rFonts w:ascii="Times" w:hAnsi="Times"/>
                <w:smallCaps/>
                <w:sz w:val="22"/>
              </w:rPr>
            </w:pPr>
            <w:r>
              <w:rPr>
                <w:rFonts w:ascii="Times" w:hAnsi="Times"/>
                <w:smallCaps/>
                <w:sz w:val="22"/>
              </w:rPr>
              <w:t>Applicable Percentage for Revolving Facility</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2029 Term Loan Commitment</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Applicable Percentage for 2029 Term Loans</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2030 Term Loan Commitment</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0"/>
              <w:ind w:left="0" w:right="0" w:hanging="0"/>
              <w:jc w:val="center"/>
              <w:rPr>
                <w:rFonts w:ascii="Times" w:hAnsi="Times"/>
                <w:smallCaps/>
                <w:sz w:val="22"/>
              </w:rPr>
            </w:pPr>
            <w:r>
              <w:rPr>
                <w:rFonts w:ascii="Times" w:hAnsi="Times"/>
                <w:smallCaps/>
                <w:sz w:val="22"/>
              </w:rPr>
              <w:t>Applicable Percentage for 2030 Term Loans</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 xml:space="preserve">KeyBank National Association </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$53,000,000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13.250000000%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$37,500,000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25.000000000%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$25,000,000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16.666666667%</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The Huntington National Bank</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$47,000,000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11.750000000%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$6,250,000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4.166666667%</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$12,500,000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8.333333333%</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PNC Bank, National Association</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$47,000,000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11.750000000%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$31,250,000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20.833333333%</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$20,000,000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13.333333333%</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Regions Bank</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$47,000,000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11.750000000%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$31,250,000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20.833333333%</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$20,000,000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13.333333333%</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Truist Bank</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$47,000,000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11.750000000%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$6,250,000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4.166666667%</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$20,000,000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13.333333333%</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Wells Fargo Bank, N.A.</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$47,000,000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11.750000000%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$6,250,000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4.166666667%</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$15,000,000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10.000000000%</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Bank of America, N.A.</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$47,000,000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11.750000000%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$6,250,000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4.166666667%</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$12,500,000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8.333333333%</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Raymond James Bank</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$25,000,000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6.250000000%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$25,000,000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16.666666667%</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$10,000,000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6.666666667%</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Associated Bank, National Association</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0.000000000%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0.000000000%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0.000000000%</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Pinnacle Bank</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$15,000,000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3.750000000%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0.000000000%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$15,000,000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10.000000000%</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Banco Santander, S.A., New York Branch</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$25,000,000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6.250000000%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0.000000000%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4"/>
              </w:rPr>
            </w:pPr>
            <w:r>
              <w:rPr>
                <w:rFonts w:ascii="Times New Roman;Times;serif" w:hAnsi="Times New Roman;Times;serif"/>
                <w:sz w:val="24"/>
              </w:rPr>
              <w:t>0.000000000%</w:t>
            </w:r>
          </w:p>
        </w:tc>
      </w:tr>
      <w:tr>
        <w:trPr/>
        <w:tc>
          <w:tcPr>
            <w:tcW w:w="124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b/>
                <w:smallCaps/>
                <w:sz w:val="22"/>
              </w:rPr>
            </w:pPr>
            <w:r>
              <w:rPr>
                <w:rFonts w:ascii="Times New Roman;Times;serif" w:hAnsi="Times New Roman;Times;serif"/>
                <w:b/>
                <w:smallCaps/>
                <w:sz w:val="22"/>
              </w:rPr>
              <w:t>Total</w:t>
            </w:r>
          </w:p>
        </w:tc>
        <w:tc>
          <w:tcPr>
            <w:tcW w:w="1447"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$400,000,000</w:t>
            </w:r>
          </w:p>
        </w:tc>
        <w:tc>
          <w:tcPr>
            <w:tcW w:w="152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u w:val="single"/>
              </w:rPr>
            </w:pPr>
            <w:r>
              <w:rPr>
                <w:rFonts w:ascii="Times New Roman;Times;serif" w:hAnsi="Times New Roman;Times;serif"/>
                <w:sz w:val="22"/>
                <w:u w:val="single"/>
              </w:rPr>
              <w:t>100%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$150,000,000</w:t>
            </w:r>
          </w:p>
        </w:tc>
        <w:tc>
          <w:tcPr>
            <w:tcW w:w="1523"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u w:val="single"/>
              </w:rPr>
            </w:pPr>
            <w:r>
              <w:rPr>
                <w:rFonts w:ascii="Times New Roman;Times;serif" w:hAnsi="Times New Roman;Times;serif"/>
                <w:sz w:val="22"/>
                <w:u w:val="single"/>
              </w:rPr>
              <w:t>100%</w:t>
            </w:r>
          </w:p>
        </w:tc>
        <w:tc>
          <w:tcPr>
            <w:tcW w:w="144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0" w:hanging="0"/>
              <w:jc w:val="center"/>
              <w:rPr>
                <w:rFonts w:ascii="Times New Roman;Times;serif" w:hAnsi="Times New Roman;Times;serif"/>
                <w:sz w:val="22"/>
              </w:rPr>
            </w:pPr>
            <w:r>
              <w:rPr>
                <w:rFonts w:ascii="Times New Roman;Times;serif" w:hAnsi="Times New Roman;Times;serif"/>
                <w:sz w:val="22"/>
              </w:rPr>
              <w:t>$150,000,000</w:t>
            </w:r>
          </w:p>
        </w:tc>
        <w:tc>
          <w:tcPr>
            <w:tcW w:w="1572"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100" w:after="100"/>
              <w:ind w:left="0" w:right="180" w:hanging="0"/>
              <w:jc w:val="center"/>
              <w:rPr>
                <w:rFonts w:ascii="Times New Roman;Times;serif" w:hAnsi="Times New Roman;Times;serif"/>
                <w:sz w:val="22"/>
                <w:u w:val="single"/>
              </w:rPr>
            </w:pPr>
            <w:r>
              <w:rPr>
                <w:rFonts w:ascii="Times New Roman;Times;serif" w:hAnsi="Times New Roman;Times;serif"/>
                <w:sz w:val="22"/>
                <w:u w:val="single"/>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915"/>
        <w:gridCol w:w="1841"/>
        <w:gridCol w:w="2280"/>
        <w:gridCol w:w="1841"/>
        <w:gridCol w:w="2328"/>
      </w:tblGrid>
      <w:tr>
        <w:trPr/>
        <w:tc>
          <w:tcPr>
            <w:tcW w:w="1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16025" cy="175260"/>
                      <wp:effectExtent l="0" t="0" r="0" b="0"/>
                      <wp:wrapNone/>
                      <wp:docPr id="176" name="Frame176"/>
                      <a:graphic xmlns:a="http://schemas.openxmlformats.org/drawingml/2006/main">
                        <a:graphicData uri="http://schemas.microsoft.com/office/word/2010/wordprocessingShape">
                          <wps:wsp>
                            <wps:cNvSpPr txBox="1"/>
                            <wps:spPr>
                              <a:xfrm>
                                <a:off x="0" y="0"/>
                                <a:ext cx="1216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69035" cy="175260"/>
                      <wp:effectExtent l="0" t="0" r="0" b="0"/>
                      <wp:wrapNone/>
                      <wp:docPr id="177" name="Frame177"/>
                      <a:graphic xmlns:a="http://schemas.openxmlformats.org/drawingml/2006/main">
                        <a:graphicData uri="http://schemas.microsoft.com/office/word/2010/wordprocessingShape">
                          <wps:wsp>
                            <wps:cNvSpPr txBox="1"/>
                            <wps:spPr>
                              <a:xfrm>
                                <a:off x="0" y="0"/>
                                <a:ext cx="116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47800" cy="175260"/>
                      <wp:effectExtent l="0" t="0" r="0" b="0"/>
                      <wp:wrapNone/>
                      <wp:docPr id="178" name="Frame178"/>
                      <a:graphic xmlns:a="http://schemas.openxmlformats.org/drawingml/2006/main">
                        <a:graphicData uri="http://schemas.microsoft.com/office/word/2010/wordprocessingShape">
                          <wps:wsp>
                            <wps:cNvSpPr txBox="1"/>
                            <wps:spPr>
                              <a:xfrm>
                                <a:off x="0" y="0"/>
                                <a:ext cx="144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169035" cy="175260"/>
                      <wp:effectExtent l="0" t="0" r="0" b="0"/>
                      <wp:wrapNone/>
                      <wp:docPr id="179" name="Frame179"/>
                      <a:graphic xmlns:a="http://schemas.openxmlformats.org/drawingml/2006/main">
                        <a:graphicData uri="http://schemas.microsoft.com/office/word/2010/wordprocessingShape">
                          <wps:wsp>
                            <wps:cNvSpPr txBox="1"/>
                            <wps:spPr>
                              <a:xfrm>
                                <a:off x="0" y="0"/>
                                <a:ext cx="116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478280" cy="175260"/>
                      <wp:effectExtent l="0" t="0" r="0" b="0"/>
                      <wp:wrapNone/>
                      <wp:docPr id="180" name="Frame180"/>
                      <a:graphic xmlns:a="http://schemas.openxmlformats.org/drawingml/2006/main">
                        <a:graphicData uri="http://schemas.microsoft.com/office/word/2010/wordprocessingShape">
                          <wps:wsp>
                            <wps:cNvSpPr txBox="1"/>
                            <wps:spPr>
                              <a:xfrm>
                                <a:off x="0" y="0"/>
                                <a:ext cx="147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Name of Lender</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2031 Term Loan Commitment</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Applicable Percentage for 2031 Term Loans</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2032 Term Loan Commitment</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0" w:after="240"/>
              <w:ind w:left="0" w:right="0" w:hanging="0"/>
              <w:jc w:val="center"/>
              <w:rPr>
                <w:rFonts w:ascii="Times" w:hAnsi="Times"/>
                <w:smallCaps/>
                <w:sz w:val="22"/>
              </w:rPr>
            </w:pPr>
            <w:r>
              <w:rPr>
                <w:rFonts w:ascii="Times" w:hAnsi="Times"/>
                <w:smallCaps/>
                <w:sz w:val="22"/>
              </w:rPr>
              <w:t>Applicable Percentage for 2032 Term Loans</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 xml:space="preserve">KeyBank National Association </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$4,750,000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3.166666667%</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$9,750,000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6.500000000%</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The Huntington National Bank</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$24,625,000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16.416666667%</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$24,625,000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16.416666667%</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PNC Bank, National Association</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$8,375,000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5.583333333%</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$8,375,000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5.583333333%</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Regions Bank</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$8,375,000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5.583333333%</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$8,375,000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5.583333333%</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Truist Bank</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$20,875,000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13.916666667%</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$20,875,000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13.916666667%</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Wells Fargo Bank, N.A.</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$23,375,000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15.583333333%</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$23,375,000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15.583333333%</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Bank of America, N.A.</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$24,625,000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16.416666667%</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$24,625,000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16.416666667%</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Raymond James Bank</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$10,000,000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6.666666667%</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$10,000,000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6.666666667%</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Associated Bank, National Association</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$20,000,000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13.333333333%</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$20,000,000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13.333333333%</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 xml:space="preserve">Pinnacle Bank </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$5,000,000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3.333333333%</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0.000000000%</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Banco Santander, S.A., New York Branch</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0.000000000%</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4"/>
              </w:rPr>
            </w:pPr>
            <w:r>
              <w:rPr>
                <w:rFonts w:ascii="Times New Roman;Times;serif" w:hAnsi="Times New Roman;Times;serif"/>
                <w:sz w:val="24"/>
              </w:rPr>
              <w:t>0.000000000%</w:t>
            </w:r>
          </w:p>
        </w:tc>
      </w:tr>
      <w:tr>
        <w:trPr/>
        <w:tc>
          <w:tcPr>
            <w:tcW w:w="1915"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b/>
                <w:smallCaps/>
                <w:sz w:val="22"/>
              </w:rPr>
            </w:pPr>
            <w:r>
              <w:rPr>
                <w:rFonts w:ascii="Times New Roman;Times;serif" w:hAnsi="Times New Roman;Times;serif"/>
                <w:b/>
                <w:smallCaps/>
                <w:sz w:val="22"/>
              </w:rPr>
              <w:t>Total</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$150,000,000</w:t>
            </w:r>
          </w:p>
        </w:tc>
        <w:tc>
          <w:tcPr>
            <w:tcW w:w="2280"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u w:val="single"/>
              </w:rPr>
            </w:pPr>
            <w:r>
              <w:rPr>
                <w:rFonts w:ascii="Times New Roman;Times;serif" w:hAnsi="Times New Roman;Times;serif"/>
                <w:sz w:val="22"/>
                <w:u w:val="single"/>
              </w:rPr>
              <w:t>100%</w:t>
            </w:r>
          </w:p>
        </w:tc>
        <w:tc>
          <w:tcPr>
            <w:tcW w:w="1841"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0" w:hanging="0"/>
              <w:jc w:val="center"/>
              <w:rPr>
                <w:rFonts w:ascii="Times New Roman;Times;serif" w:hAnsi="Times New Roman;Times;serif"/>
                <w:sz w:val="22"/>
              </w:rPr>
            </w:pPr>
            <w:r>
              <w:rPr>
                <w:rFonts w:ascii="Times New Roman;Times;serif" w:hAnsi="Times New Roman;Times;serif"/>
                <w:sz w:val="22"/>
              </w:rPr>
              <w:t>$150,000,000</w:t>
            </w:r>
          </w:p>
        </w:tc>
        <w:tc>
          <w:tcPr>
            <w:tcW w:w="2328" w:type="dxa"/>
            <w:tcBorders>
              <w:top w:val="single" w:sz="2" w:space="0" w:color="000000"/>
              <w:left w:val="single" w:sz="2" w:space="0" w:color="000000"/>
              <w:bottom w:val="single" w:sz="2" w:space="0" w:color="000000"/>
              <w:right w:val="single" w:sz="2" w:space="0" w:color="000000"/>
            </w:tcBorders>
            <w:tcMar>
              <w:top w:w="28" w:type="dxa"/>
              <w:left w:w="75" w:type="dxa"/>
              <w:bottom w:w="28" w:type="dxa"/>
              <w:right w:w="75" w:type="dxa"/>
            </w:tcMar>
            <w:vAlign w:val="center"/>
          </w:tcPr>
          <w:p>
            <w:pPr>
              <w:pStyle w:val="TableContents"/>
              <w:bidi w:val="0"/>
              <w:spacing w:before="280" w:after="0"/>
              <w:ind w:left="0" w:right="180" w:hanging="0"/>
              <w:jc w:val="center"/>
              <w:rPr>
                <w:rFonts w:ascii="Times New Roman;Times;serif" w:hAnsi="Times New Roman;Times;serif"/>
                <w:sz w:val="22"/>
                <w:u w:val="single"/>
              </w:rPr>
            </w:pPr>
            <w:r>
              <w:rPr>
                <w:rFonts w:ascii="Times New Roman;Times;serif" w:hAnsi="Times New Roman;Times;serif"/>
                <w:sz w:val="22"/>
                <w:u w:val="single"/>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1.1</w:t>
      </w:r>
    </w:p>
    <w:p>
      <w:pPr>
        <w:pStyle w:val="TextBody"/>
        <w:bidi w:val="0"/>
        <w:spacing w:before="0" w:after="0"/>
        <w:ind w:left="0" w:right="0" w:hanging="0"/>
        <w:jc w:val="center"/>
        <w:rPr>
          <w:smallCaps/>
        </w:rPr>
      </w:pPr>
      <w:r>
        <w:rPr>
          <w:smallCaps/>
        </w:rPr>
        <w:t>​</w:t>
      </w:r>
      <w:r>
        <w:rPr>
          <w:rFonts w:ascii="Times New Roman;Times;serif" w:hAnsi="Times New Roman;Times;serif"/>
          <w:b/>
          <w:smallCaps/>
          <w:sz w:val="24"/>
        </w:rPr>
        <w:br/>
        <w:t>Initial Unencumbered Assets</w:t>
      </w:r>
    </w:p>
    <w:p>
      <w:pPr>
        <w:pStyle w:val="TextBody"/>
        <w:bidi w:val="0"/>
        <w:spacing w:before="0" w:after="0"/>
        <w:ind w:left="0" w:right="0" w:hanging="0"/>
        <w:jc w:val="center"/>
        <w:rPr>
          <w:smallCaps/>
        </w:rPr>
      </w:pPr>
      <w:r>
        <w:rPr>
          <w:smallCaps/>
        </w:rPr>
        <w:t>​</w:t>
      </w:r>
    </w:p>
    <w:p>
      <w:pPr>
        <w:pStyle w:val="TextBody"/>
        <w:bidi w:val="0"/>
        <w:spacing w:lineRule="atLeast" w:line="280" w:before="280" w:after="0"/>
        <w:ind w:left="0" w:right="0" w:firstLine="720"/>
        <w:jc w:val="both"/>
        <w:rPr>
          <w:rFonts w:ascii="Times" w:hAnsi="Times"/>
          <w:sz w:val="24"/>
        </w:rPr>
      </w:pPr>
      <w:r>
        <w:rPr>
          <w:rFonts w:ascii="Times" w:hAnsi="Times"/>
          <w:sz w:val="24"/>
        </w:rPr>
        <w:t>Part I – Unencumbered Real Property Assets</w:t>
      </w:r>
    </w:p>
    <w:p>
      <w:pPr>
        <w:pStyle w:val="TextBody"/>
        <w:bidi w:val="0"/>
        <w:spacing w:lineRule="atLeast" w:line="280" w:before="0" w:after="0"/>
        <w:ind w:left="0" w:right="0" w:hanging="0"/>
        <w:jc w:val="left"/>
        <w:rPr>
          <w:smallCaps/>
        </w:rPr>
      </w:pPr>
      <w:r>
        <w:rPr>
          <w:smallCaps/>
        </w:rPr>
        <w:t>​</w:t>
      </w:r>
    </w:p>
    <w:tbl>
      <w:tblPr>
        <w:tblW w:w="10205" w:type="dxa"/>
        <w:jc w:val="left"/>
        <w:tblInd w:w="0" w:type="dxa"/>
        <w:tblLayout w:type="fixed"/>
        <w:tblCellMar>
          <w:top w:w="28" w:type="dxa"/>
          <w:left w:w="103" w:type="dxa"/>
          <w:bottom w:w="28" w:type="dxa"/>
          <w:right w:w="103" w:type="dxa"/>
        </w:tblCellMar>
      </w:tblPr>
      <w:tblGrid>
        <w:gridCol w:w="2173"/>
        <w:gridCol w:w="4639"/>
        <w:gridCol w:w="2093"/>
        <w:gridCol w:w="1300"/>
      </w:tblGrid>
      <w:tr>
        <w:trPr/>
        <w:tc>
          <w:tcPr>
            <w:tcW w:w="2173"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left"/>
              <w:rPr>
                <w:rFonts w:ascii="Times" w:hAnsi="Times"/>
                <w:b/>
                <w:smallCaps/>
                <w:sz w:val="24"/>
              </w:rPr>
            </w:pPr>
            <w:r>
              <w:rPr>
                <w:rFonts w:ascii="Times" w:hAnsi="Times"/>
                <w:b/>
                <w:smallCaps/>
                <w:sz w:val="24"/>
              </w:rPr>
              <w:t>Property or Tenant DBA</w:t>
            </w:r>
          </w:p>
        </w:tc>
        <w:tc>
          <w:tcPr>
            <w:tcW w:w="4639"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Owner/ Guarantor</w:t>
            </w:r>
          </w:p>
        </w:tc>
        <w:tc>
          <w:tcPr>
            <w:tcW w:w="2093"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City, State</w:t>
            </w:r>
          </w:p>
        </w:tc>
        <w:tc>
          <w:tcPr>
            <w:tcW w:w="1300"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Square Feet</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Crabby’s Oceanside</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Daytona JV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Daytona Beach,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5,780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LandShark Bar &amp; Grill</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Daytona JV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Daytona Beach,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6,264</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Fidelity/State of New Mexico</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CTO18 Albuquerque NM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Albuquerque, New Mexico</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210,067</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Strand</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CTO19 Strand Jax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Jacksonville,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204,573</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Village Inn</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4,500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Party City</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12,000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Jimmy Johns &amp; BBQ Galore</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8,000</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Crossroads Town Center</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CTO20 Crossroads AZ LLC; IGI20 Crossroads AZ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Chandler, Arizona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217,312</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Ashford Lane</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CTO20 Perimeter LLC; CTO20 Perimeter II LLC; CTO21 AL Outparcel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Atlanta, Georgia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277,408</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Beaver Creek Crossing</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CTO21 Apex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Apex, North Carolina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322,113</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369 N. New York Ave</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 Realty Growth, Inc.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Winter Park, Florida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27,948</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Exchange at Gwinnett</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CTO21 Buford 1 LLC;</w:t>
            </w:r>
          </w:p>
          <w:p>
            <w:pPr>
              <w:pStyle w:val="TableContents"/>
              <w:bidi w:val="0"/>
              <w:spacing w:lineRule="atLeast" w:line="280" w:before="0" w:after="0"/>
              <w:ind w:left="0" w:right="0" w:hanging="0"/>
              <w:jc w:val="center"/>
              <w:rPr>
                <w:rFonts w:ascii="Times" w:hAnsi="Times"/>
                <w:sz w:val="24"/>
              </w:rPr>
            </w:pPr>
            <w:r>
              <w:rPr>
                <w:rFonts w:ascii="Times" w:hAnsi="Times"/>
                <w:sz w:val="24"/>
              </w:rPr>
              <w:t>Indigo Group, Inc.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Buford, Georgia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93,366</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West Broad Village</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CTO22 Short Pump LLC;</w:t>
            </w:r>
          </w:p>
          <w:p>
            <w:pPr>
              <w:pStyle w:val="TableContents"/>
              <w:bidi w:val="0"/>
              <w:spacing w:lineRule="atLeast" w:line="280" w:before="0" w:after="0"/>
              <w:ind w:left="0" w:right="0" w:hanging="0"/>
              <w:jc w:val="center"/>
              <w:rPr>
                <w:rFonts w:ascii="Times" w:hAnsi="Times"/>
                <w:sz w:val="24"/>
              </w:rPr>
            </w:pPr>
            <w:r>
              <w:rPr>
                <w:rFonts w:ascii="Times" w:hAnsi="Times"/>
                <w:sz w:val="24"/>
              </w:rPr>
              <w:t>Indigo Group Inc.;</w:t>
            </w:r>
          </w:p>
          <w:p>
            <w:pPr>
              <w:pStyle w:val="TableContents"/>
              <w:bidi w:val="0"/>
              <w:spacing w:lineRule="atLeast" w:line="280" w:before="0" w:after="0"/>
              <w:ind w:left="0" w:right="0" w:hanging="0"/>
              <w:jc w:val="center"/>
              <w:rPr>
                <w:rFonts w:ascii="Times" w:hAnsi="Times"/>
                <w:sz w:val="24"/>
              </w:rPr>
            </w:pPr>
            <w:r>
              <w:rPr>
                <w:rFonts w:ascii="Times" w:hAnsi="Times"/>
                <w:sz w:val="24"/>
              </w:rPr>
              <w:t>Indigo Group, Ltd.</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Richmond, Virginia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392,227</w:t>
            </w:r>
          </w:p>
        </w:tc>
      </w:tr>
      <w:tr>
        <w:trPr/>
        <w:tc>
          <w:tcPr>
            <w:tcW w:w="217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The Collection at Forsyth</w:t>
            </w:r>
          </w:p>
        </w:tc>
        <w:tc>
          <w:tcPr>
            <w:tcW w:w="46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CTO22 Forsyth LLC</w:t>
            </w:r>
          </w:p>
        </w:tc>
        <w:tc>
          <w:tcPr>
            <w:tcW w:w="20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Cumming, Georgia</w:t>
            </w:r>
          </w:p>
        </w:tc>
        <w:tc>
          <w:tcPr>
            <w:tcW w:w="130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560,434</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3002"/>
        <w:gridCol w:w="3137"/>
        <w:gridCol w:w="2486"/>
        <w:gridCol w:w="1580"/>
      </w:tblGrid>
      <w:tr>
        <w:trPr/>
        <w:tc>
          <w:tcPr>
            <w:tcW w:w="3002"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left"/>
              <w:rPr>
                <w:rFonts w:ascii="Times" w:hAnsi="Times"/>
                <w:b/>
                <w:smallCaps/>
                <w:sz w:val="24"/>
              </w:rPr>
            </w:pPr>
            <w:r>
              <w:rPr>
                <w:rFonts w:ascii="Times" w:hAnsi="Times"/>
                <w:b/>
                <w:smallCaps/>
                <w:sz w:val="24"/>
              </w:rPr>
              <w:t>Property or Tenant DBA</w:t>
            </w:r>
          </w:p>
        </w:tc>
        <w:tc>
          <w:tcPr>
            <w:tcW w:w="3137"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Owner/ Guarantor</w:t>
            </w:r>
          </w:p>
        </w:tc>
        <w:tc>
          <w:tcPr>
            <w:tcW w:w="2486"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City, State</w:t>
            </w:r>
          </w:p>
        </w:tc>
        <w:tc>
          <w:tcPr>
            <w:tcW w:w="1580"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Square Feet</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Plaza at Rockwall</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CTO23 Rockwall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Rockwall, Texas</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446,521</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Marketplace at Seminole</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CTO24 MSTC LLC;</w:t>
            </w:r>
          </w:p>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 Realty Growth, Inc.;</w:t>
            </w:r>
          </w:p>
          <w:p>
            <w:pPr>
              <w:pStyle w:val="TableContents"/>
              <w:bidi w:val="0"/>
              <w:spacing w:lineRule="atLeast" w:line="280" w:before="0" w:after="0"/>
              <w:ind w:left="0" w:right="0" w:hanging="0"/>
              <w:jc w:val="center"/>
              <w:rPr>
                <w:rFonts w:ascii="Times" w:hAnsi="Times"/>
                <w:sz w:val="24"/>
              </w:rPr>
            </w:pPr>
            <w:r>
              <w:rPr>
                <w:rFonts w:ascii="Times" w:hAnsi="Times"/>
                <w:sz w:val="24"/>
              </w:rPr>
              <w:t>Indigo Group Inc.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Sanford, Florida</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318,649</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Carolina Pavilion</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CTO24 Carolina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Charlotte, North Carolina</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 xml:space="preserve">690,877 </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Millenia Crossing</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CTO24 Millenia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Orlando, Florida</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 xml:space="preserve">100,385 </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Lake Brandon Village</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CTO24 Brandon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Brandon, Florida</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 xml:space="preserve">102,022 </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Ashley Park</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TOMOKA25 Ashley Park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Atlanta, Georgia</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559,465</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Pompano Citi Centre</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TOMOKA25 Pompano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Pompano Beach, Florida</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508,874</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Palms Crossing</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TOMOKA26 Palms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McAllen, Texas</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399,075</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Gallery on the Parkway*</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TOMOKA26 Gallery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Dallas, Texas</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153,324</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Zona Rosa*</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TOMOKA26 Kansas City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Kansas City, Missouri</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768,165</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4"/>
              </w:rPr>
            </w:pPr>
            <w:r>
              <w:rPr>
                <w:rFonts w:ascii="Times" w:hAnsi="Times"/>
                <w:sz w:val="24"/>
              </w:rPr>
              <w:t>Price Plaza</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IGI21 Katy LLC</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Katy, Texas</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200,576</w:t>
            </w:r>
          </w:p>
        </w:tc>
      </w:tr>
      <w:tr>
        <w:trPr/>
        <w:tc>
          <w:tcPr>
            <w:tcW w:w="30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b/>
                <w:sz w:val="24"/>
              </w:rPr>
            </w:pPr>
            <w:r>
              <w:rPr>
                <w:rFonts w:ascii="Times" w:hAnsi="Times"/>
                <w:b/>
                <w:sz w:val="24"/>
              </w:rPr>
              <w:t>Total</w:t>
            </w:r>
          </w:p>
        </w:tc>
        <w:tc>
          <w:tcPr>
            <w:tcW w:w="313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pPr>
            <w:r>
              <w:rPr/>
              <w:t>​</w:t>
            </w:r>
          </w:p>
        </w:tc>
        <w:tc>
          <w:tcPr>
            <w:tcW w:w="24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b/>
                <w:sz w:val="24"/>
              </w:rPr>
            </w:pPr>
            <w:r>
              <w:rPr>
                <w:rFonts w:ascii="Times" w:hAnsi="Times"/>
                <w:b/>
                <w:sz w:val="24"/>
              </w:rPr>
              <w:t>25 Properties</w:t>
            </w:r>
          </w:p>
        </w:tc>
        <w:tc>
          <w:tcPr>
            <w:tcW w:w="158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6,785,339</w:t>
            </w:r>
          </w:p>
        </w:tc>
      </w:tr>
    </w:tbl>
    <w:p>
      <w:pPr>
        <w:pStyle w:val="TextBody"/>
        <w:bidi w:val="0"/>
        <w:spacing w:lineRule="atLeast" w:line="280" w:before="0" w:after="0"/>
        <w:ind w:left="0" w:right="0" w:hanging="0"/>
        <w:jc w:val="left"/>
        <w:rPr>
          <w:rFonts w:ascii="Times" w:hAnsi="Times"/>
          <w:sz w:val="24"/>
        </w:rPr>
      </w:pPr>
      <w:r>
        <w:rPr>
          <w:rFonts w:ascii="Times" w:hAnsi="Times"/>
          <w:sz w:val="24"/>
        </w:rPr>
        <w:t>* Denotes 1031 Property.</w:t>
      </w:r>
    </w:p>
    <w:p>
      <w:pPr>
        <w:pStyle w:val="TextBody"/>
        <w:bidi w:val="0"/>
        <w:spacing w:lineRule="atLeast" w:line="280" w:before="280" w:after="240"/>
        <w:ind w:left="0" w:right="0" w:hanging="0"/>
        <w:jc w:val="both"/>
        <w:rPr>
          <w:rFonts w:ascii="Times" w:hAnsi="Times"/>
          <w:sz w:val="24"/>
        </w:rPr>
      </w:pPr>
      <w:r>
        <w:rPr>
          <w:rFonts w:ascii="Times" w:hAnsi="Times"/>
          <w:sz w:val="24"/>
        </w:rPr>
        <w:t>Part II – Unencumbered Mortgage Receivables</w:t>
      </w:r>
    </w:p>
    <w:tbl>
      <w:tblPr>
        <w:tblW w:w="10205" w:type="dxa"/>
        <w:jc w:val="left"/>
        <w:tblInd w:w="0" w:type="dxa"/>
        <w:tblLayout w:type="fixed"/>
        <w:tblCellMar>
          <w:top w:w="28" w:type="dxa"/>
          <w:left w:w="103" w:type="dxa"/>
          <w:bottom w:w="28" w:type="dxa"/>
          <w:right w:w="103" w:type="dxa"/>
        </w:tblCellMar>
      </w:tblPr>
      <w:tblGrid>
        <w:gridCol w:w="2484"/>
        <w:gridCol w:w="1975"/>
        <w:gridCol w:w="1628"/>
        <w:gridCol w:w="1747"/>
        <w:gridCol w:w="2371"/>
      </w:tblGrid>
      <w:tr>
        <w:trPr/>
        <w:tc>
          <w:tcPr>
            <w:tcW w:w="2484"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left"/>
              <w:rPr>
                <w:rFonts w:ascii="Times" w:hAnsi="Times"/>
                <w:b/>
                <w:smallCaps/>
                <w:sz w:val="24"/>
              </w:rPr>
            </w:pPr>
            <w:r>
              <w:rPr>
                <w:rFonts w:ascii="Times" w:hAnsi="Times"/>
                <w:b/>
                <w:smallCaps/>
                <w:sz w:val="24"/>
              </w:rPr>
              <w:t>Mortgaged Property or Borrower DBA</w:t>
            </w:r>
          </w:p>
        </w:tc>
        <w:tc>
          <w:tcPr>
            <w:tcW w:w="1975"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Mortgagee/ Guarantor</w:t>
            </w:r>
          </w:p>
        </w:tc>
        <w:tc>
          <w:tcPr>
            <w:tcW w:w="1628"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City, State</w:t>
            </w:r>
          </w:p>
        </w:tc>
        <w:tc>
          <w:tcPr>
            <w:tcW w:w="1747"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Construction?</w:t>
            </w:r>
          </w:p>
        </w:tc>
        <w:tc>
          <w:tcPr>
            <w:tcW w:w="2371"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 xml:space="preserve">In Default or Overdue by 60 days or more? </w:t>
            </w:r>
          </w:p>
        </w:tc>
      </w:tr>
      <w:tr>
        <w:trPr/>
        <w:tc>
          <w:tcPr>
            <w:tcW w:w="2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Rivana at Innovation Station</w:t>
            </w:r>
          </w:p>
        </w:tc>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TOMOKA24 RIVANA LLC</w:t>
            </w:r>
          </w:p>
        </w:tc>
        <w:tc>
          <w:tcPr>
            <w:tcW w:w="16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Washington, D.C.</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Yes</w:t>
            </w:r>
          </w:p>
        </w:tc>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r>
      <w:tr>
        <w:trPr/>
        <w:tc>
          <w:tcPr>
            <w:tcW w:w="2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Whole Foods- Forsyth, GA</w:t>
            </w:r>
          </w:p>
        </w:tc>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CTO24 FORSYTH LLC</w:t>
            </w:r>
          </w:p>
        </w:tc>
        <w:tc>
          <w:tcPr>
            <w:tcW w:w="16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Atlanta, Georgia</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Yes</w:t>
            </w:r>
          </w:p>
        </w:tc>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r>
      <w:tr>
        <w:trPr/>
        <w:tc>
          <w:tcPr>
            <w:tcW w:w="2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Main Street Seller Financing</w:t>
            </w:r>
          </w:p>
        </w:tc>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CTO25 MAIN STREET LLC</w:t>
            </w:r>
          </w:p>
        </w:tc>
        <w:tc>
          <w:tcPr>
            <w:tcW w:w="16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Daytona Beach, Florida</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r>
      <w:tr>
        <w:trPr/>
        <w:tc>
          <w:tcPr>
            <w:tcW w:w="248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Founders Square</w:t>
            </w:r>
          </w:p>
        </w:tc>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CTO23 Founders DAL LLC</w:t>
            </w:r>
          </w:p>
        </w:tc>
        <w:tc>
          <w:tcPr>
            <w:tcW w:w="162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Dallas, Texas</w:t>
            </w:r>
          </w:p>
        </w:tc>
        <w:tc>
          <w:tcPr>
            <w:tcW w:w="17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c>
          <w:tcPr>
            <w:tcW w:w="23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r>
    </w:tbl>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28" w:type="dxa"/>
          <w:left w:w="103" w:type="dxa"/>
          <w:bottom w:w="28" w:type="dxa"/>
          <w:right w:w="103" w:type="dxa"/>
        </w:tblCellMar>
      </w:tblPr>
      <w:tblGrid>
        <w:gridCol w:w="2720"/>
        <w:gridCol w:w="2042"/>
        <w:gridCol w:w="1031"/>
        <w:gridCol w:w="1755"/>
        <w:gridCol w:w="2657"/>
      </w:tblGrid>
      <w:tr>
        <w:trPr/>
        <w:tc>
          <w:tcPr>
            <w:tcW w:w="2720"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left"/>
              <w:rPr>
                <w:rFonts w:ascii="Times" w:hAnsi="Times"/>
                <w:b/>
                <w:smallCaps/>
                <w:sz w:val="24"/>
              </w:rPr>
            </w:pPr>
            <w:r>
              <w:rPr>
                <w:rFonts w:ascii="Times" w:hAnsi="Times"/>
                <w:b/>
                <w:smallCaps/>
                <w:sz w:val="24"/>
              </w:rPr>
              <w:t>Mortgaged Property or Borrower DBA</w:t>
            </w:r>
          </w:p>
        </w:tc>
        <w:tc>
          <w:tcPr>
            <w:tcW w:w="2042"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Mortgagee/ Guarantor</w:t>
            </w:r>
          </w:p>
        </w:tc>
        <w:tc>
          <w:tcPr>
            <w:tcW w:w="1031"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City, State</w:t>
            </w:r>
          </w:p>
        </w:tc>
        <w:tc>
          <w:tcPr>
            <w:tcW w:w="1755"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Construction?</w:t>
            </w:r>
          </w:p>
        </w:tc>
        <w:tc>
          <w:tcPr>
            <w:tcW w:w="2657" w:type="dxa"/>
            <w:tcBorders>
              <w:top w:val="single" w:sz="2" w:space="0" w:color="000000"/>
              <w:left w:val="single" w:sz="2" w:space="0" w:color="000000"/>
              <w:bottom w:val="single" w:sz="18" w:space="0" w:color="000000"/>
              <w:right w:val="single" w:sz="2" w:space="0" w:color="000000"/>
            </w:tcBorders>
            <w:vAlign w:val="center"/>
          </w:tcPr>
          <w:p>
            <w:pPr>
              <w:pStyle w:val="TableHeading"/>
              <w:bidi w:val="0"/>
              <w:spacing w:lineRule="atLeast" w:line="280" w:before="0" w:after="0"/>
              <w:ind w:left="0" w:right="0" w:hanging="0"/>
              <w:jc w:val="center"/>
              <w:rPr>
                <w:rFonts w:ascii="Times" w:hAnsi="Times"/>
                <w:b/>
                <w:smallCaps/>
                <w:sz w:val="24"/>
              </w:rPr>
            </w:pPr>
            <w:r>
              <w:rPr>
                <w:rFonts w:ascii="Times" w:hAnsi="Times"/>
                <w:b/>
                <w:smallCaps/>
                <w:sz w:val="24"/>
              </w:rPr>
              <w:t xml:space="preserve">In Default or Overdue by 60 days or more? </w:t>
            </w:r>
          </w:p>
        </w:tc>
      </w:tr>
      <w:tr>
        <w:trPr/>
        <w:tc>
          <w:tcPr>
            <w:tcW w:w="27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Mixed-Use Property</w:t>
            </w:r>
          </w:p>
        </w:tc>
        <w:tc>
          <w:tcPr>
            <w:tcW w:w="20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CTO26 South Congress LLC</w:t>
            </w:r>
          </w:p>
        </w:tc>
        <w:tc>
          <w:tcPr>
            <w:tcW w:w="103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New Roman;Times;serif" w:hAnsi="Times New Roman;Times;serif"/>
                <w:sz w:val="24"/>
              </w:rPr>
            </w:pPr>
            <w:r>
              <w:rPr>
                <w:rFonts w:ascii="Times New Roman;Times;serif" w:hAnsi="Times New Roman;Times;serif"/>
                <w:sz w:val="24"/>
              </w:rPr>
              <w:t>Austin, Texas</w:t>
            </w:r>
          </w:p>
        </w:tc>
        <w:tc>
          <w:tcPr>
            <w:tcW w:w="175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Yes</w:t>
            </w:r>
          </w:p>
        </w:tc>
        <w:tc>
          <w:tcPr>
            <w:tcW w:w="265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4"/>
              </w:rPr>
            </w:pPr>
            <w:r>
              <w:rPr>
                <w:rFonts w:ascii="Times" w:hAnsi="Times"/>
                <w:sz w:val="24"/>
              </w:rPr>
              <w:t>No</w:t>
            </w:r>
          </w:p>
        </w:tc>
      </w:tr>
    </w:tbl>
    <w:p>
      <w:pPr>
        <w:pStyle w:val="TextBody"/>
        <w:bidi w:val="0"/>
        <w:spacing w:lineRule="atLeast" w:line="280" w:before="280" w:after="240"/>
        <w:ind w:left="0" w:right="0" w:hanging="0"/>
        <w:jc w:val="both"/>
        <w:rPr>
          <w:rFonts w:ascii="Times" w:hAnsi="Times"/>
          <w:sz w:val="24"/>
        </w:rPr>
      </w:pPr>
      <w:r>
        <w:rPr>
          <w:rFonts w:ascii="Times" w:hAnsi="Times"/>
          <w:sz w:val="24"/>
        </w:rPr>
        <w:t>Part III – Unencumbered PINE Common Equity</w:t>
      </w:r>
    </w:p>
    <w:tbl>
      <w:tblPr>
        <w:tblW w:w="8254" w:type="dxa"/>
        <w:jc w:val="center"/>
        <w:tblInd w:w="0" w:type="dxa"/>
        <w:tblLayout w:type="fixed"/>
        <w:tblCellMar>
          <w:top w:w="28" w:type="dxa"/>
          <w:left w:w="103" w:type="dxa"/>
          <w:bottom w:w="28" w:type="dxa"/>
          <w:right w:w="103" w:type="dxa"/>
        </w:tblCellMar>
      </w:tblPr>
      <w:tblGrid>
        <w:gridCol w:w="2566"/>
        <w:gridCol w:w="1306"/>
        <w:gridCol w:w="2146"/>
        <w:gridCol w:w="2236"/>
      </w:tblGrid>
      <w:tr>
        <w:trPr/>
        <w:tc>
          <w:tcPr>
            <w:tcW w:w="2566"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Owner</w:t>
            </w:r>
          </w:p>
        </w:tc>
        <w:tc>
          <w:tcPr>
            <w:tcW w:w="1306"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Par Value</w:t>
            </w:r>
          </w:p>
        </w:tc>
        <w:tc>
          <w:tcPr>
            <w:tcW w:w="2146"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Certificate No(s)</w:t>
            </w:r>
          </w:p>
        </w:tc>
        <w:tc>
          <w:tcPr>
            <w:tcW w:w="2236" w:type="dxa"/>
            <w:tcBorders>
              <w:top w:val="single" w:sz="2" w:space="0" w:color="000000"/>
              <w:left w:val="single" w:sz="2" w:space="0" w:color="000000"/>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w:hAnsi="Times"/>
                <w:b/>
                <w:smallCaps/>
                <w:sz w:val="24"/>
              </w:rPr>
            </w:pPr>
            <w:r>
              <w:rPr>
                <w:rFonts w:ascii="Times" w:hAnsi="Times"/>
                <w:b/>
                <w:smallCaps/>
                <w:sz w:val="24"/>
              </w:rPr>
              <w:t>Number of Shares</w:t>
            </w:r>
          </w:p>
        </w:tc>
      </w:tr>
      <w:tr>
        <w:trPr/>
        <w:tc>
          <w:tcPr>
            <w:tcW w:w="25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CTO Realty Growth, Inc.</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2"/>
              </w:rPr>
            </w:pPr>
            <w:r>
              <w:rPr>
                <w:rFonts w:ascii="Times" w:hAnsi="Times"/>
                <w:sz w:val="22"/>
              </w:rPr>
              <w:t>$0.01</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2"/>
              </w:rPr>
            </w:pPr>
            <w:r>
              <w:rPr>
                <w:rFonts w:ascii="Times" w:hAnsi="Times"/>
                <w:sz w:val="22"/>
              </w:rPr>
              <w:t>N/A</w:t>
            </w:r>
          </w:p>
        </w:tc>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2"/>
              </w:rPr>
            </w:pPr>
            <w:r>
              <w:rPr>
                <w:rFonts w:ascii="Times" w:hAnsi="Times"/>
                <w:sz w:val="22"/>
              </w:rPr>
              <w:t>2,159,557</w:t>
            </w:r>
          </w:p>
        </w:tc>
      </w:tr>
      <w:tr>
        <w:trPr/>
        <w:tc>
          <w:tcPr>
            <w:tcW w:w="25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New Roman;Times;serif" w:hAnsi="Times New Roman;Times;serif"/>
                <w:sz w:val="24"/>
              </w:rPr>
            </w:pPr>
            <w:r>
              <w:rPr>
                <w:rFonts w:ascii="Times New Roman;Times;serif" w:hAnsi="Times New Roman;Times;serif"/>
                <w:sz w:val="24"/>
              </w:rPr>
              <w:t>CTO TRS Crisp39 LLC</w:t>
            </w:r>
          </w:p>
        </w:tc>
        <w:tc>
          <w:tcPr>
            <w:tcW w:w="13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2"/>
              </w:rPr>
            </w:pPr>
            <w:r>
              <w:rPr>
                <w:rFonts w:ascii="Times" w:hAnsi="Times"/>
                <w:sz w:val="22"/>
              </w:rPr>
              <w:t>$0.01</w:t>
            </w:r>
          </w:p>
        </w:tc>
        <w:tc>
          <w:tcPr>
            <w:tcW w:w="21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center"/>
              <w:rPr>
                <w:rFonts w:ascii="Times" w:hAnsi="Times"/>
                <w:sz w:val="22"/>
              </w:rPr>
            </w:pPr>
            <w:r>
              <w:rPr>
                <w:rFonts w:ascii="Times" w:hAnsi="Times"/>
                <w:sz w:val="22"/>
              </w:rPr>
              <w:t>N/A</w:t>
            </w:r>
          </w:p>
        </w:tc>
        <w:tc>
          <w:tcPr>
            <w:tcW w:w="22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80" w:before="0" w:after="0"/>
              <w:ind w:left="0" w:right="0" w:hanging="0"/>
              <w:jc w:val="left"/>
              <w:rPr>
                <w:rFonts w:ascii="Times" w:hAnsi="Times"/>
                <w:sz w:val="22"/>
              </w:rPr>
            </w:pPr>
            <w:r>
              <w:rPr>
                <w:rFonts w:ascii="Times" w:hAnsi="Times"/>
                <w:sz w:val="22"/>
              </w:rPr>
              <w:t>311,999</w:t>
            </w:r>
          </w:p>
        </w:tc>
      </w:tr>
    </w:tbl>
    <w:p>
      <w:pPr>
        <w:pStyle w:val="TextBody"/>
        <w:bidi w:val="0"/>
        <w:spacing w:before="0" w:after="240"/>
        <w:ind w:left="0" w:right="0" w:hanging="0"/>
        <w:jc w:val="both"/>
        <w:rPr/>
      </w:pPr>
      <w:r>
        <w:rPr/>
        <w:t>​</w:t>
      </w:r>
    </w:p>
    <w:p>
      <w:pPr>
        <w:pStyle w:val="TextBody"/>
        <w:bidi w:val="0"/>
        <w:spacing w:before="0" w:after="240"/>
        <w:ind w:left="0" w:right="90" w:firstLine="72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SCHEDULE 6.2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SUBSIDIARIES </w:t>
      </w:r>
    </w:p>
    <w:p>
      <w:pPr>
        <w:pStyle w:val="TextBody"/>
        <w:bidi w:val="0"/>
        <w:spacing w:before="0" w:after="0"/>
        <w:ind w:left="0" w:right="0" w:hanging="0"/>
        <w:jc w:val="center"/>
        <w:rPr/>
      </w:pPr>
      <w:r>
        <w:rPr/>
        <w:t>​</w:t>
      </w:r>
    </w:p>
    <w:p>
      <w:pPr>
        <w:pStyle w:val="TextBody"/>
        <w:bidi w:val="0"/>
        <w:spacing w:before="0" w:after="0"/>
        <w:ind w:left="0" w:right="86" w:hanging="0"/>
        <w:jc w:val="left"/>
        <w:rPr/>
      </w:pPr>
      <w:r>
        <w:rPr/>
        <w:t>​</w:t>
      </w:r>
    </w:p>
    <w:p>
      <w:pPr>
        <w:pStyle w:val="TextBody"/>
        <w:bidi w:val="0"/>
        <w:spacing w:before="0" w:after="0"/>
        <w:ind w:left="0" w:right="9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6.6</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Material Adverse Change</w:t>
      </w:r>
    </w:p>
    <w:p>
      <w:pPr>
        <w:pStyle w:val="TextBody"/>
        <w:bidi w:val="0"/>
        <w:spacing w:before="0" w:after="0"/>
        <w:ind w:left="0" w:right="0" w:hanging="0"/>
        <w:jc w:val="center"/>
        <w:rPr>
          <w:smallCaps/>
        </w:rPr>
      </w:pPr>
      <w:r>
        <w:rPr>
          <w:smallCaps/>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6.11</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Litigation</w:t>
      </w:r>
    </w:p>
    <w:p>
      <w:pPr>
        <w:pStyle w:val="TextBody"/>
        <w:bidi w:val="0"/>
        <w:spacing w:before="0" w:after="0"/>
        <w:ind w:left="0" w:right="0" w:hanging="0"/>
        <w:jc w:val="left"/>
        <w:rPr/>
      </w:pPr>
      <w:r>
        <w:rPr/>
        <w:t>​</w:t>
      </w:r>
    </w:p>
    <w:p>
      <w:pPr>
        <w:pStyle w:val="TextBody"/>
        <w:bidi w:val="0"/>
        <w:spacing w:before="0" w:after="0"/>
        <w:ind w:left="0" w:right="0" w:hanging="0"/>
        <w:jc w:val="center"/>
        <w:rPr>
          <w:smallCaps/>
        </w:rPr>
      </w:pPr>
      <w:r>
        <w:rPr>
          <w:smallCaps/>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6.17</w:t>
        <w:br/>
        <w:br/>
        <w:t>Environmental Issues</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5760" w:right="0" w:hanging="0"/>
        <w:jc w:val="left"/>
        <w:rPr>
          <w:smallCaps/>
        </w:rPr>
      </w:pPr>
      <w:r>
        <w:rPr>
          <w:smallCaps/>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6.17]</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Schedule 6.23</w:t>
      </w:r>
    </w:p>
    <w:p>
      <w:pPr>
        <w:pStyle w:val="TextBody"/>
        <w:bidi w:val="0"/>
        <w:spacing w:before="360" w:after="0"/>
        <w:ind w:left="0" w:right="0" w:hanging="0"/>
        <w:jc w:val="center"/>
        <w:rPr>
          <w:rFonts w:ascii="Times New Roman;Times;serif" w:hAnsi="Times New Roman;Times;serif"/>
          <w:b/>
          <w:smallCaps/>
          <w:sz w:val="24"/>
        </w:rPr>
      </w:pPr>
      <w:r>
        <w:rPr>
          <w:rFonts w:ascii="Times New Roman;Times;serif" w:hAnsi="Times New Roman;Times;serif"/>
          <w:b/>
          <w:smallCaps/>
          <w:sz w:val="24"/>
        </w:rPr>
        <w:t>Maintenance and Condition</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[Schedule 6.23]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Schedule 8.7</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b/>
          <w:smallCaps/>
          <w:sz w:val="24"/>
        </w:rPr>
      </w:pPr>
      <w:r>
        <w:rPr>
          <w:rFonts w:ascii="Times New Roman;Times;serif" w:hAnsi="Times New Roman;Times;serif"/>
          <w:b/>
          <w:smallCaps/>
          <w:sz w:val="24"/>
        </w:rPr>
        <w:t>Existing Liens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74" w:name="cto-ex99d1.htm"/>
      <w:bookmarkStart w:id="275" w:name="ksctoex99d1"/>
      <w:bookmarkEnd w:id="274"/>
      <w:bookmarkEnd w:id="275"/>
      <w:r>
        <w:rPr>
          <w:rFonts w:ascii="Times New Roman;Times;serif" w:hAnsi="Times New Roman;Times;serif"/>
          <w:b/>
          <w:sz w:val="24"/>
        </w:rPr>
        <w:t>Exhibit 99.1</w:t>
      </w:r>
      <w:r>
        <w:br w:type="page"/>
      </w:r>
    </w:p>
    <w:p>
      <w:pPr>
        <w:pStyle w:val="TextBody"/>
        <w:bidi w:val="0"/>
        <w:jc w:val="left"/>
        <w:rPr/>
      </w:pPr>
      <w:r>
        <w:rPr/>
        <w:drawing>
          <wp:inline distT="0" distB="0" distL="0" distR="0">
            <wp:extent cx="1349375" cy="970915"/>
            <wp:effectExtent l="0" t="0" r="0" b="0"/>
            <wp:docPr id="18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 descr=""/>
                    <pic:cNvPicPr>
                      <a:picLocks noChangeAspect="1" noChangeArrowheads="1"/>
                    </pic:cNvPicPr>
                  </pic:nvPicPr>
                  <pic:blipFill>
                    <a:blip r:embed="rId2"/>
                    <a:stretch>
                      <a:fillRect/>
                    </a:stretch>
                  </pic:blipFill>
                  <pic:spPr bwMode="auto">
                    <a:xfrm>
                      <a:off x="0" y="0"/>
                      <a:ext cx="1349375" cy="970915"/>
                    </a:xfrm>
                    <a:prstGeom prst="rect">
                      <a:avLst/>
                    </a:prstGeom>
                  </pic:spPr>
                </pic:pic>
              </a:graphicData>
            </a:graphic>
          </wp:inline>
        </w:drawing>
      </w:r>
    </w:p>
    <w:p>
      <w:pPr>
        <w:pStyle w:val="TextBody"/>
        <w:pBdr/>
        <w:bidi w:val="0"/>
        <w:spacing w:before="0" w:after="0"/>
        <w:ind w:left="0" w:right="0" w:hanging="720"/>
        <w:jc w:val="left"/>
        <w:rPr>
          <w:rFonts w:ascii="Times New Roman;Times;serif" w:hAnsi="Times New Roman;Times;serif"/>
          <w:sz w:val="56"/>
        </w:rPr>
      </w:pPr>
      <w:r>
        <w:rPr>
          <w:rFonts w:ascii="Times New Roman;Times;serif" w:hAnsi="Times New Roman;Times;serif"/>
          <w:sz w:val="56"/>
        </w:rPr>
        <w:t>s4</w:t>
      </w:r>
    </w:p>
    <w:p>
      <w:pPr>
        <w:pStyle w:val="TextBody"/>
        <w:bidi w:val="0"/>
        <w:spacing w:before="0" w:after="0"/>
        <w:ind w:left="0" w:right="0" w:hanging="0"/>
        <w:jc w:val="right"/>
        <w:rPr/>
      </w:pPr>
      <w:bookmarkStart w:id="276" w:name="_Hlk96336971"/>
      <w:bookmarkEnd w:id="276"/>
      <w:r>
        <w:rPr/>
        <w:t>​</w:t>
      </w:r>
    </w:p>
    <w:p>
      <w:pPr>
        <w:pStyle w:val="TextBody"/>
        <w:bidi w:val="0"/>
        <w:spacing w:before="0" w:after="0"/>
        <w:ind w:left="0" w:right="0" w:hanging="0"/>
        <w:jc w:val="right"/>
        <w:rPr>
          <w:rFonts w:ascii="Times New Roman;Times;serif" w:hAnsi="Times New Roman;Times;serif"/>
          <w:b/>
          <w:sz w:val="44"/>
        </w:rPr>
      </w:pPr>
      <w:r>
        <w:rPr>
          <w:rFonts w:ascii="Times New Roman;Times;serif" w:hAnsi="Times New Roman;Times;serif"/>
          <w:b/>
          <w:sz w:val="44"/>
        </w:rPr>
        <w:t>Press Release</w:t>
      </w:r>
    </w:p>
    <w:p>
      <w:pPr>
        <w:pStyle w:val="TextBody"/>
        <w:bidi w:val="0"/>
        <w:spacing w:before="0" w:after="0"/>
        <w:ind w:left="0" w:right="0" w:hanging="0"/>
        <w:jc w:val="right"/>
        <w:rPr>
          <w:color w:val="FFFFFF"/>
        </w:rPr>
      </w:pPr>
      <w:r>
        <w:rPr>
          <w:color w:val="FFFFFF"/>
        </w:rPr>
        <w:t>​</w:t>
      </w:r>
    </w:p>
    <w:p>
      <w:pPr>
        <w:pStyle w:val="TextBody"/>
        <w:bidi w:val="0"/>
        <w:spacing w:before="0" w:after="0"/>
        <w:ind w:left="0" w:right="0" w:hanging="0"/>
        <w:jc w:val="left"/>
        <w:rPr/>
      </w:pPr>
      <w:r>
        <w:rPr/>
        <w:t>​</w:t>
      </w:r>
    </w:p>
    <w:tbl>
      <w:tblPr>
        <w:tblW w:w="9887" w:type="dxa"/>
        <w:jc w:val="left"/>
        <w:tblInd w:w="0" w:type="dxa"/>
        <w:tblLayout w:type="fixed"/>
        <w:tblCellMar>
          <w:top w:w="0" w:type="dxa"/>
          <w:left w:w="0" w:type="dxa"/>
          <w:bottom w:w="28" w:type="dxa"/>
          <w:right w:w="0" w:type="dxa"/>
        </w:tblCellMar>
      </w:tblPr>
      <w:tblGrid>
        <w:gridCol w:w="1096"/>
        <w:gridCol w:w="8791"/>
      </w:tblGrid>
      <w:tr>
        <w:trPr/>
        <w:tc>
          <w:tcPr>
            <w:tcW w:w="1096" w:type="dxa"/>
            <w:tcBorders>
              <w:bottom w:val="single" w:sz="2" w:space="0" w:color="000000"/>
            </w:tcBorders>
            <w:vAlign w:val="center"/>
          </w:tcPr>
          <w:p>
            <w:pPr>
              <w:pStyle w:val="TableContents"/>
              <w:bidi w:val="0"/>
              <w:spacing w:before="0" w:after="60"/>
              <w:ind w:left="0" w:right="0" w:hanging="0"/>
              <w:jc w:val="left"/>
              <w:rPr>
                <w:rFonts w:ascii="Times New Roman;Times;serif" w:hAnsi="Times New Roman;Times;serif"/>
                <w:color w:val="C0C0C0"/>
                <w:sz w:val="16"/>
              </w:rPr>
            </w:pPr>
            <w:r>
              <w:rPr>
                <w:rFonts w:ascii="Times New Roman;Times;serif" w:hAnsi="Times New Roman;Times;serif"/>
                <w:color w:val="C0C0C0"/>
                <w:sz w:val="16"/>
              </w:rPr>
              <w:t>FOR</w:t>
              <w:br/>
              <w:t>IMMEDIATE</w:t>
              <w:br/>
              <w:t>RELEASE</w:t>
            </w:r>
          </w:p>
        </w:tc>
        <w:tc>
          <w:tcPr>
            <w:tcW w:w="8791"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mallCaps/>
                <w:sz w:val="26"/>
              </w:rPr>
            </w:pPr>
            <w:r>
              <w:rPr>
                <w:rFonts w:ascii="Times New Roman;Times;serif" w:hAnsi="Times New Roman;Times;serif"/>
                <w:b/>
                <w:smallCaps/>
                <w:sz w:val="26"/>
              </w:rPr>
              <w:t xml:space="preserve">CTO Realty Growth Closes </w:t>
            </w:r>
          </w:p>
          <w:p>
            <w:pPr>
              <w:pStyle w:val="TableContents"/>
              <w:bidi w:val="0"/>
              <w:spacing w:before="0" w:after="60"/>
              <w:ind w:left="0" w:right="0" w:hanging="0"/>
              <w:jc w:val="center"/>
              <w:rPr>
                <w:rFonts w:ascii="Times New Roman;Times;serif" w:hAnsi="Times New Roman;Times;serif"/>
                <w:b/>
                <w:smallCaps/>
                <w:sz w:val="26"/>
              </w:rPr>
            </w:pPr>
            <w:r>
              <w:rPr>
                <w:rFonts w:ascii="Times New Roman;Times;serif" w:hAnsi="Times New Roman;Times;serif"/>
                <w:b/>
                <w:smallCaps/>
                <w:sz w:val="26"/>
              </w:rPr>
              <w:t>$1.0 Billion Unsecured Credit Agreement</w:t>
            </w:r>
          </w:p>
          <w:p>
            <w:pPr>
              <w:pStyle w:val="TableContents"/>
              <w:bidi w:val="0"/>
              <w:spacing w:before="0" w:after="60"/>
              <w:ind w:left="0" w:right="0" w:hanging="0"/>
              <w:jc w:val="center"/>
              <w:rPr>
                <w:smallCaps/>
              </w:rPr>
            </w:pPr>
            <w:r>
              <w:rPr>
                <w:smallCaps/>
              </w:rPr>
              <w:t>​</w:t>
            </w:r>
          </w:p>
          <w:p>
            <w:pPr>
              <w:pStyle w:val="TableContents"/>
              <w:bidi w:val="0"/>
              <w:spacing w:before="0" w:after="60"/>
              <w:ind w:left="0" w:right="0" w:hanging="0"/>
              <w:jc w:val="center"/>
              <w:rPr>
                <w:rFonts w:ascii="Times New Roman;Times;serif" w:hAnsi="Times New Roman;Times;serif"/>
                <w:i/>
                <w:sz w:val="26"/>
              </w:rPr>
            </w:pPr>
            <w:r>
              <w:rPr>
                <w:rFonts w:ascii="Times New Roman;Times;serif" w:hAnsi="Times New Roman;Times;serif"/>
                <w:i/>
                <w:sz w:val="26"/>
              </w:rPr>
              <w:t>- Extends Debt Maturities with Nearest Maturity September 2029 -</w:t>
            </w:r>
          </w:p>
          <w:p>
            <w:pPr>
              <w:pStyle w:val="TableContents"/>
              <w:bidi w:val="0"/>
              <w:spacing w:before="0" w:after="60"/>
              <w:ind w:left="0" w:right="0" w:hanging="0"/>
              <w:jc w:val="center"/>
              <w:rPr>
                <w:rFonts w:ascii="Times New Roman;Times;serif" w:hAnsi="Times New Roman;Times;serif"/>
                <w:i/>
                <w:sz w:val="26"/>
              </w:rPr>
            </w:pPr>
            <w:r>
              <w:rPr>
                <w:rFonts w:ascii="Times New Roman;Times;serif" w:hAnsi="Times New Roman;Times;serif"/>
                <w:i/>
                <w:sz w:val="26"/>
              </w:rPr>
              <w:t>- Enhances Financial Flexibility with $250 Million of Incremental Commitments -</w:t>
            </w:r>
          </w:p>
          <w:p>
            <w:pPr>
              <w:pStyle w:val="TableContents"/>
              <w:bidi w:val="0"/>
              <w:spacing w:before="0" w:after="60"/>
              <w:ind w:left="0" w:right="0" w:hanging="0"/>
              <w:jc w:val="center"/>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b/>
          <w:sz w:val="24"/>
        </w:rPr>
        <w:t xml:space="preserve">WINTER PARK, FL </w:t>
      </w:r>
      <w:r>
        <w:rPr>
          <w:rFonts w:ascii="Times New Roman;Times;serif" w:hAnsi="Times New Roman;Times;serif"/>
          <w:sz w:val="24"/>
        </w:rPr>
        <w:t xml:space="preserve">– </w:t>
      </w:r>
      <w:r>
        <w:rPr>
          <w:rFonts w:ascii="Times New Roman;Times;serif" w:hAnsi="Times New Roman;Times;serif"/>
          <w:b/>
          <w:sz w:val="24"/>
        </w:rPr>
        <w:t xml:space="preserve">September 30, 2026 </w:t>
      </w:r>
      <w:r>
        <w:rPr>
          <w:rFonts w:ascii="Times New Roman;Times;serif" w:hAnsi="Times New Roman;Times;serif"/>
          <w:sz w:val="24"/>
        </w:rPr>
        <w:t>– CTO Realty Growth, Inc. (NYSE: CTO) (the “Company” or “CTO”), an owner and operator of high-quality, open-air shopping centers located primarily in the higher growth Southeast and Southwest markets of the United States, today announced that it closed a $1.0 billion amended and restated unsecured credit facility (the “Credit Facility”).  Highlights are as follows:</w:t>
      </w:r>
    </w:p>
    <w:p>
      <w:pPr>
        <w:pStyle w:val="TextBody"/>
        <w:bidi w:val="0"/>
        <w:spacing w:before="100" w:after="100"/>
        <w:ind w:left="776" w:right="0" w:hanging="0"/>
        <w:jc w:val="both"/>
        <w:rPr/>
      </w:pPr>
      <w:r>
        <w:rPr/>
        <w:t>​</w:t>
      </w:r>
    </w:p>
    <w:tbl>
      <w:tblPr>
        <w:tblW w:w="4053" w:type="dxa"/>
        <w:jc w:val="left"/>
        <w:tblInd w:w="0" w:type="dxa"/>
        <w:tblLayout w:type="fixed"/>
        <w:tblCellMar>
          <w:top w:w="0" w:type="dxa"/>
          <w:left w:w="0" w:type="dxa"/>
          <w:bottom w:w="0" w:type="dxa"/>
          <w:right w:w="0" w:type="dxa"/>
        </w:tblCellMar>
      </w:tblPr>
      <w:tblGrid>
        <w:gridCol w:w="23"/>
        <w:gridCol w:w="170"/>
        <w:gridCol w:w="3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$1.0 billion Credit Facility comprised of:</w:t>
            </w:r>
          </w:p>
        </w:tc>
      </w:tr>
    </w:tbl>
    <w:tbl>
      <w:tblPr>
        <w:tblW w:w="9648" w:type="dxa"/>
        <w:jc w:val="left"/>
        <w:tblInd w:w="0" w:type="dxa"/>
        <w:tblLayout w:type="fixed"/>
        <w:tblCellMar>
          <w:top w:w="0" w:type="dxa"/>
          <w:left w:w="0" w:type="dxa"/>
          <w:bottom w:w="0" w:type="dxa"/>
          <w:right w:w="0" w:type="dxa"/>
        </w:tblCellMar>
      </w:tblPr>
      <w:tblGrid>
        <w:gridCol w:w="23"/>
        <w:gridCol w:w="170"/>
        <w:gridCol w:w="94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94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$400 million revolving credit facility due September 2030, with two six-month extension options,</w:t>
            </w:r>
          </w:p>
        </w:tc>
      </w:tr>
    </w:tbl>
    <w:tbl>
      <w:tblPr>
        <w:tblW w:w="9708" w:type="dxa"/>
        <w:jc w:val="left"/>
        <w:tblInd w:w="0" w:type="dxa"/>
        <w:tblLayout w:type="fixed"/>
        <w:tblCellMar>
          <w:top w:w="0" w:type="dxa"/>
          <w:left w:w="0" w:type="dxa"/>
          <w:bottom w:w="0" w:type="dxa"/>
          <w:right w:w="0" w:type="dxa"/>
        </w:tblCellMar>
      </w:tblPr>
      <w:tblGrid>
        <w:gridCol w:w="23"/>
        <w:gridCol w:w="170"/>
        <w:gridCol w:w="9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$150 million term loan due September 2029, upsized from $125 million (the “2029 Term Loan”), </w:t>
            </w:r>
          </w:p>
        </w:tc>
      </w:tr>
    </w:tbl>
    <w:tbl>
      <w:tblPr>
        <w:tblW w:w="9708" w:type="dxa"/>
        <w:jc w:val="left"/>
        <w:tblInd w:w="0" w:type="dxa"/>
        <w:tblLayout w:type="fixed"/>
        <w:tblCellMar>
          <w:top w:w="0" w:type="dxa"/>
          <w:left w:w="0" w:type="dxa"/>
          <w:bottom w:w="0" w:type="dxa"/>
          <w:right w:w="0" w:type="dxa"/>
        </w:tblCellMar>
      </w:tblPr>
      <w:tblGrid>
        <w:gridCol w:w="23"/>
        <w:gridCol w:w="170"/>
        <w:gridCol w:w="9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9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$150 million term loan due September 2030, upsized from $125 million (the “2030 Term Loan”), </w:t>
            </w:r>
          </w:p>
        </w:tc>
      </w:tr>
    </w:tbl>
    <w:tbl>
      <w:tblPr>
        <w:tblW w:w="7908" w:type="dxa"/>
        <w:jc w:val="left"/>
        <w:tblInd w:w="0" w:type="dxa"/>
        <w:tblLayout w:type="fixed"/>
        <w:tblCellMar>
          <w:top w:w="0" w:type="dxa"/>
          <w:left w:w="0" w:type="dxa"/>
          <w:bottom w:w="0" w:type="dxa"/>
          <w:right w:w="0" w:type="dxa"/>
        </w:tblCellMar>
      </w:tblPr>
      <w:tblGrid>
        <w:gridCol w:w="23"/>
        <w:gridCol w:w="170"/>
        <w:gridCol w:w="77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7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new $150 million term loan due September 2031 (the “2031 Term Loan”), and</w:t>
            </w:r>
          </w:p>
        </w:tc>
      </w:tr>
    </w:tbl>
    <w:tbl>
      <w:tblPr>
        <w:tblW w:w="7053" w:type="dxa"/>
        <w:jc w:val="left"/>
        <w:tblInd w:w="0" w:type="dxa"/>
        <w:tblLayout w:type="fixed"/>
        <w:tblCellMar>
          <w:top w:w="0" w:type="dxa"/>
          <w:left w:w="0" w:type="dxa"/>
          <w:bottom w:w="0" w:type="dxa"/>
          <w:right w:w="0" w:type="dxa"/>
        </w:tblCellMar>
      </w:tblPr>
      <w:tblGrid>
        <w:gridCol w:w="23"/>
        <w:gridCol w:w="170"/>
        <w:gridCol w:w="6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Courier New" w:hAnsi="Courier New"/>
                <w:sz w:val="24"/>
              </w:rPr>
            </w:pPr>
            <w:r>
              <w:rPr>
                <w:rFonts w:ascii="Courier New" w:hAnsi="Courier New"/>
                <w:sz w:val="24"/>
              </w:rPr>
              <w:t>o</w:t>
            </w:r>
          </w:p>
        </w:tc>
        <w:tc>
          <w:tcPr>
            <w:tcW w:w="6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new $150 million term loan due March 2032 (the “2032 Term Loan”)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Increases weighted average maturity of outstanding debt at closing to 4.3 years from 1.6 years, excluding extension options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Borrowings bear interest at SOFR plus a spread determined by a pricing grid based on the Company’s leverage ratio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Proceeds were used to repay outstanding borrowings under the Company’s previous $300 million revolving credit facility, its $100 million term loan due January 2027, and its $100 million term loan due January 2028</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4"/>
        </w:rPr>
        <w:t xml:space="preserve">The new Credit Facility extends our debt maturity profile and increases total commitments by $250 million, providing additional capacity to fund the growth of our high-quality, open-air shopping center portfolio. We appreciate the continued support of our existing banking partners and are pleased to welcome our new lenders to the expanded Credit Facility,” said Philip R. Mays, Senior Vice President, Chief Financial Officer and Treasurer of CTO Realty Growth.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At closing, the Company applied certain SOFR swaps to the term loans, resulting in initial fixed interest rates, based on the Company’s current leverage ratio, of 5.3% for the 2029 Term Loan, 4.9% for the 2030 Term Loan, 4.8% for the 2031 Term Loan, and 3.4% for the 2032 Term Loan. The fixed rate on the 2032 Term Loan will adjust to approximately 5.3% in February 2027. The Company has also executed forward-starting swaps that will replace certain existing swaps as they expire, resulting in periodic interest rate adjustments during the terms of the loans. </w:t>
      </w:r>
    </w:p>
    <w:p>
      <w:pPr>
        <w:pStyle w:val="TextBody"/>
        <w:bidi w:val="0"/>
        <w:spacing w:before="100" w:after="10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Credit Facility was provided by a syndicate of banks led by KeyBank National Association, as administrative agent. Co-syndication agents included Bank of America, N.A., The Huntington National Bank, PNC Bank, National Association, Regions Bank, Truist Bank, and Wells Fargo Bank, N.A. Additional participating banks included Associated Bank, National Association, Pinnacle Bank, Raymond James Bank, and Santander.</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About CTO Realty Growth, Inc.</w:t>
      </w:r>
    </w:p>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 xml:space="preserve">CTO Realty Growth, Inc. owns and operates high-quality, open-air shopping centers located primarily in the higher growth Southeast and Southwest markets of the United States. CTO also externally manages and owns a meaningful interest in Alpine Income Property Trust, Inc. (NYSE: PINE), a publicly traded net lease REIT. </w:t>
      </w:r>
    </w:p>
    <w:p>
      <w:pPr>
        <w:pStyle w:val="TextBody"/>
        <w:bidi w:val="0"/>
        <w:spacing w:before="0" w:after="160"/>
        <w:ind w:left="0" w:right="0" w:hanging="0"/>
        <w:jc w:val="both"/>
        <w:rPr>
          <w:rFonts w:ascii="Times New Roman;Times;serif" w:hAnsi="Times New Roman;Times;serif"/>
          <w:sz w:val="24"/>
        </w:rPr>
      </w:pPr>
      <w:r>
        <w:rPr>
          <w:rFonts w:ascii="Times New Roman;Times;serif" w:hAnsi="Times New Roman;Times;serif"/>
          <w:sz w:val="24"/>
        </w:rPr>
        <w:t>We encourage you to review our most recent investor presentation and supplemental financial information, which is available on our website at www.ctoreit.com.</w:t>
      </w:r>
    </w:p>
    <w:p>
      <w:pPr>
        <w:pStyle w:val="TextBody"/>
        <w:bidi w:val="0"/>
        <w:spacing w:before="0" w:after="0"/>
        <w:ind w:left="0" w:right="0" w:hanging="0"/>
        <w:jc w:val="left"/>
        <w:rPr>
          <w:color w:val="0000FF"/>
          <w:shd w:fill="FFFFFF" w:val="clear"/>
        </w:rPr>
      </w:pPr>
      <w:r>
        <w:rPr>
          <w:color w:val="0000FF"/>
          <w:shd w:fill="FFFFFF" w:val="clear"/>
        </w:rPr>
        <w:t>​</w:t>
      </w:r>
    </w:p>
    <w:p>
      <w:pPr>
        <w:pStyle w:val="TextBody"/>
        <w:bidi w:val="0"/>
        <w:spacing w:before="0" w:after="0"/>
        <w:ind w:left="0" w:right="0" w:hanging="0"/>
        <w:jc w:val="left"/>
        <w:rPr>
          <w:color w:val="0000FF"/>
          <w:shd w:fill="FFFFFF" w:val="clear"/>
        </w:rPr>
      </w:pPr>
      <w:r>
        <w:rPr>
          <w:color w:val="0000FF"/>
          <w:shd w:fill="FFFFFF" w:val="clear"/>
        </w:rPr>
        <w:t>​</w:t>
      </w:r>
    </w:p>
    <w:p>
      <w:pPr>
        <w:pStyle w:val="TextBody"/>
        <w:shd w:fill="FFFFFF" w:val="clear"/>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Safe Harbor</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Certain statements contained in this press release (other than statements of historical fact) are forward-looking statements within the meaning of Section 27A of the Securities Act of 1933, as amended, and Section 21E of the Securities Exchange Act of 1934, as amended. Forward-looking statements can typically be identified by words such as “opportunity,” “upside,” “outlook,” “believe,” “estimate,” “expect,” “intend,” “anticipate,” “will,” “could,” “may,” “should,” “plan,” “potential,” “predict,” “forecast,” “project,” and similar expressions, as well as variations or negatives of these words. Statements, among others, relating to the Company’s borrowing capacity under the Credit Facility, the expected interest rates on the term loans, including the impact of forward-starting swaps, and the Company’s ability to fund future growth are forward-looking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Although forward-looking statements are made based upon management’s present expectations and beliefs concerning future developments and their potential effect upon the Company, a number of factors could cause the Company’s actual results to differ materially from those set forth in the forward-looking statements. Such factors may include, but are not limited to: the Company’s ability to remain qualified as a REIT; the Company’s exposure to U.S. federal and state income tax law changes, including changes to the REIT requirements; general adverse economic and real estate conditions; macroeconomic and geopolitical factors, including but not limited to inflationary pressures, interest rate volatility, ongoing geopolitical war, distress in the banking sector, and global supply chain disruptions; credit risk associated with the Company investing in commercial loans, preferred equity, and similarly structured investments; the ultimate geographic spread, severity and duration of pandemics such as the COVID-19 Pandemic and its variants, actions that may be taken by governmental authorities to contain or address the impact of such pandemics, and the potential negative impacts of such pandemics on the global economy and the Company’s financial condition and results of operations; the inability of major tenants or borrowers to continue paying their rent or obligations due to bankruptcy, insolvency or a general downturn in their business; the loss or failure, or decline in the business or assets of PINE; the completion of 1031 exchange transactions; the availability of investment properties that meet the Company’s investment goals and criteria; the uncertainties associated with obtaining required governmental permits and satisfying other closing conditions for planned acquisitions and sales; and the uncertainties and risk factors discussed in the Company’s Annual Report on Form 10-K for the fiscal year ended December 31, 2025 and other risks and uncertainties discussed from time to time in the Company’s filings with the U.S. Securities and Exchange Commission. </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There can be no assurance that future developments will be in accordance with management’s expectations or that the effect of future developments on the Company will be those anticipated by management. Readers are cautioned not to place undue reliance on these forward-looking statements, which speak only as of the date of this press release. The Company undertakes no obligation to update the information contained in this press release to reflect subsequently occurring events or circumstances.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Contact: </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Investor Relations</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ir@ctoreit.com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 w:name="Times">
    <w:altName w:val="Times New Roman"/>
    <w:charset w:val="01"/>
    <w:family w:val="auto"/>
    <w:pitch w:val="default"/>
  </w:font>
  <w:font w:name="Cambria">
    <w:charset w:val="01"/>
    <w:family w:val="auto"/>
    <w:pitch w:val="default"/>
  </w:font>
  <w:font w:name="Symbol">
    <w:charset w:val="02"/>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83334</Words>
  <Characters>444141</Characters>
  <CharactersWithSpaces>526518</CharactersWithSpaces>
  <Paragraphs>3453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