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220345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6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73025</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98"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10-Q/A</w:t>
      </w:r>
    </w:p>
    <w:p>
      <w:pPr>
        <w:spacing w:after="0" w:line="36"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80010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18" w:lineRule="exact"/>
        <w:rPr>
          <w:sz w:val="24"/>
          <w:szCs w:val="24"/>
          <w:color w:val="auto"/>
        </w:rPr>
      </w:pPr>
    </w:p>
    <w:p>
      <w:pPr>
        <w:ind w:left="430" w:right="180" w:hanging="430"/>
        <w:spacing w:after="0" w:line="267" w:lineRule="auto"/>
        <w:tabs>
          <w:tab w:leader="none" w:pos="43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23" w:lineRule="exact"/>
        <w:rPr>
          <w:sz w:val="24"/>
          <w:szCs w:val="24"/>
          <w:color w:val="auto"/>
        </w:rPr>
      </w:pPr>
    </w:p>
    <w:p>
      <w:pPr>
        <w:ind w:left="10"/>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430" w:right="180" w:hanging="430"/>
        <w:spacing w:after="0" w:line="267" w:lineRule="auto"/>
        <w:tabs>
          <w:tab w:leader="none" w:pos="43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 w:lineRule="exact"/>
        <w:rPr>
          <w:sz w:val="24"/>
          <w:szCs w:val="24"/>
          <w:color w:val="auto"/>
        </w:rPr>
      </w:pPr>
    </w:p>
    <w:p>
      <w:pPr>
        <w:ind w:left="3130"/>
        <w:spacing w:after="0"/>
        <w:tabs>
          <w:tab w:leader="none" w:pos="609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3342005</wp:posOffset>
            </wp:positionH>
            <wp:positionV relativeFrom="paragraph">
              <wp:posOffset>-4445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3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Commission file number 001-11350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7" w:lineRule="exact"/>
        <w:rPr>
          <w:sz w:val="24"/>
          <w:szCs w:val="24"/>
          <w:color w:val="auto"/>
        </w:rPr>
      </w:pPr>
    </w:p>
    <w:p>
      <w:pPr>
        <w:jc w:val="center"/>
        <w:ind w:right="-9"/>
        <w:spacing w:after="0"/>
        <w:rPr>
          <w:sz w:val="20"/>
          <w:szCs w:val="20"/>
          <w:color w:val="auto"/>
        </w:rPr>
      </w:pPr>
      <w:r>
        <w:rPr>
          <w:rFonts w:ascii="Arial" w:cs="Arial" w:eastAsia="Arial" w:hAnsi="Arial"/>
          <w:sz w:val="40"/>
          <w:szCs w:val="40"/>
          <w:b w:val="1"/>
          <w:bCs w:val="1"/>
          <w:color w:val="auto"/>
        </w:rPr>
        <w:t>CTO REALTY GROWTH, INC.</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940" w:type="dxa"/>
            <w:vAlign w:val="bottom"/>
            <w:gridSpan w:val="8"/>
          </w:tcPr>
          <w:p>
            <w:pPr>
              <w:jc w:val="center"/>
              <w:ind w:left="316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260" w:type="dxa"/>
            <w:vAlign w:val="bottom"/>
          </w:tcPr>
          <w:p>
            <w:pPr>
              <w:spacing w:after="0"/>
              <w:rPr>
                <w:sz w:val="18"/>
                <w:szCs w:val="18"/>
                <w:color w:val="auto"/>
              </w:rPr>
            </w:pPr>
          </w:p>
        </w:tc>
      </w:tr>
      <w:tr>
        <w:trPr>
          <w:trHeight w:val="69"/>
        </w:trPr>
        <w:tc>
          <w:tcPr>
            <w:tcW w:w="20" w:type="dxa"/>
            <w:vAlign w:val="bottom"/>
          </w:tcPr>
          <w:p>
            <w:pPr>
              <w:spacing w:after="0"/>
              <w:rPr>
                <w:sz w:val="6"/>
                <w:szCs w:val="6"/>
                <w:color w:val="auto"/>
              </w:rPr>
            </w:pPr>
          </w:p>
        </w:tc>
        <w:tc>
          <w:tcPr>
            <w:tcW w:w="3800" w:type="dxa"/>
            <w:vAlign w:val="bottom"/>
            <w:gridSpan w:val="3"/>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60" w:type="dxa"/>
            <w:vAlign w:val="bottom"/>
          </w:tcPr>
          <w:p>
            <w:pPr>
              <w:spacing w:after="0"/>
              <w:rPr>
                <w:sz w:val="6"/>
                <w:szCs w:val="6"/>
                <w:color w:val="auto"/>
              </w:rPr>
            </w:pPr>
          </w:p>
        </w:tc>
      </w:tr>
      <w:tr>
        <w:trPr>
          <w:trHeight w:val="250"/>
        </w:trPr>
        <w:tc>
          <w:tcPr>
            <w:tcW w:w="20" w:type="dxa"/>
            <w:vAlign w:val="bottom"/>
          </w:tcPr>
          <w:p>
            <w:pPr>
              <w:spacing w:after="0"/>
              <w:rPr>
                <w:sz w:val="21"/>
                <w:szCs w:val="21"/>
                <w:color w:val="auto"/>
              </w:rPr>
            </w:pPr>
          </w:p>
        </w:tc>
        <w:tc>
          <w:tcPr>
            <w:tcW w:w="4180" w:type="dxa"/>
            <w:vAlign w:val="bottom"/>
            <w:gridSpan w:val="4"/>
          </w:tcPr>
          <w:p>
            <w:pPr>
              <w:jc w:val="center"/>
              <w:ind w:left="761"/>
              <w:spacing w:after="0"/>
              <w:rPr>
                <w:sz w:val="20"/>
                <w:szCs w:val="20"/>
                <w:color w:val="auto"/>
              </w:rPr>
            </w:pPr>
            <w:r>
              <w:rPr>
                <w:rFonts w:ascii="Arial" w:cs="Arial" w:eastAsia="Arial" w:hAnsi="Arial"/>
                <w:sz w:val="16"/>
                <w:szCs w:val="16"/>
                <w:b w:val="1"/>
                <w:bCs w:val="1"/>
                <w:color w:val="auto"/>
                <w:w w:val="99"/>
              </w:rPr>
              <w:t>Maryland</w:t>
            </w:r>
          </w:p>
        </w:tc>
        <w:tc>
          <w:tcPr>
            <w:tcW w:w="2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60" w:type="dxa"/>
            <w:vAlign w:val="bottom"/>
          </w:tcPr>
          <w:p>
            <w:pPr>
              <w:jc w:val="right"/>
              <w:ind w:right="1981"/>
              <w:spacing w:after="0"/>
              <w:rPr>
                <w:sz w:val="20"/>
                <w:szCs w:val="20"/>
                <w:color w:val="auto"/>
              </w:rPr>
            </w:pPr>
            <w:r>
              <w:rPr>
                <w:rFonts w:ascii="Arial" w:cs="Arial" w:eastAsia="Arial" w:hAnsi="Arial"/>
                <w:sz w:val="16"/>
                <w:szCs w:val="16"/>
                <w:b w:val="1"/>
                <w:bCs w:val="1"/>
                <w:color w:val="auto"/>
              </w:rPr>
              <w:t>59-0483700</w:t>
            </w:r>
          </w:p>
        </w:tc>
      </w:tr>
      <w:tr>
        <w:trPr>
          <w:trHeight w:val="189"/>
        </w:trPr>
        <w:tc>
          <w:tcPr>
            <w:tcW w:w="20" w:type="dxa"/>
            <w:vAlign w:val="bottom"/>
          </w:tcPr>
          <w:p>
            <w:pPr>
              <w:spacing w:after="0"/>
              <w:rPr>
                <w:sz w:val="16"/>
                <w:szCs w:val="16"/>
                <w:color w:val="auto"/>
              </w:rPr>
            </w:pPr>
          </w:p>
        </w:tc>
        <w:tc>
          <w:tcPr>
            <w:tcW w:w="4180" w:type="dxa"/>
            <w:vAlign w:val="bottom"/>
            <w:gridSpan w:val="4"/>
          </w:tcPr>
          <w:p>
            <w:pPr>
              <w:jc w:val="center"/>
              <w:ind w:left="761"/>
              <w:spacing w:after="0"/>
              <w:rPr>
                <w:sz w:val="20"/>
                <w:szCs w:val="20"/>
                <w:color w:val="auto"/>
              </w:rPr>
            </w:pPr>
            <w:r>
              <w:rPr>
                <w:rFonts w:ascii="Arial" w:cs="Arial" w:eastAsia="Arial" w:hAnsi="Arial"/>
                <w:sz w:val="16"/>
                <w:szCs w:val="16"/>
                <w:b w:val="1"/>
                <w:bCs w:val="1"/>
                <w:color w:val="auto"/>
                <w:w w:val="91"/>
              </w:rPr>
              <w:t>(State or other jurisdiction of</w:t>
            </w: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center"/>
              <w:ind w:right="1581"/>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20" w:type="dxa"/>
            <w:vAlign w:val="bottom"/>
          </w:tcPr>
          <w:p>
            <w:pPr>
              <w:spacing w:after="0"/>
              <w:rPr>
                <w:sz w:val="18"/>
                <w:szCs w:val="18"/>
                <w:color w:val="auto"/>
              </w:rPr>
            </w:pPr>
          </w:p>
        </w:tc>
        <w:tc>
          <w:tcPr>
            <w:tcW w:w="4180" w:type="dxa"/>
            <w:vAlign w:val="bottom"/>
            <w:gridSpan w:val="4"/>
          </w:tcPr>
          <w:p>
            <w:pPr>
              <w:jc w:val="center"/>
              <w:ind w:left="761"/>
              <w:spacing w:after="0"/>
              <w:rPr>
                <w:sz w:val="20"/>
                <w:szCs w:val="20"/>
                <w:color w:val="auto"/>
              </w:rPr>
            </w:pPr>
            <w:r>
              <w:rPr>
                <w:rFonts w:ascii="Arial" w:cs="Arial" w:eastAsia="Arial" w:hAnsi="Arial"/>
                <w:sz w:val="16"/>
                <w:szCs w:val="16"/>
                <w:b w:val="1"/>
                <w:bCs w:val="1"/>
                <w:color w:val="auto"/>
                <w:w w:val="91"/>
              </w:rPr>
              <w:t>incorporation or organization)</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center"/>
              <w:ind w:right="1581"/>
              <w:spacing w:after="0"/>
              <w:rPr>
                <w:sz w:val="20"/>
                <w:szCs w:val="20"/>
                <w:color w:val="auto"/>
              </w:rPr>
            </w:pPr>
            <w:r>
              <w:rPr>
                <w:rFonts w:ascii="Arial" w:cs="Arial" w:eastAsia="Arial" w:hAnsi="Arial"/>
                <w:sz w:val="16"/>
                <w:szCs w:val="16"/>
                <w:b w:val="1"/>
                <w:bCs w:val="1"/>
                <w:color w:val="auto"/>
                <w:w w:val="94"/>
              </w:rPr>
              <w:t>Identification No.)</w:t>
            </w:r>
          </w:p>
        </w:tc>
      </w:tr>
      <w:tr>
        <w:trPr>
          <w:trHeight w:val="262"/>
        </w:trPr>
        <w:tc>
          <w:tcPr>
            <w:tcW w:w="20" w:type="dxa"/>
            <w:vAlign w:val="bottom"/>
          </w:tcPr>
          <w:p>
            <w:pPr>
              <w:spacing w:after="0"/>
              <w:rPr>
                <w:sz w:val="22"/>
                <w:szCs w:val="22"/>
                <w:color w:val="auto"/>
              </w:rPr>
            </w:pPr>
          </w:p>
        </w:tc>
        <w:tc>
          <w:tcPr>
            <w:tcW w:w="4180" w:type="dxa"/>
            <w:vAlign w:val="bottom"/>
            <w:gridSpan w:val="4"/>
          </w:tcPr>
          <w:p>
            <w:pPr>
              <w:jc w:val="center"/>
              <w:ind w:left="761"/>
              <w:spacing w:after="0"/>
              <w:rPr>
                <w:sz w:val="20"/>
                <w:szCs w:val="20"/>
                <w:color w:val="auto"/>
              </w:rPr>
            </w:pPr>
            <w:r>
              <w:rPr>
                <w:rFonts w:ascii="Arial" w:cs="Arial" w:eastAsia="Arial" w:hAnsi="Arial"/>
                <w:sz w:val="16"/>
                <w:szCs w:val="16"/>
                <w:b w:val="1"/>
                <w:bCs w:val="1"/>
                <w:color w:val="auto"/>
                <w:w w:val="91"/>
              </w:rPr>
              <w:t>1140 N. Williamson Blvd., Suite 140</w:t>
            </w:r>
          </w:p>
        </w:tc>
        <w:tc>
          <w:tcPr>
            <w:tcW w:w="2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60" w:type="dxa"/>
            <w:vAlign w:val="bottom"/>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4180" w:type="dxa"/>
            <w:vAlign w:val="bottom"/>
            <w:gridSpan w:val="4"/>
          </w:tcPr>
          <w:p>
            <w:pPr>
              <w:jc w:val="center"/>
              <w:ind w:left="781"/>
              <w:spacing w:after="0"/>
              <w:rPr>
                <w:sz w:val="20"/>
                <w:szCs w:val="20"/>
                <w:color w:val="auto"/>
              </w:rPr>
            </w:pPr>
            <w:r>
              <w:rPr>
                <w:rFonts w:ascii="Arial" w:cs="Arial" w:eastAsia="Arial" w:hAnsi="Arial"/>
                <w:sz w:val="16"/>
                <w:szCs w:val="16"/>
                <w:b w:val="1"/>
                <w:bCs w:val="1"/>
                <w:color w:val="auto"/>
                <w:w w:val="92"/>
              </w:rPr>
              <w:t>Daytona Beach, Florida</w:t>
            </w: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right"/>
              <w:ind w:right="2181"/>
              <w:spacing w:after="0"/>
              <w:rPr>
                <w:sz w:val="20"/>
                <w:szCs w:val="20"/>
                <w:color w:val="auto"/>
              </w:rPr>
            </w:pPr>
            <w:r>
              <w:rPr>
                <w:rFonts w:ascii="Arial" w:cs="Arial" w:eastAsia="Arial" w:hAnsi="Arial"/>
                <w:sz w:val="16"/>
                <w:szCs w:val="16"/>
                <w:b w:val="1"/>
                <w:bCs w:val="1"/>
                <w:color w:val="auto"/>
              </w:rPr>
              <w:t>32114</w:t>
            </w:r>
          </w:p>
        </w:tc>
      </w:tr>
      <w:tr>
        <w:trPr>
          <w:trHeight w:val="210"/>
        </w:trPr>
        <w:tc>
          <w:tcPr>
            <w:tcW w:w="20" w:type="dxa"/>
            <w:vAlign w:val="bottom"/>
          </w:tcPr>
          <w:p>
            <w:pPr>
              <w:spacing w:after="0"/>
              <w:rPr>
                <w:sz w:val="18"/>
                <w:szCs w:val="18"/>
                <w:color w:val="auto"/>
              </w:rPr>
            </w:pPr>
          </w:p>
        </w:tc>
        <w:tc>
          <w:tcPr>
            <w:tcW w:w="4180" w:type="dxa"/>
            <w:vAlign w:val="bottom"/>
            <w:gridSpan w:val="4"/>
          </w:tcPr>
          <w:p>
            <w:pPr>
              <w:jc w:val="center"/>
              <w:ind w:left="781"/>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center"/>
              <w:ind w:right="1581"/>
              <w:spacing w:after="0"/>
              <w:rPr>
                <w:sz w:val="20"/>
                <w:szCs w:val="20"/>
                <w:color w:val="auto"/>
              </w:rPr>
            </w:pPr>
            <w:r>
              <w:rPr>
                <w:rFonts w:ascii="Arial" w:cs="Arial" w:eastAsia="Arial" w:hAnsi="Arial"/>
                <w:sz w:val="16"/>
                <w:szCs w:val="16"/>
                <w:b w:val="1"/>
                <w:bCs w:val="1"/>
                <w:color w:val="auto"/>
                <w:w w:val="96"/>
              </w:rPr>
              <w:t>(Zip Code)</w:t>
            </w: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jc w:val="center"/>
              <w:ind w:right="284"/>
              <w:spacing w:after="0"/>
              <w:rPr>
                <w:sz w:val="20"/>
                <w:szCs w:val="20"/>
                <w:color w:val="auto"/>
              </w:rPr>
            </w:pPr>
            <w:r>
              <w:rPr>
                <w:rFonts w:ascii="Arial" w:cs="Arial" w:eastAsia="Arial" w:hAnsi="Arial"/>
                <w:sz w:val="16"/>
                <w:szCs w:val="16"/>
                <w:b w:val="1"/>
                <w:bCs w:val="1"/>
                <w:color w:val="auto"/>
                <w:w w:val="93"/>
              </w:rPr>
              <w:t>(386) 274-2202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940" w:type="dxa"/>
            <w:vAlign w:val="bottom"/>
            <w:gridSpan w:val="8"/>
          </w:tcPr>
          <w:p>
            <w:pPr>
              <w:jc w:val="center"/>
              <w:ind w:left="316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260" w:type="dxa"/>
            <w:vAlign w:val="bottom"/>
          </w:tcPr>
          <w:p>
            <w:pPr>
              <w:spacing w:after="0"/>
              <w:rPr>
                <w:sz w:val="18"/>
                <w:szCs w:val="18"/>
                <w:color w:val="auto"/>
              </w:rPr>
            </w:pPr>
          </w:p>
        </w:tc>
      </w:tr>
      <w:tr>
        <w:trPr>
          <w:trHeight w:val="155"/>
        </w:trPr>
        <w:tc>
          <w:tcPr>
            <w:tcW w:w="3820" w:type="dxa"/>
            <w:vAlign w:val="bottom"/>
            <w:gridSpan w:val="4"/>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60" w:type="dxa"/>
            <w:vAlign w:val="bottom"/>
          </w:tcPr>
          <w:p>
            <w:pPr>
              <w:spacing w:after="0"/>
              <w:rPr>
                <w:sz w:val="13"/>
                <w:szCs w:val="13"/>
                <w:color w:val="auto"/>
              </w:rPr>
            </w:pPr>
          </w:p>
        </w:tc>
      </w:tr>
      <w:tr>
        <w:trPr>
          <w:trHeight w:val="285"/>
        </w:trPr>
        <w:tc>
          <w:tcPr>
            <w:tcW w:w="4200" w:type="dxa"/>
            <w:vAlign w:val="bottom"/>
            <w:gridSpan w:val="5"/>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4180" w:type="dxa"/>
            <w:vAlign w:val="bottom"/>
            <w:gridSpan w:val="4"/>
          </w:tcPr>
          <w:p>
            <w:pPr>
              <w:jc w:val="center"/>
              <w:ind w:right="840"/>
              <w:spacing w:after="0"/>
              <w:rPr>
                <w:sz w:val="20"/>
                <w:szCs w:val="20"/>
                <w:color w:val="auto"/>
              </w:rPr>
            </w:pPr>
            <w:r>
              <w:rPr>
                <w:rFonts w:ascii="Arial" w:cs="Arial" w:eastAsia="Arial" w:hAnsi="Arial"/>
                <w:sz w:val="16"/>
                <w:szCs w:val="16"/>
                <w:b w:val="1"/>
                <w:bCs w:val="1"/>
                <w:color w:val="auto"/>
                <w:w w:val="87"/>
              </w:rPr>
              <w:t>Title of each class:</w:t>
            </w:r>
          </w:p>
        </w:tc>
        <w:tc>
          <w:tcPr>
            <w:tcW w:w="2760" w:type="dxa"/>
            <w:vAlign w:val="bottom"/>
            <w:gridSpan w:val="4"/>
          </w:tcPr>
          <w:p>
            <w:pPr>
              <w:jc w:val="center"/>
              <w:ind w:right="940"/>
              <w:spacing w:after="0"/>
              <w:rPr>
                <w:sz w:val="20"/>
                <w:szCs w:val="20"/>
                <w:color w:val="auto"/>
              </w:rPr>
            </w:pPr>
            <w:r>
              <w:rPr>
                <w:rFonts w:ascii="Arial" w:cs="Arial" w:eastAsia="Arial" w:hAnsi="Arial"/>
                <w:sz w:val="16"/>
                <w:szCs w:val="16"/>
                <w:b w:val="1"/>
                <w:bCs w:val="1"/>
                <w:color w:val="auto"/>
                <w:w w:val="90"/>
              </w:rPr>
              <w:t>Trading Symbols</w:t>
            </w:r>
          </w:p>
        </w:tc>
        <w:tc>
          <w:tcPr>
            <w:tcW w:w="32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60"/>
        </w:trPr>
        <w:tc>
          <w:tcPr>
            <w:tcW w:w="20" w:type="dxa"/>
            <w:vAlign w:val="bottom"/>
          </w:tcPr>
          <w:p>
            <w:pPr>
              <w:spacing w:after="0"/>
              <w:rPr>
                <w:sz w:val="13"/>
                <w:szCs w:val="13"/>
                <w:color w:val="auto"/>
              </w:rPr>
            </w:pPr>
          </w:p>
        </w:tc>
        <w:tc>
          <w:tcPr>
            <w:tcW w:w="336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2"/>
              </w:rPr>
              <w:t>Common Stock, $0.01 par value per share</w:t>
            </w: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2"/>
          </w:tcPr>
          <w:p>
            <w:pPr>
              <w:jc w:val="center"/>
              <w:ind w:right="640"/>
              <w:spacing w:after="0" w:line="160" w:lineRule="exact"/>
              <w:rPr>
                <w:sz w:val="20"/>
                <w:szCs w:val="20"/>
                <w:color w:val="auto"/>
              </w:rPr>
            </w:pPr>
            <w:r>
              <w:rPr>
                <w:rFonts w:ascii="Arial" w:cs="Arial" w:eastAsia="Arial" w:hAnsi="Arial"/>
                <w:sz w:val="14"/>
                <w:szCs w:val="14"/>
                <w:b w:val="1"/>
                <w:bCs w:val="1"/>
                <w:color w:val="auto"/>
              </w:rPr>
              <w:t>CTO</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tcPr>
          <w:p>
            <w:pPr>
              <w:jc w:val="center"/>
              <w:ind w:right="61"/>
              <w:spacing w:after="0" w:line="160" w:lineRule="exact"/>
              <w:rPr>
                <w:sz w:val="20"/>
                <w:szCs w:val="20"/>
                <w:color w:val="auto"/>
              </w:rPr>
            </w:pPr>
            <w:r>
              <w:rPr>
                <w:rFonts w:ascii="Arial" w:cs="Arial" w:eastAsia="Arial" w:hAnsi="Arial"/>
                <w:sz w:val="14"/>
                <w:szCs w:val="14"/>
                <w:b w:val="1"/>
                <w:bCs w:val="1"/>
                <w:color w:val="auto"/>
              </w:rPr>
              <w:t>NYSE</w:t>
            </w:r>
          </w:p>
        </w:tc>
      </w:tr>
      <w:tr>
        <w:trPr>
          <w:trHeight w:val="162"/>
        </w:trPr>
        <w:tc>
          <w:tcPr>
            <w:tcW w:w="20" w:type="dxa"/>
            <w:vAlign w:val="bottom"/>
          </w:tcPr>
          <w:p>
            <w:pPr>
              <w:spacing w:after="0"/>
              <w:rPr>
                <w:sz w:val="14"/>
                <w:szCs w:val="14"/>
                <w:color w:val="auto"/>
              </w:rPr>
            </w:pPr>
          </w:p>
        </w:tc>
        <w:tc>
          <w:tcPr>
            <w:tcW w:w="418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2"/>
              </w:rPr>
              <w:t>6.375% Series A Cumulative Redeemable</w:t>
            </w: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418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2"/>
              </w:rPr>
              <w:t>Preferred Stock, $0.01 par value per share</w:t>
            </w:r>
          </w:p>
        </w:tc>
        <w:tc>
          <w:tcPr>
            <w:tcW w:w="276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rPr>
              <w:t>CTO PrA</w:t>
            </w:r>
          </w:p>
        </w:tc>
        <w:tc>
          <w:tcPr>
            <w:tcW w:w="3260" w:type="dxa"/>
            <w:vAlign w:val="bottom"/>
          </w:tcPr>
          <w:p>
            <w:pPr>
              <w:jc w:val="center"/>
              <w:ind w:right="61"/>
              <w:spacing w:after="0"/>
              <w:rPr>
                <w:sz w:val="20"/>
                <w:szCs w:val="20"/>
                <w:color w:val="auto"/>
              </w:rPr>
            </w:pPr>
            <w:r>
              <w:rPr>
                <w:rFonts w:ascii="Arial" w:cs="Arial" w:eastAsia="Arial" w:hAnsi="Arial"/>
                <w:sz w:val="14"/>
                <w:szCs w:val="14"/>
                <w:b w:val="1"/>
                <w:bCs w:val="1"/>
                <w:color w:val="auto"/>
              </w:rPr>
              <w:t>NYSE</w:t>
            </w:r>
          </w:p>
        </w:tc>
      </w:tr>
    </w:tbl>
    <w:p>
      <w:pPr>
        <w:spacing w:after="0" w:line="178" w:lineRule="exact"/>
        <w:rPr>
          <w:sz w:val="24"/>
          <w:szCs w:val="24"/>
          <w:color w:val="auto"/>
        </w:rPr>
      </w:pPr>
    </w:p>
    <w:p>
      <w:pPr>
        <w:ind w:left="10" w:right="160" w:firstLine="441"/>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left="10" w:right="180" w:firstLine="441"/>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left="10" w:right="160" w:firstLine="441"/>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4"/>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3"/>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9" w:lineRule="exact"/>
        <w:rPr>
          <w:sz w:val="24"/>
          <w:szCs w:val="24"/>
          <w:color w:val="auto"/>
        </w:rPr>
      </w:pPr>
    </w:p>
    <w:p>
      <w:pPr>
        <w:ind w:left="10" w:right="140" w:firstLine="441"/>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50" w:right="1280"/>
        <w:spacing w:after="0" w:line="23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21, 2021, there were 5,962,150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578485</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201295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This Amendment No. 1 on Form 10-Q/A (“Amendment No. 1”) to the Quarterly Report on Form 10-Q of CTO Realty Growth, Inc., a Maryland corporation (the “Company”), amends the Company’s Quarterly Report on Form 10-Q for the quarterly period ended September 30, 2021 (the “Quarterly Report”), which was initially filed with the Securities and Exchange Commission on October 28, 2021. Capitalized terms used in this Explanatory Note and not otherwise defined herein shall have the meanings ascribed to such terms in the Quarterly Report.</w:t>
      </w:r>
    </w:p>
    <w:p>
      <w:pPr>
        <w:spacing w:after="0" w:line="134" w:lineRule="exact"/>
        <w:rPr>
          <w:sz w:val="20"/>
          <w:szCs w:val="20"/>
          <w:color w:val="auto"/>
        </w:rPr>
      </w:pPr>
    </w:p>
    <w:p>
      <w:pPr>
        <w:jc w:val="both"/>
        <w:ind w:left="60" w:right="59" w:firstLine="441"/>
        <w:spacing w:after="0" w:line="289" w:lineRule="auto"/>
        <w:rPr>
          <w:sz w:val="20"/>
          <w:szCs w:val="20"/>
          <w:color w:val="auto"/>
        </w:rPr>
      </w:pPr>
      <w:r>
        <w:rPr>
          <w:rFonts w:ascii="Arial" w:cs="Arial" w:eastAsia="Arial" w:hAnsi="Arial"/>
          <w:sz w:val="16"/>
          <w:szCs w:val="16"/>
          <w:color w:val="auto"/>
        </w:rPr>
        <w:t>This Amendment No. 1 is being filed to correct an error in Note 17, Long-Term Debt, included in Part 1, Item 1 of the Quarterly Report. The Quarterly Report incorrectly stated that, after the Company’s third quarter 2021 dividend, the conversion rate of the 2025 Notes is equal to 19.1756 shares of common stock for each $1,000 principal amount of 2025 Notes, which represents an adjusted conversion price of $52.15 per share of common stock. This Amendment No. 1 revises the Quarterly Report to correctly disclose that, after the Company’s third quarter 2021 dividend, the conversion rate for the 2025 Notes is equal to 19.1410 shares of common stock for each $1,000 principal amount of 2025 Notes, which represents an adjusted conversion price of $52.24 per share of common stock. There are no changes to the amounts shown in the Company’s consolidated balance sheets, consolidated statements of operations, consolidated statements of comprehensive income (loss), consolidated statements of stockholders’ equity or consolidated statements of cash flows.</w:t>
      </w:r>
    </w:p>
    <w:p>
      <w:pPr>
        <w:spacing w:after="0" w:line="112"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No other changes in the Quarterly Report are being made by this Amendment No. 1. However, in accordance with Rule 12b-15 promulgated under the Securities Exchange Act of 1934, as amended, the complete text of Part I, Item 1, as amended, is included herein.</w:t>
      </w:r>
    </w:p>
    <w:p>
      <w:pPr>
        <w:spacing w:after="0" w:line="130"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This Amendment No. 1 also amends and restates the exhibit list in Part II, Item 6 of the Quarterly Report and re-files certain currently dated certifications of our principal executive officer and principal financial officer as Exhibits 31.1, 31.2, 32.1 and 32.2 hereto. This Amendment No. 1 speaks as of the date of the Quarterly Report, and has not been updated to reflect events occurring subsequent to the original filing date of the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00" w:type="dxa"/>
            <w:vAlign w:val="bottom"/>
            <w:gridSpan w:val="7"/>
          </w:tcPr>
          <w:p>
            <w:pPr>
              <w:ind w:left="1200"/>
              <w:spacing w:after="0"/>
              <w:rPr>
                <w:sz w:val="20"/>
                <w:szCs w:val="20"/>
                <w:color w:val="auto"/>
              </w:rPr>
            </w:pPr>
            <w:r>
              <w:rPr>
                <w:rFonts w:ascii="Arial" w:cs="Arial" w:eastAsia="Arial" w:hAnsi="Arial"/>
                <w:sz w:val="18"/>
                <w:szCs w:val="18"/>
                <w:color w:val="auto"/>
              </w:rPr>
              <w:t>INDEX</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4"/>
        </w:trPr>
        <w:tc>
          <w:tcPr>
            <w:tcW w:w="8060" w:type="dxa"/>
            <w:vAlign w:val="bottom"/>
            <w:gridSpan w:val="1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No.</w:t>
            </w:r>
          </w:p>
        </w:tc>
        <w:tc>
          <w:tcPr>
            <w:tcW w:w="0" w:type="dxa"/>
            <w:vAlign w:val="bottom"/>
          </w:tcPr>
          <w:p>
            <w:pPr>
              <w:spacing w:after="0"/>
              <w:rPr>
                <w:sz w:val="1"/>
                <w:szCs w:val="1"/>
                <w:color w:val="auto"/>
              </w:rPr>
            </w:pPr>
          </w:p>
        </w:tc>
      </w:tr>
      <w:tr>
        <w:trPr>
          <w:trHeight w:val="156"/>
        </w:trPr>
        <w:tc>
          <w:tcPr>
            <w:tcW w:w="8060" w:type="dxa"/>
            <w:vAlign w:val="bottom"/>
            <w:gridSpan w:val="16"/>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22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Item 1.   Financial Statements</w:t>
              </w:r>
            </w:hyperlink>
          </w:p>
        </w:tc>
        <w:tc>
          <w:tcPr>
            <w:tcW w:w="680" w:type="dxa"/>
            <w:vAlign w:val="bottom"/>
            <w:tcBorders>
              <w:top w:val="single" w:sz="8" w:color="0000EE"/>
            </w:tcBorders>
            <w:gridSpan w:val="2"/>
          </w:tcPr>
          <w:p>
            <w:pPr>
              <w:spacing w:after="0"/>
              <w:rPr>
                <w:sz w:val="24"/>
                <w:szCs w:val="24"/>
                <w:color w:val="auto"/>
              </w:rPr>
            </w:pPr>
          </w:p>
        </w:tc>
        <w:tc>
          <w:tcPr>
            <w:tcW w:w="5100" w:type="dxa"/>
            <w:vAlign w:val="bottom"/>
            <w:gridSpan w:val="7"/>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64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 September 30, 2021 (Unaudited) and December 31, 2020</w:t>
              </w:r>
            </w:hyperlink>
          </w:p>
        </w:tc>
        <w:tc>
          <w:tcPr>
            <w:tcW w:w="134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740" w:type="dxa"/>
            <w:vAlign w:val="bottom"/>
            <w:gridSpan w:val="15"/>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Operations – Three and nine months ended September 30, 2021 and 2020</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3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42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40" w:type="dxa"/>
            <w:vAlign w:val="bottom"/>
            <w:gridSpan w:val="15"/>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Consolidated Statements of Comprehensive Income (Loss) – Three and nine months ended September</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2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30, 2021 and 2020 (Unaudited)</w:t>
              </w:r>
            </w:hyperlink>
          </w:p>
        </w:tc>
        <w:tc>
          <w:tcPr>
            <w:tcW w:w="3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40" w:type="dxa"/>
            <w:vAlign w:val="bottom"/>
            <w:gridSpan w:val="15"/>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Consolidated Statements of Stockholders’ Equity – Three and nine months ended September 30, 2021</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2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2020 (Unaudited)</w:t>
              </w:r>
            </w:hyperlink>
          </w:p>
        </w:tc>
        <w:tc>
          <w:tcPr>
            <w:tcW w:w="40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4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 Nine months ended September 30, 2021 and 2020</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1100" w:type="dxa"/>
            <w:vAlign w:val="bottom"/>
            <w:gridSpan w:val="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40" w:type="dxa"/>
            <w:vAlign w:val="bottom"/>
            <w:gridSpan w:val="1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Consolidated Financial Statements (Unaudited)</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900" w:type="dxa"/>
            <w:vAlign w:val="bottom"/>
            <w:gridSpan w:val="5"/>
            <w:shd w:val="clear" w:color="auto" w:fill="0000EE"/>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60" w:type="dxa"/>
            <w:vAlign w:val="bottom"/>
            <w:gridSpan w:val="16"/>
          </w:tcPr>
          <w:p>
            <w:pPr>
              <w:spacing w:after="0"/>
              <w:rPr>
                <w:sz w:val="20"/>
                <w:szCs w:val="20"/>
                <w:color w:val="auto"/>
              </w:rPr>
            </w:pPr>
            <w:r>
              <w:rPr>
                <w:rFonts w:ascii="Arial" w:cs="Arial" w:eastAsia="Arial" w:hAnsi="Arial"/>
                <w:sz w:val="18"/>
                <w:szCs w:val="18"/>
                <w:color w:val="auto"/>
              </w:rPr>
              <w:t>PART II—OTHER INFORMATION</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48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48">
              <w:r>
                <w:rPr>
                  <w:rFonts w:ascii="Arial" w:cs="Arial" w:eastAsia="Arial" w:hAnsi="Arial"/>
                  <w:sz w:val="18"/>
                  <w:szCs w:val="18"/>
                  <w:color w:val="0000EE"/>
                  <w:w w:val="97"/>
                </w:rPr>
                <w:t>ITEM 6. EXHIBITS</w:t>
              </w:r>
            </w:hyperlink>
          </w:p>
        </w:tc>
        <w:tc>
          <w:tcPr>
            <w:tcW w:w="658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12"/>
        </w:trPr>
        <w:tc>
          <w:tcPr>
            <w:tcW w:w="11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SIGNATURES</w:t>
              </w:r>
            </w:hyperlink>
          </w:p>
        </w:tc>
        <w:tc>
          <w:tcPr>
            <w:tcW w:w="696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(Unaudited)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6100" w:type="dxa"/>
            <w:vAlign w:val="bottom"/>
            <w:shd w:val="clear" w:color="auto" w:fill="CCEEFF"/>
          </w:tcPr>
          <w:p>
            <w:pPr>
              <w:ind w:left="2740"/>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spacing w:after="0"/>
              <w:rPr>
                <w:sz w:val="20"/>
                <w:szCs w:val="20"/>
                <w:color w:val="auto"/>
              </w:rPr>
            </w:pPr>
            <w:r>
              <w:rPr>
                <w:rFonts w:ascii="Arial" w:cs="Arial" w:eastAsia="Arial" w:hAnsi="Arial"/>
                <w:sz w:val="16"/>
                <w:szCs w:val="16"/>
                <w:color w:val="auto"/>
              </w:rPr>
              <w:t>Real Estate: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Land, at Cost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162,297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166,512</w:t>
            </w:r>
          </w:p>
        </w:tc>
        <w:tc>
          <w:tcPr>
            <w:tcW w:w="0" w:type="dxa"/>
            <w:vAlign w:val="bottom"/>
          </w:tcPr>
          <w:p>
            <w:pPr>
              <w:spacing w:after="0"/>
              <w:rPr>
                <w:sz w:val="1"/>
                <w:szCs w:val="1"/>
                <w:color w:val="auto"/>
              </w:rPr>
            </w:pPr>
          </w:p>
        </w:tc>
      </w:tr>
      <w:tr>
        <w:trPr>
          <w:trHeight w:val="203"/>
        </w:trPr>
        <w:tc>
          <w:tcPr>
            <w:tcW w:w="6100" w:type="dxa"/>
            <w:vAlign w:val="bottom"/>
          </w:tcPr>
          <w:p>
            <w:pPr>
              <w:ind w:left="100"/>
              <w:spacing w:after="0"/>
              <w:rPr>
                <w:sz w:val="20"/>
                <w:szCs w:val="20"/>
                <w:color w:val="auto"/>
              </w:rPr>
            </w:pPr>
            <w:r>
              <w:rPr>
                <w:rFonts w:ascii="Arial" w:cs="Arial" w:eastAsia="Arial" w:hAnsi="Arial"/>
                <w:sz w:val="16"/>
                <w:szCs w:val="16"/>
                <w:color w:val="auto"/>
              </w:rPr>
              <w:t>Building and Improvements, at Cost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256,902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305,614</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Furnishings and Equipment, at Cost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Construction in Process, at Cost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Real Estate, at Cost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421,575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473,121</w:t>
            </w:r>
          </w:p>
        </w:tc>
        <w:tc>
          <w:tcPr>
            <w:tcW w:w="0" w:type="dxa"/>
            <w:vAlign w:val="bottom"/>
          </w:tcPr>
          <w:p>
            <w:pPr>
              <w:spacing w:after="0"/>
              <w:rPr>
                <w:sz w:val="1"/>
                <w:szCs w:val="1"/>
                <w:color w:val="auto"/>
              </w:rPr>
            </w:pPr>
          </w:p>
        </w:tc>
      </w:tr>
      <w:tr>
        <w:trPr>
          <w:trHeight w:val="203"/>
        </w:trPr>
        <w:tc>
          <w:tcPr>
            <w:tcW w:w="6100" w:type="dxa"/>
            <w:vAlign w:val="bottom"/>
          </w:tcPr>
          <w:p>
            <w:pPr>
              <w:ind w:left="100"/>
              <w:spacing w:after="0"/>
              <w:rPr>
                <w:sz w:val="20"/>
                <w:szCs w:val="20"/>
                <w:color w:val="auto"/>
              </w:rPr>
            </w:pPr>
            <w:r>
              <w:rPr>
                <w:rFonts w:ascii="Arial" w:cs="Arial" w:eastAsia="Arial" w:hAnsi="Arial"/>
                <w:sz w:val="16"/>
                <w:szCs w:val="16"/>
                <w:color w:val="auto"/>
              </w:rPr>
              <w:t>Less, Accumulated Depreciation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(22,385)</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(30,737)</w:t>
            </w:r>
          </w:p>
        </w:tc>
        <w:tc>
          <w:tcPr>
            <w:tcW w:w="0" w:type="dxa"/>
            <w:vAlign w:val="bottom"/>
          </w:tcPr>
          <w:p>
            <w:pPr>
              <w:spacing w:after="0"/>
              <w:rPr>
                <w:sz w:val="1"/>
                <w:szCs w:val="1"/>
                <w:color w:val="auto"/>
              </w:rPr>
            </w:pPr>
          </w:p>
        </w:tc>
      </w:tr>
      <w:tr>
        <w:trPr>
          <w:trHeight w:val="196"/>
        </w:trPr>
        <w:tc>
          <w:tcPr>
            <w:tcW w:w="6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Real Estate—Net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399,190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442,384</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20"/>
                <w:szCs w:val="20"/>
                <w:color w:val="auto"/>
              </w:rPr>
            </w:pPr>
            <w:r>
              <w:rPr>
                <w:rFonts w:ascii="Arial" w:cs="Arial" w:eastAsia="Arial" w:hAnsi="Arial"/>
                <w:sz w:val="16"/>
                <w:szCs w:val="16"/>
                <w:color w:val="auto"/>
              </w:rPr>
              <w:t>Land and Development Costs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6,702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7,083</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Intangible Lease Assets—Net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50,176</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20"/>
                <w:szCs w:val="20"/>
                <w:color w:val="auto"/>
              </w:rPr>
            </w:pPr>
            <w:r>
              <w:rPr>
                <w:rFonts w:ascii="Arial" w:cs="Arial" w:eastAsia="Arial" w:hAnsi="Arial"/>
                <w:sz w:val="16"/>
                <w:szCs w:val="16"/>
                <w:color w:val="auto"/>
              </w:rPr>
              <w:t>Assets Held for Sale—See Note 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Investment in Joint Ventures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48,677</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20"/>
                <w:szCs w:val="20"/>
                <w:color w:val="auto"/>
              </w:rPr>
            </w:pPr>
            <w:r>
              <w:rPr>
                <w:rFonts w:ascii="Arial" w:cs="Arial" w:eastAsia="Arial" w:hAnsi="Arial"/>
                <w:sz w:val="16"/>
                <w:szCs w:val="16"/>
                <w:color w:val="auto"/>
              </w:rPr>
              <w:t>Investment in Alpine Income Property Trust, Inc.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37,468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30,574</w:t>
            </w:r>
          </w:p>
        </w:tc>
        <w:tc>
          <w:tcPr>
            <w:tcW w:w="0" w:type="dxa"/>
            <w:vAlign w:val="bottom"/>
          </w:tcPr>
          <w:p>
            <w:pPr>
              <w:spacing w:after="0"/>
              <w:rPr>
                <w:sz w:val="1"/>
                <w:szCs w:val="1"/>
                <w:color w:val="auto"/>
              </w:rPr>
            </w:pPr>
          </w:p>
        </w:tc>
      </w:tr>
      <w:tr>
        <w:trPr>
          <w:trHeight w:val="202"/>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Mitigation Credits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20"/>
                <w:szCs w:val="20"/>
                <w:color w:val="auto"/>
              </w:rPr>
            </w:pPr>
            <w:r>
              <w:rPr>
                <w:rFonts w:ascii="Arial" w:cs="Arial" w:eastAsia="Arial" w:hAnsi="Arial"/>
                <w:sz w:val="16"/>
                <w:szCs w:val="16"/>
                <w:color w:val="auto"/>
              </w:rPr>
              <w:t>Mitigation Credit Rights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21,573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Commercial Loan and Master Lease Investments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38,320</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7,005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29,536</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20"/>
                <w:szCs w:val="20"/>
                <w:color w:val="auto"/>
              </w:rPr>
            </w:pPr>
            <w:r>
              <w:rPr>
                <w:rFonts w:ascii="Arial" w:cs="Arial" w:eastAsia="Arial" w:hAnsi="Arial"/>
                <w:sz w:val="16"/>
                <w:szCs w:val="16"/>
                <w:color w:val="auto"/>
              </w:rPr>
              <w:t>Refundable Income Taxes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Assets—See Note 13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12,180</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686,682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666,700</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1360"/>
              <w:spacing w:after="0"/>
              <w:rPr>
                <w:sz w:val="20"/>
                <w:szCs w:val="20"/>
                <w:color w:val="auto"/>
              </w:rPr>
            </w:pPr>
            <w:r>
              <w:rPr>
                <w:rFonts w:ascii="Arial" w:cs="Arial" w:eastAsia="Arial" w:hAnsi="Arial"/>
                <w:sz w:val="16"/>
                <w:szCs w:val="16"/>
                <w:color w:val="auto"/>
              </w:rPr>
              <w:t>LIABILITIES AND STOCKHOLDERS’ EQUITY</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1,402</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and Other Liabilities—See Note 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9,090</w:t>
            </w:r>
          </w:p>
        </w:tc>
        <w:tc>
          <w:tcPr>
            <w:tcW w:w="0" w:type="dxa"/>
            <w:vAlign w:val="bottom"/>
          </w:tcPr>
          <w:p>
            <w:pPr>
              <w:spacing w:after="0"/>
              <w:rPr>
                <w:sz w:val="1"/>
                <w:szCs w:val="1"/>
                <w:color w:val="auto"/>
              </w:rPr>
            </w:pPr>
          </w:p>
        </w:tc>
      </w:tr>
      <w:tr>
        <w:trPr>
          <w:trHeight w:val="203"/>
        </w:trPr>
        <w:tc>
          <w:tcPr>
            <w:tcW w:w="6100" w:type="dxa"/>
            <w:vAlign w:val="bottom"/>
          </w:tcPr>
          <w:p>
            <w:pPr>
              <w:ind w:left="100"/>
              <w:spacing w:after="0"/>
              <w:rPr>
                <w:sz w:val="20"/>
                <w:szCs w:val="20"/>
                <w:color w:val="auto"/>
              </w:rPr>
            </w:pPr>
            <w:r>
              <w:rPr>
                <w:rFonts w:ascii="Arial" w:cs="Arial" w:eastAsia="Arial" w:hAnsi="Arial"/>
                <w:sz w:val="16"/>
                <w:szCs w:val="16"/>
                <w:color w:val="auto"/>
              </w:rPr>
              <w:t>Deferred Revenue—See Note 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3,656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3,319</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Intangible Lease Liabilities—Net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24,163</w:t>
            </w:r>
          </w:p>
        </w:tc>
        <w:tc>
          <w:tcPr>
            <w:tcW w:w="0" w:type="dxa"/>
            <w:vAlign w:val="bottom"/>
          </w:tcPr>
          <w:p>
            <w:pPr>
              <w:spacing w:after="0"/>
              <w:rPr>
                <w:sz w:val="1"/>
                <w:szCs w:val="1"/>
                <w:color w:val="auto"/>
              </w:rPr>
            </w:pPr>
          </w:p>
        </w:tc>
      </w:tr>
      <w:tr>
        <w:trPr>
          <w:trHeight w:val="203"/>
        </w:trPr>
        <w:tc>
          <w:tcPr>
            <w:tcW w:w="6100" w:type="dxa"/>
            <w:vAlign w:val="bottom"/>
          </w:tcPr>
          <w:p>
            <w:pPr>
              <w:ind w:left="100"/>
              <w:spacing w:after="0"/>
              <w:rPr>
                <w:sz w:val="20"/>
                <w:szCs w:val="20"/>
                <w:color w:val="auto"/>
              </w:rPr>
            </w:pPr>
            <w:r>
              <w:rPr>
                <w:rFonts w:ascii="Arial" w:cs="Arial" w:eastAsia="Arial" w:hAnsi="Arial"/>
                <w:sz w:val="16"/>
                <w:szCs w:val="16"/>
                <w:color w:val="auto"/>
              </w:rPr>
              <w:t>Liabilities Held for Sale—See Note 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02"/>
        </w:trPr>
        <w:tc>
          <w:tcPr>
            <w:tcW w:w="6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Income Taxes—Net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Long-Term Debt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229,894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273,830</w:t>
            </w: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251,535</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315,801</w:t>
            </w:r>
          </w:p>
        </w:tc>
        <w:tc>
          <w:tcPr>
            <w:tcW w:w="0" w:type="dxa"/>
            <w:vAlign w:val="bottom"/>
          </w:tcPr>
          <w:p>
            <w:pPr>
              <w:spacing w:after="0"/>
              <w:rPr>
                <w:sz w:val="1"/>
                <w:szCs w:val="1"/>
                <w:color w:val="auto"/>
              </w:rPr>
            </w:pPr>
          </w:p>
        </w:tc>
      </w:tr>
      <w:tr>
        <w:trPr>
          <w:trHeight w:val="191"/>
        </w:trPr>
        <w:tc>
          <w:tcPr>
            <w:tcW w:w="6100" w:type="dxa"/>
            <w:vAlign w:val="bottom"/>
          </w:tcPr>
          <w:p>
            <w:pPr>
              <w:spacing w:after="0"/>
              <w:rPr>
                <w:sz w:val="20"/>
                <w:szCs w:val="20"/>
                <w:color w:val="auto"/>
              </w:rPr>
            </w:pPr>
            <w:r>
              <w:rPr>
                <w:rFonts w:ascii="Arial" w:cs="Arial" w:eastAsia="Arial" w:hAnsi="Arial"/>
                <w:sz w:val="16"/>
                <w:szCs w:val="16"/>
                <w:color w:val="auto"/>
              </w:rPr>
              <w:t>Commitments and Contingencies—See Note 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100" w:type="dxa"/>
            <w:vAlign w:val="bottom"/>
          </w:tcPr>
          <w:p>
            <w:pPr>
              <w:ind w:left="100"/>
              <w:spacing w:after="0"/>
              <w:rPr>
                <w:sz w:val="20"/>
                <w:szCs w:val="20"/>
                <w:color w:val="auto"/>
              </w:rPr>
            </w:pPr>
            <w:r>
              <w:rPr>
                <w:rFonts w:ascii="Arial" w:cs="Arial" w:eastAsia="Arial" w:hAnsi="Arial"/>
                <w:sz w:val="16"/>
                <w:szCs w:val="16"/>
                <w:color w:val="auto"/>
              </w:rPr>
              <w:t>Preferred Stock – 100,000,000 shares authorized; $0.01 par value, 6.375% Series 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100"/>
              <w:spacing w:after="0"/>
              <w:rPr>
                <w:sz w:val="20"/>
                <w:szCs w:val="20"/>
                <w:color w:val="auto"/>
              </w:rPr>
            </w:pPr>
            <w:r>
              <w:rPr>
                <w:rFonts w:ascii="Arial" w:cs="Arial" w:eastAsia="Arial" w:hAnsi="Arial"/>
                <w:sz w:val="16"/>
                <w:szCs w:val="16"/>
                <w:color w:val="auto"/>
              </w:rPr>
              <w:t>Cumulative Redeemable Preferred Stock, $25.00 Per Share Liquidation Preference,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100"/>
              <w:spacing w:after="0"/>
              <w:rPr>
                <w:sz w:val="20"/>
                <w:szCs w:val="20"/>
                <w:color w:val="auto"/>
              </w:rPr>
            </w:pPr>
            <w:r>
              <w:rPr>
                <w:rFonts w:ascii="Arial" w:cs="Arial" w:eastAsia="Arial" w:hAnsi="Arial"/>
                <w:sz w:val="16"/>
                <w:szCs w:val="16"/>
                <w:color w:val="auto"/>
                <w:w w:val="91"/>
              </w:rPr>
              <w:t>3,000,000 shares issued and outstanding at September 30, 2021; 50,000 shares authorized;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00" w:type="dxa"/>
            <w:vAlign w:val="bottom"/>
          </w:tcPr>
          <w:p>
            <w:pPr>
              <w:ind w:left="100"/>
              <w:spacing w:after="0"/>
              <w:rPr>
                <w:sz w:val="20"/>
                <w:szCs w:val="20"/>
                <w:color w:val="auto"/>
              </w:rPr>
            </w:pPr>
            <w:r>
              <w:rPr>
                <w:rFonts w:ascii="Arial" w:cs="Arial" w:eastAsia="Arial" w:hAnsi="Arial"/>
                <w:sz w:val="16"/>
                <w:szCs w:val="16"/>
                <w:color w:val="auto"/>
              </w:rPr>
              <w:t>$100.00 par value, no shares issued or outstanding at December 31, 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1"/>
              </w:rPr>
              <w:t>Common Stock – 500,000,000 shares authorized; $0.01 par value, 5,960,912 shares issued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and outstanding at September 30, 2021; 25,000,000 shares authorized; $1.00 par value,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7,310,680 shares issued and 5,915,756 shares outstanding at December 31, 2020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w:t>
            </w:r>
          </w:p>
        </w:tc>
        <w:tc>
          <w:tcPr>
            <w:tcW w:w="0" w:type="dxa"/>
            <w:vAlign w:val="bottom"/>
          </w:tcPr>
          <w:p>
            <w:pPr>
              <w:spacing w:after="0"/>
              <w:rPr>
                <w:sz w:val="1"/>
                <w:szCs w:val="1"/>
                <w:color w:val="auto"/>
              </w:rPr>
            </w:pPr>
          </w:p>
        </w:tc>
      </w:tr>
      <w:tr>
        <w:trPr>
          <w:trHeight w:val="193"/>
        </w:trPr>
        <w:tc>
          <w:tcPr>
            <w:tcW w:w="6100" w:type="dxa"/>
            <w:vAlign w:val="bottom"/>
          </w:tcPr>
          <w:p>
            <w:pPr>
              <w:ind w:left="100"/>
              <w:spacing w:after="0"/>
              <w:rPr>
                <w:sz w:val="20"/>
                <w:szCs w:val="20"/>
                <w:color w:val="auto"/>
              </w:rPr>
            </w:pPr>
            <w:r>
              <w:rPr>
                <w:rFonts w:ascii="Arial" w:cs="Arial" w:eastAsia="Arial" w:hAnsi="Arial"/>
                <w:sz w:val="16"/>
                <w:szCs w:val="16"/>
                <w:color w:val="auto"/>
                <w:w w:val="94"/>
              </w:rPr>
              <w:t>Treasury Stock – 0 shares at September 30, 2021 and 1,394,924 shares at December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100" w:type="dxa"/>
            <w:vAlign w:val="bottom"/>
          </w:tcPr>
          <w:p>
            <w:pPr>
              <w:ind w:left="10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(77,541)</w:t>
            </w:r>
          </w:p>
        </w:tc>
        <w:tc>
          <w:tcPr>
            <w:tcW w:w="0" w:type="dxa"/>
            <w:vAlign w:val="bottom"/>
          </w:tcPr>
          <w:p>
            <w:pPr>
              <w:spacing w:after="0"/>
              <w:rPr>
                <w:sz w:val="1"/>
                <w:szCs w:val="1"/>
                <w:color w:val="auto"/>
              </w:rPr>
            </w:pPr>
          </w:p>
        </w:tc>
      </w:tr>
      <w:tr>
        <w:trPr>
          <w:trHeight w:val="205"/>
        </w:trPr>
        <w:tc>
          <w:tcPr>
            <w:tcW w:w="6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86,899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83,183</w:t>
            </w:r>
          </w:p>
        </w:tc>
        <w:tc>
          <w:tcPr>
            <w:tcW w:w="0" w:type="dxa"/>
            <w:vAlign w:val="bottom"/>
          </w:tcPr>
          <w:p>
            <w:pPr>
              <w:spacing w:after="0"/>
              <w:rPr>
                <w:sz w:val="1"/>
                <w:szCs w:val="1"/>
                <w:color w:val="auto"/>
              </w:rPr>
            </w:pPr>
          </w:p>
        </w:tc>
      </w:tr>
      <w:tr>
        <w:trPr>
          <w:trHeight w:val="203"/>
        </w:trPr>
        <w:tc>
          <w:tcPr>
            <w:tcW w:w="6100" w:type="dxa"/>
            <w:vAlign w:val="bottom"/>
          </w:tcPr>
          <w:p>
            <w:pPr>
              <w:ind w:left="10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348,681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339,917</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(523)</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435,147</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350,899</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686,682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666,700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081"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081"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share, per share and dividend data)</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300" w:type="dxa"/>
            <w:vAlign w:val="bottom"/>
            <w:gridSpan w:val="3"/>
          </w:tcPr>
          <w:p>
            <w:pPr>
              <w:ind w:left="20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6"/>
                <w:szCs w:val="16"/>
                <w:color w:val="auto"/>
              </w:rPr>
            </w:pPr>
          </w:p>
        </w:tc>
        <w:tc>
          <w:tcPr>
            <w:tcW w:w="1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6"/>
                <w:szCs w:val="16"/>
                <w:color w:val="auto"/>
              </w:rPr>
            </w:pPr>
          </w:p>
        </w:tc>
        <w:tc>
          <w:tcPr>
            <w:tcW w:w="11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Income Properties</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13,734</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12,933</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36,757</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Management Fee Income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ind w:left="80"/>
              <w:spacing w:after="0" w:line="201" w:lineRule="exact"/>
              <w:rPr>
                <w:sz w:val="20"/>
                <w:szCs w:val="20"/>
                <w:color w:val="auto"/>
              </w:rPr>
            </w:pPr>
            <w:r>
              <w:rPr>
                <w:rFonts w:ascii="Arial" w:cs="Arial" w:eastAsia="Arial" w:hAnsi="Arial"/>
                <w:sz w:val="18"/>
                <w:szCs w:val="18"/>
                <w:color w:val="auto"/>
              </w:rPr>
              <w:t>Interest Income from Commercial Loan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Master Lease Investments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Real Estate Operations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Revenues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Income Properties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(9,688)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Real Estate Operations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Total Direct Cost of Revenues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(5,274)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Impairment Charges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(Loss) on Extinguishment of Debt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Gains and Income</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Total Operating Income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(Loss)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shd w:val="clear" w:color="auto" w:fill="CCEEFF"/>
          </w:tcPr>
          <w:p>
            <w:pPr>
              <w:ind w:left="80"/>
              <w:spacing w:after="0" w:line="182" w:lineRule="exact"/>
              <w:rPr>
                <w:sz w:val="20"/>
                <w:szCs w:val="20"/>
                <w:color w:val="auto"/>
              </w:rPr>
            </w:pPr>
            <w:r>
              <w:rPr>
                <w:rFonts w:ascii="Arial" w:cs="Arial" w:eastAsia="Arial" w:hAnsi="Arial"/>
                <w:sz w:val="18"/>
                <w:szCs w:val="18"/>
                <w:color w:val="auto"/>
              </w:rPr>
              <w:t>Income (Loss) Before Income Tax Benefit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(Expense)</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23,977</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23,637</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Net Income (Loss) Attributable to the Company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Distributions to Preferred Stockholders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shd w:val="clear" w:color="auto" w:fill="CCEEFF"/>
          </w:tcPr>
          <w:p>
            <w:pPr>
              <w:ind w:left="80"/>
              <w:spacing w:after="0" w:line="182" w:lineRule="exact"/>
              <w:rPr>
                <w:sz w:val="20"/>
                <w:szCs w:val="20"/>
                <w:color w:val="auto"/>
              </w:rPr>
            </w:pPr>
            <w:r>
              <w:rPr>
                <w:rFonts w:ascii="Arial" w:cs="Arial" w:eastAsia="Arial" w:hAnsi="Arial"/>
                <w:sz w:val="18"/>
                <w:szCs w:val="18"/>
                <w:color w:val="auto"/>
              </w:rPr>
              <w:t>Net Income (Loss) Attributable to Common</w:t>
            </w:r>
          </w:p>
        </w:tc>
        <w:tc>
          <w:tcPr>
            <w:tcW w:w="36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4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4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4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Stockholders</w:t>
            </w:r>
          </w:p>
        </w:tc>
        <w:tc>
          <w:tcPr>
            <w:tcW w:w="36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Per Share Information—See Note 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ind w:left="80"/>
              <w:spacing w:after="0" w:line="201" w:lineRule="exact"/>
              <w:rPr>
                <w:sz w:val="20"/>
                <w:szCs w:val="20"/>
                <w:color w:val="auto"/>
              </w:rPr>
            </w:pPr>
            <w:r>
              <w:rPr>
                <w:rFonts w:ascii="Arial" w:cs="Arial" w:eastAsia="Arial" w:hAnsi="Arial"/>
                <w:sz w:val="18"/>
                <w:szCs w:val="18"/>
                <w:color w:val="auto"/>
              </w:rPr>
              <w:t>Basic and Diluted Net Income (Loss)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Attributable to Common Stockholders</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3.87</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(0.33)</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4.56</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7"/>
              </w:rPr>
              <w:t>Weighted Average Number of Common Shares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5,901,095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4,654,329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5,892,900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5,901,095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4,654,329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5,892,900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w w:val="96"/>
              </w:rPr>
              <w:t>Dividends Declared and Paid - Preferred Stock</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0.3763</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0.3763</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Dividends Declared and Paid - Common Stock</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8"/>
              </w:rPr>
              <w:t>Three Months Ended</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05"/>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87"/>
              </w:rPr>
              <w:t>September 30,</w:t>
            </w:r>
          </w:p>
        </w:tc>
        <w:tc>
          <w:tcPr>
            <w:tcW w:w="1300" w:type="dxa"/>
            <w:vAlign w:val="bottom"/>
            <w:gridSpan w:val="3"/>
          </w:tcPr>
          <w:p>
            <w:pPr>
              <w:ind w:left="200"/>
              <w:spacing w:after="0" w:line="205" w:lineRule="exact"/>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7"/>
                <w:szCs w:val="17"/>
                <w:color w:val="auto"/>
              </w:rPr>
            </w:pPr>
          </w:p>
        </w:tc>
        <w:tc>
          <w:tcPr>
            <w:tcW w:w="11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7"/>
                <w:szCs w:val="17"/>
                <w:color w:val="auto"/>
              </w:rPr>
            </w:pPr>
          </w:p>
        </w:tc>
        <w:tc>
          <w:tcPr>
            <w:tcW w:w="114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w w:val="89"/>
              </w:rPr>
              <w:t>September 30,</w:t>
            </w:r>
          </w:p>
        </w:tc>
      </w:tr>
      <w:tr>
        <w:trPr>
          <w:trHeight w:val="234"/>
        </w:trPr>
        <w:tc>
          <w:tcPr>
            <w:tcW w:w="37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(Loss) Attributable to the Company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2"/>
        </w:trPr>
        <w:tc>
          <w:tcPr>
            <w:tcW w:w="37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Cash Flow Hedging Derivative - Interest Rate</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Swaps (Net of Income Tax Benefit (Expense) of</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$0, $0.02 million, $0, and ($0.5) million,</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182"/>
        </w:trPr>
        <w:tc>
          <w:tcPr>
            <w:tcW w:w="3740" w:type="dxa"/>
            <w:vAlign w:val="bottom"/>
          </w:tcPr>
          <w:p>
            <w:pPr>
              <w:spacing w:after="0" w:line="182" w:lineRule="exact"/>
              <w:rPr>
                <w:sz w:val="20"/>
                <w:szCs w:val="20"/>
                <w:color w:val="auto"/>
              </w:rPr>
            </w:pPr>
            <w:r>
              <w:rPr>
                <w:rFonts w:ascii="Arial" w:cs="Arial" w:eastAsia="Arial" w:hAnsi="Arial"/>
                <w:sz w:val="18"/>
                <w:szCs w:val="18"/>
                <w:color w:val="auto"/>
                <w:w w:val="93"/>
              </w:rPr>
              <w:t>Total Other Comprehensive Income (Loss), Net of</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r>
      <w:tr>
        <w:trPr>
          <w:trHeight w:val="209"/>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r>
      <w:tr>
        <w:trPr>
          <w:trHeight w:val="20"/>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three months ended September 30, 2021:</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96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1"/>
              </w:rPr>
              <w:t>Stockholders'</w:t>
            </w:r>
          </w:p>
        </w:tc>
      </w:tr>
      <w:tr>
        <w:trPr>
          <w:trHeight w:val="153"/>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Equity</w:t>
            </w:r>
          </w:p>
        </w:tc>
      </w:tr>
      <w:tr>
        <w:trPr>
          <w:trHeight w:val="128"/>
        </w:trPr>
        <w:tc>
          <w:tcPr>
            <w:tcW w:w="2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July 1,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ind w:left="500"/>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480"/>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13,676</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331,895</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(740)</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344,891</w:t>
            </w: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3"/>
                <w:szCs w:val="13"/>
                <w:color w:val="auto"/>
              </w:rPr>
              <w:t>Net Income Attributable to the Company</w:t>
            </w:r>
          </w:p>
        </w:tc>
        <w:tc>
          <w:tcPr>
            <w:tcW w:w="80" w:type="dxa"/>
            <w:vAlign w:val="bottom"/>
          </w:tcPr>
          <w:p>
            <w:pPr>
              <w:spacing w:after="0"/>
              <w:rPr>
                <w:sz w:val="11"/>
                <w:szCs w:val="11"/>
                <w:color w:val="auto"/>
              </w:rPr>
            </w:pPr>
          </w:p>
        </w:tc>
        <w:tc>
          <w:tcPr>
            <w:tcW w:w="74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23,947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23,947</w:t>
            </w:r>
          </w:p>
        </w:tc>
      </w:tr>
      <w:tr>
        <w:trPr>
          <w:trHeight w:val="121"/>
        </w:trPr>
        <w:tc>
          <w:tcPr>
            <w:tcW w:w="29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Issuance of Preferred Stock, Net of Underwriting</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49"/>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and Expenses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72,670</w:t>
            </w: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3"/>
                <w:szCs w:val="13"/>
                <w:color w:val="auto"/>
                <w:w w:val="90"/>
              </w:rPr>
              <w:t>Exercise of Stock Options and Common Stock Issuance</w:t>
            </w:r>
          </w:p>
        </w:tc>
        <w:tc>
          <w:tcPr>
            <w:tcW w:w="80" w:type="dxa"/>
            <w:vAlign w:val="bottom"/>
          </w:tcPr>
          <w:p>
            <w:pPr>
              <w:spacing w:after="0"/>
              <w:rPr>
                <w:sz w:val="11"/>
                <w:szCs w:val="11"/>
                <w:color w:val="auto"/>
              </w:rPr>
            </w:pPr>
          </w:p>
        </w:tc>
        <w:tc>
          <w:tcPr>
            <w:tcW w:w="74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(83)</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(83)</w:t>
            </w:r>
          </w:p>
        </w:tc>
      </w:tr>
      <w:tr>
        <w:trPr>
          <w:trHeight w:val="121"/>
        </w:trPr>
        <w:tc>
          <w:tcPr>
            <w:tcW w:w="29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6"/>
              </w:rPr>
              <w:t>Stock Compensation Expense from Restricted Stock</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49"/>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Grants and Equity Classified Stock Options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3"/>
                <w:szCs w:val="13"/>
                <w:color w:val="auto"/>
              </w:rPr>
              <w:t>Preferred Stock Dividends Declared for the Period</w:t>
            </w:r>
          </w:p>
        </w:tc>
        <w:tc>
          <w:tcPr>
            <w:tcW w:w="80" w:type="dxa"/>
            <w:vAlign w:val="bottom"/>
          </w:tcPr>
          <w:p>
            <w:pPr>
              <w:spacing w:after="0"/>
              <w:rPr>
                <w:sz w:val="11"/>
                <w:szCs w:val="11"/>
                <w:color w:val="auto"/>
              </w:rPr>
            </w:pPr>
          </w:p>
        </w:tc>
        <w:tc>
          <w:tcPr>
            <w:tcW w:w="74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(1,129)</w:t>
            </w: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(1,129)</w:t>
            </w:r>
          </w:p>
        </w:tc>
      </w:tr>
      <w:tr>
        <w:trPr>
          <w:trHeight w:val="135"/>
        </w:trPr>
        <w:tc>
          <w:tcPr>
            <w:tcW w:w="29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Common Stock Dividends Declared for the Period</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(6,032)</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(6,032)</w:t>
            </w: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3"/>
                <w:szCs w:val="13"/>
                <w:color w:val="auto"/>
              </w:rPr>
              <w:t>Other Comprehensive Income</w:t>
            </w:r>
          </w:p>
        </w:tc>
        <w:tc>
          <w:tcPr>
            <w:tcW w:w="80" w:type="dxa"/>
            <w:vAlign w:val="bottom"/>
          </w:tcPr>
          <w:p>
            <w:pPr>
              <w:spacing w:after="0"/>
              <w:rPr>
                <w:sz w:val="11"/>
                <w:szCs w:val="11"/>
                <w:color w:val="auto"/>
              </w:rPr>
            </w:pPr>
          </w:p>
        </w:tc>
        <w:tc>
          <w:tcPr>
            <w:tcW w:w="74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217</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217</w:t>
            </w:r>
          </w:p>
        </w:tc>
      </w:tr>
      <w:tr>
        <w:trPr>
          <w:trHeight w:val="128"/>
        </w:trPr>
        <w:tc>
          <w:tcPr>
            <w:tcW w:w="29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September 30, 2021</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ind w:left="500"/>
              <w:spacing w:after="0" w:line="129" w:lineRule="exact"/>
              <w:rPr>
                <w:sz w:val="20"/>
                <w:szCs w:val="20"/>
                <w:color w:val="auto"/>
              </w:rPr>
            </w:pPr>
            <w:r>
              <w:rPr>
                <w:rFonts w:ascii="Arial" w:cs="Arial" w:eastAsia="Arial" w:hAnsi="Arial"/>
                <w:sz w:val="13"/>
                <w:szCs w:val="13"/>
                <w:color w:val="auto"/>
              </w:rPr>
              <w:t>30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ind w:left="480"/>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86,899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348,681</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435,147</w:t>
            </w:r>
          </w:p>
        </w:tc>
      </w:tr>
      <w:tr>
        <w:trPr>
          <w:trHeight w:val="20"/>
        </w:trPr>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three months ended September 30, 2020:</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96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1"/>
              </w:rPr>
              <w:t>Stockholders'</w:t>
            </w:r>
          </w:p>
        </w:tc>
      </w:tr>
      <w:tr>
        <w:trPr>
          <w:trHeight w:val="153"/>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Equity</w:t>
            </w:r>
          </w:p>
        </w:tc>
      </w:tr>
      <w:tr>
        <w:trPr>
          <w:trHeight w:val="128"/>
        </w:trPr>
        <w:tc>
          <w:tcPr>
            <w:tcW w:w="2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July 1, 2020</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ind w:left="500"/>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6,047</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ind w:left="220"/>
              <w:spacing w:after="0" w:line="129" w:lineRule="exact"/>
              <w:rPr>
                <w:sz w:val="20"/>
                <w:szCs w:val="20"/>
                <w:color w:val="auto"/>
              </w:rPr>
            </w:pPr>
            <w:r>
              <w:rPr>
                <w:rFonts w:ascii="Arial" w:cs="Arial" w:eastAsia="Arial" w:hAnsi="Arial"/>
                <w:sz w:val="13"/>
                <w:szCs w:val="13"/>
                <w:color w:val="auto"/>
                <w:w w:val="86"/>
              </w:rPr>
              <w:t>(77,541)</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32,888</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324,075</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ind w:left="460"/>
              <w:spacing w:after="0" w:line="129" w:lineRule="exact"/>
              <w:rPr>
                <w:sz w:val="20"/>
                <w:szCs w:val="20"/>
                <w:color w:val="auto"/>
              </w:rPr>
            </w:pPr>
            <w:r>
              <w:rPr>
                <w:rFonts w:ascii="Arial" w:cs="Arial" w:eastAsia="Arial" w:hAnsi="Arial"/>
                <w:sz w:val="13"/>
                <w:szCs w:val="13"/>
                <w:color w:val="auto"/>
                <w:w w:val="87"/>
              </w:rPr>
              <w:t>(1,792)</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283,677</w:t>
            </w: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3"/>
                <w:szCs w:val="13"/>
                <w:color w:val="auto"/>
              </w:rPr>
              <w:t>Net Loss Attributable to the Company</w:t>
            </w:r>
          </w:p>
        </w:tc>
        <w:tc>
          <w:tcPr>
            <w:tcW w:w="80" w:type="dxa"/>
            <w:vAlign w:val="bottom"/>
          </w:tcPr>
          <w:p>
            <w:pPr>
              <w:spacing w:after="0"/>
              <w:rPr>
                <w:sz w:val="11"/>
                <w:szCs w:val="11"/>
                <w:color w:val="auto"/>
              </w:rPr>
            </w:pPr>
          </w:p>
        </w:tc>
        <w:tc>
          <w:tcPr>
            <w:tcW w:w="74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(1,522)</w:t>
            </w:r>
          </w:p>
        </w:tc>
        <w:tc>
          <w:tcPr>
            <w:tcW w:w="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(1,522)</w:t>
            </w:r>
          </w:p>
        </w:tc>
      </w:tr>
      <w:tr>
        <w:trPr>
          <w:trHeight w:val="135"/>
        </w:trPr>
        <w:tc>
          <w:tcPr>
            <w:tcW w:w="29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0"/>
              </w:rPr>
              <w:t>Exercise of Stock Options and Common Stock Issuance</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w:t>
            </w:r>
          </w:p>
        </w:tc>
      </w:tr>
      <w:tr>
        <w:trPr>
          <w:trHeight w:val="121"/>
        </w:trPr>
        <w:tc>
          <w:tcPr>
            <w:tcW w:w="2960" w:type="dxa"/>
            <w:vAlign w:val="bottom"/>
          </w:tcPr>
          <w:p>
            <w:pPr>
              <w:ind w:left="20"/>
              <w:spacing w:after="0" w:line="121" w:lineRule="exact"/>
              <w:rPr>
                <w:sz w:val="20"/>
                <w:szCs w:val="20"/>
                <w:color w:val="auto"/>
              </w:rPr>
            </w:pPr>
            <w:r>
              <w:rPr>
                <w:rFonts w:ascii="Arial" w:cs="Arial" w:eastAsia="Arial" w:hAnsi="Arial"/>
                <w:sz w:val="13"/>
                <w:szCs w:val="13"/>
                <w:color w:val="auto"/>
                <w:w w:val="96"/>
              </w:rPr>
              <w:t>Stock Compensation Expense from Restricted Stock</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9"/>
        </w:trPr>
        <w:tc>
          <w:tcPr>
            <w:tcW w:w="2960" w:type="dxa"/>
            <w:vAlign w:val="bottom"/>
          </w:tcPr>
          <w:p>
            <w:pPr>
              <w:ind w:left="20"/>
              <w:spacing w:after="0"/>
              <w:rPr>
                <w:sz w:val="20"/>
                <w:szCs w:val="20"/>
                <w:color w:val="auto"/>
              </w:rPr>
            </w:pPr>
            <w:r>
              <w:rPr>
                <w:rFonts w:ascii="Arial" w:cs="Arial" w:eastAsia="Arial" w:hAnsi="Arial"/>
                <w:sz w:val="13"/>
                <w:szCs w:val="13"/>
                <w:color w:val="auto"/>
              </w:rPr>
              <w:t>Grants and Equity Classified Stock Options</w:t>
            </w:r>
          </w:p>
        </w:tc>
        <w:tc>
          <w:tcPr>
            <w:tcW w:w="80" w:type="dxa"/>
            <w:vAlign w:val="bottom"/>
          </w:tcPr>
          <w:p>
            <w:pPr>
              <w:spacing w:after="0"/>
              <w:rPr>
                <w:sz w:val="12"/>
                <w:szCs w:val="12"/>
                <w:color w:val="auto"/>
              </w:rPr>
            </w:pPr>
          </w:p>
        </w:tc>
        <w:tc>
          <w:tcPr>
            <w:tcW w:w="74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543</w:t>
            </w:r>
          </w:p>
        </w:tc>
      </w:tr>
      <w:tr>
        <w:trPr>
          <w:trHeight w:val="135"/>
        </w:trPr>
        <w:tc>
          <w:tcPr>
            <w:tcW w:w="29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Common Stock Dividends Declared for the Period</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(1,863)</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(1,863)</w:t>
            </w: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3"/>
                <w:szCs w:val="13"/>
                <w:color w:val="auto"/>
              </w:rPr>
              <w:t>Other Comprehensive Income, Net of Income Tax</w:t>
            </w:r>
          </w:p>
        </w:tc>
        <w:tc>
          <w:tcPr>
            <w:tcW w:w="80" w:type="dxa"/>
            <w:vAlign w:val="bottom"/>
          </w:tcPr>
          <w:p>
            <w:pPr>
              <w:spacing w:after="0"/>
              <w:rPr>
                <w:sz w:val="11"/>
                <w:szCs w:val="11"/>
                <w:color w:val="auto"/>
              </w:rPr>
            </w:pPr>
          </w:p>
        </w:tc>
        <w:tc>
          <w:tcPr>
            <w:tcW w:w="74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40" w:type="dxa"/>
            <w:vAlign w:val="bottom"/>
          </w:tcPr>
          <w:p>
            <w:pPr>
              <w:ind w:left="660"/>
              <w:spacing w:after="0" w:line="135" w:lineRule="exact"/>
              <w:rPr>
                <w:sz w:val="20"/>
                <w:szCs w:val="20"/>
                <w:color w:val="auto"/>
              </w:rPr>
            </w:pPr>
            <w:r>
              <w:rPr>
                <w:rFonts w:ascii="Arial" w:cs="Arial" w:eastAsia="Arial" w:hAnsi="Arial"/>
                <w:sz w:val="13"/>
                <w:szCs w:val="13"/>
                <w:color w:val="auto"/>
              </w:rPr>
              <w:t>73</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73</w:t>
            </w:r>
          </w:p>
        </w:tc>
      </w:tr>
      <w:tr>
        <w:trPr>
          <w:trHeight w:val="129"/>
        </w:trPr>
        <w:tc>
          <w:tcPr>
            <w:tcW w:w="29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September 30, 2020</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ind w:left="500"/>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6,049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ind w:left="220"/>
              <w:spacing w:after="0" w:line="129" w:lineRule="exact"/>
              <w:rPr>
                <w:sz w:val="20"/>
                <w:szCs w:val="20"/>
                <w:color w:val="auto"/>
              </w:rPr>
            </w:pPr>
            <w:r>
              <w:rPr>
                <w:rFonts w:ascii="Arial" w:cs="Arial" w:eastAsia="Arial" w:hAnsi="Arial"/>
                <w:sz w:val="13"/>
                <w:szCs w:val="13"/>
                <w:color w:val="auto"/>
                <w:w w:val="86"/>
              </w:rPr>
              <w:t>(77,541)</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33,503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320,690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ind w:left="460"/>
              <w:spacing w:after="0" w:line="129" w:lineRule="exact"/>
              <w:rPr>
                <w:sz w:val="20"/>
                <w:szCs w:val="20"/>
                <w:color w:val="auto"/>
              </w:rPr>
            </w:pPr>
            <w:r>
              <w:rPr>
                <w:rFonts w:ascii="Arial" w:cs="Arial" w:eastAsia="Arial" w:hAnsi="Arial"/>
                <w:sz w:val="13"/>
                <w:szCs w:val="13"/>
                <w:color w:val="auto"/>
                <w:w w:val="87"/>
              </w:rPr>
              <w:t>(1,719)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280,982</w:t>
            </w:r>
          </w:p>
        </w:tc>
      </w:tr>
      <w:tr>
        <w:trPr>
          <w:trHeight w:val="20"/>
        </w:trPr>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nine months ended September 30, 2021:</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96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1"/>
              </w:rPr>
              <w:t>Stockholders'</w:t>
            </w:r>
          </w:p>
        </w:tc>
      </w:tr>
      <w:tr>
        <w:trPr>
          <w:trHeight w:val="153"/>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Equity</w:t>
            </w:r>
          </w:p>
        </w:tc>
      </w:tr>
      <w:tr>
        <w:trPr>
          <w:trHeight w:val="129"/>
        </w:trPr>
        <w:tc>
          <w:tcPr>
            <w:tcW w:w="2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January 1,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ind w:left="500"/>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7,250</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(77,541)</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83,183</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339,917</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(1,910)</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350,899</w:t>
            </w: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3"/>
                <w:szCs w:val="13"/>
                <w:color w:val="auto"/>
              </w:rPr>
              <w:t>Net Income Attributable to the Company</w:t>
            </w:r>
          </w:p>
        </w:tc>
        <w:tc>
          <w:tcPr>
            <w:tcW w:w="80" w:type="dxa"/>
            <w:vAlign w:val="bottom"/>
          </w:tcPr>
          <w:p>
            <w:pPr>
              <w:spacing w:after="0"/>
              <w:rPr>
                <w:sz w:val="11"/>
                <w:szCs w:val="11"/>
                <w:color w:val="auto"/>
              </w:rPr>
            </w:pPr>
          </w:p>
        </w:tc>
        <w:tc>
          <w:tcPr>
            <w:tcW w:w="74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28,008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28,008</w:t>
            </w:r>
          </w:p>
        </w:tc>
      </w:tr>
      <w:tr>
        <w:trPr>
          <w:trHeight w:val="135"/>
        </w:trPr>
        <w:tc>
          <w:tcPr>
            <w:tcW w:w="29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Vested Restricted Stock and Performance Shares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(436)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(436)</w:t>
            </w:r>
          </w:p>
        </w:tc>
      </w:tr>
      <w:tr>
        <w:trPr>
          <w:trHeight w:val="121"/>
        </w:trPr>
        <w:tc>
          <w:tcPr>
            <w:tcW w:w="2960" w:type="dxa"/>
            <w:vAlign w:val="bottom"/>
          </w:tcPr>
          <w:p>
            <w:pPr>
              <w:ind w:left="20"/>
              <w:spacing w:after="0" w:line="121" w:lineRule="exact"/>
              <w:rPr>
                <w:sz w:val="20"/>
                <w:szCs w:val="20"/>
                <w:color w:val="auto"/>
              </w:rPr>
            </w:pPr>
            <w:r>
              <w:rPr>
                <w:rFonts w:ascii="Arial" w:cs="Arial" w:eastAsia="Arial" w:hAnsi="Arial"/>
                <w:sz w:val="13"/>
                <w:szCs w:val="13"/>
                <w:color w:val="auto"/>
              </w:rPr>
              <w:t>Issuance of Preferred Stock, Net of Underwriting</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9"/>
        </w:trPr>
        <w:tc>
          <w:tcPr>
            <w:tcW w:w="2960" w:type="dxa"/>
            <w:vAlign w:val="bottom"/>
          </w:tcPr>
          <w:p>
            <w:pPr>
              <w:ind w:left="20"/>
              <w:spacing w:after="0"/>
              <w:rPr>
                <w:sz w:val="20"/>
                <w:szCs w:val="20"/>
                <w:color w:val="auto"/>
              </w:rPr>
            </w:pPr>
            <w:r>
              <w:rPr>
                <w:rFonts w:ascii="Arial" w:cs="Arial" w:eastAsia="Arial" w:hAnsi="Arial"/>
                <w:sz w:val="13"/>
                <w:szCs w:val="13"/>
                <w:color w:val="auto"/>
              </w:rPr>
              <w:t>Discount and Expenses</w:t>
            </w:r>
          </w:p>
        </w:tc>
        <w:tc>
          <w:tcPr>
            <w:tcW w:w="80" w:type="dxa"/>
            <w:vAlign w:val="bottom"/>
          </w:tcPr>
          <w:p>
            <w:pPr>
              <w:spacing w:after="0"/>
              <w:rPr>
                <w:sz w:val="12"/>
                <w:szCs w:val="12"/>
                <w:color w:val="auto"/>
              </w:rPr>
            </w:pPr>
          </w:p>
        </w:tc>
        <w:tc>
          <w:tcPr>
            <w:tcW w:w="680" w:type="dxa"/>
            <w:vAlign w:val="bottom"/>
          </w:tcPr>
          <w:p>
            <w:pPr>
              <w:ind w:left="500"/>
              <w:spacing w:after="0"/>
              <w:rPr>
                <w:sz w:val="20"/>
                <w:szCs w:val="20"/>
                <w:color w:val="auto"/>
              </w:rPr>
            </w:pPr>
            <w:r>
              <w:rPr>
                <w:rFonts w:ascii="Arial" w:cs="Arial" w:eastAsia="Arial" w:hAnsi="Arial"/>
                <w:sz w:val="13"/>
                <w:szCs w:val="13"/>
                <w:color w:val="auto"/>
              </w:rPr>
              <w:t>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72,409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72,439</w:t>
            </w:r>
          </w:p>
        </w:tc>
      </w:tr>
      <w:tr>
        <w:trPr>
          <w:trHeight w:val="135"/>
        </w:trPr>
        <w:tc>
          <w:tcPr>
            <w:tcW w:w="29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Common Stock Equity Issuance Costs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w:t>
            </w: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3"/>
                <w:szCs w:val="13"/>
                <w:color w:val="auto"/>
                <w:w w:val="90"/>
              </w:rPr>
              <w:t>Exercise of Stock Options and Common Stock Issuance</w:t>
            </w:r>
          </w:p>
        </w:tc>
        <w:tc>
          <w:tcPr>
            <w:tcW w:w="80" w:type="dxa"/>
            <w:vAlign w:val="bottom"/>
          </w:tcPr>
          <w:p>
            <w:pPr>
              <w:spacing w:after="0"/>
              <w:rPr>
                <w:sz w:val="11"/>
                <w:szCs w:val="11"/>
                <w:color w:val="auto"/>
              </w:rPr>
            </w:pPr>
          </w:p>
        </w:tc>
        <w:tc>
          <w:tcPr>
            <w:tcW w:w="74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289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289</w:t>
            </w:r>
          </w:p>
        </w:tc>
      </w:tr>
      <w:tr>
        <w:trPr>
          <w:trHeight w:val="121"/>
        </w:trPr>
        <w:tc>
          <w:tcPr>
            <w:tcW w:w="29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6"/>
              </w:rPr>
              <w:t>Stock Compensation Expense from Restricted Stock</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49"/>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Grants and Equity Classified Stock Options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2,002</w:t>
            </w:r>
          </w:p>
        </w:tc>
      </w:tr>
      <w:tr>
        <w:trPr>
          <w:trHeight w:val="121"/>
        </w:trPr>
        <w:tc>
          <w:tcPr>
            <w:tcW w:w="2960" w:type="dxa"/>
            <w:vAlign w:val="bottom"/>
          </w:tcPr>
          <w:p>
            <w:pPr>
              <w:ind w:left="20"/>
              <w:spacing w:after="0" w:line="121" w:lineRule="exact"/>
              <w:rPr>
                <w:sz w:val="20"/>
                <w:szCs w:val="20"/>
                <w:color w:val="auto"/>
              </w:rPr>
            </w:pPr>
            <w:r>
              <w:rPr>
                <w:rFonts w:ascii="Arial" w:cs="Arial" w:eastAsia="Arial" w:hAnsi="Arial"/>
                <w:sz w:val="13"/>
                <w:szCs w:val="13"/>
                <w:color w:val="auto"/>
              </w:rPr>
              <w:t>Par Value $0.01 per Share and Treasury Stock</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9"/>
        </w:trPr>
        <w:tc>
          <w:tcPr>
            <w:tcW w:w="2960" w:type="dxa"/>
            <w:vAlign w:val="bottom"/>
          </w:tcPr>
          <w:p>
            <w:pPr>
              <w:ind w:left="20"/>
              <w:spacing w:after="0"/>
              <w:rPr>
                <w:sz w:val="20"/>
                <w:szCs w:val="20"/>
                <w:color w:val="auto"/>
              </w:rPr>
            </w:pPr>
            <w:r>
              <w:rPr>
                <w:rFonts w:ascii="Arial" w:cs="Arial" w:eastAsia="Arial" w:hAnsi="Arial"/>
                <w:sz w:val="13"/>
                <w:szCs w:val="13"/>
                <w:color w:val="auto"/>
              </w:rPr>
              <w:t>Derecognized at January 29, 2021</w:t>
            </w:r>
          </w:p>
        </w:tc>
        <w:tc>
          <w:tcPr>
            <w:tcW w:w="80" w:type="dxa"/>
            <w:vAlign w:val="bottom"/>
          </w:tcPr>
          <w:p>
            <w:pPr>
              <w:spacing w:after="0"/>
              <w:rPr>
                <w:sz w:val="12"/>
                <w:szCs w:val="12"/>
                <w:color w:val="auto"/>
              </w:rPr>
            </w:pPr>
          </w:p>
        </w:tc>
        <w:tc>
          <w:tcPr>
            <w:tcW w:w="74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(7,190)</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77,541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(70,351)</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29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Preferred Stock Dividends Declared for the Period</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(1,129)</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(1,129)</w:t>
            </w: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3"/>
                <w:szCs w:val="13"/>
                <w:color w:val="auto"/>
              </w:rPr>
              <w:t>Common Stock Dividends Declared for the Period</w:t>
            </w:r>
          </w:p>
        </w:tc>
        <w:tc>
          <w:tcPr>
            <w:tcW w:w="80" w:type="dxa"/>
            <w:vAlign w:val="bottom"/>
          </w:tcPr>
          <w:p>
            <w:pPr>
              <w:spacing w:after="0"/>
              <w:rPr>
                <w:sz w:val="11"/>
                <w:szCs w:val="11"/>
                <w:color w:val="auto"/>
              </w:rPr>
            </w:pPr>
          </w:p>
        </w:tc>
        <w:tc>
          <w:tcPr>
            <w:tcW w:w="74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(18,115)</w:t>
            </w: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(18,115)</w:t>
            </w:r>
          </w:p>
        </w:tc>
      </w:tr>
      <w:tr>
        <w:trPr>
          <w:trHeight w:val="135"/>
        </w:trPr>
        <w:tc>
          <w:tcPr>
            <w:tcW w:w="29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Income</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1,387</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1,387</w:t>
            </w:r>
          </w:p>
        </w:tc>
      </w:tr>
      <w:tr>
        <w:trPr>
          <w:trHeight w:val="129"/>
        </w:trPr>
        <w:tc>
          <w:tcPr>
            <w:tcW w:w="2960" w:type="dxa"/>
            <w:vAlign w:val="bottom"/>
          </w:tcPr>
          <w:p>
            <w:pPr>
              <w:ind w:left="20"/>
              <w:spacing w:after="0" w:line="129" w:lineRule="exact"/>
              <w:rPr>
                <w:sz w:val="20"/>
                <w:szCs w:val="20"/>
                <w:color w:val="auto"/>
              </w:rPr>
            </w:pPr>
            <w:r>
              <w:rPr>
                <w:rFonts w:ascii="Arial" w:cs="Arial" w:eastAsia="Arial" w:hAnsi="Arial"/>
                <w:sz w:val="13"/>
                <w:szCs w:val="13"/>
                <w:color w:val="auto"/>
              </w:rPr>
              <w:t>Balance September 30, 2021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ind w:left="500"/>
              <w:spacing w:after="0" w:line="129" w:lineRule="exact"/>
              <w:rPr>
                <w:sz w:val="20"/>
                <w:szCs w:val="20"/>
                <w:color w:val="auto"/>
              </w:rPr>
            </w:pPr>
            <w:r>
              <w:rPr>
                <w:rFonts w:ascii="Arial" w:cs="Arial" w:eastAsia="Arial" w:hAnsi="Arial"/>
                <w:sz w:val="13"/>
                <w:szCs w:val="13"/>
                <w:color w:val="auto"/>
              </w:rPr>
              <w:t>30</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86,899</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348,681</w:t>
            </w:r>
          </w:p>
        </w:tc>
        <w:tc>
          <w:tcPr>
            <w:tcW w:w="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(523)</w:t>
            </w:r>
          </w:p>
        </w:tc>
        <w:tc>
          <w:tcPr>
            <w:tcW w:w="4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435,147</w:t>
            </w:r>
          </w:p>
        </w:tc>
      </w:tr>
      <w:tr>
        <w:trPr>
          <w:trHeight w:val="20"/>
        </w:trPr>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nine months ended September 30, 2020:</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96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1"/>
              </w:rPr>
              <w:t>Stockholders'</w:t>
            </w:r>
          </w:p>
        </w:tc>
      </w:tr>
      <w:tr>
        <w:trPr>
          <w:trHeight w:val="153"/>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Equity</w:t>
            </w:r>
          </w:p>
        </w:tc>
      </w:tr>
      <w:tr>
        <w:trPr>
          <w:trHeight w:val="129"/>
        </w:trPr>
        <w:tc>
          <w:tcPr>
            <w:tcW w:w="2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January 1, 2020</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ind w:left="500"/>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6,017</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(73,441)</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26,690</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326,073</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285,413</w:t>
            </w: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3"/>
                <w:szCs w:val="13"/>
                <w:color w:val="auto"/>
              </w:rPr>
              <w:t>Net Loss Attributable to the Company</w:t>
            </w:r>
          </w:p>
        </w:tc>
        <w:tc>
          <w:tcPr>
            <w:tcW w:w="80" w:type="dxa"/>
            <w:vAlign w:val="bottom"/>
          </w:tcPr>
          <w:p>
            <w:pPr>
              <w:spacing w:after="0"/>
              <w:rPr>
                <w:sz w:val="11"/>
                <w:szCs w:val="11"/>
                <w:color w:val="auto"/>
              </w:rPr>
            </w:pPr>
          </w:p>
        </w:tc>
        <w:tc>
          <w:tcPr>
            <w:tcW w:w="74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(1,173)</w:t>
            </w: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(1,173)</w:t>
            </w:r>
          </w:p>
        </w:tc>
      </w:tr>
      <w:tr>
        <w:trPr>
          <w:trHeight w:val="135"/>
        </w:trPr>
        <w:tc>
          <w:tcPr>
            <w:tcW w:w="29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Repurchase</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(4,100)</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(4,100)</w:t>
            </w: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3"/>
                <w:szCs w:val="13"/>
                <w:color w:val="auto"/>
              </w:rPr>
              <w:t>Equity Component of Convertible Debt</w:t>
            </w:r>
          </w:p>
        </w:tc>
        <w:tc>
          <w:tcPr>
            <w:tcW w:w="80" w:type="dxa"/>
            <w:vAlign w:val="bottom"/>
          </w:tcPr>
          <w:p>
            <w:pPr>
              <w:spacing w:after="0"/>
              <w:rPr>
                <w:sz w:val="11"/>
                <w:szCs w:val="11"/>
                <w:color w:val="auto"/>
              </w:rPr>
            </w:pPr>
          </w:p>
        </w:tc>
        <w:tc>
          <w:tcPr>
            <w:tcW w:w="74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5,248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5,248</w:t>
            </w:r>
          </w:p>
        </w:tc>
      </w:tr>
      <w:tr>
        <w:trPr>
          <w:trHeight w:val="135"/>
        </w:trPr>
        <w:tc>
          <w:tcPr>
            <w:tcW w:w="29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Vested Restricted Stock and Performance Shares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(562)</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(538)</w:t>
            </w: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3"/>
                <w:szCs w:val="13"/>
                <w:color w:val="auto"/>
                <w:w w:val="90"/>
              </w:rPr>
              <w:t>Exercise of Stock Options and Common Stock Issuance</w:t>
            </w:r>
          </w:p>
        </w:tc>
        <w:tc>
          <w:tcPr>
            <w:tcW w:w="80" w:type="dxa"/>
            <w:vAlign w:val="bottom"/>
          </w:tcPr>
          <w:p>
            <w:pPr>
              <w:spacing w:after="0"/>
              <w:rPr>
                <w:sz w:val="11"/>
                <w:szCs w:val="11"/>
                <w:color w:val="auto"/>
              </w:rPr>
            </w:pPr>
          </w:p>
        </w:tc>
        <w:tc>
          <w:tcPr>
            <w:tcW w:w="74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416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424</w:t>
            </w:r>
          </w:p>
        </w:tc>
      </w:tr>
      <w:tr>
        <w:trPr>
          <w:trHeight w:val="121"/>
        </w:trPr>
        <w:tc>
          <w:tcPr>
            <w:tcW w:w="29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6"/>
              </w:rPr>
              <w:t>Stock Compensation Expense from Restricted Stock</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49"/>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Grants and Equity Classified Stock Options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1,711</w:t>
            </w: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3"/>
                <w:szCs w:val="13"/>
                <w:color w:val="auto"/>
              </w:rPr>
              <w:t>Common Stock Dividends Declared for the Period</w:t>
            </w:r>
          </w:p>
        </w:tc>
        <w:tc>
          <w:tcPr>
            <w:tcW w:w="80" w:type="dxa"/>
            <w:vAlign w:val="bottom"/>
          </w:tcPr>
          <w:p>
            <w:pPr>
              <w:spacing w:after="0"/>
              <w:rPr>
                <w:sz w:val="11"/>
                <w:szCs w:val="11"/>
                <w:color w:val="auto"/>
              </w:rPr>
            </w:pPr>
          </w:p>
        </w:tc>
        <w:tc>
          <w:tcPr>
            <w:tcW w:w="74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(4,210)</w:t>
            </w: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(4,210)</w:t>
            </w:r>
          </w:p>
        </w:tc>
      </w:tr>
      <w:tr>
        <w:trPr>
          <w:trHeight w:val="135"/>
        </w:trPr>
        <w:tc>
          <w:tcPr>
            <w:tcW w:w="29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Loss, Net of Income Tax</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(1,793)</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(1,793)</w:t>
            </w:r>
          </w:p>
        </w:tc>
      </w:tr>
      <w:tr>
        <w:trPr>
          <w:trHeight w:val="128"/>
        </w:trPr>
        <w:tc>
          <w:tcPr>
            <w:tcW w:w="2960" w:type="dxa"/>
            <w:vAlign w:val="bottom"/>
          </w:tcPr>
          <w:p>
            <w:pPr>
              <w:ind w:left="20"/>
              <w:spacing w:after="0" w:line="129" w:lineRule="exact"/>
              <w:rPr>
                <w:sz w:val="20"/>
                <w:szCs w:val="20"/>
                <w:color w:val="auto"/>
              </w:rPr>
            </w:pPr>
            <w:r>
              <w:rPr>
                <w:rFonts w:ascii="Arial" w:cs="Arial" w:eastAsia="Arial" w:hAnsi="Arial"/>
                <w:sz w:val="13"/>
                <w:szCs w:val="13"/>
                <w:color w:val="auto"/>
              </w:rPr>
              <w:t>Balance September 30, 2020</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ind w:left="500"/>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6,049</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(77,541)</w:t>
            </w:r>
          </w:p>
        </w:tc>
        <w:tc>
          <w:tcPr>
            <w:tcW w:w="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33,503</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320,690</w:t>
            </w:r>
          </w:p>
        </w:tc>
        <w:tc>
          <w:tcPr>
            <w:tcW w:w="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(1,719)</w:t>
            </w:r>
          </w:p>
        </w:tc>
        <w:tc>
          <w:tcPr>
            <w:tcW w:w="4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280,982</w:t>
            </w:r>
          </w:p>
        </w:tc>
      </w:tr>
      <w:tr>
        <w:trPr>
          <w:trHeight w:val="20"/>
        </w:trPr>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6" w:lineRule="exact"/>
        <w:rPr>
          <w:sz w:val="20"/>
          <w:szCs w:val="20"/>
          <w:color w:val="auto"/>
        </w:rPr>
      </w:pPr>
    </w:p>
    <w:tbl>
      <w:tblPr>
        <w:tblLayout w:type="fixed"/>
        <w:tblInd w:w="5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5"/>
          </w:tcPr>
          <w:p>
            <w:pPr>
              <w:ind w:left="84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34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September 30, 2021</w:t>
            </w: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3"/>
              </w:rPr>
              <w:t>September 30, 2020</w:t>
            </w:r>
          </w:p>
        </w:tc>
        <w:tc>
          <w:tcPr>
            <w:tcW w:w="20" w:type="dxa"/>
            <w:vAlign w:val="bottom"/>
          </w:tcPr>
          <w:p>
            <w:pPr>
              <w:spacing w:after="0"/>
              <w:rPr>
                <w:sz w:val="12"/>
                <w:szCs w:val="12"/>
                <w:color w:val="auto"/>
              </w:rPr>
            </w:pPr>
          </w:p>
        </w:tc>
      </w:tr>
      <w:tr>
        <w:trPr>
          <w:trHeight w:val="142"/>
        </w:trPr>
        <w:tc>
          <w:tcPr>
            <w:tcW w:w="5800" w:type="dxa"/>
            <w:vAlign w:val="bottom"/>
            <w:tcBorders>
              <w:top w:val="single" w:sz="8" w:color="CCEEFF"/>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 from Operating Activities:</w:t>
            </w:r>
          </w:p>
        </w:tc>
        <w:tc>
          <w:tcPr>
            <w:tcW w:w="10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Income (Loss) Attributable to the Company</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28,008</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(1,173)</w:t>
            </w:r>
          </w:p>
        </w:tc>
        <w:tc>
          <w:tcPr>
            <w:tcW w:w="20" w:type="dxa"/>
            <w:vAlign w:val="bottom"/>
          </w:tcPr>
          <w:p>
            <w:pPr>
              <w:spacing w:after="0"/>
              <w:rPr>
                <w:sz w:val="12"/>
                <w:szCs w:val="12"/>
                <w:color w:val="auto"/>
              </w:rPr>
            </w:pPr>
          </w:p>
        </w:tc>
      </w:tr>
      <w:tr>
        <w:trPr>
          <w:trHeight w:val="130"/>
        </w:trPr>
        <w:tc>
          <w:tcPr>
            <w:tcW w:w="5800" w:type="dxa"/>
            <w:vAlign w:val="bottom"/>
            <w:tcBorders>
              <w:left w:val="single" w:sz="8" w:color="CCEEFF"/>
            </w:tcBorders>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Adjustments to Reconcile Net Income (Loss) Attributable to the Company to Net Cash Provided</w:t>
            </w: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58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by Operating Activities:</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15,428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14,334</w:t>
            </w: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Intangible Liabilities to Income Property Revenue</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(1,352)</w:t>
            </w:r>
          </w:p>
        </w:tc>
        <w:tc>
          <w:tcPr>
            <w:tcW w:w="20" w:type="dxa"/>
            <w:vAlign w:val="bottom"/>
          </w:tcPr>
          <w:p>
            <w:pPr>
              <w:spacing w:after="0"/>
              <w:rPr>
                <w:sz w:val="12"/>
                <w:szCs w:val="12"/>
                <w:color w:val="auto"/>
              </w:rPr>
            </w:pPr>
          </w:p>
        </w:tc>
      </w:tr>
      <w:tr>
        <w:trPr>
          <w:trHeight w:val="148"/>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Amortization of Deferred Financing Costs to Interest Expense</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338</w:t>
            </w: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Discount on Convertible Debt</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1,067</w:t>
            </w:r>
          </w:p>
        </w:tc>
        <w:tc>
          <w:tcPr>
            <w:tcW w:w="20" w:type="dxa"/>
            <w:vAlign w:val="bottom"/>
          </w:tcPr>
          <w:p>
            <w:pPr>
              <w:spacing w:after="0"/>
              <w:rPr>
                <w:sz w:val="12"/>
                <w:szCs w:val="12"/>
                <w:color w:val="auto"/>
              </w:rPr>
            </w:pPr>
          </w:p>
        </w:tc>
      </w:tr>
      <w:tr>
        <w:trPr>
          <w:trHeight w:val="149"/>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Gain on Disposition of Real Estate and Intangible Lease Assets and Liabilities</w:t>
            </w:r>
          </w:p>
        </w:tc>
        <w:tc>
          <w:tcPr>
            <w:tcW w:w="100" w:type="dxa"/>
            <w:vAlign w:val="bottom"/>
          </w:tcPr>
          <w:p>
            <w:pPr>
              <w:spacing w:after="0"/>
              <w:rPr>
                <w:sz w:val="12"/>
                <w:szCs w:val="12"/>
                <w:color w:val="auto"/>
              </w:rPr>
            </w:pPr>
          </w:p>
        </w:tc>
        <w:tc>
          <w:tcPr>
            <w:tcW w:w="1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(28,106)</w:t>
            </w: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(5,788)</w:t>
            </w: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Gain on Disposition of Assets Held for Sale</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(1,930)</w:t>
            </w:r>
          </w:p>
        </w:tc>
        <w:tc>
          <w:tcPr>
            <w:tcW w:w="20" w:type="dxa"/>
            <w:vAlign w:val="bottom"/>
          </w:tcPr>
          <w:p>
            <w:pPr>
              <w:spacing w:after="0"/>
              <w:rPr>
                <w:sz w:val="12"/>
                <w:szCs w:val="12"/>
                <w:color w:val="auto"/>
              </w:rPr>
            </w:pPr>
          </w:p>
        </w:tc>
      </w:tr>
      <w:tr>
        <w:trPr>
          <w:trHeight w:val="148"/>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Loss on Disposition of Commercial Loan and Master Lease Investments</w:t>
            </w:r>
          </w:p>
        </w:tc>
        <w:tc>
          <w:tcPr>
            <w:tcW w:w="100" w:type="dxa"/>
            <w:vAlign w:val="bottom"/>
          </w:tcPr>
          <w:p>
            <w:pPr>
              <w:spacing w:after="0"/>
              <w:rPr>
                <w:sz w:val="12"/>
                <w:szCs w:val="12"/>
                <w:color w:val="auto"/>
              </w:rPr>
            </w:pPr>
          </w:p>
        </w:tc>
        <w:tc>
          <w:tcPr>
            <w:tcW w:w="1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353</w:t>
            </w: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Loss (Gain) on Extinguishment of Debt</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w:t>
            </w:r>
          </w:p>
        </w:tc>
        <w:tc>
          <w:tcPr>
            <w:tcW w:w="20" w:type="dxa"/>
            <w:vAlign w:val="bottom"/>
          </w:tcPr>
          <w:p>
            <w:pPr>
              <w:spacing w:after="0"/>
              <w:rPr>
                <w:sz w:val="12"/>
                <w:szCs w:val="12"/>
                <w:color w:val="auto"/>
              </w:rPr>
            </w:pPr>
          </w:p>
        </w:tc>
      </w:tr>
      <w:tr>
        <w:trPr>
          <w:trHeight w:val="148"/>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Impairment Charges</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16,527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1,905</w:t>
            </w: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Accretion of Commercial Loan and Master Lease Investment Origination Fees</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20" w:type="dxa"/>
            <w:vAlign w:val="bottom"/>
          </w:tcPr>
          <w:p>
            <w:pPr>
              <w:spacing w:after="0"/>
              <w:rPr>
                <w:sz w:val="12"/>
                <w:szCs w:val="12"/>
                <w:color w:val="auto"/>
              </w:rPr>
            </w:pPr>
          </w:p>
        </w:tc>
      </w:tr>
      <w:tr>
        <w:trPr>
          <w:trHeight w:val="149"/>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Non-Cash Imputed Interest</w:t>
            </w:r>
          </w:p>
        </w:tc>
        <w:tc>
          <w:tcPr>
            <w:tcW w:w="100" w:type="dxa"/>
            <w:vAlign w:val="bottom"/>
          </w:tcPr>
          <w:p>
            <w:pPr>
              <w:spacing w:after="0"/>
              <w:rPr>
                <w:sz w:val="12"/>
                <w:szCs w:val="12"/>
                <w:color w:val="auto"/>
              </w:rPr>
            </w:pPr>
          </w:p>
        </w:tc>
        <w:tc>
          <w:tcPr>
            <w:tcW w:w="1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(330)</w:t>
            </w: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(311)</w:t>
            </w: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(3,736)</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(10,756)</w:t>
            </w:r>
          </w:p>
        </w:tc>
        <w:tc>
          <w:tcPr>
            <w:tcW w:w="20" w:type="dxa"/>
            <w:vAlign w:val="bottom"/>
          </w:tcPr>
          <w:p>
            <w:pPr>
              <w:spacing w:after="0"/>
              <w:rPr>
                <w:sz w:val="12"/>
                <w:szCs w:val="12"/>
                <w:color w:val="auto"/>
              </w:rPr>
            </w:pPr>
          </w:p>
        </w:tc>
      </w:tr>
      <w:tr>
        <w:trPr>
          <w:trHeight w:val="148"/>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Unrealized (Gain) Loss on Investment Securities</w:t>
            </w:r>
          </w:p>
        </w:tc>
        <w:tc>
          <w:tcPr>
            <w:tcW w:w="100" w:type="dxa"/>
            <w:vAlign w:val="bottom"/>
          </w:tcPr>
          <w:p>
            <w:pPr>
              <w:spacing w:after="0"/>
              <w:rPr>
                <w:sz w:val="12"/>
                <w:szCs w:val="12"/>
                <w:color w:val="auto"/>
              </w:rPr>
            </w:pPr>
          </w:p>
        </w:tc>
        <w:tc>
          <w:tcPr>
            <w:tcW w:w="1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(6,894)</w:t>
            </w: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7,098</w:t>
            </w: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Non-Cash Compensation</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2,135</w:t>
            </w:r>
          </w:p>
        </w:tc>
        <w:tc>
          <w:tcPr>
            <w:tcW w:w="20" w:type="dxa"/>
            <w:vAlign w:val="bottom"/>
          </w:tcPr>
          <w:p>
            <w:pPr>
              <w:spacing w:after="0"/>
              <w:rPr>
                <w:sz w:val="12"/>
                <w:szCs w:val="12"/>
                <w:color w:val="auto"/>
              </w:rPr>
            </w:pPr>
          </w:p>
        </w:tc>
      </w:tr>
      <w:tr>
        <w:trPr>
          <w:trHeight w:val="148"/>
        </w:trPr>
        <w:tc>
          <w:tcPr>
            <w:tcW w:w="5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Decrease (Increase) in Assets:</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Refundable Income Taxes</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(830)</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Assets Held for Sale</w:t>
            </w:r>
          </w:p>
        </w:tc>
        <w:tc>
          <w:tcPr>
            <w:tcW w:w="100" w:type="dxa"/>
            <w:vAlign w:val="bottom"/>
          </w:tcPr>
          <w:p>
            <w:pPr>
              <w:spacing w:after="0"/>
              <w:rPr>
                <w:sz w:val="12"/>
                <w:szCs w:val="12"/>
                <w:color w:val="auto"/>
              </w:rPr>
            </w:pPr>
          </w:p>
        </w:tc>
        <w:tc>
          <w:tcPr>
            <w:tcW w:w="1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Land and Development Costs</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w:t>
            </w:r>
          </w:p>
        </w:tc>
        <w:tc>
          <w:tcPr>
            <w:tcW w:w="20" w:type="dxa"/>
            <w:vAlign w:val="bottom"/>
          </w:tcPr>
          <w:p>
            <w:pPr>
              <w:spacing w:after="0"/>
              <w:rPr>
                <w:sz w:val="12"/>
                <w:szCs w:val="12"/>
                <w:color w:val="auto"/>
              </w:rPr>
            </w:pPr>
          </w:p>
        </w:tc>
      </w:tr>
      <w:tr>
        <w:trPr>
          <w:trHeight w:val="148"/>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Mitigation Credits and Mitigation Credit Rights</w:t>
            </w:r>
          </w:p>
        </w:tc>
        <w:tc>
          <w:tcPr>
            <w:tcW w:w="100" w:type="dxa"/>
            <w:vAlign w:val="bottom"/>
          </w:tcPr>
          <w:p>
            <w:pPr>
              <w:spacing w:after="0"/>
              <w:rPr>
                <w:sz w:val="12"/>
                <w:szCs w:val="12"/>
                <w:color w:val="auto"/>
              </w:rPr>
            </w:pPr>
          </w:p>
        </w:tc>
        <w:tc>
          <w:tcPr>
            <w:tcW w:w="1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(16,007)</w:t>
            </w: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3,083</w:t>
            </w: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(945)</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(2,793)</w:t>
            </w:r>
          </w:p>
        </w:tc>
        <w:tc>
          <w:tcPr>
            <w:tcW w:w="20" w:type="dxa"/>
            <w:vAlign w:val="bottom"/>
          </w:tcPr>
          <w:p>
            <w:pPr>
              <w:spacing w:after="0"/>
              <w:rPr>
                <w:sz w:val="12"/>
                <w:szCs w:val="12"/>
                <w:color w:val="auto"/>
              </w:rPr>
            </w:pPr>
          </w:p>
        </w:tc>
      </w:tr>
      <w:tr>
        <w:trPr>
          <w:trHeight w:val="149"/>
        </w:trPr>
        <w:tc>
          <w:tcPr>
            <w:tcW w:w="5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Increase (Decrease) in Liabilities:</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20" w:type="dxa"/>
            <w:vAlign w:val="bottom"/>
          </w:tcPr>
          <w:p>
            <w:pPr>
              <w:spacing w:after="0"/>
              <w:rPr>
                <w:sz w:val="12"/>
                <w:szCs w:val="12"/>
                <w:color w:val="auto"/>
              </w:rPr>
            </w:pPr>
          </w:p>
        </w:tc>
      </w:tr>
      <w:tr>
        <w:trPr>
          <w:trHeight w:val="149"/>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Accrued and Other Liabilities</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3,800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4,010</w:t>
            </w: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2"/>
                <w:szCs w:val="12"/>
                <w:color w:val="auto"/>
              </w:rPr>
            </w:pPr>
          </w:p>
        </w:tc>
      </w:tr>
      <w:tr>
        <w:trPr>
          <w:trHeight w:val="149"/>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Income Taxes Payable</w:t>
            </w:r>
          </w:p>
        </w:tc>
        <w:tc>
          <w:tcPr>
            <w:tcW w:w="100" w:type="dxa"/>
            <w:vAlign w:val="bottom"/>
          </w:tcPr>
          <w:p>
            <w:pPr>
              <w:spacing w:after="0"/>
              <w:rPr>
                <w:sz w:val="12"/>
                <w:szCs w:val="12"/>
                <w:color w:val="auto"/>
              </w:rPr>
            </w:pPr>
          </w:p>
        </w:tc>
        <w:tc>
          <w:tcPr>
            <w:tcW w:w="1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3,158</w:t>
            </w:r>
          </w:p>
        </w:tc>
        <w:tc>
          <w:tcPr>
            <w:tcW w:w="20" w:type="dxa"/>
            <w:vAlign w:val="bottom"/>
          </w:tcPr>
          <w:p>
            <w:pPr>
              <w:spacing w:after="0"/>
              <w:rPr>
                <w:sz w:val="12"/>
                <w:szCs w:val="12"/>
                <w:color w:val="auto"/>
              </w:rPr>
            </w:pPr>
          </w:p>
        </w:tc>
      </w:tr>
      <w:tr>
        <w:trPr>
          <w:trHeight w:val="142"/>
        </w:trPr>
        <w:tc>
          <w:tcPr>
            <w:tcW w:w="5800" w:type="dxa"/>
            <w:vAlign w:val="bottom"/>
            <w:tcBorders>
              <w:top w:val="single" w:sz="8" w:color="CCEEFF"/>
              <w:left w:val="single" w:sz="8" w:color="CCEEFF"/>
            </w:tcBorders>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12,365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11,900</w:t>
            </w:r>
          </w:p>
        </w:tc>
        <w:tc>
          <w:tcPr>
            <w:tcW w:w="20" w:type="dxa"/>
            <w:vAlign w:val="bottom"/>
          </w:tcPr>
          <w:p>
            <w:pPr>
              <w:spacing w:after="0"/>
              <w:rPr>
                <w:sz w:val="12"/>
                <w:szCs w:val="12"/>
                <w:color w:val="auto"/>
              </w:rPr>
            </w:pPr>
          </w:p>
        </w:tc>
      </w:tr>
      <w:tr>
        <w:trPr>
          <w:trHeight w:val="142"/>
        </w:trPr>
        <w:tc>
          <w:tcPr>
            <w:tcW w:w="580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Cash Flow from Investing Activities:</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Real Estate and Intangible Lease Assets and Liabilities</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(115,780)</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(165,419)</w:t>
            </w:r>
          </w:p>
        </w:tc>
        <w:tc>
          <w:tcPr>
            <w:tcW w:w="20" w:type="dxa"/>
            <w:vAlign w:val="bottom"/>
          </w:tcPr>
          <w:p>
            <w:pPr>
              <w:spacing w:after="0"/>
              <w:rPr>
                <w:sz w:val="12"/>
                <w:szCs w:val="12"/>
                <w:color w:val="auto"/>
              </w:rPr>
            </w:pPr>
          </w:p>
        </w:tc>
      </w:tr>
      <w:tr>
        <w:trPr>
          <w:trHeight w:val="149"/>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Acquisition of Commercial Loan Investments and Master Lease Investments</w:t>
            </w:r>
          </w:p>
        </w:tc>
        <w:tc>
          <w:tcPr>
            <w:tcW w:w="100" w:type="dxa"/>
            <w:vAlign w:val="bottom"/>
          </w:tcPr>
          <w:p>
            <w:pPr>
              <w:spacing w:after="0"/>
              <w:rPr>
                <w:sz w:val="12"/>
                <w:szCs w:val="12"/>
                <w:color w:val="auto"/>
              </w:rPr>
            </w:pPr>
          </w:p>
        </w:tc>
        <w:tc>
          <w:tcPr>
            <w:tcW w:w="1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(364)</w:t>
            </w: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(27,839)</w:t>
            </w: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Mitigation Credits</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(2,981)</w:t>
            </w:r>
          </w:p>
        </w:tc>
        <w:tc>
          <w:tcPr>
            <w:tcW w:w="20" w:type="dxa"/>
            <w:vAlign w:val="bottom"/>
          </w:tcPr>
          <w:p>
            <w:pPr>
              <w:spacing w:after="0"/>
              <w:rPr>
                <w:sz w:val="12"/>
                <w:szCs w:val="12"/>
                <w:color w:val="auto"/>
              </w:rPr>
            </w:pPr>
          </w:p>
        </w:tc>
      </w:tr>
      <w:tr>
        <w:trPr>
          <w:trHeight w:val="149"/>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Restricted Cash Balance Received in Acquisition of Interest in Joint Venture</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595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Contribution to Interest in Joint Venture</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2"/>
                <w:szCs w:val="12"/>
                <w:color w:val="auto"/>
              </w:rPr>
            </w:pPr>
          </w:p>
        </w:tc>
      </w:tr>
      <w:tr>
        <w:trPr>
          <w:trHeight w:val="148"/>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9"/>
              </w:rPr>
              <w:t>Proceeds from Disposition of Property, Plant, and Equipment, Net, and Assets Held for Sale</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108,449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49,646</w:t>
            </w:r>
          </w:p>
        </w:tc>
        <w:tc>
          <w:tcPr>
            <w:tcW w:w="20" w:type="dxa"/>
            <w:vAlign w:val="bottom"/>
          </w:tcPr>
          <w:p>
            <w:pPr>
              <w:spacing w:after="0"/>
              <w:rPr>
                <w:sz w:val="12"/>
                <w:szCs w:val="12"/>
                <w:color w:val="auto"/>
              </w:rPr>
            </w:pPr>
          </w:p>
        </w:tc>
      </w:tr>
      <w:tr>
        <w:trPr>
          <w:trHeight w:val="149"/>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Principal Payments Received on Commercial Loan and Master Lease Investments</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20,981</w:t>
            </w:r>
          </w:p>
        </w:tc>
        <w:tc>
          <w:tcPr>
            <w:tcW w:w="20" w:type="dxa"/>
            <w:vAlign w:val="bottom"/>
          </w:tcPr>
          <w:p>
            <w:pPr>
              <w:spacing w:after="0"/>
              <w:rPr>
                <w:sz w:val="12"/>
                <w:szCs w:val="12"/>
                <w:color w:val="auto"/>
              </w:rPr>
            </w:pPr>
          </w:p>
        </w:tc>
      </w:tr>
      <w:tr>
        <w:trPr>
          <w:trHeight w:val="142"/>
        </w:trPr>
        <w:tc>
          <w:tcPr>
            <w:tcW w:w="580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(7,739)</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(125,648)</w:t>
            </w:r>
          </w:p>
        </w:tc>
        <w:tc>
          <w:tcPr>
            <w:tcW w:w="20" w:type="dxa"/>
            <w:vAlign w:val="bottom"/>
          </w:tcPr>
          <w:p>
            <w:pPr>
              <w:spacing w:after="0"/>
              <w:rPr>
                <w:sz w:val="12"/>
                <w:szCs w:val="12"/>
                <w:color w:val="auto"/>
              </w:rPr>
            </w:pPr>
          </w:p>
        </w:tc>
      </w:tr>
      <w:tr>
        <w:trPr>
          <w:trHeight w:val="142"/>
        </w:trPr>
        <w:tc>
          <w:tcPr>
            <w:tcW w:w="580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 from Financing Activities:</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Long-Term Debt</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156,500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62,641</w:t>
            </w: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on Long-Term Debt</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(171,308)</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(64,089)</w:t>
            </w:r>
          </w:p>
        </w:tc>
        <w:tc>
          <w:tcPr>
            <w:tcW w:w="20" w:type="dxa"/>
            <w:vAlign w:val="bottom"/>
          </w:tcPr>
          <w:p>
            <w:pPr>
              <w:spacing w:after="0"/>
              <w:rPr>
                <w:sz w:val="12"/>
                <w:szCs w:val="12"/>
                <w:color w:val="auto"/>
              </w:rPr>
            </w:pPr>
          </w:p>
        </w:tc>
      </w:tr>
      <w:tr>
        <w:trPr>
          <w:trHeight w:val="148"/>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Paid for Loan Fees</w:t>
            </w:r>
          </w:p>
        </w:tc>
        <w:tc>
          <w:tcPr>
            <w:tcW w:w="100" w:type="dxa"/>
            <w:vAlign w:val="bottom"/>
          </w:tcPr>
          <w:p>
            <w:pPr>
              <w:spacing w:after="0"/>
              <w:rPr>
                <w:sz w:val="12"/>
                <w:szCs w:val="12"/>
                <w:color w:val="auto"/>
              </w:rPr>
            </w:pPr>
          </w:p>
        </w:tc>
        <w:tc>
          <w:tcPr>
            <w:tcW w:w="1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(907)</w:t>
            </w: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(2,083)</w:t>
            </w:r>
          </w:p>
        </w:tc>
        <w:tc>
          <w:tcPr>
            <w:tcW w:w="20" w:type="dxa"/>
            <w:vAlign w:val="bottom"/>
          </w:tcPr>
          <w:p>
            <w:pPr>
              <w:spacing w:after="0"/>
              <w:rPr>
                <w:sz w:val="12"/>
                <w:szCs w:val="12"/>
                <w:color w:val="auto"/>
              </w:rPr>
            </w:pPr>
          </w:p>
        </w:tc>
      </w:tr>
      <w:tr>
        <w:trPr>
          <w:trHeight w:val="149"/>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for Exercise of Stock Options and Common Stock Issuance</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Issuance of Preferred Stock, Net of Underwriting Discount and Expenses</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72,439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Used to Purchase Common Stock</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(4,100)</w:t>
            </w:r>
          </w:p>
        </w:tc>
        <w:tc>
          <w:tcPr>
            <w:tcW w:w="20" w:type="dxa"/>
            <w:vAlign w:val="bottom"/>
          </w:tcPr>
          <w:p>
            <w:pPr>
              <w:spacing w:after="0"/>
              <w:rPr>
                <w:sz w:val="12"/>
                <w:szCs w:val="12"/>
                <w:color w:val="auto"/>
              </w:rPr>
            </w:pPr>
          </w:p>
        </w:tc>
      </w:tr>
      <w:tr>
        <w:trPr>
          <w:trHeight w:val="149"/>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Paid for Vesting of Restricted Stock</w:t>
            </w:r>
          </w:p>
        </w:tc>
        <w:tc>
          <w:tcPr>
            <w:tcW w:w="100" w:type="dxa"/>
            <w:vAlign w:val="bottom"/>
          </w:tcPr>
          <w:p>
            <w:pPr>
              <w:spacing w:after="0"/>
              <w:rPr>
                <w:sz w:val="12"/>
                <w:szCs w:val="12"/>
                <w:color w:val="auto"/>
              </w:rPr>
            </w:pPr>
          </w:p>
        </w:tc>
        <w:tc>
          <w:tcPr>
            <w:tcW w:w="1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(452)</w:t>
            </w: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(538)</w:t>
            </w: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Paid for Equity Issuance Costs</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5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Dividends Paid - Preferred Stock</w:t>
            </w:r>
          </w:p>
        </w:tc>
        <w:tc>
          <w:tcPr>
            <w:tcW w:w="100" w:type="dxa"/>
            <w:vAlign w:val="bottom"/>
          </w:tcPr>
          <w:p>
            <w:pPr>
              <w:spacing w:after="0"/>
              <w:rPr>
                <w:sz w:val="12"/>
                <w:szCs w:val="12"/>
                <w:color w:val="auto"/>
              </w:rPr>
            </w:pPr>
          </w:p>
        </w:tc>
        <w:tc>
          <w:tcPr>
            <w:tcW w:w="1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(1,129)</w:t>
            </w: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58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Paid - Common Stock</w:t>
            </w: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(17,700)</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(4,210)</w:t>
            </w:r>
          </w:p>
        </w:tc>
        <w:tc>
          <w:tcPr>
            <w:tcW w:w="20" w:type="dxa"/>
            <w:vAlign w:val="bottom"/>
          </w:tcPr>
          <w:p>
            <w:pPr>
              <w:spacing w:after="0"/>
              <w:rPr>
                <w:sz w:val="12"/>
                <w:szCs w:val="12"/>
                <w:color w:val="auto"/>
              </w:rPr>
            </w:pPr>
          </w:p>
        </w:tc>
      </w:tr>
      <w:tr>
        <w:trPr>
          <w:trHeight w:val="142"/>
        </w:trPr>
        <w:tc>
          <w:tcPr>
            <w:tcW w:w="580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1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37,100</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(12,379)</w:t>
            </w:r>
          </w:p>
        </w:tc>
        <w:tc>
          <w:tcPr>
            <w:tcW w:w="20" w:type="dxa"/>
            <w:vAlign w:val="bottom"/>
          </w:tcPr>
          <w:p>
            <w:pPr>
              <w:spacing w:after="0"/>
              <w:rPr>
                <w:sz w:val="12"/>
                <w:szCs w:val="12"/>
                <w:color w:val="auto"/>
              </w:rPr>
            </w:pPr>
          </w:p>
        </w:tc>
      </w:tr>
      <w:tr>
        <w:trPr>
          <w:trHeight w:val="142"/>
        </w:trPr>
        <w:tc>
          <w:tcPr>
            <w:tcW w:w="580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Decrease in Cash and Cash Equivalents</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41,726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(126,127)</w:t>
            </w:r>
          </w:p>
        </w:tc>
        <w:tc>
          <w:tcPr>
            <w:tcW w:w="20" w:type="dxa"/>
            <w:vAlign w:val="bottom"/>
          </w:tcPr>
          <w:p>
            <w:pPr>
              <w:spacing w:after="0"/>
              <w:rPr>
                <w:sz w:val="12"/>
                <w:szCs w:val="12"/>
                <w:color w:val="auto"/>
              </w:rPr>
            </w:pPr>
          </w:p>
        </w:tc>
      </w:tr>
      <w:tr>
        <w:trPr>
          <w:trHeight w:val="149"/>
        </w:trPr>
        <w:tc>
          <w:tcPr>
            <w:tcW w:w="580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33,825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134,905</w:t>
            </w:r>
          </w:p>
        </w:tc>
        <w:tc>
          <w:tcPr>
            <w:tcW w:w="20" w:type="dxa"/>
            <w:vAlign w:val="bottom"/>
          </w:tcPr>
          <w:p>
            <w:pPr>
              <w:spacing w:after="0"/>
              <w:rPr>
                <w:sz w:val="12"/>
                <w:szCs w:val="12"/>
                <w:color w:val="auto"/>
              </w:rPr>
            </w:pPr>
          </w:p>
        </w:tc>
      </w:tr>
      <w:tr>
        <w:trPr>
          <w:trHeight w:val="142"/>
        </w:trPr>
        <w:tc>
          <w:tcPr>
            <w:tcW w:w="5800" w:type="dxa"/>
            <w:vAlign w:val="bottom"/>
            <w:tcBorders>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and Cash Equivalents, End of Period</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75,551</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8,778</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4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58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Reconciliation of Cash to the Consolidated Balance Sheets:</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440" w:type="dxa"/>
            <w:vAlign w:val="bottom"/>
            <w:tcBorders>
              <w:left w:val="single" w:sz="8" w:color="CCEEFF"/>
            </w:tcBorders>
            <w:shd w:val="clear" w:color="auto" w:fill="000000"/>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80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line="142" w:lineRule="exact"/>
              <w:rPr>
                <w:sz w:val="20"/>
                <w:szCs w:val="20"/>
                <w:color w:val="auto"/>
              </w:rPr>
            </w:pPr>
            <w:r>
              <w:rPr>
                <w:rFonts w:ascii="Arial" w:cs="Arial" w:eastAsia="Arial" w:hAnsi="Arial"/>
                <w:sz w:val="14"/>
                <w:szCs w:val="14"/>
                <w:color w:val="auto"/>
              </w:rPr>
              <w:t>7,005</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line="142" w:lineRule="exact"/>
              <w:rPr>
                <w:sz w:val="20"/>
                <w:szCs w:val="20"/>
                <w:color w:val="auto"/>
              </w:rPr>
            </w:pPr>
            <w:r>
              <w:rPr>
                <w:rFonts w:ascii="Arial" w:cs="Arial" w:eastAsia="Arial" w:hAnsi="Arial"/>
                <w:sz w:val="14"/>
                <w:szCs w:val="14"/>
                <w:color w:val="auto"/>
              </w:rPr>
              <w:t>6,352</w:t>
            </w:r>
          </w:p>
        </w:tc>
        <w:tc>
          <w:tcPr>
            <w:tcW w:w="20" w:type="dxa"/>
            <w:vAlign w:val="bottom"/>
          </w:tcPr>
          <w:p>
            <w:pPr>
              <w:spacing w:after="0"/>
              <w:rPr>
                <w:sz w:val="12"/>
                <w:szCs w:val="12"/>
                <w:color w:val="auto"/>
              </w:rPr>
            </w:pPr>
          </w:p>
        </w:tc>
      </w:tr>
      <w:tr>
        <w:trPr>
          <w:trHeight w:val="149"/>
        </w:trPr>
        <w:tc>
          <w:tcPr>
            <w:tcW w:w="580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Cash</w:t>
            </w:r>
          </w:p>
        </w:tc>
        <w:tc>
          <w:tcPr>
            <w:tcW w:w="1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68,546</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2,426</w:t>
            </w:r>
          </w:p>
        </w:tc>
        <w:tc>
          <w:tcPr>
            <w:tcW w:w="20" w:type="dxa"/>
            <w:vAlign w:val="bottom"/>
          </w:tcPr>
          <w:p>
            <w:pPr>
              <w:spacing w:after="0"/>
              <w:rPr>
                <w:sz w:val="12"/>
                <w:szCs w:val="12"/>
                <w:color w:val="auto"/>
              </w:rPr>
            </w:pPr>
          </w:p>
        </w:tc>
      </w:tr>
      <w:tr>
        <w:trPr>
          <w:trHeight w:val="142"/>
        </w:trPr>
        <w:tc>
          <w:tcPr>
            <w:tcW w:w="580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Total Cash</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75,551</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8,778</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5"/>
          </w:tcPr>
          <w:p>
            <w:pPr>
              <w:ind w:left="84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5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September 30, 2021</w:t>
            </w: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3"/>
              </w:rPr>
              <w:t>September 30, 2020</w:t>
            </w:r>
          </w:p>
        </w:tc>
        <w:tc>
          <w:tcPr>
            <w:tcW w:w="20" w:type="dxa"/>
            <w:vAlign w:val="bottom"/>
          </w:tcPr>
          <w:p>
            <w:pPr>
              <w:spacing w:after="0"/>
              <w:rPr>
                <w:sz w:val="12"/>
                <w:szCs w:val="12"/>
                <w:color w:val="auto"/>
              </w:rPr>
            </w:pPr>
          </w:p>
        </w:tc>
      </w:tr>
      <w:tr>
        <w:trPr>
          <w:trHeight w:val="142"/>
        </w:trPr>
        <w:tc>
          <w:tcPr>
            <w:tcW w:w="58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Supplemental Disclosure of Cash Flow Information:</w:t>
            </w:r>
          </w:p>
        </w:tc>
        <w:tc>
          <w:tcPr>
            <w:tcW w:w="10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00" w:type="dxa"/>
            <w:vAlign w:val="bottom"/>
          </w:tcPr>
          <w:p>
            <w:pPr>
              <w:ind w:left="20"/>
              <w:spacing w:after="0" w:line="149" w:lineRule="exact"/>
              <w:rPr>
                <w:sz w:val="20"/>
                <w:szCs w:val="20"/>
                <w:color w:val="auto"/>
              </w:rPr>
            </w:pPr>
            <w:r>
              <w:rPr>
                <w:rFonts w:ascii="Arial" w:cs="Arial" w:eastAsia="Arial" w:hAnsi="Arial"/>
                <w:sz w:val="14"/>
                <w:szCs w:val="14"/>
                <w:color w:val="auto"/>
              </w:rPr>
              <w:t>Cash Paid for Taxes, Net of Refunds Received</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4,845</w:t>
            </w:r>
          </w:p>
        </w:tc>
        <w:tc>
          <w:tcPr>
            <w:tcW w:w="20" w:type="dxa"/>
            <w:vAlign w:val="bottom"/>
          </w:tcPr>
          <w:p>
            <w:pPr>
              <w:spacing w:after="0"/>
              <w:rPr>
                <w:sz w:val="12"/>
                <w:szCs w:val="12"/>
                <w:color w:val="auto"/>
              </w:rPr>
            </w:pPr>
          </w:p>
        </w:tc>
      </w:tr>
      <w:tr>
        <w:trPr>
          <w:trHeight w:val="148"/>
        </w:trPr>
        <w:tc>
          <w:tcPr>
            <w:tcW w:w="58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Paid for Interest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7,096</w:t>
            </w:r>
          </w:p>
        </w:tc>
        <w:tc>
          <w:tcPr>
            <w:tcW w:w="20" w:type="dxa"/>
            <w:vAlign w:val="bottom"/>
          </w:tcPr>
          <w:p>
            <w:pPr>
              <w:spacing w:after="0"/>
              <w:rPr>
                <w:sz w:val="12"/>
                <w:szCs w:val="12"/>
                <w:color w:val="auto"/>
              </w:rPr>
            </w:pPr>
          </w:p>
        </w:tc>
      </w:tr>
      <w:tr>
        <w:trPr>
          <w:trHeight w:val="149"/>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00" w:type="dxa"/>
            <w:vAlign w:val="bottom"/>
          </w:tcPr>
          <w:p>
            <w:pPr>
              <w:ind w:left="20"/>
              <w:spacing w:after="0" w:line="149" w:lineRule="exact"/>
              <w:rPr>
                <w:sz w:val="20"/>
                <w:szCs w:val="20"/>
                <w:color w:val="auto"/>
              </w:rPr>
            </w:pPr>
            <w:r>
              <w:rPr>
                <w:rFonts w:ascii="Arial" w:cs="Arial" w:eastAsia="Arial" w:hAnsi="Arial"/>
                <w:sz w:val="14"/>
                <w:szCs w:val="14"/>
                <w:color w:val="auto"/>
              </w:rPr>
              <w:t>Unrealized Gain (Loss) on Cash Flow Hedges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1,387</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(1,793)</w:t>
            </w:r>
          </w:p>
        </w:tc>
        <w:tc>
          <w:tcPr>
            <w:tcW w:w="20" w:type="dxa"/>
            <w:vAlign w:val="bottom"/>
          </w:tcPr>
          <w:p>
            <w:pPr>
              <w:spacing w:after="0"/>
              <w:rPr>
                <w:sz w:val="12"/>
                <w:szCs w:val="12"/>
                <w:color w:val="auto"/>
              </w:rPr>
            </w:pPr>
          </w:p>
        </w:tc>
      </w:tr>
      <w:tr>
        <w:trPr>
          <w:trHeight w:val="148"/>
        </w:trPr>
        <w:tc>
          <w:tcPr>
            <w:tcW w:w="58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Convertible Note Exchange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57,359</w:t>
            </w:r>
          </w:p>
        </w:tc>
        <w:tc>
          <w:tcPr>
            <w:tcW w:w="20" w:type="dxa"/>
            <w:vAlign w:val="bottom"/>
          </w:tcPr>
          <w:p>
            <w:pPr>
              <w:spacing w:after="0"/>
              <w:rPr>
                <w:sz w:val="12"/>
                <w:szCs w:val="12"/>
                <w:color w:val="auto"/>
              </w:rPr>
            </w:pPr>
          </w:p>
        </w:tc>
      </w:tr>
      <w:tr>
        <w:trPr>
          <w:trHeight w:val="148"/>
        </w:trPr>
        <w:tc>
          <w:tcPr>
            <w:tcW w:w="5800" w:type="dxa"/>
            <w:vAlign w:val="bottom"/>
          </w:tcPr>
          <w:p>
            <w:pPr>
              <w:ind w:left="20"/>
              <w:spacing w:after="0" w:line="149" w:lineRule="exact"/>
              <w:rPr>
                <w:sz w:val="20"/>
                <w:szCs w:val="20"/>
                <w:color w:val="auto"/>
              </w:rPr>
            </w:pPr>
            <w:r>
              <w:rPr>
                <w:rFonts w:ascii="Arial" w:cs="Arial" w:eastAsia="Arial" w:hAnsi="Arial"/>
                <w:sz w:val="14"/>
                <w:szCs w:val="14"/>
                <w:color w:val="auto"/>
              </w:rPr>
              <w:t>Equity Component of Convertible Debt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5,248</w:t>
            </w:r>
          </w:p>
        </w:tc>
        <w:tc>
          <w:tcPr>
            <w:tcW w:w="20" w:type="dxa"/>
            <w:vAlign w:val="bottom"/>
          </w:tcPr>
          <w:p>
            <w:pPr>
              <w:spacing w:after="0"/>
              <w:rPr>
                <w:sz w:val="12"/>
                <w:szCs w:val="12"/>
                <w:color w:val="auto"/>
              </w:rPr>
            </w:pPr>
          </w:p>
        </w:tc>
      </w:tr>
      <w:tr>
        <w:trPr>
          <w:trHeight w:val="149"/>
        </w:trPr>
        <w:tc>
          <w:tcPr>
            <w:tcW w:w="58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Dividends Declared and Unpaid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82"/>
        </w:trPr>
        <w:tc>
          <w:tcPr>
            <w:tcW w:w="5800" w:type="dxa"/>
            <w:vAlign w:val="bottom"/>
          </w:tcPr>
          <w:p>
            <w:pPr>
              <w:ind w:left="20"/>
              <w:spacing w:after="0"/>
              <w:rPr>
                <w:sz w:val="20"/>
                <w:szCs w:val="20"/>
                <w:color w:val="auto"/>
              </w:rPr>
            </w:pPr>
            <w:r>
              <w:rPr>
                <w:rFonts w:ascii="Arial" w:cs="Arial" w:eastAsia="Arial" w:hAnsi="Arial"/>
                <w:sz w:val="14"/>
                <w:szCs w:val="14"/>
                <w:color w:val="auto"/>
              </w:rPr>
              <w:t>Assumption of Mortgage Note Payable by Buyer</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30,000</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bl>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We are a publicly traded diversified real estate investment trust (“REIT”) that was founded in 1910. We own and manage, sometimes utilizing third-party property management companies, 19 commercial real estate properties in nine states in the United States. As of September 30, 2021, we owned 11 single-tenant and eight multi-tenant income-producing properties comprising 2.2 million square feet of gross leasable space.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addition to our income property portfolio, as of September 30, 2021, our business included the following:</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Management Services:</w:t>
      </w:r>
    </w:p>
    <w:p>
      <w:pPr>
        <w:spacing w:after="0" w:line="225" w:lineRule="exact"/>
        <w:rPr>
          <w:sz w:val="20"/>
          <w:szCs w:val="20"/>
          <w:color w:val="auto"/>
        </w:rPr>
      </w:pPr>
    </w:p>
    <w:p>
      <w:pPr>
        <w:jc w:val="both"/>
        <w:ind w:left="840" w:right="79" w:hanging="331"/>
        <w:spacing w:after="0" w:line="263"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fee-based management business that is engaged in managing Alpine Income Property Trust, Inc. (“PINE”) and the entity that currently holds 1,600 acres of undeveloped land in Daytona Beach, Florida (the “Land JV”), see Note 6, “Related Party Management Services Business”.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Commercial Loan and Master Lease Investments:</w:t>
      </w:r>
    </w:p>
    <w:p>
      <w:pPr>
        <w:spacing w:after="0" w:line="225" w:lineRule="exact"/>
        <w:rPr>
          <w:sz w:val="20"/>
          <w:szCs w:val="20"/>
          <w:color w:val="auto"/>
        </w:rPr>
      </w:pPr>
    </w:p>
    <w:p>
      <w:pPr>
        <w:jc w:val="both"/>
        <w:ind w:left="840" w:right="79" w:hanging="331"/>
        <w:spacing w:after="0" w:line="263"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portfolio of two commercial loan investments and two commercial properties, which are included in the 19 commercial real estate properties above, whose leases are classified as commercial loan and master lease investments.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Real Estate Operations:</w:t>
      </w:r>
    </w:p>
    <w:p>
      <w:pPr>
        <w:spacing w:after="0" w:line="225" w:lineRule="exact"/>
        <w:rPr>
          <w:sz w:val="20"/>
          <w:szCs w:val="20"/>
          <w:color w:val="auto"/>
        </w:rPr>
      </w:pPr>
    </w:p>
    <w:p>
      <w:pPr>
        <w:ind w:left="840" w:right="79" w:hanging="33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portfolio of subsurface mineral interests associated with approximately 415,000 surface acres in 20 counties in the State of Florida and a portfolio of mitigation credits (“Subsurface Interests”);</w:t>
      </w:r>
    </w:p>
    <w:p>
      <w:pPr>
        <w:spacing w:after="0" w:line="170" w:lineRule="exact"/>
        <w:rPr>
          <w:rFonts w:ascii="Arial" w:cs="Arial" w:eastAsia="Arial" w:hAnsi="Arial"/>
          <w:sz w:val="18"/>
          <w:szCs w:val="18"/>
          <w:color w:val="auto"/>
        </w:rPr>
      </w:pPr>
    </w:p>
    <w:p>
      <w:pPr>
        <w:ind w:left="840" w:right="79" w:hanging="33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retained interest in the Land JV, which has entered into an agreement to sell substantially all of its remaining 1,600 acres of undeveloped land in Daytona Beach, Florida; and</w:t>
      </w:r>
    </w:p>
    <w:p>
      <w:pPr>
        <w:spacing w:after="0" w:line="170" w:lineRule="exact"/>
        <w:rPr>
          <w:rFonts w:ascii="Arial" w:cs="Arial" w:eastAsia="Arial" w:hAnsi="Arial"/>
          <w:sz w:val="18"/>
          <w:szCs w:val="18"/>
          <w:color w:val="auto"/>
        </w:rPr>
      </w:pPr>
    </w:p>
    <w:p>
      <w:pPr>
        <w:jc w:val="both"/>
        <w:ind w:left="840" w:right="79" w:hanging="331"/>
        <w:spacing w:after="0" w:line="291"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inventory of historically owned mitigation credits as well as mitigation credits produced by the Company’s mitigation bank. The mitigation bank owns a 2,500 acre parcel of land in the western part of Daytona Beach, Florida and, pursuant to a mitigation plan approved by the applicable state and federal authorities, produces mitigation credits that are sold to developers of land in the Daytona Beach area for the purpose of enabling the developers to obtain certain regulatory permits for property development (the “Mitigation Bank”). Prior to the Interest Purchase (hereinafter defined in Note 8, “Investments in Joint Ventures”) completed on September 30, 2021, the Company held a 30% retained interest in the entity that owns the Mitigation Bank.</w:t>
      </w:r>
    </w:p>
    <w:p>
      <w:pPr>
        <w:spacing w:after="0" w:line="166" w:lineRule="exact"/>
        <w:rPr>
          <w:sz w:val="20"/>
          <w:szCs w:val="20"/>
          <w:color w:val="auto"/>
        </w:rPr>
      </w:pPr>
    </w:p>
    <w:p>
      <w:pPr>
        <w:jc w:val="both"/>
        <w:ind w:left="60" w:right="59" w:firstLine="441"/>
        <w:spacing w:after="0" w:line="289" w:lineRule="auto"/>
        <w:rPr>
          <w:sz w:val="20"/>
          <w:szCs w:val="20"/>
          <w:color w:val="auto"/>
        </w:rPr>
      </w:pPr>
      <w:r>
        <w:rPr>
          <w:rFonts w:ascii="Arial" w:cs="Arial" w:eastAsia="Arial" w:hAnsi="Arial"/>
          <w:sz w:val="16"/>
          <w:szCs w:val="16"/>
          <w:color w:val="auto"/>
        </w:rPr>
        <w:t>Our business also includes our investment in PINE. As of September 30, 2021, our investment totaled $37.5 million, or 15.7%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REIT Conversion</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As of December 31, 2020, the Company had completed certain internal reorganization transactions necessary to begin operating in compliance with the requirements for qualification and taxation as a REIT for U.S. federal income tax purposes for the taxable year ended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In order to comply with certain REIT requirements set forth in the Internal Revenue Code of 1986, as amended (the “Code”), we hold certain of our non-REIT assets and operations through taxable REIT subsidiaries (“TRSs”) and subsidiaries of TRSs. A TRS is a subsidiary of a REIT that is generally subject to U.S. federal corporate income tax on its earnings. Net income from our TRSs either will be retained by our TRSs and used to fund their operations, or will be distributed to us, where it will either be reinvested by us into our business or available for distribution to our stockholders. However, distributions from our TRSs to us will not produce qualifying income for purposes of the 75% gross income test applicable to REITs and thus may be limited.</w:t>
      </w:r>
    </w:p>
    <w:p>
      <w:pPr>
        <w:spacing w:after="0" w:line="177"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To qualify as a REIT, the Company must meet certain organizational and operational requirements, including a requirement to distribute at least 90% of the Company’s annual REIT taxable income, without regard to the dividends paid deduction and excluding net capital gain, to its stockholders (which is computed and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(“IRS”)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On January 29, 2021, in connection with the REIT conversion, the Company completed the merger of CTO Realty Growth, Inc., a Florida corporation (“CTO FL”), with and into CTO NEWCO REIT, Inc. (“CTO MD ”), a wholly owned subsidiary of CTO FL (the “Merger”) in order to reincorporate in Maryland and facilitate its ongoing compliance with the REIT requirements by ensuring that certain standard REIT ownership limitations and transfer restrictions apply to CTO MD’s capital stock.</w:t>
      </w:r>
    </w:p>
    <w:p>
      <w:pPr>
        <w:spacing w:after="0" w:line="188"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As a result of the Merger, existing shares of CTO FL common stock were automatically converted, on a one-for-one basis, into shares of common stock of CTO MD. CTO MD is a corporation organized in the state of Maryland and has been renamed “CTO Realty Growth, Inc.” CTO MD’s charter includes certain standard REIT provisions, including ownership limitations and transfer restrictions applicable to the Company’s capital stock. See Note 14, “Equity” for the Company’s disclosure related to the equity adjustments recorded during the three months ended March 31, 2021 in connection with the Merger.</w:t>
      </w:r>
    </w:p>
    <w:p>
      <w:pPr>
        <w:spacing w:after="0" w:line="192"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In connection with the REIT conversion and the Merger, CTO FL applied to list CTO MD’s common stock on the New York Stock Exchange (the “NYSE”) under CTO FL’s ticker symbol, “CTO.” This application was approved, and CTO MD’s common stock began trading on the NYSE on February 1, 2021 under the ticker symbol “CTO.”</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In March 2020, the World Health Organization declared the outbreak of the novel coronavirus as a pandemic (the “COVID-19 Pandemic”), which has spread throughout the United States. The impact of the COVID-19 Pandemic has evolved rapidly, with many jurisdictions taking drastic measures to limit the spread of the virus by instituting quarantines or lockdowns and imposing travel restrictions. Such actions have created significant disruptions to global supply chains, and adversely impacted several industries, including airlines, hospitality, retail and the broader real estate industry.</w:t>
      </w:r>
    </w:p>
    <w:p>
      <w:pPr>
        <w:spacing w:after="0" w:line="161"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As a result of the approval of multiple COVID-19 vaccines for use and the distribution of such vaccines among the general population, a number of jurisdictions have reopened and loosened restrictions. However, wide disparities in vaccination rates and continued vaccine hesitancy, combined with the emergence of COVID-19 variants and surges in COVID-19 cases, could trigger the reinstatement of further restrictions. Such restrictions could include mandatory business shut-downs, travel restrictions, reduced business operations and social distancing requirements.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The future impact of the COVID-19 Pandemic on the real estate industry and the Company’s financial condition and results of operations is uncertain and cannot be predicted currently since it depends on several factors beyond the control of the Company, including, but not limited to: (i) the uncertainty surrounding the severity and duration of the COVID-19 Pandemic, including possible recurrences and differing economic and social impacts of the COVID-19 Pandemic in various regions of the United States; (ii) the effectiveness of the United States public health response; (iii) the COVID-19 Pandemic’s impact on the United States and global economies; (iv) the timing, scope and effectiveness of additional governmental responses to the COVID-19 Pandemic; (v) the availability of a treatment and effectiveness of vaccines approved for COVID-19 and the willingness of individuals to get vaccinated; (vi) changes in how certain types of commercial property are used while maintaining social distancing and other techniques intended to control the impact of COVID-19; (vii) the impact of phase out of economic stimulus measures, the inflationary pressure of economic stimulus, and the eventual halt and reversal by the U.S. Treasury of asset purchases; and (viii) the uneven impact on the Company’s tenants, real estate values and cost of capital.</w:t>
      </w:r>
    </w:p>
    <w:p>
      <w:pPr>
        <w:spacing w:after="0" w:line="179"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Contractual Base Rent (“CBR”) represents the amount owed to the Company under the current terms of its lease agreements. As a result of the COVID-19 Pandemic, during the year ended December 31, 2020, the Company agreed to defer or abate certain CBR in exchange for additional lease term or other lease enhancing additions. Repayments of the remaining balance of deferred CBR began in the third quarter of 2020, with payments continuing, in some cases, into 2023.</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Interim Financial Information</w:t>
      </w:r>
    </w:p>
    <w:p>
      <w:pPr>
        <w:spacing w:after="0" w:line="225"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2020, which provides a more complete understanding of the Company’s accounting policies, financial position, operating results, business properties, and other matters. The unaudited consolidated financial statements reflect all adjustments which are, in the opinion of management, necessary to present fairly the financial position of the Company and the results of operations for the interim periods.</w:t>
      </w:r>
    </w:p>
    <w:p>
      <w:pPr>
        <w:spacing w:after="0" w:line="178"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results of operations for the three and nine months ended September 30, 2021 are not necessarily indicative of results to be expected for the year ending December 31,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The Company has a retained interest in the Land JV as well as an equity investment in PINE. Prior to the Interest Purchase (hereinafter defined in Note 8, “Investments in Joint Ventures”) completed on September 30, 2021, the Company also had a 30% retained interest in the entity that owns the Mitigation Bank. The Company has concluded that these entities are variable interest entities of which the Company is not the primary beneficiary and as a result, these entities are not consolidated.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 in Preparation of Financial Statements</w:t>
      </w:r>
    </w:p>
    <w:p>
      <w:pPr>
        <w:spacing w:after="0" w:line="225"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 in income properties, could change materially due to continued volatility in the real estate and financial markets, or as a result of a significant dislocation in those markets.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7"/>
          <w:szCs w:val="17"/>
          <w:i w:val="1"/>
          <w:iCs w:val="1"/>
          <w:color w:val="auto"/>
        </w:rPr>
        <w:t xml:space="preserve">Debt with Conversion and Other Options. </w:t>
      </w:r>
      <w:r>
        <w:rPr>
          <w:rFonts w:ascii="Arial" w:cs="Arial" w:eastAsia="Arial" w:hAnsi="Arial"/>
          <w:sz w:val="17"/>
          <w:szCs w:val="17"/>
          <w:color w:val="auto"/>
        </w:rPr>
        <w:t>In August 2020, the Financial Accounting Standards Board (“FASB”)</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Accounting Standards Update (“ASU”) 2020-06 related to simplifying the accounting for convertible instruments by removing certain separation models for convertible instruments. Among other things, the amendments in the update also provide for improvements in the consistency in EPS calculations by amending the guidance by requiring that an entity use the if-converted method for convertible instruments. The amendments in ASU 2020-06 are effective for reporting periods beginning after December 15, 2021. The Company intends to adopt ASU 2020-06 commencing January 1, 2022, at which time, the Company’s diluted EPS calculation will include the dilutive impact of the 2025 Notes (hereinafter defined), irrespective of intended cash settlement. Further, the Company elects, upon adoption, to utilize the modified retrospective approach, negating the required restatement of EPS for periods prior to adoption.</w:t>
      </w:r>
    </w:p>
    <w:p>
      <w:pPr>
        <w:spacing w:after="0" w:line="181"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i w:val="1"/>
          <w:iCs w:val="1"/>
          <w:color w:val="auto"/>
        </w:rPr>
        <w:t>ASC Topic 326, Financial Instruments-Credit Losses</w:t>
      </w:r>
      <w:r>
        <w:rPr>
          <w:rFonts w:ascii="Arial" w:cs="Arial" w:eastAsia="Arial" w:hAnsi="Arial"/>
          <w:sz w:val="16"/>
          <w:szCs w:val="16"/>
          <w:color w:val="auto"/>
        </w:rPr>
        <w:t>. In June 2016, the FASB issued ASU 2016-13, which amends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its guidance on the measurement of credit losses on financial instruments. The amendments in this update are effective for annual reporting periods beginning after December 31, 2019. ASU 2016-13 affects entities holding financial assets that are not accounted for at fair value through net income, including but not limited to, loans, trade receivables, and net investments in leases. The Company adopted the changes to FASB ASC 326,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on January 1, 2020. The Company’s evaluation of current expected credit losses (“CECL”) resulted in a reserve of $0.3 million on the Company’s commercial loan and master lease investments portfolio during the three months ended March 31, 2020. See Note 5 “Commercial Loan and Master Lease Investments” for further information.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Certain items in the consolidated balance sheet as of December 31, 2020 have been reclassified to conform to the presentation as of September 30, 2021. Specifically, in the first quarter of 2021, the Company reclassified deferred financing costs incurred in connection with its Credit Facility (as further described in Note 17, “Long-Term Debt”), net of accumulated amortization, as a component of other assets on the accompanying consolidated balance sheet. Accordingly, deferred financing costs of $1.2 million, net of accumulated amortization of $0.5 million, were reclassified from long-term debt to other assets as of December 31, 2020.</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Cash and cash equivalents includes cash on hand, bank demand accounts, and money market accounts having original maturities of 90 days or less. The Company’s bank balances as of September 30, 2021 include certain amounts over the Federal Deposit Insurance Corporation limits.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Restricted cash totaled $68.5 million at September 30, 2021, of which $67.8 million is being held in various escrow accounts to be reinvested through the like-kind exchange structure into other income properties, $0.6 million is being held in an escrow account in connection with the Mitigation Bank as required by the applicable state and federal permitting authorities, and $0.1 million is being held in an escrow account in connection with the sale of a ground lease located in Daytona Beach, Florida.</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Financial Instruments and Hedging Activity</w:t>
      </w:r>
    </w:p>
    <w:p>
      <w:pPr>
        <w:spacing w:after="0" w:line="225"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i w:val="1"/>
          <w:iCs w:val="1"/>
          <w:color w:val="auto"/>
        </w:rPr>
        <w:t>Interest Rate Swaps</w:t>
      </w:r>
      <w:r>
        <w:rPr>
          <w:rFonts w:ascii="Arial" w:cs="Arial" w:eastAsia="Arial" w:hAnsi="Arial"/>
          <w:sz w:val="17"/>
          <w:szCs w:val="17"/>
          <w:color w:val="auto"/>
        </w:rPr>
        <w:t>. The Company accounts for its cash flow hedging derivatives in accordance with FASB ASC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Topic 815-20, </w:t>
      </w:r>
      <w:r>
        <w:rPr>
          <w:rFonts w:ascii="Arial" w:cs="Arial" w:eastAsia="Arial" w:hAnsi="Arial"/>
          <w:sz w:val="17"/>
          <w:szCs w:val="17"/>
          <w:i w:val="1"/>
          <w:iCs w:val="1"/>
          <w:color w:val="auto"/>
        </w:rPr>
        <w:t>Derivatives and Hedging</w:t>
      </w:r>
      <w:r>
        <w:rPr>
          <w:rFonts w:ascii="Arial" w:cs="Arial" w:eastAsia="Arial" w:hAnsi="Arial"/>
          <w:sz w:val="17"/>
          <w:szCs w:val="17"/>
          <w:color w:val="auto"/>
        </w:rPr>
        <w:t>. Depending upon the hedge’s value at each balance sheet date, the derivatives are included in either other assets or accrued and 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76"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The Company documented the relationship between the hedging instruments and the hedged item, as well as its risk-management objective and strategy for undertaking the hedge transactions. At the hedges’ inception, the Company formally assessed whether the derivatives that are used in hedging the transactions are highly effective in offsetting changes in cash flows of the hedged items, and we will continue to do so on an ongoing basis. As the terms of each interest rate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swap and the associated debts are identical, both hedging instruments qualify for the shortcut method; therefore, it is assumed that there is no hedge ineffectiveness throughout the entire term of the hedging instruments.</w:t>
      </w:r>
    </w:p>
    <w:p>
      <w:pPr>
        <w:spacing w:after="0" w:line="146"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restricted cash, accounts receivable, accounts payable, and accrued and other liabilities at September 30, 2021 and December 31, 2020, approximate fair value because of the short maturity of these instruments. The carrying value of the Company’s Credit Facility (hereinafter defined) as of September 30, 2021 and December 31, 2020, approximates current market rates for revolving credit arrangements with similar risks and maturities. The face value of the Company’s fixed rate commercial loan and master lease investments, the 2026 Term Loan (hereinafter defined), and convertible debt held as of September 30, 2021 and December 31, 2020 are measured at fair value based on current market rates for financial instruments with similar risks and maturities (see Note 10, “Fair Value of Financial Instruments”).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p>
      <w:pPr>
        <w:spacing w:after="0" w:line="176" w:lineRule="exact"/>
        <w:rPr>
          <w:sz w:val="20"/>
          <w:szCs w:val="20"/>
          <w:color w:val="auto"/>
        </w:rPr>
      </w:pPr>
    </w:p>
    <w:p>
      <w:pPr>
        <w:ind w:left="840" w:hanging="33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Valuation is based upon quoted prices in active markets for identical assets or liabilities.</w:t>
      </w:r>
    </w:p>
    <w:p>
      <w:pPr>
        <w:spacing w:after="0" w:line="225" w:lineRule="exact"/>
        <w:rPr>
          <w:rFonts w:ascii="Arial" w:cs="Arial" w:eastAsia="Arial" w:hAnsi="Arial"/>
          <w:sz w:val="18"/>
          <w:szCs w:val="18"/>
          <w:color w:val="auto"/>
        </w:rPr>
      </w:pPr>
    </w:p>
    <w:p>
      <w:pPr>
        <w:jc w:val="both"/>
        <w:ind w:left="840" w:right="79" w:hanging="331"/>
        <w:spacing w:after="0" w:line="259"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6" w:lineRule="exact"/>
        <w:rPr>
          <w:rFonts w:ascii="Arial" w:cs="Arial" w:eastAsia="Arial" w:hAnsi="Arial"/>
          <w:sz w:val="18"/>
          <w:szCs w:val="18"/>
          <w:color w:val="auto"/>
        </w:rPr>
      </w:pPr>
    </w:p>
    <w:p>
      <w:pPr>
        <w:jc w:val="both"/>
        <w:ind w:left="840" w:right="79" w:hanging="331"/>
        <w:spacing w:after="0" w:line="259"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Recognition of Interest Income from Commercial Loan and Master Lease Investments</w:t>
      </w:r>
    </w:p>
    <w:p>
      <w:pPr>
        <w:spacing w:after="0" w:line="225"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Interest income on commercial loan and master lease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Mitigation Credits</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Mitigation credits are stated at historical cost. As these assets are sold, the related revenues and cost of sales are reported as revenues from, and direct costs of, real estate operations, respectively, in the consolidated statements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Accounts receivable related to income properties, which are classified in other assets on the consolidated balance sheets, primarily consist of accrued tenant reimbursable expenses and other tenant receivables. Receivables related to income property tenants totaled $0.8 million and $2.3 million as of September 30, 2021 and December 31, 2020,</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respectively. The $1.5 million decrease is primarily attributable to a decrease in estimated accrued receivables for variable lease payments including common area maintenance, insurance, real estate taxes and other operating expenses.</w:t>
      </w:r>
    </w:p>
    <w:p>
      <w:pPr>
        <w:spacing w:after="0" w:line="124"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Accounts receivable related to real estate operations, which are classified in other assets on the consolidated balance sheets, totaled $1.4 million and $1.3 million as of September 30, 2021 and December 31, 2020, respectively. The accounts receivable as of September 30, 2021 and December 31, 2020 are primarily related to the reimbursement of certain infrastructure costs completed by the Company in conjunction with two land sale transactions that closed during the fourth quarter of 2015 as more fully described in Note 13, “Other Assets.”</w:t>
      </w:r>
    </w:p>
    <w:p>
      <w:pPr>
        <w:spacing w:after="0" w:line="176"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 xml:space="preserve">The collectability of the aforementioned receivables shall be considered and adjusted through an allowance for credit losses pursuant to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As of September 30, 2021 and December 31, 2020, the Company recorded an allowance for doubtful accounts of $0.2 million and $0.5 million, respectively, with the reduction being attributable to accounts receivable that were previously allowed for and written off against the allowance during the nine months ended September 30,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 Accounting for Acquisitions of Real Estate Subject to a Lease</w:t>
      </w:r>
    </w:p>
    <w:p>
      <w:pPr>
        <w:spacing w:after="0" w:line="225"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(Topic 805): </w:t>
      </w: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82"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of Real Estate</w:t>
      </w:r>
    </w:p>
    <w:p>
      <w:pPr>
        <w:spacing w:after="0" w:line="22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 xml:space="preserve">Gains and losses on sales of real estate are accounted for as required by FASB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Company recognizes revenue from the sales of real estate when the Company transfers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promised goods and/or services in the contract based on the transaction price allocated to the performance obligations within the contract. As market information becomes available, real estate cost basis is analyzed and recorded at the lower of cost or market.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The Company has elected to be taxed as a REIT for U.S. federal income tax purposes under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we hold certain of our non-REIT assets and operations through TRSs and subsidiaries of TRSs, which will be subject to applicable U.S. federal, state and local corporate income tax on their taxable income. For the periods presented, the Company held a total of five TRSs subject to taxation. The Company’s TRSs will file separately as C-Corporations.</w:t>
      </w:r>
    </w:p>
    <w:p>
      <w:pPr>
        <w:spacing w:after="0" w:line="168"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For the Company’s TRSs, and prior to the three months ended December 31, 2020 preceding the Company’s REIT election, the Company uses the asset and liability method to account for income taxes. Deferred income taxes result primarily from the net tax effect of temporary differences between the carrying amounts of assets and liabilities for financial reporting purposes and the amounts used for income tax purposes (see Note 22,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3. REVENUE RECOGNITION</w:t>
      </w:r>
    </w:p>
    <w:p>
      <w:pPr>
        <w:spacing w:after="0" w:line="216" w:lineRule="exact"/>
        <w:rPr>
          <w:sz w:val="20"/>
          <w:szCs w:val="20"/>
          <w:color w:val="auto"/>
        </w:rPr>
      </w:pPr>
    </w:p>
    <w:p>
      <w:pPr>
        <w:ind w:left="60" w:right="59" w:firstLine="441"/>
        <w:spacing w:after="0" w:line="277" w:lineRule="auto"/>
        <w:rPr>
          <w:sz w:val="20"/>
          <w:szCs w:val="20"/>
          <w:color w:val="auto"/>
        </w:rPr>
      </w:pPr>
      <w:r>
        <w:rPr>
          <w:rFonts w:ascii="Arial" w:cs="Arial" w:eastAsia="Arial" w:hAnsi="Arial"/>
          <w:sz w:val="18"/>
          <w:szCs w:val="18"/>
          <w:color w:val="auto"/>
        </w:rPr>
        <w:t xml:space="preserve">The Company implemented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effective January 1, 2018 utilizing the modified retrospective method.</w:t>
      </w:r>
    </w:p>
    <w:p>
      <w:pPr>
        <w:spacing w:after="0" w:line="170" w:lineRule="exact"/>
        <w:rPr>
          <w:sz w:val="20"/>
          <w:szCs w:val="20"/>
          <w:color w:val="auto"/>
        </w:rPr>
      </w:pPr>
    </w:p>
    <w:p>
      <w:pPr>
        <w:jc w:val="both"/>
        <w:ind w:left="60" w:right="79" w:firstLine="441"/>
        <w:spacing w:after="0" w:line="342" w:lineRule="auto"/>
        <w:rPr>
          <w:sz w:val="20"/>
          <w:szCs w:val="20"/>
          <w:color w:val="auto"/>
        </w:rPr>
      </w:pPr>
      <w:r>
        <w:rPr>
          <w:rFonts w:ascii="Arial" w:cs="Arial" w:eastAsia="Arial" w:hAnsi="Arial"/>
          <w:sz w:val="16"/>
          <w:szCs w:val="16"/>
          <w:color w:val="auto"/>
        </w:rPr>
        <w:t>The following table summarizes the Company’s revenue from continuing operations by segment, major good and/or service, and the related timing of revenue recognition for the three months ended September 30, 2021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3"/>
              </w:rPr>
              <w:t>Commercial</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Loan and</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Master</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Income</w:t>
            </w: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Management</w:t>
            </w:r>
          </w:p>
        </w:tc>
        <w:tc>
          <w:tcPr>
            <w:tcW w:w="10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Lease</w:t>
            </w: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rPr>
              <w:t>Real Estate</w:t>
            </w:r>
          </w:p>
        </w:tc>
        <w:tc>
          <w:tcPr>
            <w:tcW w:w="120" w:type="dxa"/>
            <w:vAlign w:val="bottom"/>
          </w:tcPr>
          <w:p>
            <w:pPr>
              <w:spacing w:after="0"/>
              <w:rPr>
                <w:sz w:val="17"/>
                <w:szCs w:val="17"/>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Total</w:t>
            </w:r>
          </w:p>
        </w:tc>
      </w:tr>
      <w:tr>
        <w:trPr>
          <w:trHeight w:val="213"/>
        </w:trPr>
        <w:tc>
          <w:tcPr>
            <w:tcW w:w="422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6"/>
                <w:szCs w:val="16"/>
                <w:b w:val="1"/>
                <w:bCs w:val="1"/>
                <w:color w:val="auto"/>
              </w:rPr>
              <w:t>Properties</w:t>
            </w:r>
          </w:p>
        </w:tc>
        <w:tc>
          <w:tcPr>
            <w:tcW w:w="1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Services</w:t>
            </w:r>
          </w:p>
        </w:tc>
        <w:tc>
          <w:tcPr>
            <w:tcW w:w="10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Investments</w:t>
            </w: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rPr>
              <w:t>Operations</w:t>
            </w:r>
          </w:p>
        </w:tc>
        <w:tc>
          <w:tcPr>
            <w:tcW w:w="660" w:type="dxa"/>
            <w:vAlign w:val="bottom"/>
            <w:gridSpan w:val="2"/>
          </w:tcPr>
          <w:p>
            <w:pPr>
              <w:spacing w:after="0"/>
              <w:rPr>
                <w:sz w:val="20"/>
                <w:szCs w:val="20"/>
                <w:color w:val="auto"/>
              </w:rPr>
            </w:pPr>
            <w:r>
              <w:rPr>
                <w:rFonts w:ascii="Arial" w:cs="Arial" w:eastAsia="Arial" w:hAnsi="Arial"/>
                <w:sz w:val="16"/>
                <w:szCs w:val="16"/>
                <w:b w:val="1"/>
                <w:bCs w:val="1"/>
                <w:color w:val="auto"/>
                <w:w w:val="84"/>
              </w:rPr>
              <w:t>Revenues</w:t>
            </w:r>
          </w:p>
        </w:tc>
      </w:tr>
      <w:tr>
        <w:trPr>
          <w:trHeight w:val="199"/>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Major Good / Service:</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Lease Revenue - Base Rent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10,705</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10,705</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Revenue - CAM</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Lease Revenue - Reimbursements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1,453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1,453</w:t>
            </w:r>
          </w:p>
        </w:tc>
      </w:tr>
      <w:tr>
        <w:trPr>
          <w:trHeight w:val="202"/>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Above / Below Market Lease Accretion</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Contributed Leased Assets Accretion</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Management Services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Commercial Loan and Master Lease Investments</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Mitigation Credit Sales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Subsurface Revenue - Other</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958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958</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and Other Revenue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36"/>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13,734</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940</w:t>
            </w:r>
          </w:p>
        </w:tc>
        <w:tc>
          <w:tcPr>
            <w:tcW w:w="1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726</w:t>
            </w:r>
          </w:p>
        </w:tc>
        <w:tc>
          <w:tcPr>
            <w:tcW w:w="1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1,177</w:t>
            </w:r>
          </w:p>
        </w:tc>
        <w:tc>
          <w:tcPr>
            <w:tcW w:w="1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16,577</w:t>
            </w:r>
          </w:p>
        </w:tc>
      </w:tr>
      <w:tr>
        <w:trPr>
          <w:trHeight w:val="183"/>
        </w:trPr>
        <w:tc>
          <w:tcPr>
            <w:tcW w:w="4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02"/>
        </w:trPr>
        <w:tc>
          <w:tcPr>
            <w:tcW w:w="4220" w:type="dxa"/>
            <w:vAlign w:val="bottom"/>
          </w:tcPr>
          <w:p>
            <w:pPr>
              <w:ind w:left="20"/>
              <w:spacing w:after="0"/>
              <w:rPr>
                <w:sz w:val="20"/>
                <w:szCs w:val="20"/>
                <w:color w:val="auto"/>
              </w:rPr>
            </w:pPr>
            <w:r>
              <w:rPr>
                <w:rFonts w:ascii="Arial" w:cs="Arial" w:eastAsia="Arial" w:hAnsi="Arial"/>
                <w:sz w:val="16"/>
                <w:szCs w:val="16"/>
                <w:color w:val="auto"/>
              </w:rPr>
              <w:t>Timing of Revenue Recognition:</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Asset/Good Transferred at a Point in Time</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Services Transferred Over Time</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1,105</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Over Lease Term</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13,569</w:t>
            </w:r>
          </w:p>
        </w:tc>
      </w:tr>
      <w:tr>
        <w:trPr>
          <w:trHeight w:val="193"/>
        </w:trPr>
        <w:tc>
          <w:tcPr>
            <w:tcW w:w="4220" w:type="dxa"/>
            <w:vAlign w:val="bottom"/>
          </w:tcPr>
          <w:p>
            <w:pPr>
              <w:ind w:left="140"/>
              <w:spacing w:after="0"/>
              <w:rPr>
                <w:sz w:val="20"/>
                <w:szCs w:val="20"/>
                <w:color w:val="auto"/>
              </w:rPr>
            </w:pPr>
            <w:r>
              <w:rPr>
                <w:rFonts w:ascii="Arial" w:cs="Arial" w:eastAsia="Arial" w:hAnsi="Arial"/>
                <w:sz w:val="16"/>
                <w:szCs w:val="16"/>
                <w:color w:val="auto"/>
              </w:rPr>
              <w:t>Commercial Loan and Master Lease Investment Related</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9"/>
        </w:trPr>
        <w:tc>
          <w:tcPr>
            <w:tcW w:w="4220" w:type="dxa"/>
            <w:vAlign w:val="bottom"/>
          </w:tcPr>
          <w:p>
            <w:pPr>
              <w:ind w:left="140"/>
              <w:spacing w:after="0"/>
              <w:rPr>
                <w:sz w:val="20"/>
                <w:szCs w:val="20"/>
                <w:color w:val="auto"/>
              </w:rPr>
            </w:pPr>
            <w:r>
              <w:rPr>
                <w:rFonts w:ascii="Arial" w:cs="Arial" w:eastAsia="Arial" w:hAnsi="Arial"/>
                <w:sz w:val="16"/>
                <w:szCs w:val="16"/>
                <w:color w:val="auto"/>
              </w:rPr>
              <w:t>Revenue</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199"/>
        </w:trPr>
        <w:tc>
          <w:tcPr>
            <w:tcW w:w="4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16,577</w:t>
            </w:r>
          </w:p>
        </w:tc>
      </w:tr>
      <w:tr>
        <w:trPr>
          <w:trHeight w:val="20"/>
        </w:trPr>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41"/>
        <w:spacing w:after="0" w:line="342" w:lineRule="auto"/>
        <w:rPr>
          <w:sz w:val="20"/>
          <w:szCs w:val="20"/>
          <w:color w:val="auto"/>
        </w:rPr>
      </w:pPr>
      <w:r>
        <w:rPr>
          <w:rFonts w:ascii="Arial" w:cs="Arial" w:eastAsia="Arial" w:hAnsi="Arial"/>
          <w:sz w:val="16"/>
          <w:szCs w:val="16"/>
          <w:color w:val="auto"/>
        </w:rPr>
        <w:t>The following table summarizes the Company’s revenue from continuing operations by segment, major good and/or service, and the related timing of revenue recognition for the three months ended September 30, 2020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3"/>
              </w:rPr>
              <w:t>Commercial</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Loan and</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Master</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Income</w:t>
            </w: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Management</w:t>
            </w:r>
          </w:p>
        </w:tc>
        <w:tc>
          <w:tcPr>
            <w:tcW w:w="10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Lease</w:t>
            </w: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rPr>
              <w:t>Real Estate</w:t>
            </w:r>
          </w:p>
        </w:tc>
        <w:tc>
          <w:tcPr>
            <w:tcW w:w="120" w:type="dxa"/>
            <w:vAlign w:val="bottom"/>
          </w:tcPr>
          <w:p>
            <w:pPr>
              <w:spacing w:after="0"/>
              <w:rPr>
                <w:sz w:val="17"/>
                <w:szCs w:val="17"/>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422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Arial" w:cs="Arial" w:eastAsia="Arial" w:hAnsi="Arial"/>
                <w:sz w:val="16"/>
                <w:szCs w:val="16"/>
                <w:b w:val="1"/>
                <w:bCs w:val="1"/>
                <w:color w:val="auto"/>
              </w:rPr>
              <w:t>Properties</w:t>
            </w:r>
          </w:p>
        </w:tc>
        <w:tc>
          <w:tcPr>
            <w:tcW w:w="1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Services</w:t>
            </w:r>
          </w:p>
        </w:tc>
        <w:tc>
          <w:tcPr>
            <w:tcW w:w="10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Investments</w:t>
            </w: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rPr>
              <w:t>Operations</w:t>
            </w:r>
          </w:p>
        </w:tc>
        <w:tc>
          <w:tcPr>
            <w:tcW w:w="660" w:type="dxa"/>
            <w:vAlign w:val="bottom"/>
            <w:gridSpan w:val="2"/>
          </w:tcPr>
          <w:p>
            <w:pPr>
              <w:spacing w:after="0"/>
              <w:rPr>
                <w:sz w:val="20"/>
                <w:szCs w:val="20"/>
                <w:color w:val="auto"/>
              </w:rPr>
            </w:pPr>
            <w:r>
              <w:rPr>
                <w:rFonts w:ascii="Arial" w:cs="Arial" w:eastAsia="Arial" w:hAnsi="Arial"/>
                <w:sz w:val="16"/>
                <w:szCs w:val="16"/>
                <w:b w:val="1"/>
                <w:bCs w:val="1"/>
                <w:color w:val="auto"/>
                <w:w w:val="84"/>
              </w:rPr>
              <w:t>Revenues</w:t>
            </w:r>
          </w:p>
        </w:tc>
      </w:tr>
      <w:tr>
        <w:trPr>
          <w:trHeight w:val="196"/>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Major Good / Service:</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Lease Revenue - Base Rent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9,609</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9,609</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Revenue - CAM</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Lease Revenue - Reimbursements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1,432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1,432</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Revenue - Billboards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Above / Below Market Lease Accretion</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Contributed Leased Assets Accretion</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Management Services</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683</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Loan and Master Lease Investments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Subsurface Revenue - Other</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543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543</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and Other Revenue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r>
      <w:tr>
        <w:trPr>
          <w:trHeight w:val="236"/>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12,933</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1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14,572</w:t>
            </w:r>
          </w:p>
        </w:tc>
      </w:tr>
      <w:tr>
        <w:trPr>
          <w:trHeight w:val="183"/>
        </w:trPr>
        <w:tc>
          <w:tcPr>
            <w:tcW w:w="4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Timing of Revenue Recognition:</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Asset/Good Transferred at a Point in Time</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r>
      <w:tr>
        <w:trPr>
          <w:trHeight w:val="202"/>
        </w:trPr>
        <w:tc>
          <w:tcPr>
            <w:tcW w:w="4220" w:type="dxa"/>
            <w:vAlign w:val="bottom"/>
          </w:tcPr>
          <w:p>
            <w:pPr>
              <w:ind w:left="140"/>
              <w:spacing w:after="0"/>
              <w:rPr>
                <w:sz w:val="20"/>
                <w:szCs w:val="20"/>
                <w:color w:val="auto"/>
              </w:rPr>
            </w:pPr>
            <w:r>
              <w:rPr>
                <w:rFonts w:ascii="Arial" w:cs="Arial" w:eastAsia="Arial" w:hAnsi="Arial"/>
                <w:sz w:val="16"/>
                <w:szCs w:val="16"/>
                <w:color w:val="auto"/>
              </w:rPr>
              <w:t>Services Transferred Over Time</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1,189</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Over Lease Term</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12,427</w:t>
            </w:r>
          </w:p>
        </w:tc>
      </w:tr>
      <w:tr>
        <w:trPr>
          <w:trHeight w:val="206"/>
        </w:trPr>
        <w:tc>
          <w:tcPr>
            <w:tcW w:w="4220" w:type="dxa"/>
            <w:vAlign w:val="bottom"/>
          </w:tcPr>
          <w:p>
            <w:pPr>
              <w:ind w:left="140"/>
              <w:spacing w:after="0"/>
              <w:rPr>
                <w:sz w:val="20"/>
                <w:szCs w:val="20"/>
                <w:color w:val="auto"/>
              </w:rPr>
            </w:pPr>
            <w:r>
              <w:rPr>
                <w:rFonts w:ascii="Arial" w:cs="Arial" w:eastAsia="Arial" w:hAnsi="Arial"/>
                <w:sz w:val="16"/>
                <w:szCs w:val="16"/>
                <w:color w:val="auto"/>
              </w:rPr>
              <w:t>Commercial Loan and Master Lease Investment Related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9"/>
        </w:trPr>
        <w:tc>
          <w:tcPr>
            <w:tcW w:w="4220" w:type="dxa"/>
            <w:vAlign w:val="bottom"/>
          </w:tcPr>
          <w:p>
            <w:pPr>
              <w:ind w:left="140"/>
              <w:spacing w:after="0"/>
              <w:rPr>
                <w:sz w:val="20"/>
                <w:szCs w:val="20"/>
                <w:color w:val="auto"/>
              </w:rPr>
            </w:pPr>
            <w:r>
              <w:rPr>
                <w:rFonts w:ascii="Arial" w:cs="Arial" w:eastAsia="Arial" w:hAnsi="Arial"/>
                <w:sz w:val="16"/>
                <w:szCs w:val="16"/>
                <w:color w:val="auto"/>
              </w:rPr>
              <w:t>Revenue</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413</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413</w:t>
            </w:r>
          </w:p>
        </w:tc>
      </w:tr>
      <w:tr>
        <w:trPr>
          <w:trHeight w:val="196"/>
        </w:trPr>
        <w:tc>
          <w:tcPr>
            <w:tcW w:w="4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14,572</w:t>
            </w:r>
          </w:p>
        </w:tc>
      </w:tr>
      <w:tr>
        <w:trPr>
          <w:trHeight w:val="20"/>
        </w:trPr>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41"/>
        <w:spacing w:after="0" w:line="342" w:lineRule="auto"/>
        <w:rPr>
          <w:sz w:val="20"/>
          <w:szCs w:val="20"/>
          <w:color w:val="auto"/>
        </w:rPr>
      </w:pPr>
      <w:r>
        <w:rPr>
          <w:rFonts w:ascii="Arial" w:cs="Arial" w:eastAsia="Arial" w:hAnsi="Arial"/>
          <w:sz w:val="16"/>
          <w:szCs w:val="16"/>
          <w:color w:val="auto"/>
        </w:rPr>
        <w:t>The following table summarizes the Company’s revenue from continuing operations by segment, major good and/or service, and the related timing of revenue recognition for the nine months ended September 30, 2021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3"/>
              </w:rPr>
              <w:t>Commercial</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Loan and</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Master</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Income</w:t>
            </w: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Management</w:t>
            </w:r>
          </w:p>
        </w:tc>
        <w:tc>
          <w:tcPr>
            <w:tcW w:w="10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Lease</w:t>
            </w: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rPr>
              <w:t>Real Estate</w:t>
            </w:r>
          </w:p>
        </w:tc>
        <w:tc>
          <w:tcPr>
            <w:tcW w:w="120" w:type="dxa"/>
            <w:vAlign w:val="bottom"/>
          </w:tcPr>
          <w:p>
            <w:pPr>
              <w:spacing w:after="0"/>
              <w:rPr>
                <w:sz w:val="17"/>
                <w:szCs w:val="17"/>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Total</w:t>
            </w:r>
          </w:p>
        </w:tc>
      </w:tr>
      <w:tr>
        <w:trPr>
          <w:trHeight w:val="213"/>
        </w:trPr>
        <w:tc>
          <w:tcPr>
            <w:tcW w:w="422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6"/>
                <w:szCs w:val="16"/>
                <w:b w:val="1"/>
                <w:bCs w:val="1"/>
                <w:color w:val="auto"/>
              </w:rPr>
              <w:t>Properties</w:t>
            </w:r>
          </w:p>
        </w:tc>
        <w:tc>
          <w:tcPr>
            <w:tcW w:w="1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Services</w:t>
            </w:r>
          </w:p>
        </w:tc>
        <w:tc>
          <w:tcPr>
            <w:tcW w:w="10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Investments</w:t>
            </w: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rPr>
              <w:t>Operations</w:t>
            </w:r>
          </w:p>
        </w:tc>
        <w:tc>
          <w:tcPr>
            <w:tcW w:w="660" w:type="dxa"/>
            <w:vAlign w:val="bottom"/>
            <w:gridSpan w:val="2"/>
          </w:tcPr>
          <w:p>
            <w:pPr>
              <w:spacing w:after="0"/>
              <w:rPr>
                <w:sz w:val="20"/>
                <w:szCs w:val="20"/>
                <w:color w:val="auto"/>
              </w:rPr>
            </w:pPr>
            <w:r>
              <w:rPr>
                <w:rFonts w:ascii="Arial" w:cs="Arial" w:eastAsia="Arial" w:hAnsi="Arial"/>
                <w:sz w:val="16"/>
                <w:szCs w:val="16"/>
                <w:b w:val="1"/>
                <w:bCs w:val="1"/>
                <w:color w:val="auto"/>
                <w:w w:val="84"/>
              </w:rPr>
              <w:t>Revenues</w:t>
            </w:r>
          </w:p>
        </w:tc>
      </w:tr>
      <w:tr>
        <w:trPr>
          <w:trHeight w:val="199"/>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Major Good / Service:</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Lease Revenue - Base Rent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29,769</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29,769</w:t>
            </w:r>
          </w:p>
        </w:tc>
      </w:tr>
      <w:tr>
        <w:trPr>
          <w:trHeight w:val="202"/>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Revenue - CAM</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Lease Revenue - Reimbursements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3,351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3,351</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Revenue - Billboards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Above / Below Market Lease Accretion</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820</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Contributed Leased Assets Accretion</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Management Services</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2,361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2,361</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Loan and Master Lease Investments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Mitigation Credit Sales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Subsurface Revenue - Other</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Land Sales Revenue</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455</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and Other Revenue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36"/>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36,757</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2,361</w:t>
            </w:r>
          </w:p>
        </w:tc>
        <w:tc>
          <w:tcPr>
            <w:tcW w:w="1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2,136</w:t>
            </w:r>
          </w:p>
        </w:tc>
        <w:tc>
          <w:tcPr>
            <w:tcW w:w="1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4,318</w:t>
            </w:r>
          </w:p>
        </w:tc>
        <w:tc>
          <w:tcPr>
            <w:tcW w:w="1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45,572</w:t>
            </w:r>
          </w:p>
        </w:tc>
      </w:tr>
      <w:tr>
        <w:trPr>
          <w:trHeight w:val="183"/>
        </w:trPr>
        <w:tc>
          <w:tcPr>
            <w:tcW w:w="4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Timing of Revenue Recognition:</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Asset/Good Transferred at a Point in Time</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4,318</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Services Transferred Over Time</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2,361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2,614</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Over Lease Term</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36,504</w:t>
            </w:r>
          </w:p>
        </w:tc>
      </w:tr>
      <w:tr>
        <w:trPr>
          <w:trHeight w:val="193"/>
        </w:trPr>
        <w:tc>
          <w:tcPr>
            <w:tcW w:w="4220" w:type="dxa"/>
            <w:vAlign w:val="bottom"/>
          </w:tcPr>
          <w:p>
            <w:pPr>
              <w:ind w:left="140"/>
              <w:spacing w:after="0"/>
              <w:rPr>
                <w:sz w:val="20"/>
                <w:szCs w:val="20"/>
                <w:color w:val="auto"/>
              </w:rPr>
            </w:pPr>
            <w:r>
              <w:rPr>
                <w:rFonts w:ascii="Arial" w:cs="Arial" w:eastAsia="Arial" w:hAnsi="Arial"/>
                <w:sz w:val="16"/>
                <w:szCs w:val="16"/>
                <w:color w:val="auto"/>
              </w:rPr>
              <w:t>Commercial Loan and Master Lease Investment Related</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9"/>
        </w:trPr>
        <w:tc>
          <w:tcPr>
            <w:tcW w:w="4220" w:type="dxa"/>
            <w:vAlign w:val="bottom"/>
          </w:tcPr>
          <w:p>
            <w:pPr>
              <w:ind w:left="140"/>
              <w:spacing w:after="0"/>
              <w:rPr>
                <w:sz w:val="20"/>
                <w:szCs w:val="20"/>
                <w:color w:val="auto"/>
              </w:rPr>
            </w:pPr>
            <w:r>
              <w:rPr>
                <w:rFonts w:ascii="Arial" w:cs="Arial" w:eastAsia="Arial" w:hAnsi="Arial"/>
                <w:sz w:val="16"/>
                <w:szCs w:val="16"/>
                <w:color w:val="auto"/>
              </w:rPr>
              <w:t>Revenue</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2,136</w:t>
            </w:r>
          </w:p>
        </w:tc>
      </w:tr>
      <w:tr>
        <w:trPr>
          <w:trHeight w:val="199"/>
        </w:trPr>
        <w:tc>
          <w:tcPr>
            <w:tcW w:w="4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36,757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45,572</w:t>
            </w:r>
          </w:p>
        </w:tc>
      </w:tr>
      <w:tr>
        <w:trPr>
          <w:trHeight w:val="20"/>
        </w:trPr>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1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114"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41"/>
        <w:spacing w:after="0" w:line="342" w:lineRule="auto"/>
        <w:rPr>
          <w:sz w:val="20"/>
          <w:szCs w:val="20"/>
          <w:color w:val="auto"/>
        </w:rPr>
      </w:pPr>
      <w:r>
        <w:rPr>
          <w:rFonts w:ascii="Arial" w:cs="Arial" w:eastAsia="Arial" w:hAnsi="Arial"/>
          <w:sz w:val="16"/>
          <w:szCs w:val="16"/>
          <w:color w:val="auto"/>
        </w:rPr>
        <w:t>The following table summarizes the Company’s revenue from continuing operations by segment, major good and/or service, and the related timing of revenue recognition for the nine months ended September 30, 2020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3"/>
              </w:rPr>
              <w:t>Commercial</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Loan and</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Master</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Income</w:t>
            </w: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Management</w:t>
            </w:r>
          </w:p>
        </w:tc>
        <w:tc>
          <w:tcPr>
            <w:tcW w:w="10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Lease</w:t>
            </w: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rPr>
              <w:t>Real Estate</w:t>
            </w:r>
          </w:p>
        </w:tc>
        <w:tc>
          <w:tcPr>
            <w:tcW w:w="120" w:type="dxa"/>
            <w:vAlign w:val="bottom"/>
          </w:tcPr>
          <w:p>
            <w:pPr>
              <w:spacing w:after="0"/>
              <w:rPr>
                <w:sz w:val="17"/>
                <w:szCs w:val="17"/>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Total</w:t>
            </w:r>
          </w:p>
        </w:tc>
      </w:tr>
      <w:tr>
        <w:trPr>
          <w:trHeight w:val="213"/>
        </w:trPr>
        <w:tc>
          <w:tcPr>
            <w:tcW w:w="422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6"/>
                <w:szCs w:val="16"/>
                <w:b w:val="1"/>
                <w:bCs w:val="1"/>
                <w:color w:val="auto"/>
              </w:rPr>
              <w:t>Properties</w:t>
            </w:r>
          </w:p>
        </w:tc>
        <w:tc>
          <w:tcPr>
            <w:tcW w:w="1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Services</w:t>
            </w:r>
          </w:p>
        </w:tc>
        <w:tc>
          <w:tcPr>
            <w:tcW w:w="10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Investments</w:t>
            </w: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rPr>
              <w:t>Operations</w:t>
            </w:r>
          </w:p>
        </w:tc>
        <w:tc>
          <w:tcPr>
            <w:tcW w:w="660" w:type="dxa"/>
            <w:vAlign w:val="bottom"/>
            <w:gridSpan w:val="2"/>
          </w:tcPr>
          <w:p>
            <w:pPr>
              <w:spacing w:after="0"/>
              <w:rPr>
                <w:sz w:val="20"/>
                <w:szCs w:val="20"/>
                <w:color w:val="auto"/>
              </w:rPr>
            </w:pPr>
            <w:r>
              <w:rPr>
                <w:rFonts w:ascii="Arial" w:cs="Arial" w:eastAsia="Arial" w:hAnsi="Arial"/>
                <w:sz w:val="16"/>
                <w:szCs w:val="16"/>
                <w:b w:val="1"/>
                <w:bCs w:val="1"/>
                <w:color w:val="auto"/>
                <w:w w:val="84"/>
              </w:rPr>
              <w:t>Revenues</w:t>
            </w:r>
          </w:p>
        </w:tc>
      </w:tr>
      <w:tr>
        <w:trPr>
          <w:trHeight w:val="199"/>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Major Good / Service:</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Lease Revenue - Base Rent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27,630</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27,630</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Revenue - CAM</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Lease Revenue - Reimbursements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2,918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2,918</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Revenue - Billboards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Above / Below Market Lease Accretion</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1,352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1,352</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Contributed Leased Assets Accretion</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Management Services</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2,080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2,080</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Loan and Master Lease Investments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Mitigation Credit Sales</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Subsurface Revenue - Other</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Fill Dirt and Other Revenue</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and Other Revenue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r>
      <w:tr>
        <w:trPr>
          <w:trHeight w:val="236"/>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35,409</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2,080</w:t>
            </w:r>
          </w:p>
        </w:tc>
        <w:tc>
          <w:tcPr>
            <w:tcW w:w="1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2,300</w:t>
            </w:r>
          </w:p>
        </w:tc>
        <w:tc>
          <w:tcPr>
            <w:tcW w:w="1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40,420</w:t>
            </w:r>
          </w:p>
        </w:tc>
      </w:tr>
      <w:tr>
        <w:trPr>
          <w:trHeight w:val="183"/>
        </w:trPr>
        <w:tc>
          <w:tcPr>
            <w:tcW w:w="4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02"/>
        </w:trPr>
        <w:tc>
          <w:tcPr>
            <w:tcW w:w="4220" w:type="dxa"/>
            <w:vAlign w:val="bottom"/>
          </w:tcPr>
          <w:p>
            <w:pPr>
              <w:ind w:left="20"/>
              <w:spacing w:after="0"/>
              <w:rPr>
                <w:sz w:val="20"/>
                <w:szCs w:val="20"/>
                <w:color w:val="auto"/>
              </w:rPr>
            </w:pPr>
            <w:r>
              <w:rPr>
                <w:rFonts w:ascii="Arial" w:cs="Arial" w:eastAsia="Arial" w:hAnsi="Arial"/>
                <w:sz w:val="16"/>
                <w:szCs w:val="16"/>
                <w:color w:val="auto"/>
              </w:rPr>
              <w:t>Timing of Revenue Recognition:</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Asset/Good Transferred at a Point in Time</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Services Transferred Over Time</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2,080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2,837</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Over Lease Term</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34,652</w:t>
            </w:r>
          </w:p>
        </w:tc>
      </w:tr>
      <w:tr>
        <w:trPr>
          <w:trHeight w:val="193"/>
        </w:trPr>
        <w:tc>
          <w:tcPr>
            <w:tcW w:w="4220" w:type="dxa"/>
            <w:vAlign w:val="bottom"/>
          </w:tcPr>
          <w:p>
            <w:pPr>
              <w:ind w:left="140"/>
              <w:spacing w:after="0"/>
              <w:rPr>
                <w:sz w:val="20"/>
                <w:szCs w:val="20"/>
                <w:color w:val="auto"/>
              </w:rPr>
            </w:pPr>
            <w:r>
              <w:rPr>
                <w:rFonts w:ascii="Arial" w:cs="Arial" w:eastAsia="Arial" w:hAnsi="Arial"/>
                <w:sz w:val="16"/>
                <w:szCs w:val="16"/>
                <w:color w:val="auto"/>
              </w:rPr>
              <w:t>Commercial Loan and Master Lease Investment Related</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9"/>
        </w:trPr>
        <w:tc>
          <w:tcPr>
            <w:tcW w:w="4220" w:type="dxa"/>
            <w:vAlign w:val="bottom"/>
          </w:tcPr>
          <w:p>
            <w:pPr>
              <w:ind w:left="140"/>
              <w:spacing w:after="0"/>
              <w:rPr>
                <w:sz w:val="20"/>
                <w:szCs w:val="20"/>
                <w:color w:val="auto"/>
              </w:rPr>
            </w:pPr>
            <w:r>
              <w:rPr>
                <w:rFonts w:ascii="Arial" w:cs="Arial" w:eastAsia="Arial" w:hAnsi="Arial"/>
                <w:sz w:val="16"/>
                <w:szCs w:val="16"/>
                <w:color w:val="auto"/>
              </w:rPr>
              <w:t>Revenue</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2,300</w:t>
            </w:r>
          </w:p>
        </w:tc>
      </w:tr>
      <w:tr>
        <w:trPr>
          <w:trHeight w:val="199"/>
        </w:trPr>
        <w:tc>
          <w:tcPr>
            <w:tcW w:w="4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40,420</w:t>
            </w:r>
          </w:p>
        </w:tc>
      </w:tr>
      <w:tr>
        <w:trPr>
          <w:trHeight w:val="20"/>
        </w:trPr>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4. INCOME PROPERTIES</w:t>
      </w:r>
    </w:p>
    <w:p>
      <w:pPr>
        <w:spacing w:after="0" w:line="229" w:lineRule="exact"/>
        <w:rPr>
          <w:sz w:val="20"/>
          <w:szCs w:val="20"/>
          <w:color w:val="auto"/>
        </w:rPr>
      </w:pPr>
    </w:p>
    <w:p>
      <w:pPr>
        <w:jc w:val="both"/>
        <w:ind w:left="60" w:right="79" w:firstLine="441"/>
        <w:spacing w:after="0" w:line="311" w:lineRule="auto"/>
        <w:rPr>
          <w:sz w:val="20"/>
          <w:szCs w:val="20"/>
          <w:color w:val="auto"/>
        </w:rPr>
      </w:pPr>
      <w:r>
        <w:rPr>
          <w:rFonts w:ascii="Arial" w:cs="Arial" w:eastAsia="Arial" w:hAnsi="Arial"/>
          <w:sz w:val="16"/>
          <w:szCs w:val="16"/>
          <w:color w:val="auto"/>
        </w:rPr>
        <w:t>Leasing revenue consists of long-term rental revenue from retail, office, and commercial income properties, and billboards, which is recognized as earned, using the straight-line method over the life of each lease. Lease payments below include straight-line base rental revenue as well as the non-cash accretion of above and below market lease amortization.</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8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28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September 30,</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89"/>
              </w:rPr>
              <w:t>September 30,</w:t>
            </w:r>
          </w:p>
        </w:tc>
      </w:tr>
      <w:tr>
        <w:trPr>
          <w:trHeight w:val="234"/>
        </w:trPr>
        <w:tc>
          <w:tcPr>
            <w:tcW w:w="28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1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Leasing Revenue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Arial" w:cs="Arial" w:eastAsia="Arial" w:hAnsi="Arial"/>
                <w:sz w:val="18"/>
                <w:szCs w:val="18"/>
                <w:color w:val="auto"/>
              </w:rPr>
              <w:t>Lease Payments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10,829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10,086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30,786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29,112</w:t>
            </w:r>
          </w:p>
        </w:tc>
      </w:tr>
      <w:tr>
        <w:trPr>
          <w:trHeight w:val="216"/>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Lease Payments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w:t>
            </w:r>
          </w:p>
        </w:tc>
      </w:tr>
      <w:tr>
        <w:trPr>
          <w:trHeight w:val="210"/>
        </w:trPr>
        <w:tc>
          <w:tcPr>
            <w:tcW w:w="2800" w:type="dxa"/>
            <w:vAlign w:val="bottom"/>
          </w:tcPr>
          <w:p>
            <w:pPr>
              <w:ind w:left="20"/>
              <w:spacing w:after="0"/>
              <w:rPr>
                <w:sz w:val="20"/>
                <w:szCs w:val="20"/>
                <w:color w:val="auto"/>
              </w:rPr>
            </w:pPr>
            <w:r>
              <w:rPr>
                <w:rFonts w:ascii="Arial" w:cs="Arial" w:eastAsia="Arial" w:hAnsi="Arial"/>
                <w:sz w:val="18"/>
                <w:szCs w:val="18"/>
                <w:color w:val="auto"/>
              </w:rPr>
              <w:t>Total Leasing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35,409</w:t>
            </w:r>
          </w:p>
        </w:tc>
      </w:tr>
      <w:tr>
        <w:trPr>
          <w:trHeight w:val="20"/>
        </w:trPr>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Minimum future base rental revenue on non-cancelable leases subsequent to September 30, 2021, for the next five years ended December 31 are summarized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7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00" w:type="dxa"/>
            <w:vAlign w:val="bottom"/>
          </w:tcPr>
          <w:p>
            <w:pPr>
              <w:spacing w:after="0"/>
              <w:rPr>
                <w:sz w:val="19"/>
                <w:szCs w:val="19"/>
                <w:color w:val="auto"/>
              </w:rPr>
            </w:pPr>
          </w:p>
        </w:tc>
        <w:tc>
          <w:tcPr>
            <w:tcW w:w="176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10,183</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40,355</w:t>
            </w: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38,997</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37,702</w:t>
            </w: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36,890</w:t>
            </w:r>
          </w:p>
        </w:tc>
      </w:tr>
      <w:tr>
        <w:trPr>
          <w:trHeight w:val="216"/>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 (cumulative)</w:t>
            </w:r>
          </w:p>
        </w:tc>
        <w:tc>
          <w:tcPr>
            <w:tcW w:w="4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191,808</w:t>
            </w:r>
          </w:p>
        </w:tc>
      </w:tr>
      <w:tr>
        <w:trPr>
          <w:trHeight w:val="21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355,935</w:t>
            </w: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i w:val="1"/>
          <w:iCs w:val="1"/>
          <w:color w:val="auto"/>
        </w:rPr>
        <w:t xml:space="preserve">2021 Acquisitions. </w:t>
      </w:r>
      <w:r>
        <w:rPr>
          <w:rFonts w:ascii="Arial" w:cs="Arial" w:eastAsia="Arial" w:hAnsi="Arial"/>
          <w:sz w:val="16"/>
          <w:szCs w:val="16"/>
          <w:color w:val="auto"/>
        </w:rPr>
        <w:t>During the nine months ended September 30, 2021, the Company acquired three multi-tenant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properties for an aggregate purchase price of $111.0 million, or a total acquisition cost of $111.3 million including capitalized acquisition costs. Of the total acquisition cost, $40.4 million was allocated to land, $41.4 million was allocated to buildings and improvements, and $29.5 million was allocated to intangible assets pertaining to the in-place lease value, leasing costs, and above market lease value and $0.05 million was allocated to intangible liabilities for the below market lease value. The weighted average amortization period for the intangible assets and liabilities was 7.1 years at acquisition.</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properties acquired during the nine months ended September 30, 2021 are described below:</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1"/>
              </w:rPr>
              <w:t>Purchase</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Property</w:t>
            </w: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Date of</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Property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Lease Term at</w:t>
            </w:r>
          </w:p>
        </w:tc>
        <w:tc>
          <w:tcPr>
            <w:tcW w:w="0" w:type="dxa"/>
            <w:vAlign w:val="bottom"/>
          </w:tcPr>
          <w:p>
            <w:pPr>
              <w:spacing w:after="0"/>
              <w:rPr>
                <w:sz w:val="1"/>
                <w:szCs w:val="1"/>
                <w:color w:val="auto"/>
              </w:rPr>
            </w:pPr>
          </w:p>
        </w:tc>
      </w:tr>
      <w:tr>
        <w:trPr>
          <w:trHeight w:val="148"/>
        </w:trPr>
        <w:tc>
          <w:tcPr>
            <w:tcW w:w="1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Tenant Description</w:t>
            </w: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Tenant Type</w:t>
            </w:r>
          </w:p>
        </w:tc>
        <w:tc>
          <w:tcPr>
            <w:tcW w:w="11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Leased at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Acquisition</w:t>
            </w:r>
          </w:p>
        </w:tc>
        <w:tc>
          <w:tcPr>
            <w:tcW w:w="0" w:type="dxa"/>
            <w:vAlign w:val="bottom"/>
          </w:tcPr>
          <w:p>
            <w:pPr>
              <w:spacing w:after="0"/>
              <w:rPr>
                <w:sz w:val="1"/>
                <w:szCs w:val="1"/>
                <w:color w:val="auto"/>
              </w:rPr>
            </w:pPr>
          </w:p>
        </w:tc>
      </w:tr>
      <w:tr>
        <w:trPr>
          <w:trHeight w:val="171"/>
        </w:trPr>
        <w:tc>
          <w:tcPr>
            <w:tcW w:w="17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Location</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Acquisition</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Square-Feet</w:t>
            </w:r>
          </w:p>
        </w:tc>
        <w:tc>
          <w:tcPr>
            <w:tcW w:w="120" w:type="dxa"/>
            <w:vAlign w:val="bottom"/>
          </w:tcPr>
          <w:p>
            <w:pPr>
              <w:spacing w:after="0"/>
              <w:rPr>
                <w:sz w:val="14"/>
                <w:szCs w:val="14"/>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($000's)</w:t>
            </w:r>
          </w:p>
        </w:tc>
        <w:tc>
          <w:tcPr>
            <w:tcW w:w="14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Acquisition</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7"/>
              </w:rPr>
              <w:t>Date (in years)</w:t>
            </w:r>
          </w:p>
        </w:tc>
        <w:tc>
          <w:tcPr>
            <w:tcW w:w="0" w:type="dxa"/>
            <w:vAlign w:val="bottom"/>
          </w:tcPr>
          <w:p>
            <w:pPr>
              <w:spacing w:after="0"/>
              <w:rPr>
                <w:sz w:val="1"/>
                <w:szCs w:val="1"/>
                <w:color w:val="auto"/>
              </w:rPr>
            </w:pPr>
          </w:p>
        </w:tc>
      </w:tr>
      <w:tr>
        <w:trPr>
          <w:trHeight w:val="142"/>
        </w:trPr>
        <w:tc>
          <w:tcPr>
            <w:tcW w:w="15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Jordan Landing</w:t>
            </w:r>
          </w:p>
        </w:tc>
        <w:tc>
          <w:tcPr>
            <w:tcW w:w="1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Multi-Tenant</w:t>
            </w:r>
          </w:p>
        </w:tc>
        <w:tc>
          <w:tcPr>
            <w:tcW w:w="1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West Jordan, UT</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03/02/21</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170,996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20,000</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8"/>
        </w:trPr>
        <w:tc>
          <w:tcPr>
            <w:tcW w:w="17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Eastern Commons</w:t>
            </w: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Multi-Tenant</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Henderson, NV</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03/10/21</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133,304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18,500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1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Shops at Legacy</w:t>
            </w:r>
          </w:p>
        </w:tc>
        <w:tc>
          <w:tcPr>
            <w:tcW w:w="11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Multi-Tenant</w:t>
            </w:r>
          </w:p>
        </w:tc>
        <w:tc>
          <w:tcPr>
            <w:tcW w:w="11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4"/>
              </w:rPr>
              <w:t>Plano, TX</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06/23/21</w:t>
            </w: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236,432</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72,500</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6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4"/>
          </w:tcPr>
          <w:p>
            <w:pPr>
              <w:ind w:left="400"/>
              <w:spacing w:after="0" w:line="142" w:lineRule="exact"/>
              <w:rPr>
                <w:sz w:val="20"/>
                <w:szCs w:val="20"/>
                <w:color w:val="auto"/>
              </w:rPr>
            </w:pPr>
            <w:r>
              <w:rPr>
                <w:rFonts w:ascii="Arial" w:cs="Arial" w:eastAsia="Arial" w:hAnsi="Arial"/>
                <w:sz w:val="14"/>
                <w:szCs w:val="14"/>
                <w:color w:val="auto"/>
              </w:rPr>
              <w:t>Total / Weighted Average</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540,732</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111,000</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i w:val="1"/>
          <w:iCs w:val="1"/>
          <w:color w:val="auto"/>
        </w:rPr>
        <w:t xml:space="preserve">2021 Dispositions. </w:t>
      </w:r>
      <w:r>
        <w:rPr>
          <w:rFonts w:ascii="Arial" w:cs="Arial" w:eastAsia="Arial" w:hAnsi="Arial"/>
          <w:sz w:val="18"/>
          <w:szCs w:val="18"/>
          <w:color w:val="auto"/>
        </w:rPr>
        <w:t>During the nine months ended September 30, 2021, the Company disposed of one multi-tenant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property and 13 single-tenant income properties.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properties disposed of during the nine months ended September 30, 2021 are described below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Date of</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3920" w:type="dxa"/>
            <w:vAlign w:val="bottom"/>
            <w:gridSpan w:val="3"/>
          </w:tcPr>
          <w:p>
            <w:pPr>
              <w:ind w:left="20"/>
              <w:spacing w:after="0"/>
              <w:rPr>
                <w:sz w:val="20"/>
                <w:szCs w:val="20"/>
                <w:color w:val="auto"/>
              </w:rPr>
            </w:pPr>
            <w:r>
              <w:rPr>
                <w:rFonts w:ascii="Arial" w:cs="Arial" w:eastAsia="Arial" w:hAnsi="Arial"/>
                <w:sz w:val="18"/>
                <w:szCs w:val="18"/>
                <w:b w:val="1"/>
                <w:bCs w:val="1"/>
                <w:color w:val="auto"/>
              </w:rPr>
              <w:t>Tenant Description</w:t>
            </w: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Tenant Type</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Disposition</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Sales Price</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Gain on Sale</w:t>
            </w:r>
          </w:p>
        </w:tc>
      </w:tr>
      <w:tr>
        <w:trPr>
          <w:trHeight w:val="210"/>
        </w:trPr>
        <w:tc>
          <w:tcPr>
            <w:tcW w:w="37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7"/>
              </w:rPr>
              <w:t>World of Beer/Fuzzy's Taco Shop, Brandon, FL</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Multi-Tenant</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01/20/21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16"/>
        </w:trPr>
        <w:tc>
          <w:tcPr>
            <w:tcW w:w="392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 xml:space="preserve">Moe's Southwest Grill, Jacksonville, FL </w:t>
            </w:r>
            <w:r>
              <w:rPr>
                <w:rFonts w:ascii="Arial" w:cs="Arial" w:eastAsia="Arial" w:hAnsi="Arial"/>
                <w:sz w:val="25"/>
                <w:szCs w:val="25"/>
                <w:color w:val="auto"/>
                <w:vertAlign w:val="superscript"/>
              </w:rPr>
              <w:t>(4)</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Single-Tenant</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02/23/21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3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Burlington, N. Richland Hills, TX</w:t>
            </w:r>
          </w:p>
        </w:tc>
        <w:tc>
          <w:tcPr>
            <w:tcW w:w="14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Single-Tenant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04/23/21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920" w:type="dxa"/>
            <w:vAlign w:val="bottom"/>
            <w:gridSpan w:val="3"/>
          </w:tcPr>
          <w:p>
            <w:pPr>
              <w:ind w:left="20"/>
              <w:spacing w:after="0"/>
              <w:rPr>
                <w:sz w:val="20"/>
                <w:szCs w:val="20"/>
                <w:color w:val="auto"/>
              </w:rPr>
            </w:pPr>
            <w:r>
              <w:rPr>
                <w:rFonts w:ascii="Arial" w:cs="Arial" w:eastAsia="Arial" w:hAnsi="Arial"/>
                <w:sz w:val="18"/>
                <w:szCs w:val="18"/>
                <w:color w:val="auto"/>
              </w:rPr>
              <w:t>Staples, Sarasota, FL</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Single-Tenant</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05/07/21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16"/>
        </w:trPr>
        <w:tc>
          <w:tcPr>
            <w:tcW w:w="392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CMBS Portfolio </w:t>
            </w:r>
            <w:r>
              <w:rPr>
                <w:rFonts w:ascii="Arial" w:cs="Arial" w:eastAsia="Arial" w:hAnsi="Arial"/>
                <w:sz w:val="25"/>
                <w:szCs w:val="25"/>
                <w:color w:val="auto"/>
                <w:vertAlign w:val="superscript"/>
              </w:rPr>
              <w:t>(1)</w:t>
            </w:r>
          </w:p>
        </w:tc>
        <w:tc>
          <w:tcPr>
            <w:tcW w:w="14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Single-Tenant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06/30/21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r>
      <w:tr>
        <w:trPr>
          <w:trHeight w:val="216"/>
        </w:trPr>
        <w:tc>
          <w:tcPr>
            <w:tcW w:w="392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 xml:space="preserve">Chick-fil-A, Chandler, AZ </w:t>
            </w:r>
            <w:r>
              <w:rPr>
                <w:rFonts w:ascii="Arial" w:cs="Arial" w:eastAsia="Arial" w:hAnsi="Arial"/>
                <w:sz w:val="25"/>
                <w:szCs w:val="25"/>
                <w:color w:val="auto"/>
                <w:vertAlign w:val="superscript"/>
              </w:rPr>
              <w:t>(4)</w:t>
            </w:r>
          </w:p>
        </w:tc>
        <w:tc>
          <w:tcPr>
            <w:tcW w:w="1440" w:type="dxa"/>
            <w:vAlign w:val="bottom"/>
            <w:gridSpan w:val="2"/>
          </w:tcPr>
          <w:p>
            <w:pPr>
              <w:jc w:val="center"/>
              <w:ind w:right="160"/>
              <w:spacing w:after="0" w:line="216" w:lineRule="exact"/>
              <w:rPr>
                <w:sz w:val="20"/>
                <w:szCs w:val="20"/>
                <w:color w:val="auto"/>
              </w:rPr>
            </w:pPr>
            <w:r>
              <w:rPr>
                <w:rFonts w:ascii="Arial" w:cs="Arial" w:eastAsia="Arial" w:hAnsi="Arial"/>
                <w:sz w:val="17"/>
                <w:szCs w:val="17"/>
                <w:color w:val="auto"/>
                <w:w w:val="91"/>
              </w:rPr>
              <w:t xml:space="preserve">Single-Tenant </w:t>
            </w:r>
            <w:r>
              <w:rPr>
                <w:rFonts w:ascii="Arial" w:cs="Arial" w:eastAsia="Arial" w:hAnsi="Arial"/>
                <w:sz w:val="25"/>
                <w:szCs w:val="25"/>
                <w:color w:val="auto"/>
                <w:w w:val="91"/>
                <w:vertAlign w:val="superscript"/>
              </w:rPr>
              <w:t>(2)</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07/14/21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16"/>
        </w:trPr>
        <w:tc>
          <w:tcPr>
            <w:tcW w:w="392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JPMorgan Chase Bank, Chandler, AZ </w:t>
            </w:r>
            <w:r>
              <w:rPr>
                <w:rFonts w:ascii="Arial" w:cs="Arial" w:eastAsia="Arial" w:hAnsi="Arial"/>
                <w:sz w:val="25"/>
                <w:szCs w:val="25"/>
                <w:color w:val="auto"/>
                <w:vertAlign w:val="superscript"/>
              </w:rPr>
              <w:t>(4)</w:t>
            </w:r>
          </w:p>
        </w:tc>
        <w:tc>
          <w:tcPr>
            <w:tcW w:w="1440" w:type="dxa"/>
            <w:vAlign w:val="bottom"/>
            <w:gridSpan w:val="2"/>
            <w:shd w:val="clear" w:color="auto" w:fill="CCEEFF"/>
          </w:tcPr>
          <w:p>
            <w:pPr>
              <w:jc w:val="center"/>
              <w:ind w:right="160"/>
              <w:spacing w:after="0" w:line="216" w:lineRule="exact"/>
              <w:rPr>
                <w:sz w:val="20"/>
                <w:szCs w:val="20"/>
                <w:color w:val="auto"/>
              </w:rPr>
            </w:pPr>
            <w:r>
              <w:rPr>
                <w:rFonts w:ascii="Arial" w:cs="Arial" w:eastAsia="Arial" w:hAnsi="Arial"/>
                <w:sz w:val="17"/>
                <w:szCs w:val="17"/>
                <w:color w:val="auto"/>
                <w:w w:val="91"/>
              </w:rPr>
              <w:t xml:space="preserve">Single-Tenant </w:t>
            </w:r>
            <w:r>
              <w:rPr>
                <w:rFonts w:ascii="Arial" w:cs="Arial" w:eastAsia="Arial" w:hAnsi="Arial"/>
                <w:sz w:val="25"/>
                <w:szCs w:val="25"/>
                <w:color w:val="auto"/>
                <w:w w:val="91"/>
                <w:vertAlign w:val="superscript"/>
              </w:rPr>
              <w:t>(2)</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07/27/21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r>
      <w:tr>
        <w:trPr>
          <w:trHeight w:val="216"/>
        </w:trPr>
        <w:tc>
          <w:tcPr>
            <w:tcW w:w="392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 xml:space="preserve">Fogo De Chao, Jacksonville, FL </w:t>
            </w:r>
            <w:r>
              <w:rPr>
                <w:rFonts w:ascii="Arial" w:cs="Arial" w:eastAsia="Arial" w:hAnsi="Arial"/>
                <w:sz w:val="25"/>
                <w:szCs w:val="25"/>
                <w:color w:val="auto"/>
                <w:vertAlign w:val="superscript"/>
              </w:rPr>
              <w:t>(4)</w:t>
            </w:r>
          </w:p>
        </w:tc>
        <w:tc>
          <w:tcPr>
            <w:tcW w:w="1440" w:type="dxa"/>
            <w:vAlign w:val="bottom"/>
            <w:gridSpan w:val="2"/>
          </w:tcPr>
          <w:p>
            <w:pPr>
              <w:jc w:val="center"/>
              <w:ind w:right="160"/>
              <w:spacing w:after="0" w:line="216" w:lineRule="exact"/>
              <w:rPr>
                <w:sz w:val="20"/>
                <w:szCs w:val="20"/>
                <w:color w:val="auto"/>
              </w:rPr>
            </w:pPr>
            <w:r>
              <w:rPr>
                <w:rFonts w:ascii="Arial" w:cs="Arial" w:eastAsia="Arial" w:hAnsi="Arial"/>
                <w:sz w:val="17"/>
                <w:szCs w:val="17"/>
                <w:color w:val="auto"/>
                <w:w w:val="91"/>
              </w:rPr>
              <w:t xml:space="preserve">Single-Tenant </w:t>
            </w:r>
            <w:r>
              <w:rPr>
                <w:rFonts w:ascii="Arial" w:cs="Arial" w:eastAsia="Arial" w:hAnsi="Arial"/>
                <w:sz w:val="25"/>
                <w:szCs w:val="25"/>
                <w:color w:val="auto"/>
                <w:w w:val="91"/>
                <w:vertAlign w:val="superscript"/>
              </w:rPr>
              <w:t>(3)</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09/02/21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16"/>
        </w:trPr>
        <w:tc>
          <w:tcPr>
            <w:tcW w:w="3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Wells Fargo, Raleigh, NC</w:t>
            </w:r>
          </w:p>
        </w:tc>
        <w:tc>
          <w:tcPr>
            <w:tcW w:w="14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Single-Tenant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09/16/21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17,480</w:t>
            </w:r>
          </w:p>
        </w:tc>
      </w:tr>
      <w:tr>
        <w:trPr>
          <w:trHeight w:val="210"/>
        </w:trPr>
        <w:tc>
          <w:tcPr>
            <w:tcW w:w="2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140,840</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27,997</w:t>
            </w:r>
          </w:p>
        </w:tc>
      </w:tr>
      <w:tr>
        <w:trPr>
          <w:trHeight w:val="20"/>
        </w:trPr>
        <w:tc>
          <w:tcPr>
            <w:tcW w:w="2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62" w:lineRule="exact"/>
        <w:rPr>
          <w:sz w:val="20"/>
          <w:szCs w:val="20"/>
          <w:color w:val="auto"/>
        </w:rPr>
      </w:pPr>
    </w:p>
    <w:p>
      <w:pPr>
        <w:ind w:left="380" w:right="79" w:hanging="330"/>
        <w:spacing w:after="0" w:line="184" w:lineRule="auto"/>
        <w:tabs>
          <w:tab w:leader="none" w:pos="380" w:val="left"/>
        </w:tabs>
        <w:numPr>
          <w:ilvl w:val="0"/>
          <w:numId w:val="7"/>
        </w:numPr>
        <w:rPr>
          <w:rFonts w:ascii="Arial" w:cs="Arial" w:eastAsia="Arial" w:hAnsi="Arial"/>
          <w:sz w:val="22"/>
          <w:szCs w:val="22"/>
          <w:color w:val="auto"/>
          <w:vertAlign w:val="superscript"/>
        </w:rPr>
      </w:pPr>
      <w:r>
        <w:rPr>
          <w:rFonts w:ascii="Arial" w:cs="Arial" w:eastAsia="Arial" w:hAnsi="Arial"/>
          <w:sz w:val="13"/>
          <w:szCs w:val="13"/>
          <w:color w:val="auto"/>
        </w:rPr>
        <w:t>On June 30, 2021, the Company sold six single-tenant income properties (the “CMBS Portfolio”) to PINE for an aggregate purchase price of $44.5 million.</w:t>
      </w:r>
    </w:p>
    <w:p>
      <w:pPr>
        <w:ind w:left="380" w:hanging="330"/>
        <w:spacing w:after="0" w:line="182" w:lineRule="auto"/>
        <w:tabs>
          <w:tab w:leader="none" w:pos="380" w:val="left"/>
        </w:tabs>
        <w:numPr>
          <w:ilvl w:val="0"/>
          <w:numId w:val="7"/>
        </w:numPr>
        <w:rPr>
          <w:rFonts w:ascii="Arial" w:cs="Arial" w:eastAsia="Arial" w:hAnsi="Arial"/>
          <w:sz w:val="17"/>
          <w:szCs w:val="17"/>
          <w:color w:val="auto"/>
          <w:vertAlign w:val="superscript"/>
        </w:rPr>
      </w:pPr>
      <w:r>
        <w:rPr>
          <w:rFonts w:ascii="Arial" w:cs="Arial" w:eastAsia="Arial" w:hAnsi="Arial"/>
          <w:sz w:val="11"/>
          <w:szCs w:val="11"/>
          <w:color w:val="auto"/>
        </w:rPr>
        <w:t>Represents a single-tenant outparcel to Crossroads, the Company’s multi-tenant income property located in Chandler, Arizona.</w:t>
      </w:r>
    </w:p>
    <w:p>
      <w:pPr>
        <w:ind w:left="380" w:hanging="330"/>
        <w:spacing w:after="0" w:line="182" w:lineRule="auto"/>
        <w:tabs>
          <w:tab w:leader="none" w:pos="380" w:val="left"/>
        </w:tabs>
        <w:numPr>
          <w:ilvl w:val="0"/>
          <w:numId w:val="7"/>
        </w:numPr>
        <w:rPr>
          <w:rFonts w:ascii="Arial" w:cs="Arial" w:eastAsia="Arial" w:hAnsi="Arial"/>
          <w:sz w:val="17"/>
          <w:szCs w:val="17"/>
          <w:color w:val="auto"/>
          <w:vertAlign w:val="superscript"/>
        </w:rPr>
      </w:pPr>
      <w:r>
        <w:rPr>
          <w:rFonts w:ascii="Arial" w:cs="Arial" w:eastAsia="Arial" w:hAnsi="Arial"/>
          <w:sz w:val="11"/>
          <w:szCs w:val="11"/>
          <w:color w:val="auto"/>
        </w:rPr>
        <w:t>Represents a single-tenant property at The Strand, the Company’s multi-tenant income property located in Jacksonville, Florida.</w:t>
      </w:r>
    </w:p>
    <w:p>
      <w:pPr>
        <w:ind w:left="380" w:hanging="330"/>
        <w:spacing w:after="0" w:line="186" w:lineRule="auto"/>
        <w:tabs>
          <w:tab w:leader="none" w:pos="380" w:val="left"/>
        </w:tabs>
        <w:numPr>
          <w:ilvl w:val="0"/>
          <w:numId w:val="7"/>
        </w:numPr>
        <w:rPr>
          <w:rFonts w:ascii="Arial" w:cs="Arial" w:eastAsia="Arial" w:hAnsi="Arial"/>
          <w:sz w:val="19"/>
          <w:szCs w:val="19"/>
          <w:color w:val="auto"/>
          <w:vertAlign w:val="superscript"/>
        </w:rPr>
      </w:pPr>
      <w:r>
        <w:rPr>
          <w:rFonts w:ascii="Arial" w:cs="Arial" w:eastAsia="Arial" w:hAnsi="Arial"/>
          <w:sz w:val="12"/>
          <w:szCs w:val="12"/>
          <w:color w:val="auto"/>
        </w:rPr>
        <w:t>Property or outparcel represents a ground lease.</w:t>
      </w:r>
    </w:p>
    <w:p>
      <w:pPr>
        <w:spacing w:after="0" w:line="174" w:lineRule="exact"/>
        <w:rPr>
          <w:sz w:val="20"/>
          <w:szCs w:val="20"/>
          <w:color w:val="auto"/>
        </w:rPr>
      </w:pPr>
    </w:p>
    <w:p>
      <w:pPr>
        <w:jc w:val="both"/>
        <w:ind w:left="60" w:right="59" w:firstLine="324"/>
        <w:spacing w:after="0" w:line="225" w:lineRule="auto"/>
        <w:rPr>
          <w:sz w:val="20"/>
          <w:szCs w:val="20"/>
          <w:color w:val="auto"/>
        </w:rPr>
      </w:pPr>
      <w:r>
        <w:rPr>
          <w:rFonts w:ascii="Arial" w:cs="Arial" w:eastAsia="Arial" w:hAnsi="Arial"/>
          <w:sz w:val="18"/>
          <w:szCs w:val="18"/>
          <w:i w:val="1"/>
          <w:iCs w:val="1"/>
          <w:color w:val="auto"/>
        </w:rPr>
        <w:t xml:space="preserve">2020 Acquisitions. </w:t>
      </w:r>
      <w:r>
        <w:rPr>
          <w:rFonts w:ascii="Arial" w:cs="Arial" w:eastAsia="Arial" w:hAnsi="Arial"/>
          <w:sz w:val="18"/>
          <w:szCs w:val="18"/>
          <w:color w:val="auto"/>
        </w:rPr>
        <w:t>During the nine months ended September 30, 2020, the Company acquired two multi-tenant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properties and two single-tenant income properties for an aggregate purchase price of $185.1 million, or a total acquisition cost of $185.7 million including capitalized acquisition costs. Of the total acquisition cost, $50.0 million was allocated to land, $94.6 million was allocated to buildings and improvements, $21.9 million was allocated to intangible assets pertaining to the in-place lease value, leasing fees, and above market lease value, and $1.8 million was allocated to intangible liabilities for the below market lease value. The remaining $21.0 million was classified as a commercial loan investment, as noted below. The weighted average amortization period for the intangible assets and liabilities was approximately 4.5 years at acquisition.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properties acquired during the nine months ended September 30, 2020 are described below:</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3"/>
              </w:rPr>
              <w:t>Remaining Lease</w:t>
            </w:r>
          </w:p>
        </w:tc>
      </w:tr>
      <w:tr>
        <w:trPr>
          <w:trHeight w:val="148"/>
        </w:trPr>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3"/>
              <w:spacing w:after="0"/>
              <w:rPr>
                <w:sz w:val="20"/>
                <w:szCs w:val="20"/>
                <w:color w:val="auto"/>
              </w:rPr>
            </w:pPr>
            <w:r>
              <w:rPr>
                <w:rFonts w:ascii="Arial" w:cs="Arial" w:eastAsia="Arial" w:hAnsi="Arial"/>
                <w:sz w:val="13"/>
                <w:szCs w:val="13"/>
                <w:b w:val="1"/>
                <w:bCs w:val="1"/>
                <w:color w:val="auto"/>
                <w:w w:val="92"/>
              </w:rPr>
              <w:t>Purchase</w:t>
            </w:r>
          </w:p>
        </w:tc>
        <w:tc>
          <w:tcPr>
            <w:tcW w:w="14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Percentage</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3"/>
              </w:rPr>
              <w:t>Term at</w:t>
            </w:r>
          </w:p>
        </w:tc>
      </w:tr>
      <w:tr>
        <w:trPr>
          <w:trHeight w:val="148"/>
        </w:trPr>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Property</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Date of</w:t>
            </w: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Property</w:t>
            </w:r>
          </w:p>
        </w:tc>
        <w:tc>
          <w:tcPr>
            <w:tcW w:w="120" w:type="dxa"/>
            <w:vAlign w:val="bottom"/>
          </w:tcPr>
          <w:p>
            <w:pPr>
              <w:spacing w:after="0"/>
              <w:rPr>
                <w:sz w:val="12"/>
                <w:szCs w:val="12"/>
                <w:color w:val="auto"/>
              </w:rPr>
            </w:pPr>
          </w:p>
        </w:tc>
        <w:tc>
          <w:tcPr>
            <w:tcW w:w="740" w:type="dxa"/>
            <w:vAlign w:val="bottom"/>
          </w:tcPr>
          <w:p>
            <w:pPr>
              <w:jc w:val="center"/>
              <w:ind w:right="53"/>
              <w:spacing w:after="0"/>
              <w:rPr>
                <w:sz w:val="20"/>
                <w:szCs w:val="20"/>
                <w:color w:val="auto"/>
              </w:rPr>
            </w:pPr>
            <w:r>
              <w:rPr>
                <w:rFonts w:ascii="Arial" w:cs="Arial" w:eastAsia="Arial" w:hAnsi="Arial"/>
                <w:sz w:val="13"/>
                <w:szCs w:val="13"/>
                <w:b w:val="1"/>
                <w:bCs w:val="1"/>
                <w:color w:val="auto"/>
                <w:w w:val="94"/>
              </w:rPr>
              <w:t>Price</w:t>
            </w:r>
          </w:p>
        </w:tc>
        <w:tc>
          <w:tcPr>
            <w:tcW w:w="14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Leased at</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3"/>
              </w:rPr>
              <w:t>Acquisition Date</w:t>
            </w:r>
          </w:p>
        </w:tc>
      </w:tr>
      <w:tr>
        <w:trPr>
          <w:trHeight w:val="161"/>
        </w:trPr>
        <w:tc>
          <w:tcPr>
            <w:tcW w:w="1740" w:type="dxa"/>
            <w:vAlign w:val="bottom"/>
            <w:gridSpan w:val="2"/>
          </w:tcPr>
          <w:p>
            <w:pPr>
              <w:ind w:left="20"/>
              <w:spacing w:after="0"/>
              <w:rPr>
                <w:sz w:val="20"/>
                <w:szCs w:val="20"/>
                <w:color w:val="auto"/>
              </w:rPr>
            </w:pPr>
            <w:r>
              <w:rPr>
                <w:rFonts w:ascii="Arial" w:cs="Arial" w:eastAsia="Arial" w:hAnsi="Arial"/>
                <w:sz w:val="13"/>
                <w:szCs w:val="13"/>
                <w:b w:val="1"/>
                <w:bCs w:val="1"/>
                <w:color w:val="auto"/>
              </w:rPr>
              <w:t>Tenant Description</w:t>
            </w:r>
          </w:p>
        </w:tc>
        <w:tc>
          <w:tcPr>
            <w:tcW w:w="11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Tenant Type</w:t>
            </w: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Location</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Acquisition</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Square-Feet</w:t>
            </w:r>
          </w:p>
        </w:tc>
        <w:tc>
          <w:tcPr>
            <w:tcW w:w="120" w:type="dxa"/>
            <w:vAlign w:val="bottom"/>
          </w:tcPr>
          <w:p>
            <w:pPr>
              <w:spacing w:after="0"/>
              <w:rPr>
                <w:sz w:val="14"/>
                <w:szCs w:val="14"/>
                <w:color w:val="auto"/>
              </w:rPr>
            </w:pPr>
          </w:p>
        </w:tc>
        <w:tc>
          <w:tcPr>
            <w:tcW w:w="74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($000's)</w:t>
            </w:r>
          </w:p>
        </w:tc>
        <w:tc>
          <w:tcPr>
            <w:tcW w:w="14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Acquisition</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(in years)</w:t>
            </w:r>
          </w:p>
        </w:tc>
      </w:tr>
      <w:tr>
        <w:trPr>
          <w:trHeight w:val="142"/>
        </w:trPr>
        <w:tc>
          <w:tcPr>
            <w:tcW w:w="15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Crossroads Towne Center</w:t>
            </w:r>
          </w:p>
        </w:tc>
        <w:tc>
          <w:tcPr>
            <w:tcW w:w="1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Arial" w:cs="Arial" w:eastAsia="Arial" w:hAnsi="Arial"/>
                <w:sz w:val="13"/>
                <w:szCs w:val="13"/>
                <w:color w:val="auto"/>
                <w:w w:val="96"/>
              </w:rPr>
              <w:t>Multi-Tenant</w:t>
            </w:r>
          </w:p>
        </w:tc>
        <w:tc>
          <w:tcPr>
            <w:tcW w:w="1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6"/>
              </w:rPr>
              <w:t>Chandler, AZ</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01/24/20</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254,109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61,800</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99%</w:t>
            </w: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5.0</w:t>
            </w:r>
          </w:p>
        </w:tc>
      </w:tr>
      <w:tr>
        <w:trPr>
          <w:trHeight w:val="148"/>
        </w:trPr>
        <w:tc>
          <w:tcPr>
            <w:tcW w:w="1740" w:type="dxa"/>
            <w:vAlign w:val="bottom"/>
            <w:gridSpan w:val="2"/>
          </w:tcPr>
          <w:p>
            <w:pPr>
              <w:ind w:left="20"/>
              <w:spacing w:after="0"/>
              <w:rPr>
                <w:sz w:val="20"/>
                <w:szCs w:val="20"/>
                <w:color w:val="auto"/>
              </w:rPr>
            </w:pPr>
            <w:r>
              <w:rPr>
                <w:rFonts w:ascii="Arial" w:cs="Arial" w:eastAsia="Arial" w:hAnsi="Arial"/>
                <w:sz w:val="13"/>
                <w:szCs w:val="13"/>
                <w:color w:val="auto"/>
              </w:rPr>
              <w:t>Ashford Lane</w:t>
            </w:r>
          </w:p>
        </w:tc>
        <w:tc>
          <w:tcPr>
            <w:tcW w:w="1100" w:type="dxa"/>
            <w:vAlign w:val="bottom"/>
            <w:gridSpan w:val="3"/>
          </w:tcPr>
          <w:p>
            <w:pPr>
              <w:jc w:val="center"/>
              <w:ind w:right="160"/>
              <w:spacing w:after="0"/>
              <w:rPr>
                <w:sz w:val="20"/>
                <w:szCs w:val="20"/>
                <w:color w:val="auto"/>
              </w:rPr>
            </w:pPr>
            <w:r>
              <w:rPr>
                <w:rFonts w:ascii="Arial" w:cs="Arial" w:eastAsia="Arial" w:hAnsi="Arial"/>
                <w:sz w:val="13"/>
                <w:szCs w:val="13"/>
                <w:color w:val="auto"/>
                <w:w w:val="96"/>
              </w:rPr>
              <w:t>Multi-Tenant</w:t>
            </w: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color w:val="auto"/>
                <w:w w:val="99"/>
              </w:rPr>
              <w:t>Atlanta, GA</w:t>
            </w: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02/21/20</w:t>
            </w: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268,572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75,435</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80%</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48"/>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Ford Motor Credit</w:t>
            </w:r>
          </w:p>
        </w:tc>
        <w:tc>
          <w:tcPr>
            <w:tcW w:w="1100" w:type="dxa"/>
            <w:vAlign w:val="bottom"/>
            <w:gridSpan w:val="3"/>
            <w:shd w:val="clear" w:color="auto" w:fill="CCEEFF"/>
          </w:tcPr>
          <w:p>
            <w:pPr>
              <w:jc w:val="center"/>
              <w:ind w:right="160"/>
              <w:spacing w:after="0"/>
              <w:rPr>
                <w:sz w:val="20"/>
                <w:szCs w:val="20"/>
                <w:color w:val="auto"/>
              </w:rPr>
            </w:pPr>
            <w:r>
              <w:rPr>
                <w:rFonts w:ascii="Arial" w:cs="Arial" w:eastAsia="Arial" w:hAnsi="Arial"/>
                <w:sz w:val="13"/>
                <w:szCs w:val="13"/>
                <w:color w:val="auto"/>
                <w:w w:val="91"/>
              </w:rPr>
              <w:t>Single-Tenant</w:t>
            </w: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2"/>
              </w:rPr>
              <w:t>Tampa, FL</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08/21/20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120,500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48"/>
        </w:trPr>
        <w:tc>
          <w:tcPr>
            <w:tcW w:w="174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2"/>
                <w:szCs w:val="12"/>
                <w:color w:val="auto"/>
              </w:rPr>
              <w:t xml:space="preserve">Master Tenant - Hialeah </w:t>
            </w:r>
            <w:r>
              <w:rPr>
                <w:rFonts w:ascii="Arial" w:cs="Arial" w:eastAsia="Arial" w:hAnsi="Arial"/>
                <w:sz w:val="17"/>
                <w:szCs w:val="17"/>
                <w:color w:val="auto"/>
                <w:vertAlign w:val="superscript"/>
              </w:rPr>
              <w:t>(1)</w:t>
            </w:r>
          </w:p>
        </w:tc>
        <w:tc>
          <w:tcPr>
            <w:tcW w:w="1100" w:type="dxa"/>
            <w:vAlign w:val="bottom"/>
            <w:tcBorders>
              <w:bottom w:val="single" w:sz="8" w:color="CCEEFF"/>
            </w:tcBorders>
            <w:gridSpan w:val="3"/>
          </w:tcPr>
          <w:p>
            <w:pPr>
              <w:jc w:val="center"/>
              <w:ind w:right="160"/>
              <w:spacing w:after="0"/>
              <w:rPr>
                <w:sz w:val="20"/>
                <w:szCs w:val="20"/>
                <w:color w:val="auto"/>
              </w:rPr>
            </w:pPr>
            <w:r>
              <w:rPr>
                <w:rFonts w:ascii="Arial" w:cs="Arial" w:eastAsia="Arial" w:hAnsi="Arial"/>
                <w:sz w:val="13"/>
                <w:szCs w:val="13"/>
                <w:color w:val="auto"/>
                <w:w w:val="91"/>
              </w:rPr>
              <w:t>Single-Tenant</w:t>
            </w:r>
          </w:p>
        </w:tc>
        <w:tc>
          <w:tcPr>
            <w:tcW w:w="114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3"/>
                <w:szCs w:val="13"/>
                <w:color w:val="auto"/>
                <w:w w:val="99"/>
              </w:rPr>
              <w:t>Hialeah, FL</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4"/>
              </w:rPr>
              <w:t>09/25/20</w:t>
            </w: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108,029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21,000</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100%</w:t>
            </w:r>
          </w:p>
        </w:tc>
        <w:tc>
          <w:tcPr>
            <w:tcW w:w="1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w:t>
            </w:r>
          </w:p>
        </w:tc>
      </w:tr>
      <w:tr>
        <w:trPr>
          <w:trHeight w:val="142"/>
        </w:trPr>
        <w:tc>
          <w:tcPr>
            <w:tcW w:w="15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060" w:type="dxa"/>
            <w:vAlign w:val="bottom"/>
            <w:tcBorders>
              <w:bottom w:val="single" w:sz="8" w:color="CCEEFF"/>
            </w:tcBorders>
            <w:gridSpan w:val="4"/>
            <w:shd w:val="clear" w:color="auto" w:fill="CCEEFF"/>
          </w:tcPr>
          <w:p>
            <w:pPr>
              <w:ind w:left="500"/>
              <w:spacing w:after="0" w:line="142" w:lineRule="exact"/>
              <w:rPr>
                <w:sz w:val="20"/>
                <w:szCs w:val="20"/>
                <w:color w:val="auto"/>
              </w:rPr>
            </w:pPr>
            <w:r>
              <w:rPr>
                <w:rFonts w:ascii="Arial" w:cs="Arial" w:eastAsia="Arial" w:hAnsi="Arial"/>
                <w:sz w:val="13"/>
                <w:szCs w:val="13"/>
                <w:color w:val="auto"/>
              </w:rPr>
              <w:t>Total / Weighted Average</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751,210</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185,135</w:t>
            </w:r>
          </w:p>
        </w:tc>
        <w:tc>
          <w:tcPr>
            <w:tcW w:w="1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6.5</w:t>
            </w:r>
          </w:p>
        </w:tc>
      </w:tr>
      <w:tr>
        <w:trPr>
          <w:trHeight w:val="20"/>
        </w:trPr>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95"/>
        </w:trPr>
        <w:tc>
          <w:tcPr>
            <w:tcW w:w="1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62" w:lineRule="exact"/>
        <w:rPr>
          <w:sz w:val="20"/>
          <w:szCs w:val="20"/>
          <w:color w:val="auto"/>
        </w:rPr>
      </w:pPr>
    </w:p>
    <w:p>
      <w:pPr>
        <w:jc w:val="both"/>
        <w:ind w:left="380" w:right="79" w:hanging="330"/>
        <w:spacing w:after="0" w:line="192" w:lineRule="auto"/>
        <w:tabs>
          <w:tab w:leader="none" w:pos="380"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 xml:space="preserve">The lease with the Master Tenant – Hialeah (“Master Tenant – Hialeah Lease”) includes three tenant repurchase options. Pursuant to FASB ASC Topic 842, </w:t>
      </w:r>
      <w:r>
        <w:rPr>
          <w:rFonts w:ascii="Arial" w:cs="Arial" w:eastAsia="Arial" w:hAnsi="Arial"/>
          <w:sz w:val="14"/>
          <w:szCs w:val="14"/>
          <w:i w:val="1"/>
          <w:iCs w:val="1"/>
          <w:color w:val="auto"/>
        </w:rPr>
        <w:t>Leases</w:t>
      </w:r>
      <w:r>
        <w:rPr>
          <w:rFonts w:ascii="Arial" w:cs="Arial" w:eastAsia="Arial" w:hAnsi="Arial"/>
          <w:sz w:val="14"/>
          <w:szCs w:val="14"/>
          <w:color w:val="auto"/>
        </w:rPr>
        <w:t>, the $21.0 million investment has been recorded in the accompanying consolidated balance sheet as of December 31, 2020 as a commercial loan investment. See Note 5, “Commercial Loan and Master Lease Investments.”</w:t>
      </w:r>
    </w:p>
    <w:p>
      <w:pPr>
        <w:spacing w:after="0" w:line="188" w:lineRule="exact"/>
        <w:rPr>
          <w:sz w:val="20"/>
          <w:szCs w:val="20"/>
          <w:color w:val="auto"/>
        </w:rPr>
      </w:pPr>
    </w:p>
    <w:p>
      <w:pPr>
        <w:ind w:left="60" w:right="59" w:firstLine="441"/>
        <w:spacing w:after="0" w:line="277" w:lineRule="auto"/>
        <w:rPr>
          <w:sz w:val="20"/>
          <w:szCs w:val="20"/>
          <w:color w:val="auto"/>
        </w:rPr>
      </w:pPr>
      <w:r>
        <w:rPr>
          <w:rFonts w:ascii="Arial" w:cs="Arial" w:eastAsia="Arial" w:hAnsi="Arial"/>
          <w:sz w:val="18"/>
          <w:szCs w:val="18"/>
          <w:i w:val="1"/>
          <w:iCs w:val="1"/>
          <w:color w:val="auto"/>
        </w:rPr>
        <w:t xml:space="preserve">2020 Dispositions. </w:t>
      </w:r>
      <w:r>
        <w:rPr>
          <w:rFonts w:ascii="Arial" w:cs="Arial" w:eastAsia="Arial" w:hAnsi="Arial"/>
          <w:sz w:val="18"/>
          <w:szCs w:val="18"/>
          <w:color w:val="auto"/>
        </w:rPr>
        <w:t>During the nine months ended September 30, 2020, the Company disposed of one multi-tenant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property and seven single-tenant income properties.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properties disposed of during the nine months ended September 30, 2020 are described below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Date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Gain (Loss)</w:t>
            </w:r>
          </w:p>
        </w:tc>
      </w:tr>
      <w:tr>
        <w:trPr>
          <w:trHeight w:val="234"/>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Tenant Description</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Tenant Type</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Disposition</w:t>
            </w:r>
          </w:p>
        </w:tc>
        <w:tc>
          <w:tcPr>
            <w:tcW w:w="12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Sales Price</w:t>
            </w:r>
          </w:p>
        </w:tc>
        <w:tc>
          <w:tcPr>
            <w:tcW w:w="10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on Sale</w:t>
            </w:r>
          </w:p>
        </w:tc>
      </w:tr>
      <w:tr>
        <w:trPr>
          <w:trHeight w:val="209"/>
        </w:trPr>
        <w:tc>
          <w:tcPr>
            <w:tcW w:w="376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CVS, Dallas, TX </w:t>
            </w:r>
            <w:r>
              <w:rPr>
                <w:rFonts w:ascii="Arial" w:cs="Arial" w:eastAsia="Arial" w:hAnsi="Arial"/>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Single-Tenant</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04/24/20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16"/>
        </w:trPr>
        <w:tc>
          <w:tcPr>
            <w:tcW w:w="396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 xml:space="preserve">Wawa, Daytona Beach, FL </w:t>
            </w:r>
            <w:r>
              <w:rPr>
                <w:rFonts w:ascii="Arial" w:cs="Arial" w:eastAsia="Arial" w:hAnsi="Arial"/>
                <w:sz w:val="25"/>
                <w:szCs w:val="25"/>
                <w:color w:val="auto"/>
                <w:vertAlign w:val="superscript"/>
              </w:rPr>
              <w:t>(1)</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04/29/20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16"/>
        </w:trPr>
        <w:tc>
          <w:tcPr>
            <w:tcW w:w="396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JPMorgan Chase Bank, Jacksonville, FL </w:t>
            </w:r>
            <w:r>
              <w:rPr>
                <w:rFonts w:ascii="Arial" w:cs="Arial" w:eastAsia="Arial" w:hAnsi="Arial"/>
                <w:sz w:val="25"/>
                <w:szCs w:val="25"/>
                <w:color w:val="auto"/>
                <w:vertAlign w:val="superscript"/>
              </w:rPr>
              <w:t>(1)</w:t>
            </w: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06/18/20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7-Eleven, Dallas, TX</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Multi-Tenant</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06/26/20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96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Bank of America, Monterey, CA </w:t>
            </w:r>
            <w:r>
              <w:rPr>
                <w:rFonts w:ascii="Arial" w:cs="Arial" w:eastAsia="Arial" w:hAnsi="Arial"/>
                <w:sz w:val="25"/>
                <w:szCs w:val="25"/>
                <w:color w:val="auto"/>
                <w:vertAlign w:val="superscript"/>
              </w:rPr>
              <w:t>(1)</w:t>
            </w: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06/29/20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r>
      <w:tr>
        <w:trPr>
          <w:trHeight w:val="216"/>
        </w:trPr>
        <w:tc>
          <w:tcPr>
            <w:tcW w:w="396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 xml:space="preserve">Wawa, Jacksonville, FL </w:t>
            </w:r>
            <w:r>
              <w:rPr>
                <w:rFonts w:ascii="Arial" w:cs="Arial" w:eastAsia="Arial" w:hAnsi="Arial"/>
                <w:sz w:val="25"/>
                <w:szCs w:val="25"/>
                <w:color w:val="auto"/>
                <w:vertAlign w:val="superscript"/>
              </w:rPr>
              <w:t>(1)</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07/23/20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Carrabbas, Austin, TX</w:t>
            </w: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08/05/20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960" w:type="dxa"/>
            <w:vAlign w:val="bottom"/>
            <w:tcBorders>
              <w:bottom w:val="single" w:sz="8" w:color="CCEEFF"/>
            </w:tcBorders>
            <w:gridSpan w:val="3"/>
          </w:tcPr>
          <w:p>
            <w:pPr>
              <w:ind w:left="20"/>
              <w:spacing w:after="0" w:line="216" w:lineRule="exact"/>
              <w:rPr>
                <w:sz w:val="20"/>
                <w:szCs w:val="20"/>
                <w:color w:val="auto"/>
              </w:rPr>
            </w:pPr>
            <w:r>
              <w:rPr>
                <w:rFonts w:ascii="Arial" w:cs="Arial" w:eastAsia="Arial" w:hAnsi="Arial"/>
                <w:sz w:val="17"/>
                <w:szCs w:val="17"/>
                <w:color w:val="auto"/>
              </w:rPr>
              <w:t xml:space="preserve">PDQ, Jacksonville, FL </w:t>
            </w:r>
            <w:r>
              <w:rPr>
                <w:rFonts w:ascii="Arial" w:cs="Arial" w:eastAsia="Arial" w:hAnsi="Arial"/>
                <w:sz w:val="25"/>
                <w:szCs w:val="25"/>
                <w:color w:val="auto"/>
                <w:vertAlign w:val="superscript"/>
              </w:rPr>
              <w:t>(1)</w:t>
            </w:r>
          </w:p>
        </w:tc>
        <w:tc>
          <w:tcPr>
            <w:tcW w:w="132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09/08/20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10"/>
        </w:trPr>
        <w:tc>
          <w:tcPr>
            <w:tcW w:w="2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7,719</w:t>
            </w:r>
          </w:p>
        </w:tc>
      </w:tr>
      <w:tr>
        <w:trPr>
          <w:trHeight w:val="20"/>
        </w:trPr>
        <w:tc>
          <w:tcPr>
            <w:tcW w:w="2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r>
    </w:tbl>
    <w:p>
      <w:pPr>
        <w:ind w:left="380" w:hanging="330"/>
        <w:spacing w:after="0" w:line="212" w:lineRule="auto"/>
        <w:tabs>
          <w:tab w:leader="none" w:pos="380" w:val="left"/>
        </w:tabs>
        <w:numPr>
          <w:ilvl w:val="0"/>
          <w:numId w:val="9"/>
        </w:numPr>
        <w:rPr>
          <w:rFonts w:ascii="Arial" w:cs="Arial" w:eastAsia="Arial" w:hAnsi="Arial"/>
          <w:sz w:val="24"/>
          <w:szCs w:val="24"/>
          <w:color w:val="auto"/>
          <w:vertAlign w:val="superscript"/>
        </w:rPr>
      </w:pPr>
      <w:r>
        <w:rPr>
          <w:rFonts w:ascii="Arial" w:cs="Arial" w:eastAsia="Arial" w:hAnsi="Arial"/>
          <w:sz w:val="14"/>
          <w:szCs w:val="14"/>
          <w:color w:val="auto"/>
        </w:rPr>
        <w:t>Property represents a ground lease.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5. COMMERCIAL LOAN AND MASTER LEASE INVESTMENTS</w:t>
      </w:r>
    </w:p>
    <w:p>
      <w:pPr>
        <w:spacing w:after="0" w:line="229" w:lineRule="exact"/>
        <w:rPr>
          <w:sz w:val="20"/>
          <w:szCs w:val="20"/>
          <w:color w:val="auto"/>
        </w:rPr>
      </w:pPr>
    </w:p>
    <w:p>
      <w:pPr>
        <w:jc w:val="both"/>
        <w:ind w:left="60" w:right="59" w:firstLine="441"/>
        <w:spacing w:after="0" w:line="288" w:lineRule="auto"/>
        <w:rPr>
          <w:sz w:val="20"/>
          <w:szCs w:val="20"/>
          <w:color w:val="auto"/>
        </w:rPr>
      </w:pPr>
      <w:r>
        <w:rPr>
          <w:rFonts w:ascii="Arial" w:cs="Arial" w:eastAsia="Arial" w:hAnsi="Arial"/>
          <w:sz w:val="16"/>
          <w:szCs w:val="16"/>
          <w:color w:val="auto"/>
        </w:rPr>
        <w:t>Our investments in commercial loans or similar structured finance investments, such as mezzanine loans or other subordinated debt, have been and are expected to continue to be secured by real estate or the borrower’s pledge of its ownership interest in the entity that owns the real estate. The loans we invest in or originate are for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168" w:lineRule="exact"/>
        <w:rPr>
          <w:sz w:val="20"/>
          <w:szCs w:val="20"/>
          <w:color w:val="auto"/>
        </w:rPr>
      </w:pPr>
    </w:p>
    <w:p>
      <w:pPr>
        <w:jc w:val="both"/>
        <w:ind w:left="60" w:right="79" w:firstLine="441"/>
        <w:spacing w:after="0" w:line="263" w:lineRule="auto"/>
        <w:rPr>
          <w:sz w:val="20"/>
          <w:szCs w:val="20"/>
          <w:color w:val="auto"/>
        </w:rPr>
      </w:pPr>
      <w:r>
        <w:rPr>
          <w:rFonts w:ascii="Arial" w:cs="Arial" w:eastAsia="Arial" w:hAnsi="Arial"/>
          <w:sz w:val="18"/>
          <w:szCs w:val="18"/>
          <w:i w:val="1"/>
          <w:iCs w:val="1"/>
          <w:color w:val="auto"/>
        </w:rPr>
        <w:t>2021 Activity</w:t>
      </w:r>
      <w:r>
        <w:rPr>
          <w:rFonts w:ascii="Arial" w:cs="Arial" w:eastAsia="Arial" w:hAnsi="Arial"/>
          <w:sz w:val="18"/>
          <w:szCs w:val="18"/>
          <w:color w:val="auto"/>
        </w:rPr>
        <w:t>. On June 30, 2021, the Company originated a loan in connection with the sale of a land parcel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structure located in Daytona Beach, Florida. The principal loan amount of $0.4 million bears interest at a fixed rate of 10.00% and has an initial term of 1.5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41"/>
        <w:spacing w:after="0" w:line="277" w:lineRule="auto"/>
        <w:rPr>
          <w:sz w:val="20"/>
          <w:szCs w:val="20"/>
          <w:color w:val="auto"/>
        </w:rPr>
      </w:pPr>
      <w:r>
        <w:rPr>
          <w:rFonts w:ascii="Arial" w:cs="Arial" w:eastAsia="Arial" w:hAnsi="Arial"/>
          <w:sz w:val="18"/>
          <w:szCs w:val="18"/>
          <w:color w:val="auto"/>
        </w:rPr>
        <w:t>The Company’s commercial loan and master lease investments were comprised of the following at September 30, 2021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8"/>
              </w:rPr>
              <w:t>Original</w:t>
            </w:r>
          </w:p>
        </w:tc>
        <w:tc>
          <w:tcPr>
            <w:tcW w:w="78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9"/>
              </w:rPr>
              <w:t>Current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0"/>
              </w:rPr>
              <w:t>Date of</w:t>
            </w:r>
          </w:p>
        </w:tc>
        <w:tc>
          <w:tcPr>
            <w:tcW w:w="84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rPr>
              <w:t>Maturity</w:t>
            </w:r>
          </w:p>
        </w:tc>
        <w:tc>
          <w:tcPr>
            <w:tcW w:w="120" w:type="dxa"/>
            <w:vAlign w:val="bottom"/>
          </w:tcPr>
          <w:p>
            <w:pPr>
              <w:spacing w:after="0"/>
              <w:rPr>
                <w:sz w:val="14"/>
                <w:szCs w:val="14"/>
                <w:color w:val="auto"/>
              </w:rPr>
            </w:pPr>
          </w:p>
        </w:tc>
        <w:tc>
          <w:tcPr>
            <w:tcW w:w="68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7"/>
              </w:rPr>
              <w:t>Face</w:t>
            </w:r>
          </w:p>
        </w:tc>
        <w:tc>
          <w:tcPr>
            <w:tcW w:w="120" w:type="dxa"/>
            <w:vAlign w:val="bottom"/>
          </w:tcPr>
          <w:p>
            <w:pPr>
              <w:spacing w:after="0"/>
              <w:rPr>
                <w:sz w:val="14"/>
                <w:szCs w:val="14"/>
                <w:color w:val="auto"/>
              </w:rPr>
            </w:pPr>
          </w:p>
        </w:tc>
        <w:tc>
          <w:tcPr>
            <w:tcW w:w="66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Face</w:t>
            </w:r>
          </w:p>
        </w:tc>
        <w:tc>
          <w:tcPr>
            <w:tcW w:w="66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rPr>
              <w:t>Carrying</w:t>
            </w:r>
          </w:p>
        </w:tc>
        <w:tc>
          <w:tcPr>
            <w:tcW w:w="160" w:type="dxa"/>
            <w:vAlign w:val="bottom"/>
          </w:tcPr>
          <w:p>
            <w:pPr>
              <w:spacing w:after="0"/>
              <w:rPr>
                <w:sz w:val="14"/>
                <w:szCs w:val="14"/>
                <w:color w:val="auto"/>
              </w:rPr>
            </w:pPr>
          </w:p>
        </w:tc>
        <w:tc>
          <w:tcPr>
            <w:tcW w:w="5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Coupon</w:t>
            </w:r>
          </w:p>
        </w:tc>
      </w:tr>
      <w:tr>
        <w:trPr>
          <w:trHeight w:val="179"/>
        </w:trPr>
        <w:tc>
          <w:tcPr>
            <w:tcW w:w="396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w:t>
            </w:r>
          </w:p>
        </w:tc>
        <w:tc>
          <w:tcPr>
            <w:tcW w:w="11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Investment</w:t>
            </w:r>
          </w:p>
        </w:tc>
        <w:tc>
          <w:tcPr>
            <w:tcW w:w="8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8"/>
              </w:rPr>
              <w:t>Date</w:t>
            </w:r>
          </w:p>
        </w:tc>
        <w:tc>
          <w:tcPr>
            <w:tcW w:w="80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5"/>
              </w:rPr>
              <w:t>Amount</w:t>
            </w:r>
          </w:p>
        </w:tc>
        <w:tc>
          <w:tcPr>
            <w:tcW w:w="78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5"/>
              </w:rPr>
              <w:t>Amount</w:t>
            </w:r>
          </w:p>
        </w:tc>
        <w:tc>
          <w:tcPr>
            <w:tcW w:w="120" w:type="dxa"/>
            <w:vAlign w:val="bottom"/>
          </w:tcPr>
          <w:p>
            <w:pPr>
              <w:spacing w:after="0"/>
              <w:rPr>
                <w:sz w:val="15"/>
                <w:szCs w:val="15"/>
                <w:color w:val="auto"/>
              </w:rPr>
            </w:pPr>
          </w:p>
        </w:tc>
        <w:tc>
          <w:tcPr>
            <w:tcW w:w="540" w:type="dxa"/>
            <w:vAlign w:val="bottom"/>
          </w:tcPr>
          <w:p>
            <w:pPr>
              <w:jc w:val="right"/>
              <w:ind w:right="64"/>
              <w:spacing w:after="0"/>
              <w:rPr>
                <w:sz w:val="20"/>
                <w:szCs w:val="20"/>
                <w:color w:val="auto"/>
              </w:rPr>
            </w:pPr>
            <w:r>
              <w:rPr>
                <w:rFonts w:ascii="Arial" w:cs="Arial" w:eastAsia="Arial" w:hAnsi="Arial"/>
                <w:sz w:val="15"/>
                <w:szCs w:val="15"/>
                <w:b w:val="1"/>
                <w:bCs w:val="1"/>
                <w:color w:val="auto"/>
                <w:w w:val="94"/>
              </w:rPr>
              <w:t>Value</w:t>
            </w:r>
          </w:p>
        </w:tc>
        <w:tc>
          <w:tcPr>
            <w:tcW w:w="16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5"/>
                <w:szCs w:val="15"/>
                <w:b w:val="1"/>
                <w:bCs w:val="1"/>
                <w:color w:val="auto"/>
                <w:w w:val="92"/>
              </w:rPr>
              <w:t>Rate</w:t>
            </w:r>
          </w:p>
        </w:tc>
      </w:tr>
      <w:tr>
        <w:trPr>
          <w:trHeight w:val="156"/>
        </w:trPr>
        <w:tc>
          <w:tcPr>
            <w:tcW w:w="380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Ground Lease Loan – 400 Josephine Street, Austin, TX</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July 2019</w:t>
            </w: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16,250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16,250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17,098</w:t>
            </w:r>
          </w:p>
        </w:tc>
        <w:tc>
          <w:tcPr>
            <w:tcW w:w="1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r>
      <w:tr>
        <w:trPr>
          <w:trHeight w:val="162"/>
        </w:trPr>
        <w:tc>
          <w:tcPr>
            <w:tcW w:w="396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Master Tenant – Hialeah Lease Loan – Hialeah, FL</w:t>
            </w:r>
          </w:p>
        </w:tc>
        <w:tc>
          <w:tcPr>
            <w:tcW w:w="1180" w:type="dxa"/>
            <w:vAlign w:val="bottom"/>
            <w:gridSpan w:val="2"/>
          </w:tcPr>
          <w:p>
            <w:pPr>
              <w:jc w:val="center"/>
              <w:ind w:right="140"/>
              <w:spacing w:after="0" w:line="162" w:lineRule="exact"/>
              <w:rPr>
                <w:sz w:val="20"/>
                <w:szCs w:val="20"/>
                <w:color w:val="auto"/>
              </w:rPr>
            </w:pPr>
            <w:r>
              <w:rPr>
                <w:rFonts w:ascii="Arial" w:cs="Arial" w:eastAsia="Arial" w:hAnsi="Arial"/>
                <w:sz w:val="15"/>
                <w:szCs w:val="15"/>
                <w:color w:val="auto"/>
                <w:w w:val="90"/>
              </w:rPr>
              <w:t>September 2020</w:t>
            </w:r>
          </w:p>
        </w:tc>
        <w:tc>
          <w:tcPr>
            <w:tcW w:w="840" w:type="dxa"/>
            <w:vAlign w:val="bottom"/>
            <w:gridSpan w:val="2"/>
          </w:tcPr>
          <w:p>
            <w:pPr>
              <w:jc w:val="center"/>
              <w:ind w:right="180"/>
              <w:spacing w:after="0" w:line="162" w:lineRule="exact"/>
              <w:rPr>
                <w:sz w:val="20"/>
                <w:szCs w:val="20"/>
                <w:color w:val="auto"/>
              </w:rPr>
            </w:pPr>
            <w:r>
              <w:rPr>
                <w:rFonts w:ascii="Arial" w:cs="Arial" w:eastAsia="Arial" w:hAnsi="Arial"/>
                <w:sz w:val="15"/>
                <w:szCs w:val="15"/>
                <w:color w:val="auto"/>
              </w:rPr>
              <w:t>N/A</w:t>
            </w: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w w:val="95"/>
              </w:rPr>
              <w:t>21,085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w w:val="95"/>
              </w:rPr>
              <w:t>21,085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21,137</w:t>
            </w:r>
          </w:p>
        </w:tc>
        <w:tc>
          <w:tcPr>
            <w:tcW w:w="160" w:type="dxa"/>
            <w:vAlign w:val="bottom"/>
          </w:tcPr>
          <w:p>
            <w:pPr>
              <w:spacing w:after="0"/>
              <w:rPr>
                <w:sz w:val="14"/>
                <w:szCs w:val="14"/>
                <w:color w:val="auto"/>
              </w:rPr>
            </w:pPr>
          </w:p>
        </w:tc>
        <w:tc>
          <w:tcPr>
            <w:tcW w:w="520" w:type="dxa"/>
            <w:vAlign w:val="bottom"/>
          </w:tcPr>
          <w:p>
            <w:pPr>
              <w:jc w:val="center"/>
              <w:spacing w:after="0" w:line="162" w:lineRule="exact"/>
              <w:rPr>
                <w:sz w:val="20"/>
                <w:szCs w:val="20"/>
                <w:color w:val="auto"/>
              </w:rPr>
            </w:pPr>
            <w:r>
              <w:rPr>
                <w:rFonts w:ascii="Arial" w:cs="Arial" w:eastAsia="Arial" w:hAnsi="Arial"/>
                <w:sz w:val="15"/>
                <w:szCs w:val="15"/>
                <w:color w:val="auto"/>
              </w:rPr>
              <w:t>N/A</w:t>
            </w:r>
          </w:p>
        </w:tc>
      </w:tr>
      <w:tr>
        <w:trPr>
          <w:trHeight w:val="162"/>
        </w:trPr>
        <w:tc>
          <w:tcPr>
            <w:tcW w:w="39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Mortgage Note – 4311 Maple Avenue – Dallas, TX</w:t>
            </w:r>
          </w:p>
        </w:tc>
        <w:tc>
          <w:tcPr>
            <w:tcW w:w="1180" w:type="dxa"/>
            <w:vAlign w:val="bottom"/>
            <w:gridSpan w:val="2"/>
            <w:shd w:val="clear" w:color="auto" w:fill="CCEEFF"/>
          </w:tcPr>
          <w:p>
            <w:pPr>
              <w:jc w:val="center"/>
              <w:ind w:right="140"/>
              <w:spacing w:after="0" w:line="162" w:lineRule="exact"/>
              <w:rPr>
                <w:sz w:val="20"/>
                <w:szCs w:val="20"/>
                <w:color w:val="auto"/>
              </w:rPr>
            </w:pPr>
            <w:r>
              <w:rPr>
                <w:rFonts w:ascii="Arial" w:cs="Arial" w:eastAsia="Arial" w:hAnsi="Arial"/>
                <w:sz w:val="15"/>
                <w:szCs w:val="15"/>
                <w:color w:val="auto"/>
                <w:w w:val="92"/>
              </w:rPr>
              <w:t>October 2020</w:t>
            </w:r>
          </w:p>
        </w:tc>
        <w:tc>
          <w:tcPr>
            <w:tcW w:w="84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5"/>
                <w:szCs w:val="15"/>
                <w:color w:val="auto"/>
              </w:rPr>
              <w:t>April 2023</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394</w:t>
            </w:r>
          </w:p>
        </w:tc>
        <w:tc>
          <w:tcPr>
            <w:tcW w:w="6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7.50%</w:t>
            </w:r>
          </w:p>
        </w:tc>
      </w:tr>
      <w:tr>
        <w:trPr>
          <w:trHeight w:val="149"/>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5"/>
                <w:szCs w:val="15"/>
                <w:color w:val="auto"/>
                <w:w w:val="92"/>
              </w:rPr>
              <w:t>December</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5"/>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Mortgage Note – 110 N Beach Street – Daytona Beach, FL</w:t>
            </w:r>
          </w:p>
        </w:tc>
        <w:tc>
          <w:tcPr>
            <w:tcW w:w="11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5"/>
                <w:szCs w:val="15"/>
                <w:color w:val="auto"/>
                <w:w w:val="88"/>
              </w:rPr>
              <w:t>June 2021</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5"/>
              </w:rPr>
              <w:t>2022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w:t>
            </w:r>
          </w:p>
        </w:tc>
        <w:tc>
          <w:tcPr>
            <w:tcW w:w="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10.00%</w:t>
            </w:r>
          </w:p>
        </w:tc>
      </w:tr>
      <w:tr>
        <w:trPr>
          <w:trHeight w:val="156"/>
        </w:trPr>
        <w:tc>
          <w:tcPr>
            <w:tcW w:w="38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38,099</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38,099</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38,993</w:t>
            </w: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firstLine="441"/>
        <w:spacing w:after="0" w:line="277" w:lineRule="auto"/>
        <w:rPr>
          <w:sz w:val="20"/>
          <w:szCs w:val="20"/>
          <w:color w:val="auto"/>
        </w:rPr>
      </w:pPr>
      <w:r>
        <w:rPr>
          <w:rFonts w:ascii="Arial" w:cs="Arial" w:eastAsia="Arial" w:hAnsi="Arial"/>
          <w:sz w:val="18"/>
          <w:szCs w:val="18"/>
          <w:color w:val="auto"/>
        </w:rPr>
        <w:t>The Company’s commercial loan and master lease investments were comprised of the following at December 31, 2020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5"/>
              </w:rPr>
              <w:t>Original</w:t>
            </w:r>
          </w:p>
        </w:tc>
        <w:tc>
          <w:tcPr>
            <w:tcW w:w="80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5"/>
              </w:rPr>
              <w:t>Current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0"/>
              </w:rPr>
              <w:t>Date of</w:t>
            </w:r>
          </w:p>
        </w:tc>
        <w:tc>
          <w:tcPr>
            <w:tcW w:w="86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9"/>
              </w:rPr>
              <w:t>Maturity</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Face</w:t>
            </w:r>
          </w:p>
        </w:tc>
        <w:tc>
          <w:tcPr>
            <w:tcW w:w="120" w:type="dxa"/>
            <w:vAlign w:val="bottom"/>
          </w:tcPr>
          <w:p>
            <w:pPr>
              <w:spacing w:after="0"/>
              <w:rPr>
                <w:sz w:val="14"/>
                <w:szCs w:val="14"/>
                <w:color w:val="auto"/>
              </w:rPr>
            </w:pPr>
          </w:p>
        </w:tc>
        <w:tc>
          <w:tcPr>
            <w:tcW w:w="68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3"/>
              </w:rPr>
              <w:t>Face</w:t>
            </w:r>
          </w:p>
        </w:tc>
        <w:tc>
          <w:tcPr>
            <w:tcW w:w="64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w w:val="97"/>
              </w:rPr>
              <w:t>Carrying</w:t>
            </w:r>
          </w:p>
        </w:tc>
        <w:tc>
          <w:tcPr>
            <w:tcW w:w="180" w:type="dxa"/>
            <w:vAlign w:val="bottom"/>
          </w:tcPr>
          <w:p>
            <w:pPr>
              <w:spacing w:after="0"/>
              <w:rPr>
                <w:sz w:val="14"/>
                <w:szCs w:val="14"/>
                <w:color w:val="auto"/>
              </w:rPr>
            </w:pPr>
          </w:p>
        </w:tc>
        <w:tc>
          <w:tcPr>
            <w:tcW w:w="5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Coupon</w:t>
            </w:r>
          </w:p>
        </w:tc>
      </w:tr>
      <w:tr>
        <w:trPr>
          <w:trHeight w:val="179"/>
        </w:trPr>
        <w:tc>
          <w:tcPr>
            <w:tcW w:w="388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w:t>
            </w:r>
          </w:p>
        </w:tc>
        <w:tc>
          <w:tcPr>
            <w:tcW w:w="11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Investment</w:t>
            </w:r>
          </w:p>
        </w:tc>
        <w:tc>
          <w:tcPr>
            <w:tcW w:w="8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2"/>
              </w:rPr>
              <w:t>Date</w:t>
            </w:r>
          </w:p>
        </w:tc>
        <w:tc>
          <w:tcPr>
            <w:tcW w:w="8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5"/>
              </w:rPr>
              <w:t>Amount</w:t>
            </w:r>
          </w:p>
        </w:tc>
        <w:tc>
          <w:tcPr>
            <w:tcW w:w="80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5"/>
              </w:rPr>
              <w:t>Amount</w:t>
            </w:r>
          </w:p>
        </w:tc>
        <w:tc>
          <w:tcPr>
            <w:tcW w:w="120" w:type="dxa"/>
            <w:vAlign w:val="bottom"/>
          </w:tcPr>
          <w:p>
            <w:pPr>
              <w:spacing w:after="0"/>
              <w:rPr>
                <w:sz w:val="15"/>
                <w:szCs w:val="15"/>
                <w:color w:val="auto"/>
              </w:rPr>
            </w:pPr>
          </w:p>
        </w:tc>
        <w:tc>
          <w:tcPr>
            <w:tcW w:w="520" w:type="dxa"/>
            <w:vAlign w:val="bottom"/>
          </w:tcPr>
          <w:p>
            <w:pPr>
              <w:jc w:val="right"/>
              <w:ind w:right="44"/>
              <w:spacing w:after="0"/>
              <w:rPr>
                <w:sz w:val="20"/>
                <w:szCs w:val="20"/>
                <w:color w:val="auto"/>
              </w:rPr>
            </w:pPr>
            <w:r>
              <w:rPr>
                <w:rFonts w:ascii="Arial" w:cs="Arial" w:eastAsia="Arial" w:hAnsi="Arial"/>
                <w:sz w:val="15"/>
                <w:szCs w:val="15"/>
                <w:b w:val="1"/>
                <w:bCs w:val="1"/>
                <w:color w:val="auto"/>
                <w:w w:val="94"/>
              </w:rPr>
              <w:t>Value</w:t>
            </w:r>
          </w:p>
        </w:tc>
        <w:tc>
          <w:tcPr>
            <w:tcW w:w="1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5"/>
                <w:szCs w:val="15"/>
                <w:b w:val="1"/>
                <w:bCs w:val="1"/>
                <w:color w:val="auto"/>
                <w:w w:val="92"/>
              </w:rPr>
              <w:t>Rate</w:t>
            </w:r>
          </w:p>
        </w:tc>
      </w:tr>
      <w:tr>
        <w:trPr>
          <w:trHeight w:val="155"/>
        </w:trPr>
        <w:tc>
          <w:tcPr>
            <w:tcW w:w="372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w w:val="99"/>
              </w:rPr>
              <w:t>Ground Lease Loan – 400 Josephine Street, Austin, TX</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July 2019</w:t>
            </w: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16,250</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16,250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16,827</w:t>
            </w:r>
          </w:p>
        </w:tc>
        <w:tc>
          <w:tcPr>
            <w:tcW w:w="1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r>
      <w:tr>
        <w:trPr>
          <w:trHeight w:val="162"/>
        </w:trPr>
        <w:tc>
          <w:tcPr>
            <w:tcW w:w="388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Master Tenant – Hialeah Lease Loan – Hialeah, FL</w:t>
            </w:r>
          </w:p>
        </w:tc>
        <w:tc>
          <w:tcPr>
            <w:tcW w:w="1180" w:type="dxa"/>
            <w:vAlign w:val="bottom"/>
            <w:gridSpan w:val="2"/>
          </w:tcPr>
          <w:p>
            <w:pPr>
              <w:jc w:val="center"/>
              <w:ind w:right="140"/>
              <w:spacing w:after="0" w:line="162" w:lineRule="exact"/>
              <w:rPr>
                <w:sz w:val="20"/>
                <w:szCs w:val="20"/>
                <w:color w:val="auto"/>
              </w:rPr>
            </w:pPr>
            <w:r>
              <w:rPr>
                <w:rFonts w:ascii="Arial" w:cs="Arial" w:eastAsia="Arial" w:hAnsi="Arial"/>
                <w:sz w:val="15"/>
                <w:szCs w:val="15"/>
                <w:color w:val="auto"/>
                <w:w w:val="90"/>
              </w:rPr>
              <w:t>September 2020</w:t>
            </w:r>
          </w:p>
        </w:tc>
        <w:tc>
          <w:tcPr>
            <w:tcW w:w="860" w:type="dxa"/>
            <w:vAlign w:val="bottom"/>
            <w:gridSpan w:val="2"/>
          </w:tcPr>
          <w:p>
            <w:pPr>
              <w:jc w:val="center"/>
              <w:ind w:right="160"/>
              <w:spacing w:after="0" w:line="162" w:lineRule="exact"/>
              <w:rPr>
                <w:sz w:val="20"/>
                <w:szCs w:val="20"/>
                <w:color w:val="auto"/>
              </w:rPr>
            </w:pPr>
            <w:r>
              <w:rPr>
                <w:rFonts w:ascii="Arial" w:cs="Arial" w:eastAsia="Arial" w:hAnsi="Arial"/>
                <w:sz w:val="15"/>
                <w:szCs w:val="15"/>
                <w:color w:val="auto"/>
              </w:rPr>
              <w:t>N/A</w:t>
            </w: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21,085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w w:val="95"/>
              </w:rPr>
              <w:t>21,085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21,101</w:t>
            </w:r>
          </w:p>
        </w:tc>
        <w:tc>
          <w:tcPr>
            <w:tcW w:w="180" w:type="dxa"/>
            <w:vAlign w:val="bottom"/>
          </w:tcPr>
          <w:p>
            <w:pPr>
              <w:spacing w:after="0"/>
              <w:rPr>
                <w:sz w:val="14"/>
                <w:szCs w:val="14"/>
                <w:color w:val="auto"/>
              </w:rPr>
            </w:pPr>
          </w:p>
        </w:tc>
        <w:tc>
          <w:tcPr>
            <w:tcW w:w="540" w:type="dxa"/>
            <w:vAlign w:val="bottom"/>
          </w:tcPr>
          <w:p>
            <w:pPr>
              <w:jc w:val="center"/>
              <w:spacing w:after="0" w:line="162" w:lineRule="exact"/>
              <w:rPr>
                <w:sz w:val="20"/>
                <w:szCs w:val="20"/>
                <w:color w:val="auto"/>
              </w:rPr>
            </w:pPr>
            <w:r>
              <w:rPr>
                <w:rFonts w:ascii="Arial" w:cs="Arial" w:eastAsia="Arial" w:hAnsi="Arial"/>
                <w:sz w:val="15"/>
                <w:szCs w:val="15"/>
                <w:color w:val="auto"/>
              </w:rPr>
              <w:t>N/A</w:t>
            </w:r>
          </w:p>
        </w:tc>
      </w:tr>
      <w:tr>
        <w:trPr>
          <w:trHeight w:val="162"/>
        </w:trPr>
        <w:tc>
          <w:tcPr>
            <w:tcW w:w="38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Mortgage Note – 4311 Maple Avenue – Dallas, TX</w:t>
            </w:r>
          </w:p>
        </w:tc>
        <w:tc>
          <w:tcPr>
            <w:tcW w:w="118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5"/>
                <w:szCs w:val="15"/>
                <w:color w:val="auto"/>
                <w:w w:val="90"/>
              </w:rPr>
              <w:t>October 2020</w:t>
            </w:r>
          </w:p>
        </w:tc>
        <w:tc>
          <w:tcPr>
            <w:tcW w:w="86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5"/>
                <w:szCs w:val="15"/>
                <w:color w:val="auto"/>
                <w:w w:val="97"/>
              </w:rPr>
              <w:t>April 2023</w:t>
            </w: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392</w:t>
            </w:r>
          </w:p>
        </w:tc>
        <w:tc>
          <w:tcPr>
            <w:tcW w:w="720" w:type="dxa"/>
            <w:vAlign w:val="bottom"/>
            <w:gridSpan w:val="2"/>
            <w:shd w:val="clear" w:color="auto" w:fill="CCEEFF"/>
          </w:tcPr>
          <w:p>
            <w:pPr>
              <w:jc w:val="center"/>
              <w:ind w:left="104"/>
              <w:spacing w:after="0" w:line="162" w:lineRule="exact"/>
              <w:rPr>
                <w:sz w:val="20"/>
                <w:szCs w:val="20"/>
                <w:color w:val="auto"/>
              </w:rPr>
            </w:pPr>
            <w:r>
              <w:rPr>
                <w:rFonts w:ascii="Arial" w:cs="Arial" w:eastAsia="Arial" w:hAnsi="Arial"/>
                <w:sz w:val="15"/>
                <w:szCs w:val="15"/>
                <w:color w:val="auto"/>
                <w:w w:val="89"/>
              </w:rPr>
              <w:t>7.50%</w:t>
            </w:r>
          </w:p>
        </w:tc>
      </w:tr>
      <w:tr>
        <w:trPr>
          <w:trHeight w:val="156"/>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37,735</w:t>
            </w:r>
          </w:p>
        </w:tc>
        <w:tc>
          <w:tcPr>
            <w:tcW w:w="1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37,735</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38,320</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carrying value of the commercial loan and master lease investments portfolio at September 30, 2021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As of</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480" w:type="dxa"/>
            <w:vAlign w:val="bottom"/>
          </w:tcPr>
          <w:p>
            <w:pPr>
              <w:spacing w:after="0"/>
              <w:rPr>
                <w:sz w:val="18"/>
                <w:szCs w:val="18"/>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2021</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2020</w:t>
            </w:r>
          </w:p>
        </w:tc>
        <w:tc>
          <w:tcPr>
            <w:tcW w:w="20" w:type="dxa"/>
            <w:vAlign w:val="bottom"/>
          </w:tcPr>
          <w:p>
            <w:pPr>
              <w:spacing w:after="0"/>
              <w:rPr>
                <w:sz w:val="18"/>
                <w:szCs w:val="18"/>
                <w:color w:val="auto"/>
              </w:rPr>
            </w:pPr>
          </w:p>
        </w:tc>
      </w:tr>
      <w:tr>
        <w:trPr>
          <w:trHeight w:val="21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38,099</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37,735</w:t>
            </w:r>
          </w:p>
        </w:tc>
        <w:tc>
          <w:tcPr>
            <w:tcW w:w="20" w:type="dxa"/>
            <w:vAlign w:val="bottom"/>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Imputed Interest over Rent Payments Received</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Unaccreted Origination Fees</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CECL Reserve</w:t>
            </w:r>
          </w:p>
        </w:tc>
        <w:tc>
          <w:tcPr>
            <w:tcW w:w="5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0"/>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Commercial Loan and Master Lease Investments</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38,320</w:t>
            </w:r>
          </w:p>
        </w:tc>
        <w:tc>
          <w:tcPr>
            <w:tcW w:w="2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6. RELATED PARTY MANAGEMENT SERVICES BUSINESS</w:t>
      </w:r>
    </w:p>
    <w:p>
      <w:pPr>
        <w:spacing w:after="0" w:line="229"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i w:val="1"/>
          <w:iCs w:val="1"/>
          <w:color w:val="auto"/>
        </w:rPr>
        <w:t xml:space="preserve">Alpine Income Property Trust. </w:t>
      </w:r>
      <w:r>
        <w:rPr>
          <w:rFonts w:ascii="Arial" w:cs="Arial" w:eastAsia="Arial" w:hAnsi="Arial"/>
          <w:sz w:val="17"/>
          <w:szCs w:val="17"/>
          <w:color w:val="auto"/>
        </w:rPr>
        <w:t>Pursuant to the Company’s management agreement with PINE,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generates a base management fee equal to 0.375% per quarter of PINE’s total equity (as defined in the management agreement and based on a 1.5% annual rate), calculated and payable in cash, quarterly in arrears. The structure of the base fee provides the Company with an opportunity for the base fee to grow should PINE’s independent board members determine to raise additional equity capital in the future. The Company also has an opportunity to achieve additional cash flows as manager of PINE pursuant an annual incentive fee based on PINE’s total stockholder return exceeding an 8% cumulative annual hurdle rate (the “Outperformance Amount”) subject to a high-water mark price. PINE would pay the Company an incentive fee with respect to each annual measurement period in the amount of the greater of (i) $0.00 and (ii) the product of (a) 15% multiplied by (b) the Outperformance Amount multiplied by (c) the weighted average shares. No incentive fee was earned for the year ended December 31, 2020.</w:t>
      </w:r>
    </w:p>
    <w:p>
      <w:pPr>
        <w:spacing w:after="0" w:line="185"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During the three and nine months ended September 30, 2021, the Company earned management fee revenue from PINE totaling $0.9 million and $2.3 million, respectively. Dividend income for the three and nine months ended September 30, 2021 totaled $0.5 million and $1.5 million, respectively. During the three and nine months ended September 30, 2020, the Company earned management fee revenue from PINE totaling $0.6 million and $1.9 million, respectively. Dividend income for the three and nine months ended September 30, 2020 totaled $0.4 million and $1.2 million, respectively. Management fee revenue from PINE, included in management services, and dividend income, included in investment and other income (loss), are reflected in the accompanying consolidated statements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441"/>
        <w:spacing w:after="0" w:line="277" w:lineRule="auto"/>
        <w:rPr>
          <w:sz w:val="20"/>
          <w:szCs w:val="20"/>
          <w:color w:val="auto"/>
        </w:rPr>
      </w:pPr>
      <w:r>
        <w:rPr>
          <w:rFonts w:ascii="Arial" w:cs="Arial" w:eastAsia="Arial" w:hAnsi="Arial"/>
          <w:sz w:val="18"/>
          <w:szCs w:val="18"/>
          <w:color w:val="auto"/>
        </w:rPr>
        <w:t>The following table represents amounts due from PINE to the Company as of September 30, 2021 and December 31, 2020 which are included in other assets on the consolidated balance sheets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6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30, 2021</w:t>
            </w:r>
          </w:p>
        </w:tc>
        <w:tc>
          <w:tcPr>
            <w:tcW w:w="1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2020</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Management Services Fee due from PINE</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Dividend Receivable</w:t>
            </w:r>
          </w:p>
        </w:tc>
        <w:tc>
          <w:tcPr>
            <w:tcW w:w="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On November 26, 2019, as part of the initial public offering (the “IPO”) of PINE on the NYSE, the Company sold PINE 15 properties for aggregate cash consideration of $125.9 million. Additionally, in connection with the IPO, the Company contributed to the PINE Operating Partnership five properties in exchange for an aggregate of 1,223,854 OP Units, which had an initial value of $23.3 million.</w:t>
      </w:r>
    </w:p>
    <w:p>
      <w:pPr>
        <w:spacing w:after="0" w:line="187"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During the three months ended June 30, 2021, PINE exercised its right to purchase the following properties from the Company pursuant to the exclusivity and right of first offer agreement (i) the CMBS Portfolio for a purchase price of $44.5 million, and (ii) one single-tenant income property for a purchase price of $11.5 million. In connection with the sale of the CMBS Portfolio, PINE assumed the related $30.0 million mortgage note payable which resulted in a loss on the extinguishment of debt of $0.5 million due to the write off of unamortized debt issuance costs. These sales were completed during the three months ended June 30, 2021.</w:t>
      </w:r>
    </w:p>
    <w:p>
      <w:pPr>
        <w:spacing w:after="0" w:line="192"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i w:val="1"/>
          <w:iCs w:val="1"/>
          <w:color w:val="auto"/>
        </w:rPr>
        <w:t xml:space="preserve">Land JV. </w:t>
      </w:r>
      <w:r>
        <w:rPr>
          <w:rFonts w:ascii="Arial" w:cs="Arial" w:eastAsia="Arial" w:hAnsi="Arial"/>
          <w:sz w:val="17"/>
          <w:szCs w:val="17"/>
          <w:color w:val="auto"/>
        </w:rPr>
        <w:t>Pursuant to the terms of the operating agreement for the Land JV, the initial amount of the management fee</w:t>
      </w:r>
      <w:r>
        <w:rPr>
          <w:rFonts w:ascii="Arial" w:cs="Arial" w:eastAsia="Arial" w:hAnsi="Arial"/>
          <w:sz w:val="17"/>
          <w:szCs w:val="17"/>
          <w:i w:val="1"/>
          <w:iCs w:val="1"/>
          <w:color w:val="auto"/>
        </w:rPr>
        <w:t xml:space="preserve"> </w:t>
      </w:r>
      <w:r>
        <w:rPr>
          <w:rFonts w:ascii="Arial" w:cs="Arial" w:eastAsia="Arial" w:hAnsi="Arial"/>
          <w:sz w:val="17"/>
          <w:szCs w:val="17"/>
          <w:color w:val="auto"/>
        </w:rPr>
        <w:t>was $20,000 per month. The management fee is evaluated quarterly and as land sales occur in the Land JV, the basis for our management fee is reduced as the management fee is based on the value of real property that remains in the Land JV. The monthly management fee as of September 30, 2021 was $10,000 per month.</w:t>
      </w:r>
    </w:p>
    <w:p>
      <w:pPr>
        <w:spacing w:after="0" w:line="212" w:lineRule="exact"/>
        <w:rPr>
          <w:sz w:val="20"/>
          <w:szCs w:val="20"/>
          <w:color w:val="auto"/>
        </w:rPr>
      </w:pPr>
    </w:p>
    <w:p>
      <w:pPr>
        <w:jc w:val="both"/>
        <w:ind w:left="60" w:right="79" w:firstLine="441"/>
        <w:spacing w:after="0" w:line="296" w:lineRule="auto"/>
        <w:rPr>
          <w:sz w:val="20"/>
          <w:szCs w:val="20"/>
          <w:color w:val="auto"/>
        </w:rPr>
      </w:pPr>
      <w:r>
        <w:rPr>
          <w:rFonts w:ascii="Arial" w:cs="Arial" w:eastAsia="Arial" w:hAnsi="Arial"/>
          <w:sz w:val="16"/>
          <w:szCs w:val="16"/>
          <w:color w:val="auto"/>
        </w:rPr>
        <w:t>During the three and nine months ended September 30, 2021 the Company earned management fee revenue from the Land JV totaling $0.03 million and $0.09 million, respectively, and was collected in full during the periods earned. During the three and nine months ended September 30, 2020 the Company earned management fee revenue from the Land JV totaling $0.05 million and $0.2 million, respectively, and was collected in full during the periods earned. Management fee revenue from the Land JV is included in management services in the accompanying consolidated statements of operations.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7. REAL ESTATE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Land and development costs at September 30, 2021 and December 31, 2020 were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20" w:type="dxa"/>
            <w:vAlign w:val="bottom"/>
            <w:tcBorders>
              <w:bottom w:val="single" w:sz="8" w:color="auto"/>
            </w:tcBorders>
          </w:tcPr>
          <w:p>
            <w:pPr>
              <w:spacing w:after="0"/>
              <w:rPr>
                <w:sz w:val="20"/>
                <w:szCs w:val="20"/>
                <w:color w:val="auto"/>
              </w:rPr>
            </w:pPr>
          </w:p>
        </w:tc>
      </w:tr>
      <w:tr>
        <w:trPr>
          <w:trHeight w:val="209"/>
        </w:trPr>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Pr>
          <w:p>
            <w:pPr>
              <w:spacing w:after="0"/>
              <w:rPr>
                <w:sz w:val="18"/>
                <w:szCs w:val="18"/>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2020</w:t>
            </w: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Development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r>
      <w:tr>
        <w:trPr>
          <w:trHeight w:val="21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Subsurface Interests</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r>
      <w:tr>
        <w:trPr>
          <w:trHeight w:val="21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Land and Development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w:t>
            </w: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Revenue from continuing real estate operations consisted of the following for the three and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and 2020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98"/>
              <w:spacing w:after="0"/>
              <w:rPr>
                <w:sz w:val="20"/>
                <w:szCs w:val="20"/>
                <w:color w:val="auto"/>
              </w:rPr>
            </w:pPr>
            <w:r>
              <w:rPr>
                <w:rFonts w:ascii="Arial" w:cs="Arial" w:eastAsia="Arial" w:hAnsi="Arial"/>
                <w:sz w:val="18"/>
                <w:szCs w:val="18"/>
                <w:b w:val="1"/>
                <w:bCs w:val="1"/>
                <w:color w:val="auto"/>
              </w:rPr>
              <w:t>Nine Months Ended</w:t>
            </w:r>
          </w:p>
        </w:tc>
        <w:tc>
          <w:tcPr>
            <w:tcW w:w="360" w:type="dxa"/>
            <w:vAlign w:val="bottom"/>
            <w:tcBorders>
              <w:bottom w:val="single" w:sz="8" w:color="auto"/>
            </w:tcBorders>
          </w:tcPr>
          <w:p>
            <w:pPr>
              <w:spacing w:after="0"/>
              <w:rPr>
                <w:sz w:val="20"/>
                <w:szCs w:val="20"/>
                <w:color w:val="auto"/>
              </w:rPr>
            </w:pPr>
          </w:p>
        </w:tc>
      </w:tr>
      <w:tr>
        <w:trPr>
          <w:trHeight w:val="191"/>
        </w:trPr>
        <w:tc>
          <w:tcPr>
            <w:tcW w:w="3400" w:type="dxa"/>
            <w:vAlign w:val="bottom"/>
          </w:tcPr>
          <w:p>
            <w:pPr>
              <w:spacing w:after="0"/>
              <w:rPr>
                <w:sz w:val="16"/>
                <w:szCs w:val="16"/>
                <w:color w:val="auto"/>
              </w:rPr>
            </w:pPr>
          </w:p>
        </w:tc>
        <w:tc>
          <w:tcPr>
            <w:tcW w:w="142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rPr>
              <w:t>September 30,</w:t>
            </w:r>
          </w:p>
        </w:tc>
        <w:tc>
          <w:tcPr>
            <w:tcW w:w="12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4"/>
              </w:rPr>
              <w:t>September 30,</w:t>
            </w:r>
          </w:p>
        </w:tc>
        <w:tc>
          <w:tcPr>
            <w:tcW w:w="180" w:type="dxa"/>
            <w:vAlign w:val="bottom"/>
          </w:tcPr>
          <w:p>
            <w:pPr>
              <w:spacing w:after="0"/>
              <w:rPr>
                <w:sz w:val="16"/>
                <w:szCs w:val="16"/>
                <w:color w:val="auto"/>
              </w:rPr>
            </w:pPr>
          </w:p>
        </w:tc>
        <w:tc>
          <w:tcPr>
            <w:tcW w:w="144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rPr>
              <w:t>September 30,</w:t>
            </w:r>
          </w:p>
        </w:tc>
        <w:tc>
          <w:tcPr>
            <w:tcW w:w="12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September 30,</w:t>
            </w:r>
          </w:p>
        </w:tc>
      </w:tr>
      <w:tr>
        <w:trPr>
          <w:trHeight w:val="234"/>
        </w:trPr>
        <w:tc>
          <w:tcPr>
            <w:tcW w:w="34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r>
      <w:tr>
        <w:trPr>
          <w:trHeight w:val="20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Mitigation Credit Sales</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8"/>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Subsurface Revenue - Other</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958</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3,644</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621</w:t>
            </w: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Sales Revenue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Fill Dirt and Other Revenue</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Real Estate Operations Revenue</w:t>
            </w: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7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631</w:t>
            </w:r>
          </w:p>
        </w:tc>
      </w:tr>
      <w:tr>
        <w:trPr>
          <w:trHeight w:val="20"/>
        </w:trPr>
        <w:tc>
          <w:tcPr>
            <w:tcW w:w="3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i w:val="1"/>
          <w:iCs w:val="1"/>
          <w:color w:val="auto"/>
        </w:rPr>
        <w:t xml:space="preserve">Daytona Beach Development. </w:t>
      </w:r>
      <w:r>
        <w:rPr>
          <w:rFonts w:ascii="Arial" w:cs="Arial" w:eastAsia="Arial" w:hAnsi="Arial"/>
          <w:sz w:val="17"/>
          <w:szCs w:val="17"/>
          <w:color w:val="auto"/>
        </w:rPr>
        <w:t>The Company owns a six-acre parcel of land with existing structures in downtown</w:t>
      </w:r>
      <w:r>
        <w:rPr>
          <w:rFonts w:ascii="Arial" w:cs="Arial" w:eastAsia="Arial" w:hAnsi="Arial"/>
          <w:sz w:val="17"/>
          <w:szCs w:val="17"/>
          <w:i w:val="1"/>
          <w:iCs w:val="1"/>
          <w:color w:val="auto"/>
        </w:rPr>
        <w:t xml:space="preserve"> </w:t>
      </w:r>
      <w:r>
        <w:rPr>
          <w:rFonts w:ascii="Arial" w:cs="Arial" w:eastAsia="Arial" w:hAnsi="Arial"/>
          <w:sz w:val="17"/>
          <w:szCs w:val="17"/>
          <w:color w:val="auto"/>
        </w:rPr>
        <w:t>Daytona Beach and other contiguous parcels that were acquired for an aggregate of $4.1 million, representing the substantial portion of an entire city block in downtown Daytona Beach adjacent to International Speedway Boulevard, a major thoroughfare in Daytona Beach. As of September 30, 2021, we have incurred $1.6 million in raze and entitlement costs related to these parcels which is included in land and development costs on the consolidated balance sheets. During the three months ended September 30, 2021, the Company entered into a purchase and sale agreement to sell the six-acre parcel for a sales price of $6.25 million. The closing of the sale is anticipated to occur prior to year-end and is subject to completion of customary due diligence and closing conditions.</w:t>
      </w:r>
    </w:p>
    <w:p>
      <w:pPr>
        <w:spacing w:after="0" w:line="219"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i w:val="1"/>
          <w:iCs w:val="1"/>
          <w:color w:val="auto"/>
        </w:rPr>
        <w:t xml:space="preserve">Mitigation Credits. </w:t>
      </w:r>
      <w:r>
        <w:rPr>
          <w:rFonts w:ascii="Arial" w:cs="Arial" w:eastAsia="Arial" w:hAnsi="Arial"/>
          <w:sz w:val="17"/>
          <w:szCs w:val="17"/>
          <w:color w:val="auto"/>
        </w:rPr>
        <w:t>The Company owns mitigation credits and mitigation credit rights with an aggregate cost basis of</w:t>
      </w:r>
      <w:r>
        <w:rPr>
          <w:rFonts w:ascii="Arial" w:cs="Arial" w:eastAsia="Arial" w:hAnsi="Arial"/>
          <w:sz w:val="17"/>
          <w:szCs w:val="17"/>
          <w:i w:val="1"/>
          <w:iCs w:val="1"/>
          <w:color w:val="auto"/>
        </w:rPr>
        <w:t xml:space="preserve"> </w:t>
      </w:r>
      <w:r>
        <w:rPr>
          <w:rFonts w:ascii="Arial" w:cs="Arial" w:eastAsia="Arial" w:hAnsi="Arial"/>
          <w:sz w:val="17"/>
          <w:szCs w:val="17"/>
          <w:color w:val="auto"/>
        </w:rPr>
        <w:t>$25.0 million as of September 30, 2021, representing a $22.4 million increase from the balance as of December 31, 2020. During the three months ended September 30, 2021, the Company completed the Interest Purchase, hereinafter defined in Note 8, “Investments in Joint Ventures”. As a result of the Interest Purchase, as of September 30, 2021, the Company owns 100% of the Mitigation Bank, and therefore its underlying assets, which includes an inventory of mitigation credits. Certain of the mitigation credits are currently available for sale with the remainder to become available as they are released to the Mitigation Bank by the applicable state and federal authorities pursuant to the completion of phases of the approved mitigation plans (“Mitigation Credit Rights”). At the time of the Interest Purchase on September 30, 2021, the Company’s cost basis in the newly acquired mitigation credits and mitigation credit rights totaled $0.9 million and $21.6 million, respectively, which is comprised of (i) $15.6 million of the $18.0 million Interest Purchase allocated to the mitigation credit assets and (ii) the $6.9 million previously recorded value of the retained interest in the entity that owns the Mitigation Bank.</w:t>
      </w:r>
    </w:p>
    <w:p>
      <w:pPr>
        <w:spacing w:after="0" w:line="206"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The Mitigation Bank engages in the creation and sale of both federal and state wetland mitigation credits. These credits are created pursuant to the applicable permits that have been issued by the federal and state regulatory agencies that exercise jurisdiction over the awarding of such credits, but no assurances can be given as to the ultimate issuance, marketability or value of the credits. The Mitigation Bank received the permit from the state regulatory agency on June 8, 2018 (the “State Permit”). The state regulatory agency may award up to 355 state credits under the State Permit. On August 6, 2018, the state regulatory agency awarded the initial 88.84 credits under the State Permit. The Company anticipates another 8.95 state credits to be issued prior to the end of 2021. The Mitigation Bank received the permit from the federal regulatory agency on September 8, 2021 (the “Federal Permit”). The federal regulatory agency may award up to 173.91 federal credits under the Federal Permit. On September 8, 2021, the federal regulatory agency awarded the initial 17.39 credits under the Federal Permit. The Company intends to sell the mitigation credits produced by the Mitigation Bank or may sell the Mitigation Bank in its entirety. No assurance can be given that the Company will be able to consummate any such sales or regarding the likelihood, timing, or final terms of any such potential sales.</w:t>
      </w:r>
    </w:p>
    <w:p>
      <w:pPr>
        <w:spacing w:after="0" w:line="208"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Revenues and the cost of sales of mitigation credit sales are reported as revenues from, and direct costs of, real estate operations, respectively, in the consolidated statements of operations. During the three months and nine months ended September 30, 2021, the Company sold mitigation credits for proceeds of $0.2 million with a cost basis of $0.1 million. During the nine months ended September 30, 2020, proceeds from mitigation credit sales totaled less than $0.01 million, none of which were completed during the three months ended September 30, 2020. Additionally, during the nine months ended September 30, 2020, an aggregate charge to cost of sales was recorded for $3.1 million which was comprised of (i) 42 mitigation credits with a cost basis of $2.9 million that were provided at no cost to buyers and (ii) the Company’s purchase of two mitigation credits for $0.2 million.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i w:val="1"/>
          <w:iCs w:val="1"/>
          <w:color w:val="auto"/>
        </w:rPr>
        <w:t xml:space="preserve">Subsurface Interests. </w:t>
      </w:r>
      <w:r>
        <w:rPr>
          <w:rFonts w:ascii="Arial" w:cs="Arial" w:eastAsia="Arial" w:hAnsi="Arial"/>
          <w:sz w:val="17"/>
          <w:szCs w:val="17"/>
          <w:color w:val="auto"/>
        </w:rPr>
        <w:t>As of September 30, 2021, the Company owns 415,000 acres of Subsurface Interests.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leases certain of the Subsurface Interests to mineral exploration firms for exploration. The Company’s subsurface operations consist of revenue from the leasing of exploration rights and in some instances, additional revenues from royalties applicable to production from the leased acreage. During the nine months ended September 30, 2021, the Company sold approximately 39,200 acres of subsurface oil, gas, and mineral rights for a sales price of $3.5 million, which revenues are included within real estate operations in the consolidated statements of operations. During the nine months ended September 30, 2020, the Company sold 345 acres of subsurface oil, gas, and mineral rights for a sales price of $0.4 million, which revenues are included within real estate operations in the consolidated statements of operations. Revenues received from oil royalties totaled $0.03 million and $0.02 million during the nine months ended September 30, 2021 and 2020, respectively.</w:t>
      </w:r>
    </w:p>
    <w:p>
      <w:pPr>
        <w:spacing w:after="0" w:line="185"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color w:val="auto"/>
        </w:rPr>
        <w:t>The Company is not prohibited from selling any or all of its Subsurface Interests. The Company may release surface entry rights or other rights upon request of a surface owner for a negotiated release fee typically based on a percentage of the surface value. Should the Company complete a transaction to sell all or a portion of its Subsurface Interests or complete a release transaction, the Company may utilize the like-kind exchange structure in acquiring one or more replacement investments including income-producing properties. Cash payments for the release of surface entry rights totaled $0.1 million and $0.2 million during the nine months ended September 30, 2021 and 2020, respectively.</w:t>
      </w:r>
    </w:p>
    <w:p>
      <w:pPr>
        <w:spacing w:after="0" w:line="164"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i w:val="1"/>
          <w:iCs w:val="1"/>
          <w:color w:val="auto"/>
        </w:rPr>
        <w:t xml:space="preserve">Land Impairments. </w:t>
      </w:r>
      <w:r>
        <w:rPr>
          <w:rFonts w:ascii="Arial" w:cs="Arial" w:eastAsia="Arial" w:hAnsi="Arial"/>
          <w:sz w:val="17"/>
          <w:szCs w:val="17"/>
          <w:color w:val="auto"/>
        </w:rPr>
        <w:t>There were no impairment charges on the Company’s undeveloped land holdings, or its income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portfolio during the three and nine months ended September 30, 2021 and 2020. The $16.5 million impairment charge recognized during the three months ended June 30, 2021 is related to the Company’s retained interest in the Land JV as a result of the estimated proceeds to be received in connection with the contract entered into with Timberline Acquisition Partners, an affiliate of Timberline Real Estate Partners (“Timberline”), for the sale of substantially all of its remaining land, including any land that was previously under contract, for a sales price of $67.0 million. As a result of the sale of approximately 8 acres for $0.8 million completed by the Land JV during the three months ended September 30, 2021, the sales price was reduced to $66.2 million.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8. INVESTMENTS IN JOINT VENTURES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Arial" w:cs="Arial" w:eastAsia="Arial" w:hAnsi="Arial"/>
          <w:sz w:val="18"/>
          <w:szCs w:val="18"/>
          <w:color w:val="auto"/>
        </w:rPr>
        <w:t>The Company’s Investment in Joint Ventures was as follows as of September 30, 2021 and December 31, 2020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860" w:type="dxa"/>
            <w:vAlign w:val="bottom"/>
            <w:tcBorders>
              <w:bottom w:val="single" w:sz="8" w:color="auto"/>
            </w:tcBorders>
          </w:tcPr>
          <w:p>
            <w:pPr>
              <w:spacing w:after="0"/>
              <w:rPr>
                <w:sz w:val="19"/>
                <w:szCs w:val="19"/>
                <w:color w:val="auto"/>
              </w:rPr>
            </w:pPr>
          </w:p>
        </w:tc>
      </w:tr>
      <w:tr>
        <w:trPr>
          <w:trHeight w:val="210"/>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2021</w:t>
            </w:r>
          </w:p>
        </w:tc>
        <w:tc>
          <w:tcPr>
            <w:tcW w:w="220" w:type="dxa"/>
            <w:vAlign w:val="bottom"/>
          </w:tcPr>
          <w:p>
            <w:pPr>
              <w:spacing w:after="0"/>
              <w:rPr>
                <w:sz w:val="18"/>
                <w:szCs w:val="18"/>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December 31, 2020</w:t>
            </w:r>
          </w:p>
        </w:tc>
      </w:tr>
      <w:tr>
        <w:trPr>
          <w:trHeight w:val="20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JV</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41,765</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Mitigation Bank JV</w:t>
            </w:r>
          </w:p>
        </w:tc>
        <w:tc>
          <w:tcPr>
            <w:tcW w:w="18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6,912</w:t>
            </w:r>
          </w:p>
        </w:tc>
      </w:tr>
      <w:tr>
        <w:trPr>
          <w:trHeight w:val="209"/>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 in Joint Ventures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48,677</w:t>
            </w:r>
          </w:p>
        </w:tc>
      </w:tr>
      <w:tr>
        <w:trPr>
          <w:trHeight w:val="20"/>
        </w:trPr>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i w:val="1"/>
          <w:iCs w:val="1"/>
          <w:color w:val="auto"/>
        </w:rPr>
        <w:t xml:space="preserve">Land JV. </w:t>
      </w:r>
      <w:r>
        <w:rPr>
          <w:rFonts w:ascii="Arial" w:cs="Arial" w:eastAsia="Arial" w:hAnsi="Arial"/>
          <w:sz w:val="16"/>
          <w:szCs w:val="16"/>
          <w:color w:val="auto"/>
        </w:rPr>
        <w:t>The Company’s retained interest in the Land JV represents a notional 33.5% stake in the venture, the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may be realized in the form of distributions based on the timing and the amount of proceeds achieved when the land is ultimately sold by the Land JV. As of June 30, 2021, the Land JV had completed $79.7 million in land sales since its inception in mid-October 2019. During the second quarter of 2021, the Land JV entered into a binding contract with Timberline, for the sale of substantially all of its remaining 1,600 acres of land, including any parcels that were previously under contract, for a sales price of $67.0 million. As a result of the sale of approximately 8 acres for $0.8 million completed by the Land JV during the three months ended September 30, 2021, the sales price was reduced to $66.2 million. Completion of the sale to Timberline under the above-referenced contract would result in estimated proceeds to the Company, after distributions to the other member of the Land JV, and before taxes, of $25.6 million. Accordingly, during the three months ended June 30, 2021, the Company recorded an impairment charge of $16.5 million to reduce the balance of the investment in the Land JV to the amount of the estimated proceeds from the potential sale to Timberline. The closing of the sale to Timberline is anticipated to occur prior to year-end and is subject to completion of customary due diligence and closing conditions. As of September 30, 2021, the Company, as manager of the Land JV, continues to pursue the sale of individual parcels within the remaining 1,600 acres, which sales would be subject to approval by Timberline.</w:t>
      </w:r>
    </w:p>
    <w:p>
      <w:pPr>
        <w:spacing w:after="0" w:line="171"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The Company currently serves as the manager of the Land JV and is responsible for day-to-day operations at the direction of the partners of the Land JV (the “JV Partners”). All major decisions and certain other actions that can be taken by the manager must be approved by the unanimous consent of the JV Partners (the “Unanimous Actions”). Unanimous Actions include such matters as the approval of pricing for all land parcels in the Land JV; approval of contracts for the sale of land that contain material revisions to the standard purchase contract of the Land JV; entry into any lease agreement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affiliated with the Land JV; entering into listing or brokerage agreements; approval and amendment of the Land JV’s operating budget; obtaining financing for the Land JV; admission of additional members; and dispositions of the Land JV’s real property for amounts less than market value. Pursuant to the Land JV’s operating agreement, the Land JV paid the manager a management fee in the initial amount of $20,000 per month. The management fee is evaluated quarterly and as land sales occur in the Land JV, the basis for our management fee is reduced as the management fee is based on the value of real property that remains in the Land JV. The monthly management fee as of September 30, 2021 was $10,000 per month.</w:t>
      </w:r>
    </w:p>
    <w:p>
      <w:pPr>
        <w:spacing w:after="0" w:line="195"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 xml:space="preserve">The investment in joint ventures on the Company’s consolidated balance sheets includes the Company’s ownership interest in the Land JV. We have concluded the Land JV is a variable interest entity and is accounted for under the equity method of accounting as the Company is not the primary beneficiary as defined in FASB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The significant factors related to this determination include, but are not limited to, the Land JV being jointly controlled by the members through the use of unanimous approval for all material actions. Under the guidance of FASB ASC 323, </w:t>
      </w:r>
      <w:r>
        <w:rPr>
          <w:rFonts w:ascii="Arial" w:cs="Arial" w:eastAsia="Arial" w:hAnsi="Arial"/>
          <w:sz w:val="18"/>
          <w:szCs w:val="18"/>
          <w:i w:val="1"/>
          <w:iCs w:val="1"/>
          <w:color w:val="auto"/>
        </w:rPr>
        <w:t>Investments-Equity Method and Joint Ventures</w:t>
      </w:r>
      <w:r>
        <w:rPr>
          <w:rFonts w:ascii="Arial" w:cs="Arial" w:eastAsia="Arial" w:hAnsi="Arial"/>
          <w:sz w:val="18"/>
          <w:szCs w:val="18"/>
          <w:color w:val="auto"/>
        </w:rPr>
        <w:t>, the Company uses the equity method to account for the Land JV</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summarized financial information of the Land JV as of September 30, 2021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(in thousands):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880" w:type="dxa"/>
            <w:vAlign w:val="bottom"/>
            <w:tcBorders>
              <w:bottom w:val="single" w:sz="8" w:color="auto"/>
            </w:tcBorders>
          </w:tcPr>
          <w:p>
            <w:pPr>
              <w:spacing w:after="0"/>
              <w:rPr>
                <w:sz w:val="19"/>
                <w:szCs w:val="19"/>
                <w:color w:val="auto"/>
              </w:rPr>
            </w:pPr>
          </w:p>
        </w:tc>
      </w:tr>
      <w:tr>
        <w:trPr>
          <w:trHeight w:val="209"/>
        </w:trPr>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2021</w:t>
            </w:r>
          </w:p>
        </w:tc>
        <w:tc>
          <w:tcPr>
            <w:tcW w:w="220" w:type="dxa"/>
            <w:vAlign w:val="bottom"/>
          </w:tcPr>
          <w:p>
            <w:pPr>
              <w:spacing w:after="0"/>
              <w:rPr>
                <w:sz w:val="18"/>
                <w:szCs w:val="18"/>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December 31, 2020</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Cash and Cash Equivalents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Assets, Receivables and Prepaid Expenses</w:t>
            </w: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Investment in Land Assets</w:t>
            </w: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w:t>
            </w:r>
          </w:p>
        </w:tc>
      </w:tr>
      <w:tr>
        <w:trPr>
          <w:trHeight w:val="25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7,267</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w:t>
            </w:r>
          </w:p>
        </w:tc>
      </w:tr>
      <w:tr>
        <w:trPr>
          <w:trHeight w:val="197"/>
        </w:trPr>
        <w:tc>
          <w:tcPr>
            <w:tcW w:w="4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02"/>
        </w:trPr>
        <w:tc>
          <w:tcPr>
            <w:tcW w:w="4520" w:type="dxa"/>
            <w:vAlign w:val="bottom"/>
          </w:tcPr>
          <w:p>
            <w:pPr>
              <w:ind w:left="20"/>
              <w:spacing w:after="0" w:line="201" w:lineRule="exact"/>
              <w:rPr>
                <w:sz w:val="20"/>
                <w:szCs w:val="20"/>
                <w:color w:val="auto"/>
              </w:rPr>
            </w:pPr>
            <w:r>
              <w:rPr>
                <w:rFonts w:ascii="Arial" w:cs="Arial" w:eastAsia="Arial" w:hAnsi="Arial"/>
                <w:sz w:val="18"/>
                <w:szCs w:val="18"/>
                <w:color w:val="auto"/>
                <w:w w:val="95"/>
              </w:rPr>
              <w:t>Liabilities, Accounts Payable, Accrued Expenses, Deferred</w:t>
            </w: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w:t>
            </w:r>
          </w:p>
        </w:tc>
      </w:tr>
      <w:tr>
        <w:trPr>
          <w:trHeight w:val="210"/>
        </w:trPr>
        <w:tc>
          <w:tcPr>
            <w:tcW w:w="4520" w:type="dxa"/>
            <w:vAlign w:val="bottom"/>
          </w:tcPr>
          <w:p>
            <w:pPr>
              <w:ind w:left="20"/>
              <w:spacing w:after="0"/>
              <w:rPr>
                <w:sz w:val="20"/>
                <w:szCs w:val="20"/>
                <w:color w:val="auto"/>
              </w:rPr>
            </w:pPr>
            <w:r>
              <w:rPr>
                <w:rFonts w:ascii="Arial" w:cs="Arial" w:eastAsia="Arial" w:hAnsi="Arial"/>
                <w:sz w:val="18"/>
                <w:szCs w:val="18"/>
                <w:color w:val="auto"/>
              </w:rPr>
              <w:t>Total Liabilities &amp; Equity</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7,267</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w:t>
            </w:r>
          </w:p>
        </w:tc>
      </w:tr>
      <w:tr>
        <w:trPr>
          <w:trHeight w:val="20"/>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provides summarized financial information of the Land JV for the three and nine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and 2020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780" w:type="dxa"/>
            <w:vAlign w:val="bottom"/>
            <w:gridSpan w:val="5"/>
          </w:tcPr>
          <w:p>
            <w:pPr>
              <w:ind w:left="56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0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6"/>
                <w:szCs w:val="16"/>
                <w:color w:val="auto"/>
              </w:rPr>
            </w:pPr>
          </w:p>
        </w:tc>
      </w:tr>
      <w:tr>
        <w:trPr>
          <w:trHeight w:val="234"/>
        </w:trPr>
        <w:tc>
          <w:tcPr>
            <w:tcW w:w="30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53,877</w:t>
            </w:r>
          </w:p>
        </w:tc>
        <w:tc>
          <w:tcPr>
            <w:tcW w:w="2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Direct Cost of Revenues</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(8,377)</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(11,752)</w:t>
            </w:r>
          </w:p>
        </w:tc>
        <w:tc>
          <w:tcPr>
            <w:tcW w:w="20" w:type="dxa"/>
            <w:vAlign w:val="bottom"/>
          </w:tcPr>
          <w:p>
            <w:pPr>
              <w:spacing w:after="0"/>
              <w:rPr>
                <w:sz w:val="18"/>
                <w:szCs w:val="18"/>
                <w:color w:val="auto"/>
              </w:rPr>
            </w:pPr>
          </w:p>
        </w:tc>
      </w:tr>
      <w:tr>
        <w:trPr>
          <w:trHeight w:val="209"/>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42,125</w:t>
            </w:r>
          </w:p>
        </w:tc>
        <w:tc>
          <w:tcPr>
            <w:tcW w:w="2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8"/>
                <w:szCs w:val="18"/>
                <w:color w:val="auto"/>
              </w:rPr>
            </w:pPr>
          </w:p>
        </w:tc>
      </w:tr>
      <w:tr>
        <w:trPr>
          <w:trHeight w:val="209"/>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41,746</w:t>
            </w:r>
          </w:p>
        </w:tc>
        <w:tc>
          <w:tcPr>
            <w:tcW w:w="20" w:type="dxa"/>
            <w:vAlign w:val="bottom"/>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The Company’s share of the Land JV’s net income (loss) was zero for the three and nine months ended September 30, 2021 and 2020. Pursuant to ASC 323, certain adjustments are made when calculating the Company’s share of net income, including adjustments required to reflect the investor’s share of changes in investee’s capital to reflect distributions from the venture. Additionally, basis differences are also considered. The Company recorded the retained interest in the Land JV of $48.9 million at the estimated fair market value based on the relationship of the $97.0 million sales price of the 66.5% equity interest to the 33.5% retained interest. The Land JV recorded the assets contributed by the Company at carry-over basis pursuant to ASC 845 which states that transfers of nonmonetary assets should typically be recorded at the transferor’s historical cost basis. Accordingly, the Company’s basis difference in the 33.5% retained equity interest will be evaluated each quarter upon determining the Company’s share of the Land JV’s net income. Although no adjustment was required related to the Company’s share of the Land JV’s net income for the three and nine months ended September 30, 2021 or 2020, the Company did record an impairment of $16.5 million during the three months ended June 30, 2021 on the retained equity interest as a result of the estimated proceeds to be received from the potential sale to Timberline.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i w:val="1"/>
          <w:iCs w:val="1"/>
          <w:color w:val="auto"/>
        </w:rPr>
        <w:t xml:space="preserve">Mitigation Bank. </w:t>
      </w:r>
      <w:r>
        <w:rPr>
          <w:rFonts w:ascii="Arial" w:cs="Arial" w:eastAsia="Arial" w:hAnsi="Arial"/>
          <w:sz w:val="17"/>
          <w:szCs w:val="17"/>
          <w:color w:val="auto"/>
        </w:rPr>
        <w:t>The mitigation bank transaction completed in June 2018 consisted of the sale of a 70% interest in</w:t>
      </w:r>
      <w:r>
        <w:rPr>
          <w:rFonts w:ascii="Arial" w:cs="Arial" w:eastAsia="Arial" w:hAnsi="Arial"/>
          <w:sz w:val="17"/>
          <w:szCs w:val="17"/>
          <w:i w:val="1"/>
          <w:iCs w:val="1"/>
          <w:color w:val="auto"/>
        </w:rPr>
        <w:t xml:space="preserve"> </w:t>
      </w:r>
      <w:r>
        <w:rPr>
          <w:rFonts w:ascii="Arial" w:cs="Arial" w:eastAsia="Arial" w:hAnsi="Arial"/>
          <w:sz w:val="17"/>
          <w:szCs w:val="17"/>
          <w:color w:val="auto"/>
        </w:rPr>
        <w:t>the entity that owns the Mitigation Bank (the “Mitigation Bank JV”). The purchaser of the 70% interest in the Mitigation Bank JV is comprised of certain funds and accounts managed by an investment advisor subsidiary of BlackRock, Inc. (“BlackRock”). The Company retained a 30% non-controlling interest in the Mitigation Bank JV. A third-party was retained by the Mitigation Bank JV as the day-to-day manager of the Mitigation Bank JV property, responsible for the maintenance, generation, tracking, and other aspects of wetland mitigation credits. Prior to September 30, 2021, the investment in joint ventures included on the Company’s consolidated balance sheets included $6.9 million related to the fair market value of the 30% retained interest in the Mitigation Bank JV.</w:t>
      </w:r>
    </w:p>
    <w:p>
      <w:pPr>
        <w:spacing w:after="0" w:line="178" w:lineRule="exact"/>
        <w:rPr>
          <w:sz w:val="20"/>
          <w:szCs w:val="20"/>
          <w:color w:val="auto"/>
        </w:rPr>
      </w:pPr>
    </w:p>
    <w:p>
      <w:pPr>
        <w:jc w:val="both"/>
        <w:ind w:left="60" w:right="59" w:firstLine="441"/>
        <w:spacing w:after="0" w:line="268" w:lineRule="auto"/>
        <w:rPr>
          <w:sz w:val="20"/>
          <w:szCs w:val="20"/>
          <w:color w:val="auto"/>
        </w:rPr>
      </w:pPr>
      <w:r>
        <w:rPr>
          <w:rFonts w:ascii="Arial" w:cs="Arial" w:eastAsia="Arial" w:hAnsi="Arial"/>
          <w:sz w:val="17"/>
          <w:szCs w:val="17"/>
          <w:color w:val="auto"/>
        </w:rPr>
        <w:t xml:space="preserve">On September 30, 2021, the Company, through a wholly owned and fully consolidated TRS, purchased the remaining 70% interest in the Mitigation Bank JV from BlackRock for $18.0 million (the “Interest Purchase”) resulting in a net cash payment by the Company of $16.1 million after utilizing the available cash in the Mitigation Bank JV of $1.9 million. The $16.1 million portion of the Interest Purchase was funded using available cash and the Company’s revolving credit facility. As a result of the Interest Purchase, the Mitigation Bank JV is now wholly owned by the Company and is referred to as the Mitigation Bank. Pursuant to ASU 2017-01, </w:t>
      </w:r>
      <w:r>
        <w:rPr>
          <w:rFonts w:ascii="Arial" w:cs="Arial" w:eastAsia="Arial" w:hAnsi="Arial"/>
          <w:sz w:val="17"/>
          <w:szCs w:val="17"/>
          <w:i w:val="1"/>
          <w:iCs w:val="1"/>
          <w:color w:val="auto"/>
        </w:rPr>
        <w:t>Business Combinations: Clarifying the Definition of a</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w:t>
      </w:r>
      <w:r>
        <w:rPr>
          <w:rFonts w:ascii="Arial" w:cs="Arial" w:eastAsia="Arial" w:hAnsi="Arial"/>
          <w:sz w:val="17"/>
          <w:szCs w:val="17"/>
          <w:color w:val="auto"/>
        </w:rPr>
        <w:t>, the Interest Purchase represents an asset acquisition as substantially all of the fair value of the gross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are concentrated in a group of similar identifiable assets, i.e. the mitigation credits and mitigation credit rights. Accordingly, the Company recorded the Interest Purchase by allocating the total cost of the asset group to the individual assets acquired. The Company’s total cost of the Interest Purchase totaled $24.9 million which is comprised of (i) the $18.0 million Interest Purchase and (ii) the $6.9 million previously recorded value of the retained interest in the entity that owns the Mitigation Bank. In connection with the Interest Purchase, the previously recorded value of $6.9 million of the retained interest was eliminated and the $24.9 million total cost was allocated as follows: (i) $1.8 million to cash and cash equivalents, (ii) $0.6 million to restricted cash, (iii) $0.9 million to the mitigation credits, and (iv) $21.6 million to the mitigation credit rights.</w:t>
      </w:r>
    </w:p>
    <w:p>
      <w:pPr>
        <w:spacing w:after="0" w:line="182"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During the period from June 2018 through the date of the Interest Purchase on September 30, 2021, the operations of the Mitigation Bank JV are summarized as follows. The operating agreement of the Mitigation Bank JV (the “Operating Agreement”) was executed in conjunction with the mitigation bank transaction and stipulated that the Company should have arranged for sales of the Mitigation Bank JV’s mitigation credits to unrelated third parties totaling no less than $6.0 million of revenue to the Mitigation Bank JV, net of commissions, by the end of 2020, utilizing a maximum of 60 mitigation credits (the “Minimum Sales Requirement”). The Operating Agreement stipulated that if the Minimum Sales Requirement was not achieved, then BlackRock had the right, but was not required, to cause the Company to purchase the number of mitigation credits necessary to reach the Minimum Sales Requirement (the “Minimum Sales Guarantee”). As a result of not having achieved the Minimum Sales Requirement prior to December 31, 2020, during the nine months ended September 30, 2021, the Company had active discussions with BlackRock whereby BlackRock did not cause the Company to effectuate the Minimum Sales Guarantee, rather, the Company purchased the remaining 70% interest in the Mitigation Bank JV from BlackRock.</w:t>
      </w:r>
    </w:p>
    <w:p>
      <w:pPr>
        <w:spacing w:after="0" w:line="179"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During June 2018, upon closing the Mitigation Bank JV, the Company estimated the fair value of the Minimum Sales Guarantee at $0.1 million which was recorded as a reduction in the gain on the transaction and was included in accrued and other liabilities in the Company’s consolidated balance sheet. As a result of the Interest Purchase, as of September 30, 2021, there is no remaining liability related to the Minimum Sales Guarantee.</w:t>
      </w:r>
    </w:p>
    <w:p>
      <w:pPr>
        <w:spacing w:after="0" w:line="171"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Additionally, the Operating Agreement provided BlackRock had the right to cause the Company to purchase a maximum of 8.536 mitigation credits per quarter (the “Commitment Amount”) from the Mitigation Bank JV at a price equal to 60% of the then fair market value for mitigation credits (the “Put Right”). The Put Right was applicable even if the Mitigation Bank JV had not yet been awarded a sufficient number of mitigation credits by the applicable federal and state regulatory agencies. Further, in any quarter that BlackRock did not exercise its Put Right, the unexercised Commitment Amount for the applicable quarter may have been rolled over to future calendar quarters. However, the Operating Agreement also stipulated that any amount of third-party sales of mitigation credits would reduce the Put Rights outstanding on a one-for-one basis, if the sales price of the third-party sales equaled or exceeded the prices stipulated by the Put Right. Further, any sales of mitigation credits to third parties at the requisite minimum prices in a quarter that exceeded the quarterly amount of the Put Right would reduce the Put Rights in future calendar quarters on a one-for-one basis. The initial maximum potential of future payments for the Company pursuant to the Put Right was $27.0 million. During June 2018, the Company estimated the fair value of the Put Right to be $0.2 million, which was recorded as a reduction in the gain on the transaction and was included in accrued and other liabilities in the Company’s consolidated</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balance sheet. As a result of the Interest Purchase, as of September 30, 2021, there is no remaining liability related to the Put Right.</w:t>
      </w:r>
    </w:p>
    <w:p>
      <w:pPr>
        <w:spacing w:after="0" w:line="170"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During the nine months ended September 30, 2021, BlackRock did not exercise its Put Right. During the year ended December 31, 2020, BlackRock exercised its Put Right and put 48 mitigation credits to the Company inclusive of (i) 20 mitigation credits acquired during the three months ended March 31, 2020 totaling $1.5 million, or $75,000 per credit, (ii) 20 mitigation credits acquired during the three months ended September 30, 2020 totaling $1.5 million, or $75,000 per credit, and (iii) 8 mitigation credits acquired during the three months ended December 31, 2020 totaling $0.6 million, or $75,000 per credit. For periods prior to the Interest Purchase completed on September 30, 2021, the Company evaluated the impact of the exercised Put Right on the fair value of the Company’s investment in the Mitigation Bank JV of $6.9 million, and on the fair value of the mitigation credits purchased, noting no impairment issues.</w:t>
      </w:r>
    </w:p>
    <w:p>
      <w:pPr>
        <w:spacing w:after="0" w:line="165" w:lineRule="exact"/>
        <w:rPr>
          <w:sz w:val="20"/>
          <w:szCs w:val="20"/>
          <w:color w:val="auto"/>
        </w:rPr>
      </w:pPr>
    </w:p>
    <w:p>
      <w:pPr>
        <w:jc w:val="both"/>
        <w:ind w:left="60" w:right="79" w:firstLine="441"/>
        <w:spacing w:after="0" w:line="342" w:lineRule="auto"/>
        <w:rPr>
          <w:sz w:val="20"/>
          <w:szCs w:val="20"/>
          <w:color w:val="auto"/>
        </w:rPr>
      </w:pPr>
      <w:r>
        <w:rPr>
          <w:rFonts w:ascii="Arial" w:cs="Arial" w:eastAsia="Arial" w:hAnsi="Arial"/>
          <w:sz w:val="16"/>
          <w:szCs w:val="16"/>
          <w:color w:val="auto"/>
        </w:rPr>
        <w:t>The following tables provide summarized financial information of the Mitigation Bank JV as of September 30, 2021 and December 31, 2020 (in thousands). No balances remain as of September 30, 2021 as a result of the Interest Purchase:</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ind w:left="1600"/>
              <w:spacing w:after="0"/>
              <w:rPr>
                <w:sz w:val="20"/>
                <w:szCs w:val="20"/>
                <w:color w:val="auto"/>
              </w:rPr>
            </w:pPr>
            <w:r>
              <w:rPr>
                <w:rFonts w:ascii="Arial" w:cs="Arial" w:eastAsia="Arial" w:hAnsi="Arial"/>
                <w:sz w:val="18"/>
                <w:szCs w:val="18"/>
                <w:b w:val="1"/>
                <w:bCs w:val="1"/>
                <w:color w:val="auto"/>
                <w:w w:val="88"/>
              </w:rPr>
              <w:t>As of</w:t>
            </w:r>
          </w:p>
        </w:tc>
        <w:tc>
          <w:tcPr>
            <w:tcW w:w="1680" w:type="dxa"/>
            <w:vAlign w:val="bottom"/>
            <w:tcBorders>
              <w:bottom w:val="single" w:sz="8" w:color="auto"/>
            </w:tcBorders>
          </w:tcPr>
          <w:p>
            <w:pPr>
              <w:spacing w:after="0"/>
              <w:rPr>
                <w:sz w:val="20"/>
                <w:szCs w:val="20"/>
                <w:color w:val="auto"/>
              </w:rPr>
            </w:pPr>
          </w:p>
        </w:tc>
      </w:tr>
      <w:tr>
        <w:trPr>
          <w:trHeight w:val="209"/>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Pr>
          <w:p>
            <w:pPr>
              <w:spacing w:after="0"/>
              <w:rPr>
                <w:sz w:val="18"/>
                <w:szCs w:val="18"/>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2020</w:t>
            </w: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Assets, Prepaid Expenses</w:t>
            </w:r>
          </w:p>
        </w:tc>
        <w:tc>
          <w:tcPr>
            <w:tcW w:w="120" w:type="dxa"/>
            <w:vAlign w:val="bottom"/>
          </w:tcPr>
          <w:p>
            <w:pPr>
              <w:spacing w:after="0"/>
              <w:rPr>
                <w:sz w:val="18"/>
                <w:szCs w:val="18"/>
                <w:color w:val="auto"/>
              </w:rPr>
            </w:pP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Investment in Mitigation Credit Assets</w:t>
            </w: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Assets, Property, Plant, and Equipment—Net</w:t>
            </w:r>
          </w:p>
        </w:tc>
        <w:tc>
          <w:tcPr>
            <w:tcW w:w="120" w:type="dxa"/>
            <w:vAlign w:val="bottom"/>
          </w:tcPr>
          <w:p>
            <w:pPr>
              <w:spacing w:after="0"/>
              <w:rPr>
                <w:sz w:val="18"/>
                <w:szCs w:val="18"/>
                <w:color w:val="auto"/>
              </w:rPr>
            </w:pP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Accounts Payable,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3,316</w:t>
            </w:r>
          </w:p>
        </w:tc>
      </w:tr>
      <w:tr>
        <w:trPr>
          <w:trHeight w:val="21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&amp;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summarized financial information of the Mitigation Bank JV for the three and nine</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00" w:type="dxa"/>
            <w:vAlign w:val="bottom"/>
            <w:gridSpan w:val="4"/>
          </w:tcPr>
          <w:p>
            <w:pPr>
              <w:ind w:left="20"/>
              <w:spacing w:after="0"/>
              <w:rPr>
                <w:sz w:val="20"/>
                <w:szCs w:val="20"/>
                <w:color w:val="auto"/>
              </w:rPr>
            </w:pPr>
            <w:r>
              <w:rPr>
                <w:rFonts w:ascii="Arial" w:cs="Arial" w:eastAsia="Arial" w:hAnsi="Arial"/>
                <w:sz w:val="18"/>
                <w:szCs w:val="18"/>
                <w:color w:val="auto"/>
                <w:w w:val="99"/>
              </w:rPr>
              <w:t>months ended September 30, 2021 and 2020 (in thousands):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1"/>
        </w:trPr>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380" w:type="dxa"/>
            <w:vAlign w:val="bottom"/>
            <w:gridSpan w:val="5"/>
          </w:tcPr>
          <w:p>
            <w:pPr>
              <w:ind w:left="28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520" w:type="dxa"/>
            <w:vAlign w:val="bottom"/>
          </w:tcPr>
          <w:p>
            <w:pPr>
              <w:spacing w:after="0"/>
              <w:rPr>
                <w:sz w:val="16"/>
                <w:szCs w:val="16"/>
                <w:color w:val="auto"/>
              </w:rPr>
            </w:pPr>
          </w:p>
        </w:tc>
        <w:tc>
          <w:tcPr>
            <w:tcW w:w="1380" w:type="dxa"/>
            <w:vAlign w:val="bottom"/>
            <w:tcBorders>
              <w:top w:val="single" w:sz="8" w:color="auto"/>
            </w:tcBorders>
            <w:gridSpan w:val="3"/>
          </w:tcPr>
          <w:p>
            <w:pPr>
              <w:ind w:left="80"/>
              <w:spacing w:after="0" w:line="191" w:lineRule="exact"/>
              <w:rPr>
                <w:sz w:val="20"/>
                <w:szCs w:val="20"/>
                <w:color w:val="auto"/>
              </w:rPr>
            </w:pPr>
            <w:r>
              <w:rPr>
                <w:rFonts w:ascii="Arial" w:cs="Arial" w:eastAsia="Arial" w:hAnsi="Arial"/>
                <w:sz w:val="18"/>
                <w:szCs w:val="18"/>
                <w:b w:val="1"/>
                <w:bCs w:val="1"/>
                <w:color w:val="auto"/>
              </w:rPr>
              <w:t>September 30,</w:t>
            </w:r>
          </w:p>
        </w:tc>
        <w:tc>
          <w:tcPr>
            <w:tcW w:w="12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4"/>
              </w:rPr>
              <w:t>September 30,</w:t>
            </w:r>
          </w:p>
        </w:tc>
        <w:tc>
          <w:tcPr>
            <w:tcW w:w="120" w:type="dxa"/>
            <w:vAlign w:val="bottom"/>
          </w:tcPr>
          <w:p>
            <w:pPr>
              <w:spacing w:after="0"/>
              <w:rPr>
                <w:sz w:val="16"/>
                <w:szCs w:val="16"/>
                <w:color w:val="auto"/>
              </w:rPr>
            </w:pPr>
          </w:p>
        </w:tc>
        <w:tc>
          <w:tcPr>
            <w:tcW w:w="1360" w:type="dxa"/>
            <w:vAlign w:val="bottom"/>
            <w:tcBorders>
              <w:top w:val="single" w:sz="8" w:color="auto"/>
            </w:tcBorders>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94"/>
              </w:rPr>
              <w:t>September 30,</w:t>
            </w:r>
          </w:p>
        </w:tc>
        <w:tc>
          <w:tcPr>
            <w:tcW w:w="12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6"/>
                <w:szCs w:val="16"/>
                <w:color w:val="auto"/>
              </w:rPr>
            </w:pPr>
          </w:p>
        </w:tc>
      </w:tr>
      <w:tr>
        <w:trPr>
          <w:trHeight w:val="234"/>
        </w:trPr>
        <w:tc>
          <w:tcPr>
            <w:tcW w:w="35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20" w:type="dxa"/>
            <w:vAlign w:val="bottom"/>
          </w:tcPr>
          <w:p>
            <w:pPr>
              <w:spacing w:after="0"/>
              <w:rPr>
                <w:sz w:val="18"/>
                <w:szCs w:val="18"/>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Direct Cost of Revenues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r>
      <w:tr>
        <w:trPr>
          <w:trHeight w:val="209"/>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20" w:type="dxa"/>
            <w:vAlign w:val="bottom"/>
          </w:tcPr>
          <w:p>
            <w:pPr>
              <w:spacing w:after="0"/>
              <w:rPr>
                <w:sz w:val="18"/>
                <w:szCs w:val="18"/>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r>
      <w:tr>
        <w:trPr>
          <w:trHeight w:val="210"/>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20" w:type="dxa"/>
            <w:vAlign w:val="bottom"/>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The Company’s share of the Mitigation Bank JV’s net income (loss) was zero for the three and nine months ended September 30, 2021 and 2020. Pursuant to ASC 323, certain adjustments are made when calculating the Company’s share of net income, including adjustments required to reflect the investor’s share of changes in investee’s capital to reflect distributions from the venture. Additionally, basis differences are also considered. The Company recorded the initial retained interest in the Mitigation Bank JV of $6.8 million in June 2018 at the estimated fair market value based on the relationship of the $15.3 million sales price of the 70% equity interest to the 30% retained interest. The Mitigation Bank JV recorded the assets contributed by the Company at carry-over basis pursuant to ASC 845 which states that transfers of nonmonetary assets should typically be recorded at the transferor’s historical cost basis. Accordingly, the Company’s basis difference in the 30% retained equity interest was evaluated each quarter upon determining the Company’s share of the Mitigation Bank JV’s net income. As a result of the Interest Purchase, such evaluation will no longer be required subsequent to September 30,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9. INVESTMENT SECURITIES</w:t>
      </w:r>
    </w:p>
    <w:p>
      <w:pPr>
        <w:spacing w:after="0" w:line="229"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On November 26, 2019, the Company purchased 394,737 shares of PINE common stock for a total purchase price of $7.5 million in a private placement. Also, on November 26, 2019, the Company purchased 421,053 shares of PINE common stock in the IPO for a total purchase price of $8.0 million. As of September 30, 2021, the Company owns, in the aggregate, 2.04 million shares of PINE, or 15.7% of PINE’s total shares outstanding for an investment value of $37.5 million, which total includes 1.2 million of OP Units, or 9.4%, the Company received in exchange for the contribution of certain income properties to the PINE Operating Partnership, in addition to 815,790 shares of common stock owned by the Company, or 6.3%. The Company has elected the fair value option related to the aggregate investment in securities of PINE pursuant to ASC 825, otherwise such investments would have been accounted for under the equity method.</w:t>
      </w:r>
    </w:p>
    <w:p>
      <w:pPr>
        <w:spacing w:after="0" w:line="165"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Company calculates the unrealized gain or loss based on the closing stock price of PINE at each respective balance sheet date. The unrealized, non-cash gains and losses resulting from the changes in the closing stock price of PINE are included in investment and other income (loss) in the consolidated statements of operations for the three and nine months ended September 30, 2021 and 2020.</w:t>
      </w:r>
    </w:p>
    <w:p>
      <w:pPr>
        <w:spacing w:after="0" w:line="187" w:lineRule="exact"/>
        <w:rPr>
          <w:sz w:val="20"/>
          <w:szCs w:val="20"/>
          <w:color w:val="auto"/>
        </w:rPr>
      </w:pPr>
    </w:p>
    <w:p>
      <w:pPr>
        <w:jc w:val="both"/>
        <w:ind w:left="60" w:right="59" w:firstLine="441"/>
        <w:spacing w:after="0" w:line="258" w:lineRule="auto"/>
        <w:rPr>
          <w:sz w:val="20"/>
          <w:szCs w:val="20"/>
          <w:color w:val="auto"/>
        </w:rPr>
      </w:pPr>
      <w:r>
        <w:rPr>
          <w:rFonts w:ascii="Arial" w:cs="Arial" w:eastAsia="Arial" w:hAnsi="Arial"/>
          <w:sz w:val="18"/>
          <w:szCs w:val="18"/>
          <w:color w:val="auto"/>
        </w:rPr>
        <w:t>The Company’s available-for-sale securities as of September 30, 2021 and December 31, 2020 are summarized below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138"/>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138"/>
              <w:spacing w:after="0"/>
              <w:rPr>
                <w:sz w:val="20"/>
                <w:szCs w:val="20"/>
                <w:color w:val="auto"/>
              </w:rPr>
            </w:pPr>
            <w:r>
              <w:rPr>
                <w:rFonts w:ascii="Arial" w:cs="Arial" w:eastAsia="Arial" w:hAnsi="Arial"/>
                <w:sz w:val="18"/>
                <w:szCs w:val="18"/>
                <w:b w:val="1"/>
                <w:bCs w:val="1"/>
                <w:color w:val="auto"/>
                <w:w w:val="90"/>
              </w:rPr>
              <w:t>Gains in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Losses in</w:t>
            </w:r>
          </w:p>
        </w:tc>
        <w:tc>
          <w:tcPr>
            <w:tcW w:w="18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158"/>
              <w:spacing w:after="0"/>
              <w:rPr>
                <w:sz w:val="20"/>
                <w:szCs w:val="20"/>
                <w:color w:val="auto"/>
              </w:rPr>
            </w:pPr>
            <w:r>
              <w:rPr>
                <w:rFonts w:ascii="Arial" w:cs="Arial" w:eastAsia="Arial" w:hAnsi="Arial"/>
                <w:sz w:val="18"/>
                <w:szCs w:val="18"/>
                <w:b w:val="1"/>
                <w:bCs w:val="1"/>
                <w:color w:val="auto"/>
                <w:w w:val="90"/>
              </w:rPr>
              <w:t>Investment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Investment</w:t>
            </w: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100" w:type="dxa"/>
            <w:vAlign w:val="bottom"/>
          </w:tcPr>
          <w:p>
            <w:pPr>
              <w:jc w:val="center"/>
              <w:ind w:left="158"/>
              <w:spacing w:after="0"/>
              <w:rPr>
                <w:sz w:val="20"/>
                <w:szCs w:val="20"/>
                <w:color w:val="auto"/>
              </w:rPr>
            </w:pPr>
            <w:r>
              <w:rPr>
                <w:rFonts w:ascii="Arial" w:cs="Arial" w:eastAsia="Arial" w:hAnsi="Arial"/>
                <w:sz w:val="18"/>
                <w:szCs w:val="18"/>
                <w:b w:val="1"/>
                <w:bCs w:val="1"/>
                <w:color w:val="auto"/>
                <w:w w:val="91"/>
              </w:rPr>
              <w:t>Income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Income</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(Level 1 Inputs)</w:t>
            </w:r>
          </w:p>
        </w:tc>
      </w:tr>
      <w:tr>
        <w:trPr>
          <w:trHeight w:val="21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15,500</w:t>
            </w:r>
          </w:p>
        </w:tc>
        <w:tc>
          <w:tcPr>
            <w:tcW w:w="200" w:type="dxa"/>
            <w:vAlign w:val="bottom"/>
          </w:tcPr>
          <w:p>
            <w:pPr>
              <w:spacing w:after="0"/>
              <w:rPr>
                <w:sz w:val="18"/>
                <w:szCs w:val="18"/>
                <w:color w:val="auto"/>
              </w:rPr>
            </w:pPr>
          </w:p>
        </w:tc>
        <w:tc>
          <w:tcPr>
            <w:tcW w:w="1100" w:type="dxa"/>
            <w:vAlign w:val="bottom"/>
          </w:tcPr>
          <w:p>
            <w:pPr>
              <w:jc w:val="right"/>
              <w:ind w:right="938"/>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14,986</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Units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22,482</w:t>
            </w:r>
          </w:p>
        </w:tc>
      </w:tr>
      <w:tr>
        <w:trPr>
          <w:trHeight w:val="21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 Securities</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38,753</w:t>
            </w:r>
          </w:p>
        </w:tc>
        <w:tc>
          <w:tcPr>
            <w:tcW w:w="2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37,468</w:t>
            </w: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38,753</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38"/>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37,468</w:t>
            </w:r>
          </w:p>
        </w:tc>
      </w:tr>
      <w:tr>
        <w:trPr>
          <w:trHeight w:val="20"/>
        </w:trPr>
        <w:tc>
          <w:tcPr>
            <w:tcW w:w="2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2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15,500</w:t>
            </w:r>
          </w:p>
        </w:tc>
        <w:tc>
          <w:tcPr>
            <w:tcW w:w="200" w:type="dxa"/>
            <w:vAlign w:val="bottom"/>
          </w:tcPr>
          <w:p>
            <w:pPr>
              <w:spacing w:after="0"/>
              <w:rPr>
                <w:sz w:val="18"/>
                <w:szCs w:val="18"/>
                <w:color w:val="auto"/>
              </w:rPr>
            </w:pPr>
          </w:p>
        </w:tc>
        <w:tc>
          <w:tcPr>
            <w:tcW w:w="1100" w:type="dxa"/>
            <w:vAlign w:val="bottom"/>
          </w:tcPr>
          <w:p>
            <w:pPr>
              <w:jc w:val="right"/>
              <w:ind w:right="938"/>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(3,271)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12,229</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Units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18,345</w:t>
            </w:r>
          </w:p>
        </w:tc>
      </w:tr>
      <w:tr>
        <w:trPr>
          <w:trHeight w:val="21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 Securities</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38,753</w:t>
            </w:r>
          </w:p>
        </w:tc>
        <w:tc>
          <w:tcPr>
            <w:tcW w:w="2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(8,179)</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30,574</w:t>
            </w: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38,753</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38"/>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30,574</w:t>
            </w:r>
          </w:p>
        </w:tc>
      </w:tr>
      <w:tr>
        <w:trPr>
          <w:trHeight w:val="20"/>
        </w:trPr>
        <w:tc>
          <w:tcPr>
            <w:tcW w:w="2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10. FAIR VALUE OF FINANCIAL INSTRUMENTS</w:t>
      </w:r>
    </w:p>
    <w:p>
      <w:pPr>
        <w:spacing w:after="0" w:line="229" w:lineRule="exact"/>
        <w:rPr>
          <w:sz w:val="20"/>
          <w:szCs w:val="20"/>
          <w:color w:val="auto"/>
        </w:rPr>
      </w:pPr>
    </w:p>
    <w:p>
      <w:pPr>
        <w:jc w:val="both"/>
        <w:ind w:left="60" w:right="59" w:firstLine="441"/>
        <w:spacing w:after="0" w:line="342" w:lineRule="auto"/>
        <w:rPr>
          <w:sz w:val="20"/>
          <w:szCs w:val="20"/>
          <w:color w:val="auto"/>
        </w:rPr>
      </w:pPr>
      <w:r>
        <w:rPr>
          <w:rFonts w:ascii="Arial" w:cs="Arial" w:eastAsia="Arial" w:hAnsi="Arial"/>
          <w:sz w:val="16"/>
          <w:szCs w:val="16"/>
          <w:color w:val="auto"/>
        </w:rPr>
        <w:t>The following table presents the carrying value and estimated fair value of the Company’s financial instruments not carried at fair value on the consolidated balance sheets at September 30, 2021 and December 31, 2020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Pr>
          <w:p>
            <w:pPr>
              <w:spacing w:after="0"/>
              <w:rPr>
                <w:sz w:val="20"/>
                <w:szCs w:val="20"/>
                <w:color w:val="auto"/>
              </w:rPr>
            </w:pPr>
          </w:p>
        </w:tc>
        <w:tc>
          <w:tcPr>
            <w:tcW w:w="22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39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7"/>
              </w:rPr>
              <w:t>Carrying</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Estimated</w:t>
            </w:r>
          </w:p>
        </w:tc>
      </w:tr>
      <w:tr>
        <w:trPr>
          <w:trHeight w:val="234"/>
        </w:trPr>
        <w:tc>
          <w:tcPr>
            <w:tcW w:w="3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 Level 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Restricted Cash - Level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68,546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68,546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29,536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29,536</w:t>
            </w:r>
          </w:p>
        </w:tc>
      </w:tr>
      <w:tr>
        <w:trPr>
          <w:trHeight w:val="202"/>
        </w:trPr>
        <w:tc>
          <w:tcPr>
            <w:tcW w:w="39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Commercial Loan and Master Lease Investments -</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38,318</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Long-Term Debt - Level 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229,894</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237,291</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273,830</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282,884</w:t>
            </w:r>
          </w:p>
        </w:tc>
      </w:tr>
    </w:tbl>
    <w:p>
      <w:pPr>
        <w:spacing w:after="0" w:line="187"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the fair value of assets (liabilities) measured on a recurring basis by level as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and December 31, 2020 (in thousands):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7"/>
          </w:tcPr>
          <w:p>
            <w:pPr>
              <w:jc w:val="center"/>
              <w:ind w:right="24"/>
              <w:spacing w:after="0"/>
              <w:rPr>
                <w:sz w:val="20"/>
                <w:szCs w:val="20"/>
                <w:color w:val="auto"/>
              </w:rPr>
            </w:pPr>
            <w:r>
              <w:rPr>
                <w:rFonts w:ascii="Arial" w:cs="Arial" w:eastAsia="Arial" w:hAnsi="Arial"/>
                <w:sz w:val="15"/>
                <w:szCs w:val="15"/>
                <w:b w:val="1"/>
                <w:bCs w:val="1"/>
                <w:color w:val="auto"/>
                <w:w w:val="94"/>
              </w:rPr>
              <w:t>Fair Value at Reporting Date Using</w:t>
            </w:r>
          </w:p>
        </w:tc>
      </w:tr>
      <w:tr>
        <w:trPr>
          <w:trHeight w:val="138"/>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center"/>
              <w:ind w:right="140"/>
              <w:spacing w:after="0" w:line="138" w:lineRule="exact"/>
              <w:rPr>
                <w:sz w:val="20"/>
                <w:szCs w:val="20"/>
                <w:color w:val="auto"/>
              </w:rPr>
            </w:pPr>
            <w:r>
              <w:rPr>
                <w:rFonts w:ascii="Arial" w:cs="Arial" w:eastAsia="Arial" w:hAnsi="Arial"/>
                <w:sz w:val="15"/>
                <w:szCs w:val="15"/>
                <w:b w:val="1"/>
                <w:bCs w:val="1"/>
                <w:color w:val="auto"/>
                <w:w w:val="90"/>
              </w:rPr>
              <w:t>Quoted Prices</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2"/>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2"/>
              </w:rPr>
              <w:t>in Active</w:t>
            </w:r>
          </w:p>
        </w:tc>
        <w:tc>
          <w:tcPr>
            <w:tcW w:w="12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12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4"/>
              </w:rPr>
              <w:t>Other</w:t>
            </w:r>
          </w:p>
        </w:tc>
        <w:tc>
          <w:tcPr>
            <w:tcW w:w="80" w:type="dxa"/>
            <w:vAlign w:val="bottom"/>
          </w:tcPr>
          <w:p>
            <w:pPr>
              <w:spacing w:after="0"/>
              <w:rPr>
                <w:sz w:val="14"/>
                <w:szCs w:val="14"/>
                <w:color w:val="auto"/>
              </w:rPr>
            </w:pPr>
          </w:p>
        </w:tc>
        <w:tc>
          <w:tcPr>
            <w:tcW w:w="980" w:type="dxa"/>
            <w:vAlign w:val="bottom"/>
          </w:tcPr>
          <w:p>
            <w:pPr>
              <w:ind w:left="100"/>
              <w:spacing w:after="0" w:line="162" w:lineRule="exact"/>
              <w:rPr>
                <w:sz w:val="20"/>
                <w:szCs w:val="20"/>
                <w:color w:val="auto"/>
              </w:rPr>
            </w:pPr>
            <w:r>
              <w:rPr>
                <w:rFonts w:ascii="Arial" w:cs="Arial" w:eastAsia="Arial" w:hAnsi="Arial"/>
                <w:sz w:val="15"/>
                <w:szCs w:val="15"/>
                <w:b w:val="1"/>
                <w:bCs w:val="1"/>
                <w:color w:val="auto"/>
              </w:rPr>
              <w:t>Significant</w:t>
            </w:r>
          </w:p>
        </w:tc>
      </w:tr>
      <w:tr>
        <w:trPr>
          <w:trHeight w:val="162"/>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Identical Assets</w:t>
            </w:r>
          </w:p>
        </w:tc>
        <w:tc>
          <w:tcPr>
            <w:tcW w:w="12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0"/>
              </w:rPr>
              <w:t>Observable</w:t>
            </w:r>
          </w:p>
        </w:tc>
        <w:tc>
          <w:tcPr>
            <w:tcW w:w="80" w:type="dxa"/>
            <w:vAlign w:val="bottom"/>
          </w:tcPr>
          <w:p>
            <w:pPr>
              <w:spacing w:after="0"/>
              <w:rPr>
                <w:sz w:val="14"/>
                <w:szCs w:val="14"/>
                <w:color w:val="auto"/>
              </w:rPr>
            </w:pPr>
          </w:p>
        </w:tc>
        <w:tc>
          <w:tcPr>
            <w:tcW w:w="980" w:type="dxa"/>
            <w:vAlign w:val="bottom"/>
          </w:tcPr>
          <w:p>
            <w:pPr>
              <w:spacing w:after="0" w:line="162" w:lineRule="exact"/>
              <w:rPr>
                <w:sz w:val="20"/>
                <w:szCs w:val="20"/>
                <w:color w:val="auto"/>
              </w:rPr>
            </w:pPr>
            <w:r>
              <w:rPr>
                <w:rFonts w:ascii="Arial" w:cs="Arial" w:eastAsia="Arial" w:hAnsi="Arial"/>
                <w:sz w:val="15"/>
                <w:szCs w:val="15"/>
                <w:b w:val="1"/>
                <w:bCs w:val="1"/>
                <w:color w:val="auto"/>
                <w:w w:val="96"/>
              </w:rPr>
              <w:t>Unobservable</w:t>
            </w:r>
          </w:p>
        </w:tc>
      </w:tr>
      <w:tr>
        <w:trPr>
          <w:trHeight w:val="179"/>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7"/>
              </w:rPr>
              <w:t>Fair Value</w:t>
            </w:r>
          </w:p>
        </w:tc>
        <w:tc>
          <w:tcPr>
            <w:tcW w:w="12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(Level 1)</w:t>
            </w:r>
          </w:p>
        </w:tc>
        <w:tc>
          <w:tcPr>
            <w:tcW w:w="1220" w:type="dxa"/>
            <w:vAlign w:val="bottom"/>
            <w:gridSpan w:val="3"/>
          </w:tcPr>
          <w:p>
            <w:pPr>
              <w:ind w:left="20"/>
              <w:spacing w:after="0"/>
              <w:rPr>
                <w:sz w:val="20"/>
                <w:szCs w:val="20"/>
                <w:color w:val="auto"/>
              </w:rPr>
            </w:pPr>
            <w:r>
              <w:rPr>
                <w:rFonts w:ascii="Arial" w:cs="Arial" w:eastAsia="Arial" w:hAnsi="Arial"/>
                <w:sz w:val="15"/>
                <w:szCs w:val="15"/>
                <w:b w:val="1"/>
                <w:bCs w:val="1"/>
                <w:color w:val="auto"/>
              </w:rPr>
              <w:t>Inputs (Level 2)</w:t>
            </w:r>
          </w:p>
        </w:tc>
        <w:tc>
          <w:tcPr>
            <w:tcW w:w="1060" w:type="dxa"/>
            <w:vAlign w:val="bottom"/>
            <w:gridSpan w:val="2"/>
          </w:tcPr>
          <w:p>
            <w:pPr>
              <w:ind w:left="20"/>
              <w:spacing w:after="0"/>
              <w:rPr>
                <w:sz w:val="20"/>
                <w:szCs w:val="20"/>
                <w:color w:val="auto"/>
              </w:rPr>
            </w:pPr>
            <w:r>
              <w:rPr>
                <w:rFonts w:ascii="Arial" w:cs="Arial" w:eastAsia="Arial" w:hAnsi="Arial"/>
                <w:sz w:val="15"/>
                <w:szCs w:val="15"/>
                <w:b w:val="1"/>
                <w:bCs w:val="1"/>
                <w:color w:val="auto"/>
                <w:w w:val="92"/>
              </w:rPr>
              <w:t>Inputs (Level 3)</w:t>
            </w:r>
          </w:p>
        </w:tc>
      </w:tr>
      <w:tr>
        <w:trPr>
          <w:trHeight w:val="155"/>
        </w:trPr>
        <w:tc>
          <w:tcPr>
            <w:tcW w:w="43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September 30, 2021</w:t>
            </w: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162"/>
        </w:trPr>
        <w:tc>
          <w:tcPr>
            <w:tcW w:w="4300" w:type="dxa"/>
            <w:vAlign w:val="bottom"/>
          </w:tcPr>
          <w:p>
            <w:pPr>
              <w:ind w:left="120"/>
              <w:spacing w:after="0" w:line="162" w:lineRule="exact"/>
              <w:rPr>
                <w:sz w:val="20"/>
                <w:szCs w:val="20"/>
                <w:color w:val="auto"/>
              </w:rPr>
            </w:pPr>
            <w:r>
              <w:rPr>
                <w:rFonts w:ascii="Arial" w:cs="Arial" w:eastAsia="Arial" w:hAnsi="Arial"/>
                <w:sz w:val="13"/>
                <w:szCs w:val="13"/>
                <w:color w:val="auto"/>
              </w:rPr>
              <w:t xml:space="preserve">Cash Flow Hedge - Credit Facility Interest Rate Swap </w:t>
            </w:r>
            <w:r>
              <w:rPr>
                <w:rFonts w:ascii="Arial" w:cs="Arial" w:eastAsia="Arial" w:hAnsi="Arial"/>
                <w:sz w:val="18"/>
                <w:szCs w:val="18"/>
                <w:color w:val="auto"/>
                <w:vertAlign w:val="superscript"/>
              </w:rPr>
              <w:t>(1)</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(736)</w:t>
            </w:r>
          </w:p>
        </w:tc>
        <w:tc>
          <w:tcPr>
            <w:tcW w:w="120" w:type="dxa"/>
            <w:vAlign w:val="bottom"/>
          </w:tcPr>
          <w:p>
            <w:pPr>
              <w:ind w:left="20"/>
              <w:spacing w:after="0" w:line="162" w:lineRule="exact"/>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(736)</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tcPr>
          <w:p>
            <w:pPr>
              <w:ind w:left="780"/>
              <w:spacing w:after="0" w:line="162" w:lineRule="exact"/>
              <w:rPr>
                <w:sz w:val="20"/>
                <w:szCs w:val="20"/>
                <w:color w:val="auto"/>
              </w:rPr>
            </w:pPr>
            <w:r>
              <w:rPr>
                <w:rFonts w:ascii="Arial" w:cs="Arial" w:eastAsia="Arial" w:hAnsi="Arial"/>
                <w:sz w:val="15"/>
                <w:szCs w:val="15"/>
                <w:color w:val="auto"/>
              </w:rPr>
              <w:t>—</w:t>
            </w:r>
          </w:p>
        </w:tc>
      </w:tr>
      <w:tr>
        <w:trPr>
          <w:trHeight w:val="162"/>
        </w:trPr>
        <w:tc>
          <w:tcPr>
            <w:tcW w:w="4300" w:type="dxa"/>
            <w:vAlign w:val="bottom"/>
            <w:shd w:val="clear" w:color="auto" w:fill="CCEEFF"/>
          </w:tcPr>
          <w:p>
            <w:pPr>
              <w:ind w:left="120"/>
              <w:spacing w:after="0" w:line="162" w:lineRule="exact"/>
              <w:rPr>
                <w:sz w:val="20"/>
                <w:szCs w:val="20"/>
                <w:color w:val="auto"/>
              </w:rPr>
            </w:pPr>
            <w:r>
              <w:rPr>
                <w:rFonts w:ascii="Arial" w:cs="Arial" w:eastAsia="Arial" w:hAnsi="Arial"/>
                <w:sz w:val="13"/>
                <w:szCs w:val="13"/>
                <w:color w:val="auto"/>
              </w:rPr>
              <w:t xml:space="preserve">Cash Flow Hedge - 2026 Term Loan Interest Rate Swap </w:t>
            </w:r>
            <w:r>
              <w:rPr>
                <w:rFonts w:ascii="Arial" w:cs="Arial" w:eastAsia="Arial" w:hAnsi="Arial"/>
                <w:sz w:val="18"/>
                <w:szCs w:val="18"/>
                <w:color w:val="auto"/>
                <w:vertAlign w:val="superscript"/>
              </w:rPr>
              <w:t>(2)</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80"/>
              <w:spacing w:after="0" w:line="162" w:lineRule="exact"/>
              <w:rPr>
                <w:sz w:val="20"/>
                <w:szCs w:val="20"/>
                <w:color w:val="auto"/>
              </w:rPr>
            </w:pPr>
            <w:r>
              <w:rPr>
                <w:rFonts w:ascii="Arial" w:cs="Arial" w:eastAsia="Arial" w:hAnsi="Arial"/>
                <w:sz w:val="15"/>
                <w:szCs w:val="15"/>
                <w:color w:val="auto"/>
              </w:rPr>
              <w:t>—</w:t>
            </w:r>
          </w:p>
        </w:tc>
      </w:tr>
      <w:tr>
        <w:trPr>
          <w:trHeight w:val="162"/>
        </w:trPr>
        <w:tc>
          <w:tcPr>
            <w:tcW w:w="4300" w:type="dxa"/>
            <w:vAlign w:val="bottom"/>
          </w:tcPr>
          <w:p>
            <w:pPr>
              <w:ind w:left="120"/>
              <w:spacing w:after="0" w:line="162" w:lineRule="exact"/>
              <w:rPr>
                <w:sz w:val="20"/>
                <w:szCs w:val="20"/>
                <w:color w:val="auto"/>
              </w:rPr>
            </w:pPr>
            <w:r>
              <w:rPr>
                <w:rFonts w:ascii="Arial" w:cs="Arial" w:eastAsia="Arial" w:hAnsi="Arial"/>
                <w:sz w:val="13"/>
                <w:szCs w:val="13"/>
                <w:color w:val="auto"/>
              </w:rPr>
              <w:t xml:space="preserve">Cash Flow Hedge - 2026 Term Loan Interest Rate Swap </w:t>
            </w:r>
            <w:r>
              <w:rPr>
                <w:rFonts w:ascii="Arial" w:cs="Arial" w:eastAsia="Arial" w:hAnsi="Arial"/>
                <w:sz w:val="18"/>
                <w:szCs w:val="18"/>
                <w:color w:val="auto"/>
                <w:vertAlign w:val="superscript"/>
              </w:rPr>
              <w:t>(3)</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51</w:t>
            </w:r>
          </w:p>
        </w:tc>
        <w:tc>
          <w:tcPr>
            <w:tcW w:w="160" w:type="dxa"/>
            <w:vAlign w:val="bottom"/>
          </w:tcPr>
          <w:p>
            <w:pPr>
              <w:spacing w:after="0"/>
              <w:rPr>
                <w:sz w:val="14"/>
                <w:szCs w:val="14"/>
                <w:color w:val="auto"/>
              </w:rPr>
            </w:pPr>
          </w:p>
        </w:tc>
        <w:tc>
          <w:tcPr>
            <w:tcW w:w="120" w:type="dxa"/>
            <w:vAlign w:val="bottom"/>
          </w:tcPr>
          <w:p>
            <w:pPr>
              <w:ind w:left="20"/>
              <w:spacing w:after="0" w:line="162" w:lineRule="exact"/>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51</w:t>
            </w:r>
          </w:p>
        </w:tc>
        <w:tc>
          <w:tcPr>
            <w:tcW w:w="160" w:type="dxa"/>
            <w:vAlign w:val="bottom"/>
          </w:tcPr>
          <w:p>
            <w:pPr>
              <w:spacing w:after="0"/>
              <w:rPr>
                <w:sz w:val="14"/>
                <w:szCs w:val="14"/>
                <w:color w:val="auto"/>
              </w:rPr>
            </w:pP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tcPr>
          <w:p>
            <w:pPr>
              <w:ind w:left="780"/>
              <w:spacing w:after="0" w:line="162" w:lineRule="exact"/>
              <w:rPr>
                <w:sz w:val="20"/>
                <w:szCs w:val="20"/>
                <w:color w:val="auto"/>
              </w:rPr>
            </w:pPr>
            <w:r>
              <w:rPr>
                <w:rFonts w:ascii="Arial" w:cs="Arial" w:eastAsia="Arial" w:hAnsi="Arial"/>
                <w:sz w:val="15"/>
                <w:szCs w:val="15"/>
                <w:color w:val="auto"/>
              </w:rPr>
              <w:t>—</w:t>
            </w:r>
          </w:p>
        </w:tc>
      </w:tr>
      <w:tr>
        <w:trPr>
          <w:trHeight w:val="162"/>
        </w:trPr>
        <w:tc>
          <w:tcPr>
            <w:tcW w:w="43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Investment Securities</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37,468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37,468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80"/>
              <w:spacing w:after="0" w:line="162" w:lineRule="exact"/>
              <w:rPr>
                <w:sz w:val="20"/>
                <w:szCs w:val="20"/>
                <w:color w:val="auto"/>
              </w:rPr>
            </w:pPr>
            <w:r>
              <w:rPr>
                <w:rFonts w:ascii="Arial" w:cs="Arial" w:eastAsia="Arial" w:hAnsi="Arial"/>
                <w:sz w:val="15"/>
                <w:szCs w:val="15"/>
                <w:color w:val="auto"/>
              </w:rPr>
              <w:t>—</w:t>
            </w:r>
          </w:p>
        </w:tc>
      </w:tr>
      <w:tr>
        <w:trPr>
          <w:trHeight w:val="162"/>
        </w:trPr>
        <w:tc>
          <w:tcPr>
            <w:tcW w:w="4300" w:type="dxa"/>
            <w:vAlign w:val="bottom"/>
          </w:tcPr>
          <w:p>
            <w:pPr>
              <w:ind w:left="20"/>
              <w:spacing w:after="0" w:line="162" w:lineRule="exact"/>
              <w:rPr>
                <w:sz w:val="20"/>
                <w:szCs w:val="20"/>
                <w:color w:val="auto"/>
              </w:rPr>
            </w:pPr>
            <w:r>
              <w:rPr>
                <w:rFonts w:ascii="Arial" w:cs="Arial" w:eastAsia="Arial" w:hAnsi="Arial"/>
                <w:sz w:val="15"/>
                <w:szCs w:val="15"/>
                <w:b w:val="1"/>
                <w:bCs w:val="1"/>
                <w:color w:val="auto"/>
              </w:rPr>
              <w:t>December 31, 2020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300" w:type="dxa"/>
            <w:vAlign w:val="bottom"/>
            <w:shd w:val="clear" w:color="auto" w:fill="CCEEFF"/>
          </w:tcPr>
          <w:p>
            <w:pPr>
              <w:ind w:left="120"/>
              <w:spacing w:after="0" w:line="162" w:lineRule="exact"/>
              <w:rPr>
                <w:sz w:val="20"/>
                <w:szCs w:val="20"/>
                <w:color w:val="auto"/>
              </w:rPr>
            </w:pPr>
            <w:r>
              <w:rPr>
                <w:rFonts w:ascii="Arial" w:cs="Arial" w:eastAsia="Arial" w:hAnsi="Arial"/>
                <w:sz w:val="13"/>
                <w:szCs w:val="13"/>
                <w:color w:val="auto"/>
              </w:rPr>
              <w:t xml:space="preserve">Cash Flow Hedge - Credit Facility Interest Rate Swap </w:t>
            </w:r>
            <w:r>
              <w:rPr>
                <w:rFonts w:ascii="Arial" w:cs="Arial" w:eastAsia="Arial" w:hAnsi="Arial"/>
                <w:sz w:val="18"/>
                <w:szCs w:val="18"/>
                <w:color w:val="auto"/>
                <w:vertAlign w:val="superscript"/>
              </w:rPr>
              <w:t>(1)</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(1,772)</w:t>
            </w:r>
          </w:p>
        </w:tc>
        <w:tc>
          <w:tcPr>
            <w:tcW w:w="12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(1,772)</w:t>
            </w: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80"/>
              <w:spacing w:after="0" w:line="162" w:lineRule="exact"/>
              <w:rPr>
                <w:sz w:val="20"/>
                <w:szCs w:val="20"/>
                <w:color w:val="auto"/>
              </w:rPr>
            </w:pPr>
            <w:r>
              <w:rPr>
                <w:rFonts w:ascii="Arial" w:cs="Arial" w:eastAsia="Arial" w:hAnsi="Arial"/>
                <w:sz w:val="15"/>
                <w:szCs w:val="15"/>
                <w:color w:val="auto"/>
              </w:rPr>
              <w:t>—</w:t>
            </w:r>
          </w:p>
        </w:tc>
      </w:tr>
      <w:tr>
        <w:trPr>
          <w:trHeight w:val="162"/>
        </w:trPr>
        <w:tc>
          <w:tcPr>
            <w:tcW w:w="4300" w:type="dxa"/>
            <w:vAlign w:val="bottom"/>
          </w:tcPr>
          <w:p>
            <w:pPr>
              <w:ind w:left="120"/>
              <w:spacing w:after="0" w:line="162" w:lineRule="exact"/>
              <w:rPr>
                <w:sz w:val="20"/>
                <w:szCs w:val="20"/>
                <w:color w:val="auto"/>
              </w:rPr>
            </w:pPr>
            <w:r>
              <w:rPr>
                <w:rFonts w:ascii="Arial" w:cs="Arial" w:eastAsia="Arial" w:hAnsi="Arial"/>
                <w:sz w:val="13"/>
                <w:szCs w:val="13"/>
                <w:color w:val="auto"/>
              </w:rPr>
              <w:t xml:space="preserve">Cash Flow Hedge - 2026 Term Loan Interest Rate Swap </w:t>
            </w:r>
            <w:r>
              <w:rPr>
                <w:rFonts w:ascii="Arial" w:cs="Arial" w:eastAsia="Arial" w:hAnsi="Arial"/>
                <w:sz w:val="18"/>
                <w:szCs w:val="18"/>
                <w:color w:val="auto"/>
                <w:vertAlign w:val="superscript"/>
              </w:rPr>
              <w:t>(2)</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(50)</w:t>
            </w:r>
          </w:p>
        </w:tc>
        <w:tc>
          <w:tcPr>
            <w:tcW w:w="120" w:type="dxa"/>
            <w:vAlign w:val="bottom"/>
          </w:tcPr>
          <w:p>
            <w:pPr>
              <w:ind w:left="20"/>
              <w:spacing w:after="0" w:line="162" w:lineRule="exact"/>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(50)</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tcPr>
          <w:p>
            <w:pPr>
              <w:ind w:left="780"/>
              <w:spacing w:after="0" w:line="162" w:lineRule="exact"/>
              <w:rPr>
                <w:sz w:val="20"/>
                <w:szCs w:val="20"/>
                <w:color w:val="auto"/>
              </w:rPr>
            </w:pPr>
            <w:r>
              <w:rPr>
                <w:rFonts w:ascii="Arial" w:cs="Arial" w:eastAsia="Arial" w:hAnsi="Arial"/>
                <w:sz w:val="15"/>
                <w:szCs w:val="15"/>
                <w:color w:val="auto"/>
              </w:rPr>
              <w:t>—</w:t>
            </w:r>
          </w:p>
        </w:tc>
      </w:tr>
      <w:tr>
        <w:trPr>
          <w:trHeight w:val="162"/>
        </w:trPr>
        <w:tc>
          <w:tcPr>
            <w:tcW w:w="4300" w:type="dxa"/>
            <w:vAlign w:val="bottom"/>
            <w:shd w:val="clear" w:color="auto" w:fill="CCEEFF"/>
          </w:tcPr>
          <w:p>
            <w:pPr>
              <w:ind w:left="120"/>
              <w:spacing w:after="0" w:line="162" w:lineRule="exact"/>
              <w:rPr>
                <w:sz w:val="20"/>
                <w:szCs w:val="20"/>
                <w:color w:val="auto"/>
              </w:rPr>
            </w:pPr>
            <w:r>
              <w:rPr>
                <w:rFonts w:ascii="Arial" w:cs="Arial" w:eastAsia="Arial" w:hAnsi="Arial"/>
                <w:sz w:val="13"/>
                <w:szCs w:val="13"/>
                <w:color w:val="auto"/>
              </w:rPr>
              <w:t xml:space="preserve">Cash Flow Hedge - Mortgage Note Payable Interest Rate Swap </w:t>
            </w:r>
            <w:r>
              <w:rPr>
                <w:rFonts w:ascii="Arial" w:cs="Arial" w:eastAsia="Arial" w:hAnsi="Arial"/>
                <w:sz w:val="18"/>
                <w:szCs w:val="18"/>
                <w:color w:val="auto"/>
                <w:vertAlign w:val="superscript"/>
              </w:rPr>
              <w:t>(4)</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(88)</w:t>
            </w:r>
          </w:p>
        </w:tc>
        <w:tc>
          <w:tcPr>
            <w:tcW w:w="12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(88)</w:t>
            </w: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80"/>
              <w:spacing w:after="0" w:line="162" w:lineRule="exact"/>
              <w:rPr>
                <w:sz w:val="20"/>
                <w:szCs w:val="20"/>
                <w:color w:val="auto"/>
              </w:rPr>
            </w:pPr>
            <w:r>
              <w:rPr>
                <w:rFonts w:ascii="Arial" w:cs="Arial" w:eastAsia="Arial" w:hAnsi="Arial"/>
                <w:sz w:val="15"/>
                <w:szCs w:val="15"/>
                <w:color w:val="auto"/>
              </w:rPr>
              <w:t>—</w:t>
            </w:r>
          </w:p>
        </w:tc>
      </w:tr>
      <w:tr>
        <w:trPr>
          <w:trHeight w:val="194"/>
        </w:trPr>
        <w:tc>
          <w:tcPr>
            <w:tcW w:w="4300" w:type="dxa"/>
            <w:vAlign w:val="bottom"/>
          </w:tcPr>
          <w:p>
            <w:pPr>
              <w:ind w:left="120"/>
              <w:spacing w:after="0"/>
              <w:rPr>
                <w:sz w:val="20"/>
                <w:szCs w:val="20"/>
                <w:color w:val="auto"/>
              </w:rPr>
            </w:pPr>
            <w:r>
              <w:rPr>
                <w:rFonts w:ascii="Arial" w:cs="Arial" w:eastAsia="Arial" w:hAnsi="Arial"/>
                <w:sz w:val="15"/>
                <w:szCs w:val="15"/>
                <w:color w:val="auto"/>
              </w:rPr>
              <w:t>Investment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30,574</w:t>
            </w:r>
          </w:p>
        </w:tc>
        <w:tc>
          <w:tcPr>
            <w:tcW w:w="16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30,574</w:t>
            </w:r>
          </w:p>
        </w:tc>
        <w:tc>
          <w:tcPr>
            <w:tcW w:w="16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78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14141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45" w:lineRule="exact"/>
        <w:rPr>
          <w:sz w:val="20"/>
          <w:szCs w:val="20"/>
          <w:color w:val="auto"/>
        </w:rPr>
      </w:pPr>
    </w:p>
    <w:p>
      <w:pPr>
        <w:ind w:left="380" w:right="79" w:hanging="330"/>
        <w:spacing w:after="0" w:line="184" w:lineRule="auto"/>
        <w:tabs>
          <w:tab w:leader="none" w:pos="380" w:val="left"/>
        </w:tabs>
        <w:numPr>
          <w:ilvl w:val="0"/>
          <w:numId w:val="10"/>
        </w:numPr>
        <w:rPr>
          <w:rFonts w:ascii="Arial" w:cs="Arial" w:eastAsia="Arial" w:hAnsi="Arial"/>
          <w:sz w:val="22"/>
          <w:szCs w:val="22"/>
          <w:color w:val="auto"/>
          <w:vertAlign w:val="superscript"/>
        </w:rPr>
      </w:pPr>
      <w:r>
        <w:rPr>
          <w:rFonts w:ascii="Arial" w:cs="Arial" w:eastAsia="Arial" w:hAnsi="Arial"/>
          <w:sz w:val="13"/>
          <w:szCs w:val="13"/>
          <w:color w:val="auto"/>
        </w:rPr>
        <w:t>Effective March 31, 2020, the Company utilized an interest rate swap to fix LIBOR and achieve a fixed interest rate of 0.73% plus the applicable spread on $100.0 million of the outstanding balance on the Credit Facility, hereinafter defined.</w:t>
      </w:r>
    </w:p>
    <w:p>
      <w:pPr>
        <w:ind w:left="380" w:right="79" w:hanging="330"/>
        <w:spacing w:after="0" w:line="182" w:lineRule="auto"/>
        <w:tabs>
          <w:tab w:leader="none" w:pos="380"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Effective March 10, 2021, the Company redesignated the interest rate swap, entered into as of August 31, 2020, to fix LIBOR and achieve a fixed interest rate of 0.22% plus the applicable spread on $50.0 million outstanding principal balance on the 2026 Term Loan, hereinafter defined.</w:t>
      </w:r>
    </w:p>
    <w:p>
      <w:pPr>
        <w:ind w:left="380" w:right="79" w:hanging="330"/>
        <w:spacing w:after="0" w:line="182" w:lineRule="auto"/>
        <w:tabs>
          <w:tab w:leader="none" w:pos="380"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Effective August 31, 2021, the Company utilized an interest rate swap to fix LIBOR and achieve a fixed interest rate of 0.77% plus the applicable spread on the remaining $15.0 million outstanding principal balance on the 2026 Term Loan, hereinafter defined.</w:t>
      </w:r>
    </w:p>
    <w:p>
      <w:pPr>
        <w:ind w:left="380" w:right="79" w:hanging="330"/>
        <w:spacing w:after="0" w:line="190" w:lineRule="auto"/>
        <w:tabs>
          <w:tab w:leader="none" w:pos="380" w:val="left"/>
        </w:tabs>
        <w:numPr>
          <w:ilvl w:val="0"/>
          <w:numId w:val="10"/>
        </w:numPr>
        <w:rPr>
          <w:rFonts w:ascii="Arial" w:cs="Arial" w:eastAsia="Arial" w:hAnsi="Arial"/>
          <w:sz w:val="22"/>
          <w:szCs w:val="22"/>
          <w:color w:val="auto"/>
          <w:vertAlign w:val="superscript"/>
        </w:rPr>
      </w:pPr>
      <w:r>
        <w:rPr>
          <w:rFonts w:ascii="Arial" w:cs="Arial" w:eastAsia="Arial" w:hAnsi="Arial"/>
          <w:sz w:val="13"/>
          <w:szCs w:val="13"/>
          <w:color w:val="auto"/>
        </w:rPr>
        <w:t>Effective March 12, 2021, in connection with the payoff of the $23.2 million variable-rate mortgage loan secured by Wells Fargo Raleigh, the interest rate swap was terminated.</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assets were measured on a non-recurring basis as of September 30, 2021 or December 31, 2020.</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11. INTANGIBLE LEASE ASSETS AND LIABILITIES</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September 30, 2021 and December 31, 2020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180" w:type="dxa"/>
            <w:vAlign w:val="bottom"/>
          </w:tcPr>
          <w:p>
            <w:pPr>
              <w:spacing w:after="0"/>
              <w:rPr>
                <w:sz w:val="16"/>
                <w:szCs w:val="16"/>
                <w:color w:val="auto"/>
              </w:rPr>
            </w:pPr>
          </w:p>
        </w:tc>
        <w:tc>
          <w:tcPr>
            <w:tcW w:w="134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2"/>
              </w:rPr>
              <w:t>December 31,</w:t>
            </w:r>
          </w:p>
        </w:tc>
        <w:tc>
          <w:tcPr>
            <w:tcW w:w="20" w:type="dxa"/>
            <w:vAlign w:val="bottom"/>
          </w:tcPr>
          <w:p>
            <w:pPr>
              <w:spacing w:after="0"/>
              <w:rPr>
                <w:sz w:val="16"/>
                <w:szCs w:val="16"/>
                <w:color w:val="auto"/>
              </w:rPr>
            </w:pPr>
          </w:p>
        </w:tc>
      </w:tr>
      <w:tr>
        <w:trPr>
          <w:trHeight w:val="234"/>
        </w:trPr>
        <w:tc>
          <w:tcPr>
            <w:tcW w:w="56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Value of In-Place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50,081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44,558</w:t>
            </w:r>
          </w:p>
        </w:tc>
        <w:tc>
          <w:tcPr>
            <w:tcW w:w="20" w:type="dxa"/>
            <w:vAlign w:val="bottom"/>
          </w:tcPr>
          <w:p>
            <w:pPr>
              <w:spacing w:after="0"/>
              <w:rPr>
                <w:sz w:val="18"/>
                <w:szCs w:val="18"/>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Above Market In-Place Leases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w:t>
            </w:r>
          </w:p>
        </w:tc>
        <w:tc>
          <w:tcPr>
            <w:tcW w:w="20" w:type="dxa"/>
            <w:vAlign w:val="bottom"/>
          </w:tcPr>
          <w:p>
            <w:pPr>
              <w:spacing w:after="0"/>
              <w:rPr>
                <w:sz w:val="18"/>
                <w:szCs w:val="18"/>
                <w:color w:val="auto"/>
              </w:rPr>
            </w:pPr>
          </w:p>
        </w:tc>
      </w:tr>
      <w:tr>
        <w:trPr>
          <w:trHeight w:val="216"/>
        </w:trPr>
        <w:tc>
          <w:tcPr>
            <w:tcW w:w="5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Value of Intangible Leasing Costs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w:t>
            </w:r>
          </w:p>
        </w:tc>
        <w:tc>
          <w:tcPr>
            <w:tcW w:w="20" w:type="dxa"/>
            <w:vAlign w:val="bottom"/>
          </w:tcPr>
          <w:p>
            <w:pPr>
              <w:spacing w:after="0"/>
              <w:rPr>
                <w:sz w:val="18"/>
                <w:szCs w:val="18"/>
                <w:color w:val="auto"/>
              </w:rPr>
            </w:pPr>
          </w:p>
        </w:tc>
      </w:tr>
      <w:tr>
        <w:trPr>
          <w:trHeight w:val="20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68,447</w:t>
            </w:r>
          </w:p>
        </w:tc>
        <w:tc>
          <w:tcPr>
            <w:tcW w:w="20" w:type="dxa"/>
            <w:vAlign w:val="bottom"/>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(19,631)</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(18,271)</w:t>
            </w:r>
          </w:p>
        </w:tc>
        <w:tc>
          <w:tcPr>
            <w:tcW w:w="20" w:type="dxa"/>
            <w:vAlign w:val="bottom"/>
          </w:tcPr>
          <w:p>
            <w:pPr>
              <w:spacing w:after="0"/>
              <w:rPr>
                <w:sz w:val="18"/>
                <w:szCs w:val="18"/>
                <w:color w:val="auto"/>
              </w:rPr>
            </w:pPr>
          </w:p>
        </w:tc>
      </w:tr>
      <w:tr>
        <w:trPr>
          <w:trHeight w:val="209"/>
        </w:trPr>
        <w:tc>
          <w:tcPr>
            <w:tcW w:w="56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Assets—Net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50,176</w:t>
            </w:r>
          </w:p>
        </w:tc>
        <w:tc>
          <w:tcPr>
            <w:tcW w:w="20" w:type="dxa"/>
            <w:vAlign w:val="bottom"/>
          </w:tcPr>
          <w:p>
            <w:pPr>
              <w:spacing w:after="0"/>
              <w:rPr>
                <w:sz w:val="18"/>
                <w:szCs w:val="18"/>
                <w:color w:val="auto"/>
              </w:rPr>
            </w:pPr>
          </w:p>
        </w:tc>
      </w:tr>
      <w:tr>
        <w:trPr>
          <w:trHeight w:val="210"/>
        </w:trPr>
        <w:tc>
          <w:tcPr>
            <w:tcW w:w="5660" w:type="dxa"/>
            <w:vAlign w:val="bottom"/>
          </w:tcPr>
          <w:p>
            <w:pPr>
              <w:ind w:left="20"/>
              <w:spacing w:after="0"/>
              <w:rPr>
                <w:sz w:val="20"/>
                <w:szCs w:val="20"/>
                <w:color w:val="auto"/>
              </w:rPr>
            </w:pPr>
            <w:r>
              <w:rPr>
                <w:rFonts w:ascii="Arial" w:cs="Arial" w:eastAsia="Arial" w:hAnsi="Arial"/>
                <w:sz w:val="18"/>
                <w:szCs w:val="18"/>
                <w:color w:val="auto"/>
              </w:rPr>
              <w:t>Intangible Lease Liabilities (Included in Accrued and Other 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Below Market In-Place Leases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(4,204)</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(36,817)</w:t>
            </w:r>
          </w:p>
        </w:tc>
        <w:tc>
          <w:tcPr>
            <w:tcW w:w="20" w:type="dxa"/>
            <w:vAlign w:val="bottom"/>
          </w:tcPr>
          <w:p>
            <w:pPr>
              <w:spacing w:after="0"/>
              <w:rPr>
                <w:sz w:val="18"/>
                <w:szCs w:val="18"/>
                <w:color w:val="auto"/>
              </w:rPr>
            </w:pPr>
          </w:p>
        </w:tc>
      </w:tr>
      <w:tr>
        <w:trPr>
          <w:trHeight w:val="209"/>
        </w:trPr>
        <w:tc>
          <w:tcPr>
            <w:tcW w:w="5660" w:type="dxa"/>
            <w:vAlign w:val="bottom"/>
          </w:tcPr>
          <w:p>
            <w:pPr>
              <w:ind w:left="220"/>
              <w:spacing w:after="0"/>
              <w:rPr>
                <w:sz w:val="20"/>
                <w:szCs w:val="20"/>
                <w:color w:val="auto"/>
              </w:rPr>
            </w:pPr>
            <w:r>
              <w:rPr>
                <w:rFonts w:ascii="Arial" w:cs="Arial" w:eastAsia="Arial" w:hAnsi="Arial"/>
                <w:sz w:val="18"/>
                <w:szCs w:val="18"/>
                <w:color w:val="auto"/>
              </w:rPr>
              <w:t>Sub-total Intangible Lease Liabilities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(36,817)</w:t>
            </w:r>
          </w:p>
        </w:tc>
        <w:tc>
          <w:tcPr>
            <w:tcW w:w="20" w:type="dxa"/>
            <w:vAlign w:val="bottom"/>
          </w:tcPr>
          <w:p>
            <w:pPr>
              <w:spacing w:after="0"/>
              <w:rPr>
                <w:sz w:val="18"/>
                <w:szCs w:val="18"/>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12,654</w:t>
            </w:r>
          </w:p>
        </w:tc>
        <w:tc>
          <w:tcPr>
            <w:tcW w:w="20" w:type="dxa"/>
            <w:vAlign w:val="bottom"/>
          </w:tcPr>
          <w:p>
            <w:pPr>
              <w:spacing w:after="0"/>
              <w:rPr>
                <w:sz w:val="18"/>
                <w:szCs w:val="18"/>
                <w:color w:val="auto"/>
              </w:rPr>
            </w:pPr>
          </w:p>
        </w:tc>
      </w:tr>
      <w:tr>
        <w:trPr>
          <w:trHeight w:val="209"/>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Sub-total Intangible Lease Liabilities—Net</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(24,163)</w:t>
            </w:r>
          </w:p>
        </w:tc>
        <w:tc>
          <w:tcPr>
            <w:tcW w:w="20" w:type="dxa"/>
            <w:vAlign w:val="bottom"/>
          </w:tcPr>
          <w:p>
            <w:pPr>
              <w:spacing w:after="0"/>
              <w:rPr>
                <w:sz w:val="18"/>
                <w:szCs w:val="18"/>
                <w:color w:val="auto"/>
              </w:rPr>
            </w:pPr>
          </w:p>
        </w:tc>
      </w:tr>
      <w:tr>
        <w:trPr>
          <w:trHeight w:val="209"/>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and Liabilities—Net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26,013</w:t>
            </w:r>
          </w:p>
        </w:tc>
        <w:tc>
          <w:tcPr>
            <w:tcW w:w="2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During the nine months ended September 30, 2021, the value of in-place leases increased by $5.5 million, the value of above-market in-place leases increased by $8.6 million, the value of intangible leasing costs increased by $1.7 million, and the value of below-market in-place leases decreased by $32.6 million. Such increases reflect 2021 acquisitions, net of 2021 dispositions. Net accumulated amortization increased by $12.8 million, for a net increase during the nine months ended September 30, 2021 of $35.6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41"/>
        <w:spacing w:after="0" w:line="311" w:lineRule="auto"/>
        <w:rPr>
          <w:sz w:val="20"/>
          <w:szCs w:val="20"/>
          <w:color w:val="auto"/>
        </w:rPr>
      </w:pPr>
      <w:r>
        <w:rPr>
          <w:rFonts w:ascii="Arial" w:cs="Arial" w:eastAsia="Arial" w:hAnsi="Arial"/>
          <w:sz w:val="16"/>
          <w:szCs w:val="16"/>
          <w:color w:val="auto"/>
        </w:rPr>
        <w:t>The $32.6 million decrease in the value of below market in-place leases is primarily attributable to the disposition of the Company’s office property in Raleigh, North Carolina leased to Wells Fargo, which unamortized below market in-place lease value was $31.6 million prior to its disposition during the three months ended September 30, 2021.</w:t>
      </w:r>
    </w:p>
    <w:p>
      <w:pPr>
        <w:spacing w:after="0" w:line="149"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following table reflects the net amortization of intangible assets and liabilities during the three and nine months ended September 30, 2021 and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16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4040" w:type="dxa"/>
            <w:vAlign w:val="bottom"/>
          </w:tcPr>
          <w:p>
            <w:pPr>
              <w:spacing w:after="0"/>
              <w:rPr>
                <w:sz w:val="16"/>
                <w:szCs w:val="16"/>
                <w:color w:val="auto"/>
              </w:rPr>
            </w:pPr>
          </w:p>
        </w:tc>
        <w:tc>
          <w:tcPr>
            <w:tcW w:w="12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9"/>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6"/>
                <w:szCs w:val="16"/>
                <w:color w:val="auto"/>
              </w:rPr>
            </w:pPr>
          </w:p>
        </w:tc>
        <w:tc>
          <w:tcPr>
            <w:tcW w:w="126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9"/>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0" w:type="dxa"/>
            <w:vAlign w:val="bottom"/>
          </w:tcPr>
          <w:p>
            <w:pPr>
              <w:spacing w:after="0"/>
              <w:rPr>
                <w:sz w:val="16"/>
                <w:szCs w:val="16"/>
                <w:color w:val="auto"/>
              </w:rPr>
            </w:pPr>
          </w:p>
        </w:tc>
      </w:tr>
      <w:tr>
        <w:trPr>
          <w:trHeight w:val="234"/>
        </w:trPr>
        <w:tc>
          <w:tcPr>
            <w:tcW w:w="40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20" w:type="dxa"/>
            <w:vAlign w:val="bottom"/>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Increase to Income Properties Revenue</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(1,352)</w:t>
            </w:r>
          </w:p>
        </w:tc>
        <w:tc>
          <w:tcPr>
            <w:tcW w:w="20" w:type="dxa"/>
            <w:vAlign w:val="bottom"/>
          </w:tcPr>
          <w:p>
            <w:pPr>
              <w:spacing w:after="0"/>
              <w:rPr>
                <w:sz w:val="18"/>
                <w:szCs w:val="18"/>
                <w:color w:val="auto"/>
              </w:rPr>
            </w:pPr>
          </w:p>
        </w:tc>
      </w:tr>
      <w:tr>
        <w:trPr>
          <w:trHeight w:val="210"/>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Net Amortization of Intangible Assets and Liabilities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2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estimated future amortization expense (income) related to net intangible assets and liabilities is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Net Future</w:t>
            </w:r>
          </w:p>
        </w:tc>
      </w:t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Future</w:t>
            </w:r>
          </w:p>
        </w:tc>
        <w:tc>
          <w:tcPr>
            <w:tcW w:w="16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Future Accretion</w:t>
            </w:r>
          </w:p>
        </w:tc>
        <w:tc>
          <w:tcPr>
            <w:tcW w:w="10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Amortization of</w:t>
            </w:r>
          </w:p>
        </w:tc>
      </w:t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Amortization</w:t>
            </w:r>
          </w:p>
        </w:tc>
        <w:tc>
          <w:tcPr>
            <w:tcW w:w="20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to Income</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Intangible Assets</w:t>
            </w:r>
          </w:p>
        </w:tc>
      </w:tr>
      <w:tr>
        <w:trPr>
          <w:trHeight w:val="234"/>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Property Revenue</w:t>
            </w:r>
          </w:p>
        </w:tc>
        <w:tc>
          <w:tcPr>
            <w:tcW w:w="100" w:type="dxa"/>
            <w:vAlign w:val="bottom"/>
          </w:tcPr>
          <w:p>
            <w:pPr>
              <w:spacing w:after="0"/>
              <w:rPr>
                <w:sz w:val="20"/>
                <w:szCs w:val="20"/>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and Liabilities</w:t>
            </w:r>
          </w:p>
        </w:tc>
      </w:tr>
      <w:tr>
        <w:trPr>
          <w:trHeight w:val="210"/>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w:t>
            </w: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9,855</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w:t>
            </w: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9,833</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w:t>
            </w:r>
          </w:p>
        </w:tc>
      </w:tr>
      <w:tr>
        <w:trPr>
          <w:trHeight w:val="216"/>
        </w:trPr>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21,677</w:t>
            </w:r>
          </w:p>
        </w:tc>
      </w:tr>
      <w:tr>
        <w:trPr>
          <w:trHeight w:val="209"/>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61,588</w:t>
            </w:r>
          </w:p>
        </w:tc>
      </w:tr>
      <w:tr>
        <w:trPr>
          <w:trHeight w:val="20"/>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As of September 30, 2021, the weighted average amortization period of total intangible assets and liabilities was 8.1 years and 8.2 years,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12. IMPAIRMENT OF LONG-LIVED ASSETS</w:t>
      </w:r>
    </w:p>
    <w:p>
      <w:pPr>
        <w:spacing w:after="0" w:line="216"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spacing w:after="0" w:line="176"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There were no impairment charges on the Company’s undeveloped land holdings, or its income property portfolio during the three and nine months ended September 30, 2021 and 2020. The $16.5 million impairment charge recognized during the three months ended June 30, 2021 is related to the Company’s retained interest in the Land JV as a result of the estimated proceeds to be received in connection with the contract entered into with Timberline for the sale of substantially all of its remaining land, including any land that was previously under contract, for a sales price of $67.0 million. As a result of the sale of approximately 8 acres for $0.8 million completed by the Land JV during the three months ended September 30, 2021, the sales price was reduced to $66.2 million.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13. OTHER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assets consisted of the following as of September 30, 2021 and December 31, 2020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900" w:type="dxa"/>
            <w:vAlign w:val="bottom"/>
            <w:tcBorders>
              <w:bottom w:val="single" w:sz="8" w:color="auto"/>
            </w:tcBorders>
          </w:tcPr>
          <w:p>
            <w:pPr>
              <w:spacing w:after="0"/>
              <w:rPr>
                <w:sz w:val="20"/>
                <w:szCs w:val="20"/>
                <w:color w:val="auto"/>
              </w:rPr>
            </w:pPr>
          </w:p>
        </w:tc>
      </w:tr>
      <w:tr>
        <w:trPr>
          <w:trHeight w:val="191"/>
        </w:trPr>
        <w:tc>
          <w:tcPr>
            <w:tcW w:w="6400" w:type="dxa"/>
            <w:vAlign w:val="bottom"/>
          </w:tcPr>
          <w:p>
            <w:pPr>
              <w:spacing w:after="0"/>
              <w:rPr>
                <w:sz w:val="16"/>
                <w:szCs w:val="16"/>
                <w:color w:val="auto"/>
              </w:rPr>
            </w:pPr>
          </w:p>
        </w:tc>
        <w:tc>
          <w:tcPr>
            <w:tcW w:w="13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December 31,</w:t>
            </w:r>
          </w:p>
        </w:tc>
      </w:tr>
      <w:tr>
        <w:trPr>
          <w:trHeight w:val="234"/>
        </w:trPr>
        <w:tc>
          <w:tcPr>
            <w:tcW w:w="64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Property Tenant Receivables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Income Property Straight-line Rent Adjustment and COVID-19 Deferral Balance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4,686</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 - Right-of-Use Asset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Golf Rounds Surcharge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 - Interest Rate Swap</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Infrastructure Reimbursement Receivables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Deposits, and 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Due from Alpine Income Property Trust, Inc.</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10"/>
        </w:trPr>
        <w:tc>
          <w:tcPr>
            <w:tcW w:w="640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11,695</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12,180</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i w:val="1"/>
          <w:iCs w:val="1"/>
          <w:color w:val="auto"/>
        </w:rPr>
        <w:t xml:space="preserve">Income Property Straight-Line Rent Adjustment. </w:t>
      </w:r>
      <w:r>
        <w:rPr>
          <w:rFonts w:ascii="Arial" w:cs="Arial" w:eastAsia="Arial" w:hAnsi="Arial"/>
          <w:sz w:val="18"/>
          <w:szCs w:val="18"/>
          <w:color w:val="auto"/>
        </w:rPr>
        <w:t>As of September 30, 2021 and December 31, 2020, the straight-line</w:t>
      </w:r>
      <w:r>
        <w:rPr>
          <w:rFonts w:ascii="Arial" w:cs="Arial" w:eastAsia="Arial" w:hAnsi="Arial"/>
          <w:sz w:val="18"/>
          <w:szCs w:val="18"/>
          <w:i w:val="1"/>
          <w:iCs w:val="1"/>
          <w:color w:val="auto"/>
        </w:rPr>
        <w:t xml:space="preserve"> </w:t>
      </w:r>
      <w:r>
        <w:rPr>
          <w:rFonts w:ascii="Arial" w:cs="Arial" w:eastAsia="Arial" w:hAnsi="Arial"/>
          <w:sz w:val="18"/>
          <w:szCs w:val="18"/>
          <w:color w:val="auto"/>
        </w:rPr>
        <w:t>rent adjustment includes a balance of $0.2 million and $1.0 million, respectively, of deferred rent related to the COVID-19 Pandemic. Pursuant to the interpretive guidance issued by the FASB in April 2020 on lease modifications, for leases in which deferred rent agreements were reached, the Company has continued to account for the lease concessions by recognizing the normal straight-line rental income and as the deferred rents are repaid by the tenant, the straight-line receivable will be reduced.</w:t>
      </w:r>
    </w:p>
    <w:p>
      <w:pPr>
        <w:spacing w:after="0" w:line="192"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i w:val="1"/>
          <w:iCs w:val="1"/>
          <w:color w:val="auto"/>
        </w:rPr>
        <w:t xml:space="preserve">Infrastructure Reimbursement Receivables. </w:t>
      </w:r>
      <w:r>
        <w:rPr>
          <w:rFonts w:ascii="Arial" w:cs="Arial" w:eastAsia="Arial" w:hAnsi="Arial"/>
          <w:sz w:val="18"/>
          <w:szCs w:val="18"/>
          <w:color w:val="auto"/>
        </w:rPr>
        <w:t>As of September 30, 2021 and December 31, 2020, the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receivables were all related to the land sales within the Tomoka Town Center. The balance as of September 30, 2021 consisted of $0.9 million due from Tanger for infrastructure reimbursement to be repaid in six remaining annual installments of approximately $0.2 million each, net of a discount of $0.1 million, and $0.4 million due from Sam’s Club for infrastructure reimbursement to be repaid in four remaining annual installments of $0.1 million each, net of a discount of $0.03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14.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w:t>
      </w:r>
    </w:p>
    <w:p>
      <w:pPr>
        <w:spacing w:after="0" w:line="198"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As a result of the Merger, as described in Note 1, “Description of Business”, the Company is authorized to issue 500,000,000 shares of common stock, $0.01 par value per share, and 100,000,000 shares of preferred stock, $0.01 par value per share. Prior to the Merger, the Company’s common stock had a par value of $1.00 per share. Accordingly, a $7.2 million adjustment to reduce common stock with a corresponding increase to additional paid-in capital was made during the three months ended March 31, 2021 and is reflected in the accompanying consolidated statements of stockholders’ equity.</w:t>
      </w:r>
    </w:p>
    <w:p>
      <w:pPr>
        <w:spacing w:after="0" w:line="192"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Additionally, as a result of the Merger and pursuant to Maryland state law, the Company’s treasury stock ceased to be outstanding and was returned to unissued status. Accordingly, a $77.5 million adjustment to eliminate treasury stock with a corresponding decrease to additional paid-in capital was made during the three months ended March 31, 2021 and is reflected in the accompanying consolidated statements of stockholders’ equity.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SHELF REGISTRATION</w:t>
      </w:r>
    </w:p>
    <w:p>
      <w:pPr>
        <w:spacing w:after="0" w:line="212"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On April 1, 2021, the Company filed a shelf registration statement on Form S-3, relating to the registration and potential issuance of its common stock, preferred stock, debt securities, warrants, rights, and units with a maximum aggregate offering price of up to $350.0 million. The Securities and Exchange Commission declared the Form S-3 effective on April 19,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ATM PROGRAM</w:t>
      </w:r>
    </w:p>
    <w:p>
      <w:pPr>
        <w:spacing w:after="0" w:line="212"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On April 30, 2021, the Company implemented a $150.0 million “at-the-market” equity offering program (the “ATM Program”) pursuant to which the Company may sell, from time to time, shares of the Company’s common stock. The Company was not active under the ATM Program during the nine months ended September 30,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PREFERRED STOCK</w:t>
      </w:r>
    </w:p>
    <w:p>
      <w:pPr>
        <w:spacing w:after="0" w:line="21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On June 28, 2021, the Company priced a public offering of 3,000,000 shares of its 6.375% Series A Cumulative Redeemable Preferred Stock (the “Series A Preferred Stock”) at a public offering price of $25.00 per share. The offering closed on July 6, 2021 and generated total net proceeds to the Company of $72.4 million, after deducting the underwriting discount and expenses. The Series A Preferred Stock ranks senior to the Company’s common stock with respect to dividend rights and rights upon liquidation, dissolution or winding up of the Company. The Series A Preferred Stock has no maturity date and will remain outstanding unless redeemed.</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Series A Preferred Stock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preferred stock shares may convert some or all of their Series A Preferred Stock into shares of the Company’s common stock at conversion rates set forth in the Articles Supplementary.</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details the public offering (in thousands, except per share data):</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Earliest</w:t>
            </w:r>
          </w:p>
        </w:tc>
      </w:tr>
      <w:tr>
        <w:trPr>
          <w:trHeight w:val="216"/>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Dividend</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Dividend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w:t>
            </w:r>
          </w:p>
        </w:tc>
      </w:tr>
      <w:tr>
        <w:trPr>
          <w:trHeight w:val="234"/>
        </w:trPr>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Series</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Rate</w:t>
            </w: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Issued</w:t>
            </w: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Proceeds</w:t>
            </w:r>
          </w:p>
        </w:tc>
        <w:tc>
          <w:tcPr>
            <w:tcW w:w="12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Proceeds</w:t>
            </w:r>
          </w:p>
        </w:tc>
        <w:tc>
          <w:tcPr>
            <w:tcW w:w="12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Share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0"/>
        </w:trPr>
        <w:tc>
          <w:tcPr>
            <w:tcW w:w="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2021</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4"/>
              </w:rPr>
              <w:t>3,000,000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75,000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0.3763</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2026</w:t>
            </w: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12"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The Company has elected to be taxed as a REIT for U.S. federal income tax purposes under the Code commencing with its taxable year ended December 31, 2020.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corporate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w:t>
      </w:r>
    </w:p>
    <w:p>
      <w:pPr>
        <w:spacing w:after="0" w:line="178"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following table outlines dividends declared and paid for each issuance of CTO’s stock during the three and nine months ended September 30, 2021 and 2020 (in thousands, except per share data):</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ind w:left="6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30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24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60"/>
              <w:spacing w:after="0" w:line="191" w:lineRule="exact"/>
              <w:rPr>
                <w:sz w:val="20"/>
                <w:szCs w:val="20"/>
                <w:color w:val="auto"/>
              </w:rPr>
            </w:pPr>
            <w:r>
              <w:rPr>
                <w:rFonts w:ascii="Arial" w:cs="Arial" w:eastAsia="Arial" w:hAnsi="Arial"/>
                <w:sz w:val="18"/>
                <w:szCs w:val="18"/>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60"/>
              <w:spacing w:after="0" w:line="191" w:lineRule="exact"/>
              <w:rPr>
                <w:sz w:val="20"/>
                <w:szCs w:val="20"/>
                <w:color w:val="auto"/>
              </w:rPr>
            </w:pPr>
            <w:r>
              <w:rPr>
                <w:rFonts w:ascii="Arial" w:cs="Arial" w:eastAsia="Arial" w:hAnsi="Arial"/>
                <w:sz w:val="18"/>
                <w:szCs w:val="18"/>
                <w:b w:val="1"/>
                <w:bCs w:val="1"/>
                <w:color w:val="auto"/>
              </w:rPr>
              <w:t>September 30,</w:t>
            </w: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September 30,</w:t>
            </w:r>
          </w:p>
        </w:tc>
      </w:tr>
      <w:tr>
        <w:trPr>
          <w:trHeight w:val="234"/>
        </w:trPr>
        <w:tc>
          <w:tcPr>
            <w:tcW w:w="24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196"/>
        </w:trPr>
        <w:tc>
          <w:tcPr>
            <w:tcW w:w="2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Series A Preferred Stock</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6"/>
        </w:trPr>
        <w:tc>
          <w:tcPr>
            <w:tcW w:w="2420" w:type="dxa"/>
            <w:vAlign w:val="bottom"/>
          </w:tcPr>
          <w:p>
            <w:pPr>
              <w:jc w:val="center"/>
              <w:ind w:right="1150"/>
              <w:spacing w:after="0"/>
              <w:rPr>
                <w:sz w:val="20"/>
                <w:szCs w:val="20"/>
                <w:color w:val="auto"/>
              </w:rPr>
            </w:pPr>
            <w:r>
              <w:rPr>
                <w:rFonts w:ascii="Arial" w:cs="Arial" w:eastAsia="Arial" w:hAnsi="Arial"/>
                <w:sz w:val="18"/>
                <w:szCs w:val="18"/>
                <w:color w:val="auto"/>
                <w:w w:val="93"/>
              </w:rPr>
              <w:t>Dividends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1,129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1,129</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242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86"/>
              </w:rPr>
              <w:t>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420" w:type="dxa"/>
            <w:vAlign w:val="bottom"/>
            <w:shd w:val="clear" w:color="auto" w:fill="CCEEFF"/>
          </w:tcPr>
          <w:p>
            <w:pPr>
              <w:jc w:val="center"/>
              <w:ind w:right="1170"/>
              <w:spacing w:after="0"/>
              <w:rPr>
                <w:sz w:val="20"/>
                <w:szCs w:val="20"/>
                <w:color w:val="auto"/>
              </w:rPr>
            </w:pPr>
            <w:r>
              <w:rPr>
                <w:rFonts w:ascii="Arial" w:cs="Arial" w:eastAsia="Arial" w:hAnsi="Arial"/>
                <w:sz w:val="18"/>
                <w:szCs w:val="18"/>
                <w:color w:val="auto"/>
                <w:w w:val="90"/>
              </w:rPr>
              <w:t>Common Stock</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2420" w:type="dxa"/>
            <w:vAlign w:val="bottom"/>
          </w:tcPr>
          <w:p>
            <w:pPr>
              <w:jc w:val="center"/>
              <w:ind w:right="1150"/>
              <w:spacing w:after="0"/>
              <w:rPr>
                <w:sz w:val="20"/>
                <w:szCs w:val="20"/>
                <w:color w:val="auto"/>
              </w:rPr>
            </w:pPr>
            <w:r>
              <w:rPr>
                <w:rFonts w:ascii="Arial" w:cs="Arial" w:eastAsia="Arial" w:hAnsi="Arial"/>
                <w:sz w:val="18"/>
                <w:szCs w:val="18"/>
                <w:color w:val="auto"/>
                <w:w w:val="93"/>
              </w:rPr>
              <w:t>Dividends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5,904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1,863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17,700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4,210</w:t>
            </w:r>
          </w:p>
        </w:tc>
      </w:tr>
      <w:tr>
        <w:trPr>
          <w:trHeight w:val="216"/>
        </w:trPr>
        <w:tc>
          <w:tcPr>
            <w:tcW w:w="242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86"/>
              </w:rPr>
              <w:t>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15. COMMON STOCK AND EARNINGS (LOSS) PER SHARE</w:t>
      </w:r>
    </w:p>
    <w:p>
      <w:pPr>
        <w:spacing w:after="0" w:line="229"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conversion of stock options and vesting of restricted stock at the beginning of each period using the treasury stock method at average cost for the periods.</w:t>
      </w:r>
    </w:p>
    <w:p>
      <w:pPr>
        <w:spacing w:after="0" w:line="171"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following is a reconciliation of basic and diluted earnings per common share for each of the periods presented (in thousands, except share and per share data):</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0"/>
                <w:szCs w:val="20"/>
                <w:color w:val="auto"/>
              </w:rPr>
            </w:pPr>
          </w:p>
        </w:tc>
        <w:tc>
          <w:tcPr>
            <w:tcW w:w="2240" w:type="dxa"/>
            <w:vAlign w:val="bottom"/>
            <w:gridSpan w:val="5"/>
          </w:tcPr>
          <w:p>
            <w:pPr>
              <w:ind w:left="2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3880" w:type="dxa"/>
            <w:vAlign w:val="bottom"/>
          </w:tcPr>
          <w:p>
            <w:pPr>
              <w:spacing w:after="0"/>
              <w:rPr>
                <w:sz w:val="16"/>
                <w:szCs w:val="16"/>
                <w:color w:val="auto"/>
              </w:rPr>
            </w:pPr>
          </w:p>
        </w:tc>
        <w:tc>
          <w:tcPr>
            <w:tcW w:w="130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6"/>
                <w:szCs w:val="16"/>
                <w:color w:val="auto"/>
              </w:rPr>
            </w:pPr>
          </w:p>
        </w:tc>
        <w:tc>
          <w:tcPr>
            <w:tcW w:w="13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8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Net Income (Loss) Attributable to Common</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1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(1,522)</w:t>
            </w: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2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w:t>
            </w:r>
          </w:p>
        </w:tc>
        <w:tc>
          <w:tcPr>
            <w:tcW w:w="2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5,901,095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4,654,329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5,892,900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Common Shares Applicable to Stock</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Using the Treasury Stock Method</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20"/>
              <w:spacing w:after="0" w:line="182" w:lineRule="exact"/>
              <w:rPr>
                <w:sz w:val="20"/>
                <w:szCs w:val="20"/>
                <w:color w:val="auto"/>
              </w:rPr>
            </w:pPr>
            <w:r>
              <w:rPr>
                <w:rFonts w:ascii="Arial" w:cs="Arial" w:eastAsia="Arial" w:hAnsi="Arial"/>
                <w:sz w:val="18"/>
                <w:szCs w:val="18"/>
                <w:color w:val="auto"/>
              </w:rPr>
              <w:t>Total Shares Applicable to Diluted Earnings Per</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5,901,095</w:t>
            </w: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4,654,329</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5,892,900</w:t>
            </w: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4,673,049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Per Share Information: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Basic and Diluted Net Income (Loss) Attributable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Common Stockholders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There were no potentially dilutive securities for the three and nine month periods ended September 30, 2021 or 2020. The effect of 41,558 potentially dilutive securities were not included for the nine months ended September 30, 2020 as the effect would be anti-dilutive.</w:t>
      </w:r>
    </w:p>
    <w:p>
      <w:pPr>
        <w:spacing w:after="0" w:line="184"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 xml:space="preserve">The Company intends to settle its 3.875% Convertible Senior Notes due 2025 (the “2025 Notes”) in cash upon conversion with any excess conversion value to be settled in shares of our common stock. Pursuant to ASC 260, </w:t>
      </w:r>
      <w:r>
        <w:rPr>
          <w:rFonts w:ascii="Arial" w:cs="Arial" w:eastAsia="Arial" w:hAnsi="Arial"/>
          <w:sz w:val="17"/>
          <w:szCs w:val="17"/>
          <w:i w:val="1"/>
          <w:iCs w:val="1"/>
          <w:color w:val="auto"/>
        </w:rPr>
        <w:t>Earnings</w:t>
      </w:r>
      <w:r>
        <w:rPr>
          <w:rFonts w:ascii="Arial" w:cs="Arial" w:eastAsia="Arial" w:hAnsi="Arial"/>
          <w:sz w:val="17"/>
          <w:szCs w:val="17"/>
          <w:color w:val="auto"/>
        </w:rPr>
        <w:t xml:space="preserve"> </w:t>
      </w:r>
      <w:r>
        <w:rPr>
          <w:rFonts w:ascii="Arial" w:cs="Arial" w:eastAsia="Arial" w:hAnsi="Arial"/>
          <w:sz w:val="17"/>
          <w:szCs w:val="17"/>
          <w:i w:val="1"/>
          <w:iCs w:val="1"/>
          <w:color w:val="auto"/>
        </w:rPr>
        <w:t>per Share</w:t>
      </w:r>
      <w:r>
        <w:rPr>
          <w:rFonts w:ascii="Arial" w:cs="Arial" w:eastAsia="Arial" w:hAnsi="Arial"/>
          <w:sz w:val="17"/>
          <w:szCs w:val="17"/>
          <w:color w:val="auto"/>
        </w:rPr>
        <w:t>, the Company has overcome the presumption of share settlement and, therefore, there is no dilutive impact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or nine months ended September 30, 2021. The Company intends to adopt ASU 2020-06 commencing January 1, 2022, at which time, the Company’s diluted EPS calculation will include the dilutive impact of the 2025 Notes, irrespective of intended cash settlement. Further, the Company elects, upon adoption, to utilize the modified retrospective approach, negating the required restatement of EPS for periods prior to adoption.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16. SHARE REPURCHASES</w:t>
      </w:r>
    </w:p>
    <w:p>
      <w:pPr>
        <w:spacing w:after="0" w:line="229"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In February 2020, the Company’s Board approved a $10.0 million stock repurchase program (the “$10.0 Million Repurchase Program”). During the nine months ended September 30, 2020, the Company repurchased 88,565 shares of its common stock on the open market for a total cost of $4.1 million, or an average price per share of $46.29. The shares of the Company’s common stock repurchased during the nine months ended September 30, 2020 were returned to the Company’s treasury. There were no repurchases of the Company’s common stock during the nine months ended September 30, 2021. The $10.0 Million Repurchase Program does not have an expiration date.</w:t>
      </w:r>
    </w:p>
    <w:p>
      <w:pPr>
        <w:spacing w:after="0" w:line="178"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As a result of the Merger and pursuant to Maryland state law, the Company’s treasury stock ceased to be outstanding and was returned to unissued status. Accordingly, a $77.5 million adjustment to eliminate treasury stock with a corresponding decrease to additional paid-in capital was made during the three months ended March 31, 2021 and is reflected in the accompanying consolidated statements of stockholders’ equity.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17. LONG-TERM DEBT</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Our consolidated indebtedness as of September 30, 2021 was $235.7 million. The consolidated indebtedness was comprised of $109.0 million outstanding under our revolving credit facility (the “Credit Facility”), inclusive of the $65.0 million term loan (the “2026 Term Loan”) balance, and $61.7 million principal amount of 2025 Notes.</w:t>
      </w:r>
    </w:p>
    <w:p>
      <w:pPr>
        <w:spacing w:after="0" w:line="165"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Long-term debt, at face value, totaled $235.7 million at September 30, 2021, representing a decrease of $44.8 million from the balance of $280.5 million at December 31, 2020. The $44.8 million decrease in long-term debt was related to the impact of (i) origination of the $50.0 million 2026 Term Loan under the Company’s Credit Facility and subsequent exercise of the accordion option of $15.0 million, (ii) net repayments on the Credit Facility totaling $55.8 million, (iii) assumption of the $30.0 million fixed-rate mortgage note by the buyer in connection with the disposition of the CMBS Portfolio during the second quarter of 2021, (iv) payoff of the $23.2 million variable-rate mortgage note, and (v) repurchase of $0.8 million aggregate amount of convertible notes. In connection with the payoff of the variable-rate mortgage note originated with Wells Fargo, the associated interest rate swap was terminated on March 12, 2021.</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September 30, 2021, the Company’s outstanding indebtedness, at face value, was as follows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Face Value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Date</w:t>
            </w:r>
          </w:p>
        </w:tc>
        <w:tc>
          <w:tcPr>
            <w:tcW w:w="1720" w:type="dxa"/>
            <w:vAlign w:val="bottom"/>
          </w:tcPr>
          <w:p>
            <w:pPr>
              <w:ind w:left="360"/>
              <w:spacing w:after="0"/>
              <w:rPr>
                <w:sz w:val="20"/>
                <w:szCs w:val="20"/>
                <w:color w:val="auto"/>
              </w:rPr>
            </w:pPr>
            <w:r>
              <w:rPr>
                <w:rFonts w:ascii="Arial" w:cs="Arial" w:eastAsia="Arial" w:hAnsi="Arial"/>
                <w:sz w:val="18"/>
                <w:szCs w:val="18"/>
                <w:b w:val="1"/>
                <w:bCs w:val="1"/>
                <w:color w:val="auto"/>
              </w:rPr>
              <w:t>Interest Rate</w:t>
            </w:r>
          </w:p>
        </w:tc>
        <w:tc>
          <w:tcPr>
            <w:tcW w:w="0" w:type="dxa"/>
            <w:vAlign w:val="bottom"/>
          </w:tcPr>
          <w:p>
            <w:pPr>
              <w:spacing w:after="0"/>
              <w:rPr>
                <w:sz w:val="1"/>
                <w:szCs w:val="1"/>
                <w:color w:val="auto"/>
              </w:rPr>
            </w:pPr>
          </w:p>
        </w:tc>
      </w:tr>
      <w:tr>
        <w:trPr>
          <w:trHeight w:val="195"/>
        </w:trPr>
        <w:tc>
          <w:tcPr>
            <w:tcW w:w="458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Credit Facility </w:t>
            </w:r>
            <w:r>
              <w:rPr>
                <w:rFonts w:ascii="Arial" w:cs="Arial" w:eastAsia="Arial" w:hAnsi="Arial"/>
                <w:sz w:val="26"/>
                <w:szCs w:val="26"/>
                <w:color w:val="auto"/>
                <w:vertAlign w:val="superscript"/>
              </w:rPr>
              <w:t>(1)</w:t>
            </w: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ind w:left="320"/>
              <w:spacing w:after="0" w:line="195" w:lineRule="exact"/>
              <w:rPr>
                <w:sz w:val="20"/>
                <w:szCs w:val="20"/>
                <w:color w:val="auto"/>
              </w:rPr>
            </w:pPr>
            <w:r>
              <w:rPr>
                <w:rFonts w:ascii="Arial" w:cs="Arial" w:eastAsia="Arial" w:hAnsi="Arial"/>
                <w:sz w:val="18"/>
                <w:szCs w:val="18"/>
                <w:color w:val="auto"/>
              </w:rPr>
              <w:t>30-day LIBOR +</w:t>
            </w:r>
          </w:p>
        </w:tc>
        <w:tc>
          <w:tcPr>
            <w:tcW w:w="0" w:type="dxa"/>
            <w:vAlign w:val="bottom"/>
          </w:tcPr>
          <w:p>
            <w:pPr>
              <w:spacing w:after="0"/>
              <w:rPr>
                <w:sz w:val="1"/>
                <w:szCs w:val="1"/>
                <w:color w:val="auto"/>
              </w:rPr>
            </w:pPr>
          </w:p>
        </w:tc>
      </w:tr>
      <w:tr>
        <w:trPr>
          <w:trHeight w:val="230"/>
        </w:trPr>
        <w:tc>
          <w:tcPr>
            <w:tcW w:w="45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109,000</w:t>
            </w: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May 2023</w:t>
            </w:r>
          </w:p>
        </w:tc>
        <w:tc>
          <w:tcPr>
            <w:tcW w:w="17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3"/>
              </w:rPr>
              <w:t>[1.35% - 1.95%]</w:t>
            </w:r>
          </w:p>
        </w:tc>
        <w:tc>
          <w:tcPr>
            <w:tcW w:w="0" w:type="dxa"/>
            <w:vAlign w:val="bottom"/>
          </w:tcPr>
          <w:p>
            <w:pPr>
              <w:spacing w:after="0"/>
              <w:rPr>
                <w:sz w:val="1"/>
                <w:szCs w:val="1"/>
                <w:color w:val="auto"/>
              </w:rPr>
            </w:pPr>
          </w:p>
        </w:tc>
      </w:tr>
      <w:tr>
        <w:trPr>
          <w:trHeight w:val="202"/>
        </w:trPr>
        <w:tc>
          <w:tcPr>
            <w:tcW w:w="458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2026 Term Loan </w:t>
            </w:r>
            <w:r>
              <w:rPr>
                <w:rFonts w:ascii="Arial" w:cs="Arial" w:eastAsia="Arial" w:hAnsi="Arial"/>
                <w:sz w:val="26"/>
                <w:szCs w:val="26"/>
                <w:color w:val="auto"/>
                <w:vertAlign w:val="superscript"/>
              </w:rPr>
              <w:t>(2)</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ind w:left="320"/>
              <w:spacing w:after="0" w:line="201" w:lineRule="exact"/>
              <w:rPr>
                <w:sz w:val="20"/>
                <w:szCs w:val="20"/>
                <w:color w:val="auto"/>
              </w:rPr>
            </w:pPr>
            <w:r>
              <w:rPr>
                <w:rFonts w:ascii="Arial" w:cs="Arial" w:eastAsia="Arial" w:hAnsi="Arial"/>
                <w:sz w:val="18"/>
                <w:szCs w:val="18"/>
                <w:color w:val="auto"/>
              </w:rPr>
              <w:t>30-day LIBOR +</w:t>
            </w:r>
          </w:p>
        </w:tc>
        <w:tc>
          <w:tcPr>
            <w:tcW w:w="0" w:type="dxa"/>
            <w:vAlign w:val="bottom"/>
          </w:tcPr>
          <w:p>
            <w:pPr>
              <w:spacing w:after="0"/>
              <w:rPr>
                <w:sz w:val="1"/>
                <w:szCs w:val="1"/>
                <w:color w:val="auto"/>
              </w:rPr>
            </w:pPr>
          </w:p>
        </w:tc>
      </w:tr>
      <w:tr>
        <w:trPr>
          <w:trHeight w:val="230"/>
        </w:trPr>
        <w:tc>
          <w:tcPr>
            <w:tcW w:w="45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65,000</w:t>
            </w:r>
          </w:p>
        </w:tc>
        <w:tc>
          <w:tcPr>
            <w:tcW w:w="180" w:type="dxa"/>
            <w:vAlign w:val="bottom"/>
          </w:tcPr>
          <w:p>
            <w:pPr>
              <w:spacing w:after="0"/>
              <w:rPr>
                <w:sz w:val="20"/>
                <w:szCs w:val="20"/>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March 2026</w:t>
            </w:r>
          </w:p>
        </w:tc>
        <w:tc>
          <w:tcPr>
            <w:tcW w:w="1720" w:type="dxa"/>
            <w:vAlign w:val="bottom"/>
          </w:tcPr>
          <w:p>
            <w:pPr>
              <w:jc w:val="center"/>
              <w:ind w:left="70"/>
              <w:spacing w:after="0"/>
              <w:rPr>
                <w:sz w:val="20"/>
                <w:szCs w:val="20"/>
                <w:color w:val="auto"/>
              </w:rPr>
            </w:pPr>
            <w:r>
              <w:rPr>
                <w:rFonts w:ascii="Arial" w:cs="Arial" w:eastAsia="Arial" w:hAnsi="Arial"/>
                <w:sz w:val="18"/>
                <w:szCs w:val="18"/>
                <w:color w:val="auto"/>
                <w:w w:val="93"/>
              </w:rPr>
              <w:t>[1.35% - 1.95%]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3.875% Convertible Senior Notes due 2025</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61,688</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April 2025</w:t>
            </w:r>
          </w:p>
        </w:tc>
        <w:tc>
          <w:tcPr>
            <w:tcW w:w="17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3.875%</w:t>
            </w:r>
          </w:p>
        </w:tc>
        <w:tc>
          <w:tcPr>
            <w:tcW w:w="0" w:type="dxa"/>
            <w:vAlign w:val="bottom"/>
          </w:tcPr>
          <w:p>
            <w:pPr>
              <w:spacing w:after="0"/>
              <w:rPr>
                <w:sz w:val="1"/>
                <w:szCs w:val="1"/>
                <w:color w:val="auto"/>
              </w:rPr>
            </w:pPr>
          </w:p>
        </w:tc>
      </w:tr>
      <w:tr>
        <w:trPr>
          <w:trHeight w:val="21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Total Long-Term Face Value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235,688</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59" w:hanging="330"/>
        <w:spacing w:after="0" w:line="195" w:lineRule="auto"/>
        <w:tabs>
          <w:tab w:leader="none" w:pos="427"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Effective March 31, 2020, the Company utilized an interest rate swap to fix LIBOR and achieve a fixed interest rate of 0.73% plus the applicable spread on $100.0 million of the outstanding balance on the Credit Facility.</w:t>
      </w:r>
    </w:p>
    <w:p>
      <w:pPr>
        <w:jc w:val="both"/>
        <w:ind w:left="380" w:right="79" w:hanging="330"/>
        <w:spacing w:after="0" w:line="195" w:lineRule="auto"/>
        <w:tabs>
          <w:tab w:leader="none" w:pos="38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The Company utilized interest rate swaps on the $65.0 million 2026 Term Loan balance, including (i) its redesignation of the existing $50.0 million interest rate swap, entered into as of August 31, 2020, and (ii) a $15.0 million interest rate swap effective August 31, 2021, to fix LIBOR and achieve a weighted average fixed interest rate of 0.35% plus the applicable spread.</w:t>
      </w:r>
    </w:p>
    <w:p>
      <w:pPr>
        <w:spacing w:after="0" w:line="119"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i w:val="1"/>
          <w:iCs w:val="1"/>
          <w:color w:val="auto"/>
        </w:rPr>
        <w:t xml:space="preserve">Credit Facility. </w:t>
      </w:r>
      <w:r>
        <w:rPr>
          <w:rFonts w:ascii="Arial" w:cs="Arial" w:eastAsia="Arial" w:hAnsi="Arial"/>
          <w:sz w:val="17"/>
          <w:szCs w:val="17"/>
          <w:color w:val="auto"/>
        </w:rPr>
        <w:t>The Credit Facility, with Bank of Montreal (“BMO”) as the administrative agent for the lenders</w:t>
      </w:r>
      <w:r>
        <w:rPr>
          <w:rFonts w:ascii="Arial" w:cs="Arial" w:eastAsia="Arial" w:hAnsi="Arial"/>
          <w:sz w:val="17"/>
          <w:szCs w:val="17"/>
          <w:i w:val="1"/>
          <w:iCs w:val="1"/>
          <w:color w:val="auto"/>
        </w:rPr>
        <w:t xml:space="preserve"> </w:t>
      </w:r>
      <w:r>
        <w:rPr>
          <w:rFonts w:ascii="Arial" w:cs="Arial" w:eastAsia="Arial" w:hAnsi="Arial"/>
          <w:sz w:val="17"/>
          <w:szCs w:val="17"/>
          <w:color w:val="auto"/>
        </w:rPr>
        <w:t>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As a result of the 2021 Revolver Amendment, as defined below, The Huntington National Bank has been added as a lender to the Company’s Credit Facility and 2026 Term Loan.</w:t>
      </w:r>
    </w:p>
    <w:p>
      <w:pPr>
        <w:spacing w:after="0" w:line="178"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the 30-day LIBOR plus 135 basis points to the 30-day LIBOR plus 195 basis points based on the total balance outstanding under the Credit Facility as a percentage of the total asset value of the Company, as defined in the 2017 Amended Credit Facility, as amended by the May 2019 Revolver Amendment. The Credit Facility also accrues a fee of 15 to 25 basis points for any unused portion of the borrowing capacity based on whether the unused portion is greater or less than 50% of the total borrowing capacity. Pursuant to the May 2019 Revolver Amendment, the Credit Facility matures on May 24, 2023, with the ability to extend the term for 1 year.</w:t>
      </w:r>
    </w:p>
    <w:p>
      <w:pPr>
        <w:spacing w:after="0" w:line="172"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the common stock and OP Units.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July 1, 2020, the Company entered into the fourth amendment to the 2017 Amended Credit Facility (the “July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2020 Revolver Amendment”) whereby the tangible net worth covenant was adjusted to be more reflective of market terms.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July 2020 Revolver Amendment was effective as of March 31, 2020.</w:t>
      </w:r>
    </w:p>
    <w:p>
      <w:pPr>
        <w:spacing w:after="0" w:line="211" w:lineRule="exact"/>
        <w:rPr>
          <w:sz w:val="20"/>
          <w:szCs w:val="20"/>
          <w:color w:val="auto"/>
        </w:rPr>
      </w:pPr>
    </w:p>
    <w:p>
      <w:pPr>
        <w:jc w:val="both"/>
        <w:ind w:left="60" w:right="79" w:firstLine="441"/>
        <w:spacing w:after="0" w:line="291" w:lineRule="auto"/>
        <w:rPr>
          <w:sz w:val="20"/>
          <w:szCs w:val="20"/>
          <w:color w:val="auto"/>
        </w:rPr>
      </w:pPr>
      <w:r>
        <w:rPr>
          <w:rFonts w:ascii="Arial" w:cs="Arial" w:eastAsia="Arial" w:hAnsi="Arial"/>
          <w:sz w:val="16"/>
          <w:szCs w:val="16"/>
          <w:color w:val="auto"/>
        </w:rPr>
        <w:t>On November 12, 2020, the Company entered into the fifth amendment to the 2017 Amended Credit Facility (the “November 2020 Revolver Amendment”). The November 2020 Revolver Amendment provided that, among other things,</w:t>
      </w:r>
    </w:p>
    <w:p>
      <w:pPr>
        <w:jc w:val="both"/>
        <w:ind w:left="60" w:right="59" w:hanging="10"/>
        <w:spacing w:after="0" w:line="295" w:lineRule="auto"/>
        <w:tabs>
          <w:tab w:leader="none" w:pos="2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w:t>
      </w:r>
    </w:p>
    <w:p>
      <w:pPr>
        <w:spacing w:after="0" w:line="161" w:lineRule="exact"/>
        <w:rPr>
          <w:sz w:val="20"/>
          <w:szCs w:val="20"/>
          <w:color w:val="auto"/>
        </w:rPr>
      </w:pPr>
    </w:p>
    <w:p>
      <w:pPr>
        <w:jc w:val="both"/>
        <w:ind w:left="60" w:right="59" w:firstLine="441"/>
        <w:spacing w:after="0" w:line="253" w:lineRule="auto"/>
        <w:rPr>
          <w:sz w:val="20"/>
          <w:szCs w:val="20"/>
          <w:color w:val="auto"/>
        </w:rPr>
      </w:pPr>
      <w:r>
        <w:rPr>
          <w:rFonts w:ascii="Arial" w:cs="Arial" w:eastAsia="Arial" w:hAnsi="Arial"/>
          <w:sz w:val="18"/>
          <w:szCs w:val="18"/>
          <w:color w:val="auto"/>
        </w:rPr>
        <w:t>On March 10, 2021, the Company entered into the sixth amendment to the 2017 Amended Credit Facility (the “2021 Revolver Amendment”). The 2021 Revolver Amendment included, among other things, (i) increase of the revolving credit commitment from $200.0 million to $210.0 million, (ii) addition of the 2026 Term Loan in the aggregate amount of $50.0 million, (iii) updates to certain financing rate provisions provided therein, and (iv) joinder of The Huntington National Bank as a 2026 Term Loan lender and Credit Facility lender. The 2021 Revolver Amendment also includes accordion options that allow the Company to request additional 2026 Term Loan lender commitments up to a total of $150.0 million and additional Credit Facility lender commitments up to a total of $300.0 million. During the three months ended June 30, 2021, the Company exercised the 2026 Term Loan accordion option for $15.0 million, increasing total lender commitments to $65.0 million.</w:t>
      </w:r>
    </w:p>
    <w:p>
      <w:pPr>
        <w:spacing w:after="0" w:line="196"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At September 30, 2021, the current commitment level under the Credit Facility was $210.0 million. The available borrowing capacity under the Credit Facility was $101.0 million, based on the level of borrowing base assets. As of September 30, 2021, the Credit Facility had a $109.0 million balance outstanding.</w:t>
      </w:r>
    </w:p>
    <w:p>
      <w:pPr>
        <w:spacing w:after="0" w:line="184"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spacing w:after="0" w:line="165"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i w:val="1"/>
          <w:iCs w:val="1"/>
          <w:color w:val="auto"/>
        </w:rPr>
        <w:t>Mortgage Notes Payable</w:t>
      </w:r>
      <w:r>
        <w:rPr>
          <w:rFonts w:ascii="Arial" w:cs="Arial" w:eastAsia="Arial" w:hAnsi="Arial"/>
          <w:sz w:val="16"/>
          <w:szCs w:val="16"/>
          <w:color w:val="auto"/>
        </w:rPr>
        <w:t>. On March 12, 2021, the Company repaid its $23.2 million variable-rate mortgage note</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and terminated the associated rate swap utilized to achieve a fixed interest rate of 3.17%. On June 30, 2021, the Company’s $30.0 million fixed-rate mortgage note payable was assumed by the buyer in connection with the disposition of the CMBS Portfolio during the second quarter of 2021. There are no mortgage notes payable as of September 30, 2021.</w:t>
      </w:r>
    </w:p>
    <w:p>
      <w:pPr>
        <w:spacing w:after="0" w:line="157"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i w:val="1"/>
          <w:iCs w:val="1"/>
          <w:color w:val="auto"/>
        </w:rPr>
        <w:t>Convertible Debt</w:t>
      </w:r>
      <w:r>
        <w:rPr>
          <w:rFonts w:ascii="Arial" w:cs="Arial" w:eastAsia="Arial" w:hAnsi="Arial"/>
          <w:sz w:val="16"/>
          <w:szCs w:val="16"/>
          <w:color w:val="auto"/>
        </w:rPr>
        <w:t>. The Company’s $75.0 million aggregate principal amount of 4.50% Convertible Notes (the “2020</w:t>
      </w:r>
      <w:r>
        <w:rPr>
          <w:rFonts w:ascii="Arial" w:cs="Arial" w:eastAsia="Arial" w:hAnsi="Arial"/>
          <w:sz w:val="16"/>
          <w:szCs w:val="16"/>
          <w:i w:val="1"/>
          <w:iCs w:val="1"/>
          <w:color w:val="auto"/>
        </w:rPr>
        <w:t xml:space="preserve"> </w:t>
      </w:r>
      <w:r>
        <w:rPr>
          <w:rFonts w:ascii="Arial" w:cs="Arial" w:eastAsia="Arial" w:hAnsi="Arial"/>
          <w:sz w:val="16"/>
          <w:szCs w:val="16"/>
          <w:color w:val="auto"/>
        </w:rPr>
        <w:t>Notes”) were scheduled to mature on March 15, 2020; however, the Company completed the Note Exchanges, hereinafter defined, on February 4, 2020. The initial conversion rate was 14.5136 shares of common stock for each $1,000 principal amount of the 2020 Notes, which represented an initial conversion price of $68.90 per share of common stock.</w:t>
      </w:r>
    </w:p>
    <w:p>
      <w:pPr>
        <w:spacing w:after="0" w:line="157"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On February 4, 2020, the Company closed privately negotiated exchange agreements with certain holders of its outstanding 2020 Notes pursuant to which the Company issued $57.4 million principal amount of the 2025 Notes in exchange for $57.4 million principal amount of the 2020 Notes (the “Note Exchanges”). In addition, the Company closed a privately negotiated purchase agreement with an investor, who had not invested in the 2020 Notes, and issued $17.6 million principal amount of the 2025 Notes (the “New Notes Placement,” and together with the Note Exchanges, the “Convert Transactions”). The Company used $5.9 million of the proceeds from the New Notes Placement to repurchase $5.9 million of the 2020 Notes. As a result of the Convert Transactions there was a total of $75.0 million aggregate principal amount of 2025 Notes outstanding.</w:t>
      </w:r>
    </w:p>
    <w:p>
      <w:pPr>
        <w:spacing w:after="0" w:line="192"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In exchange for issuing the 2025 Notes pursuant to the Note Exchanges, the Company received and cancelled the exchanged 2020 Notes. The $11.7 million of net proceeds from the New Notes Placement were used to redeem at maturity on March 15, 2020 $11.7 million of the aggregate principal amount of the 2020 Notes that remained outstanding.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During the year ended December 31, 2020, the Company repurchased $12.5 million aggregate principal amount of 2025 Notes at a $2.6 million discount, resulting in a gain on extinguishment of debt of $1.1 million. All such repurchases were made during first and second quarter of 2020. During the nine months ended September 30, 2021, the Company repurchased $0.8 million aggregate principal amount of 2025 Notes at a $0.01 million premium, resulting in a loss on extinguishment of debt of $0.1 million. Following the repurchase of the 2025 Notes, $61.7 million aggregate principal amount of the 2025 Notes remains outstanding at September 30, 2021.</w:t>
      </w:r>
    </w:p>
    <w:p>
      <w:pPr>
        <w:spacing w:after="0" w:line="178"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The 2025 Notes represent senior unsecured obligations of the Company and pay interest semi-annually in arrears on each April 15th and October 15th, commencing on April 15, 2020, at a rate of 3.875% per annum. The 2025 Notes mature on April 15, 2025 and may not be redeemed by the Company prior to the maturity date. The conversion rate for the 2025 Notes was initially 12.7910 shares of the Company’s common stock per $1,000 of principal of the 2025 Notes (equivalent to an initial conversion price of $78.18 per share of the Company’s common stock). The initial conversion price of the 2025 Notes represented a premium of 20% to the $65.15 closing sale price of the Company’s common stock on the NYSE American on January 29, 2020. If the Company’s Board increases the quarterly dividend above the $0.13 per share in place at issuance, the conversion rate is adjusted with each such increase in the quarterly dividend amount. After the third quarter 2021 dividend, the conversion rate is equal to 19.1410 shares of common stock for each $1,000 principal amount of 2025 Notes, which represents an adjusted conversion price of $52.24 per share of common stock. At the maturity date, the 2025 Notes are convertible into cash, common stock or a combination thereof, subject to various conditions, at the Company’s option. Should certain corporate transactions or events occur prior to the stated maturity date, the Company will increase the conversion rate for a holder that elects to convert its 2025 Notes in connection with such corporate transaction or event.</w:t>
      </w:r>
    </w:p>
    <w:p>
      <w:pPr>
        <w:spacing w:after="0" w:line="174"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The conversion rate is subject to adjustment in certain circumstances. Holders may not surrender their 2025 Notes for conversion prior to January 15, 2025 except upon the occurrence of certain conditions relating to the closing sale price of the Company’s common stock, the trading price per $1,000 principal amount of 2025 Notes, or specified corporate events including a change in control of the Company. The Company may not redeem the 2025 Notes prior to the stated maturity date and no sinking fund is provided for the 2025 Notes. The 2025 Notes are convertible, at the election of the Company, into solely cash, solely shares of the Company’s common stock, or a combination of cash and shares of the Company’s common stock. The Company intends to settle the 2025 Notes in cash upon conversion, with any excess conversion value to be settled in shares of our common stock. In accordance with U.S. GAAP, the 2025 Notes were accounted for as a liability with a separate equity component recorded for the conversion option. A liability was recorded for the 2025 Notes on the issuance date at fair value based on a discounted cash flow analysis using current market rates for debt instruments with similar terms. The difference between the initial proceeds from the 2025 Notes and the estimated fair value of the debt instruments resulted in a debt discount, with an offset recorded to additional paid-in capital representing the equity component. As of September 30, 2021, the unamortized debt discount of our 2025 Notes was $5.1 million.</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ind w:left="18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0"/>
                <w:szCs w:val="20"/>
                <w:color w:val="auto"/>
              </w:rPr>
            </w:pPr>
          </w:p>
        </w:tc>
        <w:tc>
          <w:tcPr>
            <w:tcW w:w="20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4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Due Within</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9"/>
              </w:rPr>
              <w:t>Due Within</w:t>
            </w:r>
          </w:p>
        </w:tc>
      </w:tr>
      <w:tr>
        <w:trPr>
          <w:trHeight w:val="234"/>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One Year</w:t>
            </w:r>
          </w:p>
        </w:tc>
        <w:tc>
          <w:tcPr>
            <w:tcW w:w="20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One Year</w:t>
            </w:r>
          </w:p>
        </w:tc>
      </w:tr>
      <w:tr>
        <w:trPr>
          <w:trHeight w:val="210"/>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164,845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2026 Term Loan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Mortgage Note Payable (originated with Wells Fargo)</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w w:val="97"/>
              </w:rPr>
              <w:t>Mortgage Note Payable (originated with Wells Fargo)</w:t>
            </w: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23,183</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3.875% Convertible Senior Notes, net of discount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(664)</w:t>
            </w:r>
          </w:p>
        </w:tc>
        <w:tc>
          <w:tcPr>
            <w:tcW w:w="14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23,183</w:t>
            </w:r>
          </w:p>
        </w:tc>
      </w:tr>
      <w:tr>
        <w:trPr>
          <w:trHeight w:val="20"/>
        </w:trPr>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Payments applicable to reduction of principal amounts as of September 30, 2021 will be required as follows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6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September 30, 2021</w:t>
            </w:r>
          </w:p>
        </w:tc>
        <w:tc>
          <w:tcPr>
            <w:tcW w:w="360" w:type="dxa"/>
            <w:vAlign w:val="bottom"/>
          </w:tcPr>
          <w:p>
            <w:pPr>
              <w:spacing w:after="0"/>
              <w:rPr>
                <w:sz w:val="20"/>
                <w:szCs w:val="20"/>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b w:val="1"/>
                <w:bCs w:val="1"/>
                <w:color w:val="auto"/>
              </w:rPr>
              <w:t>Amount</w:t>
            </w:r>
          </w:p>
        </w:tc>
      </w:tr>
      <w:tr>
        <w:trPr>
          <w:trHeight w:val="209"/>
        </w:trPr>
        <w:tc>
          <w:tcPr>
            <w:tcW w:w="6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109,000</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61,688</w:t>
            </w:r>
          </w:p>
        </w:tc>
      </w:tr>
      <w:tr>
        <w:trPr>
          <w:trHeight w:val="216"/>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w:t>
            </w: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r>
      <w:tr>
        <w:trPr>
          <w:trHeight w:val="209"/>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 Face Value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235,688</w:t>
            </w:r>
          </w:p>
        </w:tc>
      </w:tr>
      <w:tr>
        <w:trPr>
          <w:trHeight w:val="20"/>
        </w:trPr>
        <w:tc>
          <w:tcPr>
            <w:tcW w:w="6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 of long-term debt as of September 30, 2021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235,688</w:t>
            </w: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Unamortized Discount on Convertible Debt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(5,130)</w:t>
            </w: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09"/>
        </w:trPr>
        <w:tc>
          <w:tcPr>
            <w:tcW w:w="706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229,894</w:t>
            </w:r>
          </w:p>
        </w:tc>
      </w:tr>
      <w:tr>
        <w:trPr>
          <w:trHeight w:val="20"/>
        </w:trPr>
        <w:tc>
          <w:tcPr>
            <w:tcW w:w="7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In addition to the $0.7 million of financing costs, net of accumulated amortization included in the table above, as of September 30, 2021, the Company also had financing costs, net of accumulated amortization related to the Credit Facility of $0.5 million which is included in other assets on the consolidated balance sheets. These costs are amortized on a straight-line basis over the term of the Credit Facility and are included in interest expense in the Company’s accompanying consolidated statements of operations.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reflects a summary of interest expense incurred and paid during the three and nine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and 2020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4100" w:type="dxa"/>
            <w:vAlign w:val="bottom"/>
          </w:tcPr>
          <w:p>
            <w:pPr>
              <w:spacing w:after="0"/>
              <w:rPr>
                <w:sz w:val="16"/>
                <w:szCs w:val="16"/>
                <w:color w:val="auto"/>
              </w:rPr>
            </w:pPr>
          </w:p>
        </w:tc>
        <w:tc>
          <w:tcPr>
            <w:tcW w:w="12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7"/>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124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7"/>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r>
      <w:tr>
        <w:trPr>
          <w:trHeight w:val="234"/>
        </w:trPr>
        <w:tc>
          <w:tcPr>
            <w:tcW w:w="4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1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w:t>
            </w: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Discount on Convertible Notes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50"/>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Interest Expense</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8,384</w:t>
            </w:r>
          </w:p>
        </w:tc>
      </w:tr>
      <w:tr>
        <w:trPr>
          <w:trHeight w:val="196"/>
        </w:trPr>
        <w:tc>
          <w:tcPr>
            <w:tcW w:w="4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Total Interest Paid</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7,096</w:t>
            </w:r>
          </w:p>
        </w:tc>
      </w:tr>
      <w:tr>
        <w:trPr>
          <w:trHeight w:val="20"/>
        </w:trPr>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was in compliance with all of its debt covenants as of September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18. INTEREST RATE SWAPS</w:t>
      </w:r>
    </w:p>
    <w:p>
      <w:pPr>
        <w:spacing w:after="0" w:line="270"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The Company has entered into interest rate swap agreements to hedge against changes in future cash flows resulting from fluctuating interest rates related to the below noted borrowings. The interest rate agreements were 100% effective during the nine months ended September 30, 2021. Accordingly, the changes in fair value on the interest rate swaps have been classified in accumulated other comprehensive income (loss). The fair value of the interest rate swap agreements are included in other assets and accrued and other liabilities, respectively, on the consolidated balance sheets. Information related to the Company’s interest rate swap agreements are noted below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Maturity</w:t>
            </w: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Fair Value as of</w:t>
            </w:r>
          </w:p>
        </w:tc>
      </w:tr>
      <w:tr>
        <w:trPr>
          <w:trHeight w:val="213"/>
        </w:trPr>
        <w:tc>
          <w:tcPr>
            <w:tcW w:w="1960" w:type="dxa"/>
            <w:vAlign w:val="bottom"/>
            <w:gridSpan w:val="3"/>
          </w:tcPr>
          <w:p>
            <w:pPr>
              <w:ind w:left="20"/>
              <w:spacing w:after="0"/>
              <w:rPr>
                <w:sz w:val="20"/>
                <w:szCs w:val="20"/>
                <w:color w:val="auto"/>
              </w:rPr>
            </w:pPr>
            <w:r>
              <w:rPr>
                <w:rFonts w:ascii="Arial" w:cs="Arial" w:eastAsia="Arial" w:hAnsi="Arial"/>
                <w:sz w:val="16"/>
                <w:szCs w:val="16"/>
                <w:b w:val="1"/>
                <w:bCs w:val="1"/>
                <w:color w:val="auto"/>
              </w:rPr>
              <w:t>Hedged Item</w:t>
            </w: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Effective Date</w:t>
            </w:r>
          </w:p>
        </w:tc>
        <w:tc>
          <w:tcPr>
            <w:tcW w:w="980" w:type="dxa"/>
            <w:vAlign w:val="bottom"/>
            <w:gridSpan w:val="2"/>
          </w:tcPr>
          <w:p>
            <w:pPr>
              <w:ind w:left="260"/>
              <w:spacing w:after="0"/>
              <w:rPr>
                <w:sz w:val="20"/>
                <w:szCs w:val="20"/>
                <w:color w:val="auto"/>
              </w:rPr>
            </w:pPr>
            <w:r>
              <w:rPr>
                <w:rFonts w:ascii="Arial" w:cs="Arial" w:eastAsia="Arial" w:hAnsi="Arial"/>
                <w:sz w:val="16"/>
                <w:szCs w:val="16"/>
                <w:b w:val="1"/>
                <w:bCs w:val="1"/>
                <w:color w:val="auto"/>
              </w:rPr>
              <w:t>Date</w:t>
            </w:r>
          </w:p>
        </w:tc>
        <w:tc>
          <w:tcPr>
            <w:tcW w:w="2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Rate</w:t>
            </w:r>
          </w:p>
        </w:tc>
        <w:tc>
          <w:tcPr>
            <w:tcW w:w="14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w w:val="89"/>
              </w:rPr>
              <w:t>September 30, 2021</w:t>
            </w:r>
          </w:p>
        </w:tc>
      </w:tr>
      <w:tr>
        <w:trPr>
          <w:trHeight w:val="199"/>
        </w:trPr>
        <w:tc>
          <w:tcPr>
            <w:tcW w:w="18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Credit Facility</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3/31/2020</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w w:val="95"/>
              </w:rPr>
              <w:t>3/29/2024</w:t>
            </w:r>
          </w:p>
        </w:tc>
        <w:tc>
          <w:tcPr>
            <w:tcW w:w="16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0.73% + applicable spread</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w:t>
            </w:r>
          </w:p>
        </w:tc>
      </w:tr>
      <w:tr>
        <w:trPr>
          <w:trHeight w:val="203"/>
        </w:trPr>
        <w:tc>
          <w:tcPr>
            <w:tcW w:w="360" w:type="dxa"/>
            <w:vAlign w:val="bottom"/>
          </w:tcPr>
          <w:p>
            <w:pPr>
              <w:ind w:left="20"/>
              <w:spacing w:after="0"/>
              <w:rPr>
                <w:sz w:val="20"/>
                <w:szCs w:val="20"/>
                <w:color w:val="auto"/>
              </w:rPr>
            </w:pPr>
            <w:r>
              <w:rPr>
                <w:rFonts w:ascii="Arial" w:cs="Arial" w:eastAsia="Arial" w:hAnsi="Arial"/>
                <w:sz w:val="16"/>
                <w:szCs w:val="16"/>
                <w:color w:val="auto"/>
                <w:w w:val="89"/>
              </w:rPr>
              <w:t>2026</w:t>
            </w:r>
          </w:p>
        </w:tc>
        <w:tc>
          <w:tcPr>
            <w:tcW w:w="160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3"/>
                <w:szCs w:val="23"/>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6"/>
                <w:szCs w:val="16"/>
                <w:color w:val="auto"/>
              </w:rPr>
              <w:t>3/10/2021</w:t>
            </w:r>
          </w:p>
        </w:tc>
        <w:tc>
          <w:tcPr>
            <w:tcW w:w="140" w:type="dxa"/>
            <w:vAlign w:val="bottom"/>
          </w:tcPr>
          <w:p>
            <w:pPr>
              <w:spacing w:after="0"/>
              <w:rPr>
                <w:sz w:val="17"/>
                <w:szCs w:val="17"/>
                <w:color w:val="auto"/>
              </w:rPr>
            </w:pPr>
          </w:p>
        </w:tc>
        <w:tc>
          <w:tcPr>
            <w:tcW w:w="820" w:type="dxa"/>
            <w:vAlign w:val="bottom"/>
          </w:tcPr>
          <w:p>
            <w:pPr>
              <w:ind w:left="120"/>
              <w:spacing w:after="0"/>
              <w:rPr>
                <w:sz w:val="20"/>
                <w:szCs w:val="20"/>
                <w:color w:val="auto"/>
              </w:rPr>
            </w:pPr>
            <w:r>
              <w:rPr>
                <w:rFonts w:ascii="Arial" w:cs="Arial" w:eastAsia="Arial" w:hAnsi="Arial"/>
                <w:sz w:val="16"/>
                <w:szCs w:val="16"/>
                <w:color w:val="auto"/>
                <w:w w:val="95"/>
              </w:rPr>
              <w:t>3/29/2024</w:t>
            </w:r>
          </w:p>
        </w:tc>
        <w:tc>
          <w:tcPr>
            <w:tcW w:w="160" w:type="dxa"/>
            <w:vAlign w:val="bottom"/>
          </w:tcPr>
          <w:p>
            <w:pPr>
              <w:spacing w:after="0"/>
              <w:rPr>
                <w:sz w:val="17"/>
                <w:szCs w:val="17"/>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0.22% + applicable spread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50,000</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03"/>
        </w:trPr>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2026</w:t>
            </w:r>
          </w:p>
        </w:tc>
        <w:tc>
          <w:tcPr>
            <w:tcW w:w="16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3"/>
                <w:szCs w:val="23"/>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3/29/2024</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3/10/2026</w:t>
            </w:r>
          </w:p>
        </w:tc>
        <w:tc>
          <w:tcPr>
            <w:tcW w:w="16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0"/>
              </w:rPr>
              <w:t>1.51% + applicable spread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06"/>
        </w:trPr>
        <w:tc>
          <w:tcPr>
            <w:tcW w:w="360" w:type="dxa"/>
            <w:vAlign w:val="bottom"/>
          </w:tcPr>
          <w:p>
            <w:pPr>
              <w:ind w:left="20"/>
              <w:spacing w:after="0"/>
              <w:rPr>
                <w:sz w:val="20"/>
                <w:szCs w:val="20"/>
                <w:color w:val="auto"/>
              </w:rPr>
            </w:pPr>
            <w:r>
              <w:rPr>
                <w:rFonts w:ascii="Arial" w:cs="Arial" w:eastAsia="Arial" w:hAnsi="Arial"/>
                <w:sz w:val="16"/>
                <w:szCs w:val="16"/>
                <w:color w:val="auto"/>
                <w:w w:val="89"/>
              </w:rPr>
              <w:t>2026</w:t>
            </w: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Term Loan</w:t>
            </w:r>
          </w:p>
        </w:tc>
        <w:tc>
          <w:tcPr>
            <w:tcW w:w="1000" w:type="dxa"/>
            <w:vAlign w:val="bottom"/>
          </w:tcPr>
          <w:p>
            <w:pPr>
              <w:jc w:val="right"/>
              <w:spacing w:after="0"/>
              <w:rPr>
                <w:sz w:val="20"/>
                <w:szCs w:val="20"/>
                <w:color w:val="auto"/>
              </w:rPr>
            </w:pPr>
            <w:r>
              <w:rPr>
                <w:rFonts w:ascii="Arial" w:cs="Arial" w:eastAsia="Arial" w:hAnsi="Arial"/>
                <w:sz w:val="16"/>
                <w:szCs w:val="16"/>
                <w:color w:val="auto"/>
              </w:rPr>
              <w:t>8/31/2021</w:t>
            </w:r>
          </w:p>
        </w:tc>
        <w:tc>
          <w:tcPr>
            <w:tcW w:w="140" w:type="dxa"/>
            <w:vAlign w:val="bottom"/>
          </w:tcPr>
          <w:p>
            <w:pPr>
              <w:spacing w:after="0"/>
              <w:rPr>
                <w:sz w:val="17"/>
                <w:szCs w:val="17"/>
                <w:color w:val="auto"/>
              </w:rPr>
            </w:pPr>
          </w:p>
        </w:tc>
        <w:tc>
          <w:tcPr>
            <w:tcW w:w="820" w:type="dxa"/>
            <w:vAlign w:val="bottom"/>
          </w:tcPr>
          <w:p>
            <w:pPr>
              <w:ind w:left="120"/>
              <w:spacing w:after="0"/>
              <w:rPr>
                <w:sz w:val="20"/>
                <w:szCs w:val="20"/>
                <w:color w:val="auto"/>
              </w:rPr>
            </w:pPr>
            <w:r>
              <w:rPr>
                <w:rFonts w:ascii="Arial" w:cs="Arial" w:eastAsia="Arial" w:hAnsi="Arial"/>
                <w:sz w:val="16"/>
                <w:szCs w:val="16"/>
                <w:color w:val="auto"/>
                <w:w w:val="95"/>
              </w:rPr>
              <w:t>3/10/2026</w:t>
            </w:r>
          </w:p>
        </w:tc>
        <w:tc>
          <w:tcPr>
            <w:tcW w:w="160" w:type="dxa"/>
            <w:vAlign w:val="bottom"/>
          </w:tcPr>
          <w:p>
            <w:pPr>
              <w:spacing w:after="0"/>
              <w:rPr>
                <w:sz w:val="17"/>
                <w:szCs w:val="17"/>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0.77% + applicable spread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15,000</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wp:posOffset>
            </wp:positionV>
            <wp:extent cx="14141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3" w:lineRule="exact"/>
        <w:rPr>
          <w:sz w:val="20"/>
          <w:szCs w:val="20"/>
          <w:color w:val="auto"/>
        </w:rPr>
      </w:pPr>
    </w:p>
    <w:p>
      <w:pPr>
        <w:ind w:left="380" w:right="79" w:hanging="330"/>
        <w:spacing w:after="0" w:line="184" w:lineRule="auto"/>
        <w:tabs>
          <w:tab w:leader="none" w:pos="380" w:val="left"/>
        </w:tabs>
        <w:numPr>
          <w:ilvl w:val="0"/>
          <w:numId w:val="13"/>
        </w:numPr>
        <w:rPr>
          <w:rFonts w:ascii="Arial" w:cs="Arial" w:eastAsia="Arial" w:hAnsi="Arial"/>
          <w:sz w:val="22"/>
          <w:szCs w:val="22"/>
          <w:color w:val="auto"/>
          <w:vertAlign w:val="superscript"/>
        </w:rPr>
      </w:pPr>
      <w:r>
        <w:rPr>
          <w:rFonts w:ascii="Arial" w:cs="Arial" w:eastAsia="Arial" w:hAnsi="Arial"/>
          <w:sz w:val="13"/>
          <w:szCs w:val="13"/>
          <w:color w:val="auto"/>
        </w:rPr>
        <w:t>Effective March 10, 2021, the Company redesignated the interest rate swap, entered into as of August 31, 2020, that previously hedged $50.0 million of the outstanding principal balance on the Credit Facility.</w:t>
      </w:r>
    </w:p>
    <w:p>
      <w:pPr>
        <w:ind w:left="380" w:right="79" w:hanging="330"/>
        <w:spacing w:after="0" w:line="190" w:lineRule="auto"/>
        <w:tabs>
          <w:tab w:leader="none" w:pos="380" w:val="left"/>
        </w:tabs>
        <w:numPr>
          <w:ilvl w:val="0"/>
          <w:numId w:val="13"/>
        </w:numPr>
        <w:rPr>
          <w:rFonts w:ascii="Arial" w:cs="Arial" w:eastAsia="Arial" w:hAnsi="Arial"/>
          <w:sz w:val="22"/>
          <w:szCs w:val="22"/>
          <w:color w:val="auto"/>
          <w:vertAlign w:val="superscript"/>
        </w:rPr>
      </w:pPr>
      <w:r>
        <w:rPr>
          <w:rFonts w:ascii="Arial" w:cs="Arial" w:eastAsia="Arial" w:hAnsi="Arial"/>
          <w:sz w:val="13"/>
          <w:szCs w:val="13"/>
          <w:color w:val="auto"/>
        </w:rPr>
        <w:t>The interest rate swap agreement hedges the identical $50.0 million portion of the 2026 Term Loan borrowing under different terms and commences concurrent to the interest rate agreement maturing on March 29, 2024.</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19. ACCRUED AND OTHER LIABILITIES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60" w:type="dxa"/>
            <w:vAlign w:val="bottom"/>
          </w:tcPr>
          <w:p>
            <w:pPr>
              <w:ind w:left="460"/>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8"/>
        </w:trPr>
        <w:tc>
          <w:tcPr>
            <w:tcW w:w="6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200" w:type="dxa"/>
            <w:vAlign w:val="bottom"/>
            <w:tcBorders>
              <w:bottom w:val="single" w:sz="8" w:color="auto"/>
            </w:tcBorders>
          </w:tcPr>
          <w:p>
            <w:pPr>
              <w:spacing w:after="0"/>
              <w:rPr>
                <w:sz w:val="24"/>
                <w:szCs w:val="24"/>
                <w:color w:val="auto"/>
              </w:rPr>
            </w:pPr>
          </w:p>
        </w:tc>
      </w:tr>
      <w:tr>
        <w:trPr>
          <w:trHeight w:val="191"/>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6"/>
                <w:szCs w:val="16"/>
                <w:color w:val="auto"/>
              </w:rPr>
            </w:pPr>
          </w:p>
        </w:tc>
        <w:tc>
          <w:tcPr>
            <w:tcW w:w="12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60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Property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Reserve for Tenant Improvements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1,353</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Security Deposits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Accrued Construction Costs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1,783</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Environmental Reserve</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 - Interest Rate Swaps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Operating Leases - Liability</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r>
      <w:tr>
        <w:trPr>
          <w:trHeight w:val="209"/>
        </w:trPr>
        <w:tc>
          <w:tcPr>
            <w:tcW w:w="6060" w:type="dxa"/>
            <w:vAlign w:val="bottom"/>
          </w:tcPr>
          <w:p>
            <w:pPr>
              <w:ind w:left="20"/>
              <w:spacing w:after="0"/>
              <w:rPr>
                <w:sz w:val="20"/>
                <w:szCs w:val="20"/>
                <w:color w:val="auto"/>
              </w:rPr>
            </w:pPr>
            <w:r>
              <w:rPr>
                <w:rFonts w:ascii="Arial" w:cs="Arial" w:eastAsia="Arial" w:hAnsi="Arial"/>
                <w:sz w:val="18"/>
                <w:szCs w:val="18"/>
                <w:color w:val="auto"/>
              </w:rPr>
              <w:t>Total Accrued and Other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12,716</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9,090</w:t>
            </w:r>
          </w:p>
        </w:tc>
      </w:tr>
      <w:tr>
        <w:trPr>
          <w:trHeight w:val="20"/>
        </w:trPr>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 xml:space="preserve">Reserve for Tenant Improvements. </w:t>
      </w:r>
      <w:r>
        <w:rPr>
          <w:rFonts w:ascii="Arial" w:cs="Arial" w:eastAsia="Arial" w:hAnsi="Arial"/>
          <w:sz w:val="18"/>
          <w:szCs w:val="18"/>
          <w:color w:val="auto"/>
        </w:rPr>
        <w:t>In connection with the acquisition of the Shops at Legacy property in Plano,</w:t>
      </w:r>
      <w:r>
        <w:rPr>
          <w:rFonts w:ascii="Arial" w:cs="Arial" w:eastAsia="Arial" w:hAnsi="Arial"/>
          <w:sz w:val="18"/>
          <w:szCs w:val="18"/>
          <w:i w:val="1"/>
          <w:iCs w:val="1"/>
          <w:color w:val="auto"/>
        </w:rPr>
        <w:t xml:space="preserve"> </w:t>
      </w:r>
      <w:r>
        <w:rPr>
          <w:rFonts w:ascii="Arial" w:cs="Arial" w:eastAsia="Arial" w:hAnsi="Arial"/>
          <w:sz w:val="18"/>
          <w:szCs w:val="18"/>
          <w:color w:val="auto"/>
        </w:rPr>
        <w:t>Texas on June 23, 2021, the Company received $1.9 million from the seller of the property for tenant improvement allowances, leasing commissions and other capital improvements. This amount was included in accrued and other liabilities on the consolidated balance sheets. Through September 30, 2021, payments totaling $0.4 million were made, leaving a remaining commitment of $1.5 million.</w:t>
      </w:r>
    </w:p>
    <w:p>
      <w:pPr>
        <w:spacing w:after="0" w:line="228" w:lineRule="exact"/>
        <w:rPr>
          <w:sz w:val="20"/>
          <w:szCs w:val="20"/>
          <w:color w:val="auto"/>
        </w:rPr>
      </w:pPr>
    </w:p>
    <w:p>
      <w:pPr>
        <w:jc w:val="both"/>
        <w:ind w:left="60" w:right="59" w:firstLine="492"/>
        <w:spacing w:after="0" w:line="287" w:lineRule="auto"/>
        <w:rPr>
          <w:sz w:val="20"/>
          <w:szCs w:val="20"/>
          <w:color w:val="auto"/>
        </w:rPr>
      </w:pPr>
      <w:r>
        <w:rPr>
          <w:rFonts w:ascii="Arial" w:cs="Arial" w:eastAsia="Arial" w:hAnsi="Arial"/>
          <w:sz w:val="16"/>
          <w:szCs w:val="16"/>
          <w:i w:val="1"/>
          <w:iCs w:val="1"/>
          <w:color w:val="auto"/>
        </w:rPr>
        <w:t xml:space="preserve">Environmental Reserve. </w:t>
      </w:r>
      <w:r>
        <w:rPr>
          <w:rFonts w:ascii="Arial" w:cs="Arial" w:eastAsia="Arial" w:hAnsi="Arial"/>
          <w:sz w:val="16"/>
          <w:szCs w:val="16"/>
          <w:color w:val="auto"/>
        </w:rPr>
        <w:t>During the year ended December 31, 2014, the Company accrued an environmental reserve</w:t>
      </w:r>
      <w:r>
        <w:rPr>
          <w:rFonts w:ascii="Arial" w:cs="Arial" w:eastAsia="Arial" w:hAnsi="Arial"/>
          <w:sz w:val="16"/>
          <w:szCs w:val="16"/>
          <w:i w:val="1"/>
          <w:iCs w:val="1"/>
          <w:color w:val="auto"/>
        </w:rPr>
        <w:t xml:space="preserve"> </w:t>
      </w:r>
      <w:r>
        <w:rPr>
          <w:rFonts w:ascii="Arial" w:cs="Arial" w:eastAsia="Arial" w:hAnsi="Arial"/>
          <w:sz w:val="16"/>
          <w:szCs w:val="16"/>
          <w:color w:val="auto"/>
        </w:rPr>
        <w:t>of $0.1 million in connection with an estimate of additional costs required to monitor a parcel of less than one acre of land owned by the Company in Highlands County, Florida, on which environmental remediation work had previously been performed. The Company engaged legal counsel who, in turn, engaged environmental engineers to review the site and the prior monitoring test results. During the year ended December 31, 2015, their review was completed, and the Company made an additional accrual of $0.5 million, representing the low end of the range of possible costs estimated by the engineers to be between $0.5 million and $1.0 million to resolve this matter subject to the approval of the state department of environmental protection (the “FDEP”). The FDEP issued a Remedial Action Plan Modification Approval Order (the “FDEP Approval”) in August 2016 which supports the approximate $0.5 million accrual made in 2015. The Company is implementing the remediation plan pursuant to the FDEP Approval. During the fourth quarter of 2017, the Company made an additional accrual of less than $0.1 million for the second year of monitoring as the low end of the original range of</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estimated costs was increased for the amount of monitoring now anticipated. Since the total accrual of $0.7 million was made, $0.6 million in costs have been incurred through September 30, 2021, leaving a remaining accrual of $0.1 million.</w:t>
      </w:r>
    </w:p>
    <w:p>
      <w:pPr>
        <w:spacing w:after="0" w:line="164"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 xml:space="preserve">Operating Leases – Liability. </w:t>
      </w:r>
      <w:r>
        <w:rPr>
          <w:rFonts w:ascii="Arial" w:cs="Arial" w:eastAsia="Arial" w:hAnsi="Arial"/>
          <w:sz w:val="18"/>
          <w:szCs w:val="18"/>
          <w:color w:val="auto"/>
        </w:rPr>
        <w:t>The Company implemented FASB ASC Topic 842,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effective January 1, 2019,</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 cumulative effect adjustment to increase right-of-use assets and related liabilities for operating leases for which the Company is the lessee.</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0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 20. DEFERRED REVENUE</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gridSpan w:val="2"/>
          </w:tcPr>
          <w:p>
            <w:pPr>
              <w:ind w:left="440"/>
              <w:spacing w:after="0"/>
              <w:rPr>
                <w:sz w:val="20"/>
                <w:szCs w:val="20"/>
                <w:color w:val="auto"/>
              </w:rPr>
            </w:pPr>
            <w:r>
              <w:rPr>
                <w:rFonts w:ascii="Arial" w:cs="Arial" w:eastAsia="Arial" w:hAnsi="Arial"/>
                <w:sz w:val="18"/>
                <w:szCs w:val="18"/>
                <w:color w:val="auto"/>
              </w:rPr>
              <w:t>Deferred revenue consisted of the following (in thousands):</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4"/>
              </w:rPr>
              <w:t>As of</w:t>
            </w:r>
          </w:p>
        </w:tc>
        <w:tc>
          <w:tcPr>
            <w:tcW w:w="1260" w:type="dxa"/>
            <w:vAlign w:val="bottom"/>
            <w:tcBorders>
              <w:bottom w:val="single" w:sz="8" w:color="auto"/>
            </w:tcBorders>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2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Rent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r>
      <w:tr>
        <w:trPr>
          <w:trHeight w:val="216"/>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Tenant Contributions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Deferred Revenue</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Total Deferred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86"/>
        <w:spacing w:after="0" w:line="270" w:lineRule="auto"/>
        <w:rPr>
          <w:sz w:val="20"/>
          <w:szCs w:val="20"/>
          <w:color w:val="auto"/>
        </w:rPr>
      </w:pPr>
      <w:r>
        <w:rPr>
          <w:rFonts w:ascii="Arial" w:cs="Arial" w:eastAsia="Arial" w:hAnsi="Arial"/>
          <w:sz w:val="17"/>
          <w:szCs w:val="17"/>
          <w:i w:val="1"/>
          <w:iCs w:val="1"/>
          <w:color w:val="auto"/>
        </w:rPr>
        <w:t xml:space="preserve">Tenant Contributions. </w:t>
      </w:r>
      <w:r>
        <w:rPr>
          <w:rFonts w:ascii="Arial" w:cs="Arial" w:eastAsia="Arial" w:hAnsi="Arial"/>
          <w:sz w:val="17"/>
          <w:szCs w:val="17"/>
          <w:color w:val="auto"/>
        </w:rPr>
        <w:t>In connection with the construction of the Company’s beachfront restaurant formerly leased to</w:t>
      </w:r>
      <w:r>
        <w:rPr>
          <w:rFonts w:ascii="Arial" w:cs="Arial" w:eastAsia="Arial" w:hAnsi="Arial"/>
          <w:sz w:val="17"/>
          <w:szCs w:val="17"/>
          <w:i w:val="1"/>
          <w:iCs w:val="1"/>
          <w:color w:val="auto"/>
        </w:rPr>
        <w:t xml:space="preserve"> </w:t>
      </w:r>
      <w:r>
        <w:rPr>
          <w:rFonts w:ascii="Arial" w:cs="Arial" w:eastAsia="Arial" w:hAnsi="Arial"/>
          <w:sz w:val="17"/>
          <w:szCs w:val="17"/>
          <w:color w:val="auto"/>
        </w:rPr>
        <w:t>Cocina 214 in Daytona Beach, Florida, pursuant to the lease agreement, the tenant contributed $1.9 million towards the completion of the building and tenant improvements through direct payments to various third-party construction vendors. The tenant contribution is being recognized ratably over the remaining term of the lease into income property rental revenue. As a result of the lease termination agreement, entered into on July 16, 2019 by the Company and Cocina 214, the balance of the tenant contribution liability was reduced by $1.0 million, leaving a balance of $0.7 million to be recognized into income property rental revenue ratably over the remaining term of the original Cocina 214 lease. A total of $0.1 million was recognized into income property rental revenue through September 30, 2021, leaving a balance of $0.6 million to be recognized over the remaining term of the lease.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21. STOCK-BASED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STOCK-BASED COMPENSATION</w:t>
      </w:r>
    </w:p>
    <w:p>
      <w:pPr>
        <w:spacing w:after="0" w:line="229" w:lineRule="exact"/>
        <w:rPr>
          <w:sz w:val="20"/>
          <w:szCs w:val="20"/>
          <w:color w:val="auto"/>
        </w:rPr>
      </w:pPr>
    </w:p>
    <w:p>
      <w:pPr>
        <w:jc w:val="both"/>
        <w:ind w:left="60" w:right="59" w:firstLine="486"/>
        <w:spacing w:after="0" w:line="277" w:lineRule="auto"/>
        <w:rPr>
          <w:sz w:val="20"/>
          <w:szCs w:val="20"/>
          <w:color w:val="auto"/>
        </w:rPr>
      </w:pPr>
      <w:r>
        <w:rPr>
          <w:rFonts w:ascii="Arial" w:cs="Arial" w:eastAsia="Arial" w:hAnsi="Arial"/>
          <w:sz w:val="18"/>
          <w:szCs w:val="18"/>
          <w:color w:val="auto"/>
        </w:rPr>
        <w:t>A summary of share activity for all equity classified stock compensation during the nine months ended September 30, 2021, is presented below:</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Shares</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7"/>
              </w:rPr>
              <w:t>Vested /</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r>
      <w:tr>
        <w:trPr>
          <w:trHeight w:val="203"/>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Outstanding</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7"/>
              </w:rPr>
              <w:t>Granted</w:t>
            </w:r>
          </w:p>
        </w:tc>
        <w:tc>
          <w:tcPr>
            <w:tcW w:w="8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Exercised</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Expired</w:t>
            </w:r>
          </w:p>
        </w:tc>
        <w:tc>
          <w:tcPr>
            <w:tcW w:w="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Forfeited</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r>
      <w:tr>
        <w:trPr>
          <w:trHeight w:val="213"/>
        </w:trPr>
        <w:tc>
          <w:tcPr>
            <w:tcW w:w="3500" w:type="dxa"/>
            <w:vAlign w:val="bottom"/>
            <w:gridSpan w:val="2"/>
          </w:tcPr>
          <w:p>
            <w:pPr>
              <w:ind w:left="20"/>
              <w:spacing w:after="0"/>
              <w:rPr>
                <w:sz w:val="20"/>
                <w:szCs w:val="20"/>
                <w:color w:val="auto"/>
              </w:rPr>
            </w:pPr>
            <w:r>
              <w:rPr>
                <w:rFonts w:ascii="Arial" w:cs="Arial" w:eastAsia="Arial" w:hAnsi="Arial"/>
                <w:sz w:val="16"/>
                <w:szCs w:val="16"/>
                <w:b w:val="1"/>
                <w:bCs w:val="1"/>
                <w:color w:val="auto"/>
              </w:rPr>
              <w:t>Type of Award</w:t>
            </w: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at 1/1/2021</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Shares</w:t>
            </w:r>
          </w:p>
        </w:tc>
        <w:tc>
          <w:tcPr>
            <w:tcW w:w="8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Shares</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Shares</w:t>
            </w:r>
          </w:p>
        </w:tc>
        <w:tc>
          <w:tcPr>
            <w:tcW w:w="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Shares</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at 9/30/2021</w:t>
            </w:r>
          </w:p>
        </w:tc>
      </w:tr>
      <w:tr>
        <w:trPr>
          <w:trHeight w:val="189"/>
        </w:trPr>
        <w:tc>
          <w:tcPr>
            <w:tcW w:w="3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7"/>
              </w:rPr>
              <w:t>Equity Classified - Performance Share Awards -</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1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Peer Group Market Condition Vesting</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55,851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48,134</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(17,418)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86,567</w:t>
            </w:r>
          </w:p>
        </w:tc>
      </w:tr>
      <w:tr>
        <w:trPr>
          <w:trHeight w:val="193"/>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Equity Classified - Market Condition Restricted</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9"/>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Shares - Stock Price Vesting</w:t>
            </w:r>
          </w:p>
        </w:tc>
        <w:tc>
          <w:tcPr>
            <w:tcW w:w="860" w:type="dxa"/>
            <w:vAlign w:val="bottom"/>
          </w:tcPr>
          <w:p>
            <w:pPr>
              <w:jc w:val="right"/>
              <w:spacing w:after="0"/>
              <w:rPr>
                <w:sz w:val="20"/>
                <w:szCs w:val="20"/>
                <w:color w:val="auto"/>
              </w:rPr>
            </w:pPr>
            <w:r>
              <w:rPr>
                <w:rFonts w:ascii="Arial" w:cs="Arial" w:eastAsia="Arial" w:hAnsi="Arial"/>
                <w:sz w:val="16"/>
                <w:szCs w:val="16"/>
                <w:color w:val="auto"/>
              </w:rPr>
              <w:t>22,000</w:t>
            </w: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(22,000)</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Classified - Three Year Vest Restricted</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38,479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43,050</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(21,220)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(3,435)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56,874</w:t>
            </w:r>
          </w:p>
        </w:tc>
      </w:tr>
      <w:tr>
        <w:trPr>
          <w:trHeight w:val="193"/>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Equity Classified - Non-Qualified Stock Option</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9"/>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Awards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80,000</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20,332</w:t>
            </w:r>
          </w:p>
        </w:tc>
        <w:tc>
          <w:tcPr>
            <w:tcW w:w="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(78,791)</w:t>
            </w:r>
          </w:p>
        </w:tc>
        <w:tc>
          <w:tcPr>
            <w:tcW w:w="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21,541</w:t>
            </w:r>
          </w:p>
        </w:tc>
      </w:tr>
      <w:tr>
        <w:trPr>
          <w:trHeight w:val="223"/>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196,330</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111,516</w:t>
            </w: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(117,429)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(22,000)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(3,435)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164,982</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As contemplated under the terms of the Second Amended and Restated 2010 Equity Incentive Plan (together with its predecessor plan, the “2010 Plan”), on January 20, 2021, in order to address the dilutive effect of the stock component of the special distribution that was paid to the Company’s stockholders on December 21, 2020 in connection with the Company’s REIT conversion, the Board’s Compensation Committee made an equitable adjustment (the “Equitable Adjustment”) to certain of the awards outstanding as of December 31, 2020. Accordingly, during the three months ended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March 31, 2021, the 111,516 shares granted includes 46,237 shares attributable to the Equitable Adjustment which resulted in no incremental compensation cost.</w:t>
      </w:r>
    </w:p>
    <w:p>
      <w:pPr>
        <w:spacing w:after="0" w:line="170"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Effective as of August 4, 2017, the Company entered into amendments to the employment agreements and certain stock option award agreements and restricted share award agreements whereby such awards will fully vest following a change in control (as defined in the executive’s employment agreement) only if the executive’s employment is terminated without cause or if the executive resigns for good reason (as such terms are defined in the executive’s employment agreement), in each case, at any time during the 24-month period following the change in control.</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Amounts recognized in the financial statements for stock-based compensation are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8"/>
              </w:rPr>
              <w:t>Three Months Ended</w:t>
            </w:r>
          </w:p>
        </w:tc>
        <w:tc>
          <w:tcPr>
            <w:tcW w:w="240" w:type="dxa"/>
            <w:vAlign w:val="bottom"/>
          </w:tcPr>
          <w:p>
            <w:pPr>
              <w:spacing w:after="0"/>
              <w:rPr>
                <w:sz w:val="20"/>
                <w:szCs w:val="20"/>
                <w:color w:val="auto"/>
              </w:rPr>
            </w:pPr>
          </w:p>
        </w:tc>
        <w:tc>
          <w:tcPr>
            <w:tcW w:w="2200" w:type="dxa"/>
            <w:vAlign w:val="bottom"/>
            <w:gridSpan w:val="5"/>
          </w:tcPr>
          <w:p>
            <w:pPr>
              <w:ind w:left="2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3900" w:type="dxa"/>
            <w:vAlign w:val="bottom"/>
          </w:tcPr>
          <w:p>
            <w:pPr>
              <w:spacing w:after="0"/>
              <w:rPr>
                <w:sz w:val="16"/>
                <w:szCs w:val="16"/>
                <w:color w:val="auto"/>
              </w:rPr>
            </w:pPr>
          </w:p>
        </w:tc>
        <w:tc>
          <w:tcPr>
            <w:tcW w:w="13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6"/>
                <w:szCs w:val="16"/>
                <w:color w:val="auto"/>
              </w:rPr>
            </w:pPr>
          </w:p>
        </w:tc>
        <w:tc>
          <w:tcPr>
            <w:tcW w:w="130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6"/>
              </w:rPr>
              <w:t>Total Cost of Share-Based Plans Charged Against</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 Effect</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Recognized in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EQUITY-CLASSIFIED STOCK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Share Awards – Peer Group Market Condition Vesting</w:t>
      </w:r>
    </w:p>
    <w:p>
      <w:pPr>
        <w:spacing w:after="0" w:line="117"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48,134 performance shares during the three months ended March 31, 2021, of which 15,988 were attributable to the Equitable Adjustment.</w:t>
      </w:r>
    </w:p>
    <w:p>
      <w:pPr>
        <w:spacing w:after="0" w:line="164"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As of September 30, 2021, there was $1.8 million of unrecognized compensation cost, adjusted for estimated 1.8</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years.</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activity during the nine months ended September 30, 2021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Wtd. Avg. Fair</w:t>
            </w:r>
          </w:p>
        </w:tc>
      </w:tr>
      <w:tr>
        <w:trPr>
          <w:trHeight w:val="234"/>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Performance Shares with Market Conditions</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Value</w:t>
            </w:r>
          </w:p>
        </w:tc>
      </w:tr>
      <w:tr>
        <w:trPr>
          <w:trHeight w:val="210"/>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2021</w:t>
            </w: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55,851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48,134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32.04</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Nonvested at September 30, 2021</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86,567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47.01</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Condition Restricted Shares– Stock Price Vesting</w:t>
      </w:r>
    </w:p>
    <w:p>
      <w:pPr>
        <w:spacing w:after="0" w:line="225"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Restricted Company common stock has been granted to certain employees under the 2010 Plan. The restricted Company common stock outstanding from these grants vest in increments based upon the price per share of the Company common stock during the term of employment (or within sixty days after termination of employment by the Company without cause), meeting or exceeding the target trailing thirty-day average closing prices. Effective January 28, 2021, the 22,000 shares outstanding, consisting of 18,000 shares with a $70 per share price vesting criteria and 4,000 shares with a $75 per share price vesting criteria, expired prior to vesting.</w:t>
      </w:r>
    </w:p>
    <w:p>
      <w:pPr>
        <w:spacing w:after="0" w:line="192"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September 30, 2021, there is no unrecognized compensation cost related to market condition restricted stock.</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the activity for these awards during the nine months ended September 30, 2021 is presented below:</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Wtd. Avg. Fair</w:t>
            </w:r>
          </w:p>
        </w:tc>
      </w:tr>
      <w:tr>
        <w:trPr>
          <w:trHeight w:val="234"/>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Market Condition Non-Vested Restricted Shares</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Value</w:t>
            </w:r>
          </w:p>
        </w:tc>
      </w:tr>
      <w:tr>
        <w:trPr>
          <w:trHeight w:val="209"/>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2021</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41.71</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Nonvested at September 30, 2021</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Year Vest Restricted Shares</w:t>
      </w:r>
    </w:p>
    <w:p>
      <w:pPr>
        <w:spacing w:after="0" w:line="212"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Restricted shares have been granted to certain employees under the 2010 Plan. One-third of the restricted shares will vest on each of the first, second, and third anniversaries of January 28 of the applicable year provided the grantee is an employee of the Company on those dates. In addition, any unvested portion of the restricted shares will vest upon a change in control. The Company granted a total of 43,050 shares of three-year restricted Company common stock during the three months ended March 31, 2021, of which 9,917 were attributable to the Equitable Adjustment.</w:t>
      </w:r>
    </w:p>
    <w:p>
      <w:pPr>
        <w:spacing w:after="0" w:line="161"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The Company’s determination of the fair value of the three-year vest restricted stock awards was calculated by multiplying the number of shares issued by the Company’s stock price at the grant date, less the present value of expected dividends during the vesting period. Compensation cost is recognized on a straight-line basis over the vesting period.</w:t>
      </w:r>
    </w:p>
    <w:p>
      <w:pPr>
        <w:spacing w:after="0" w:line="149" w:lineRule="exact"/>
        <w:rPr>
          <w:sz w:val="20"/>
          <w:szCs w:val="20"/>
          <w:color w:val="auto"/>
        </w:rPr>
      </w:pPr>
    </w:p>
    <w:p>
      <w:pPr>
        <w:jc w:val="both"/>
        <w:ind w:left="60" w:right="79" w:firstLine="441"/>
        <w:spacing w:after="0" w:line="263" w:lineRule="auto"/>
        <w:rPr>
          <w:sz w:val="20"/>
          <w:szCs w:val="20"/>
          <w:color w:val="auto"/>
        </w:rPr>
      </w:pPr>
      <w:r>
        <w:rPr>
          <w:rFonts w:ascii="Arial" w:cs="Arial" w:eastAsia="Arial" w:hAnsi="Arial"/>
          <w:sz w:val="18"/>
          <w:szCs w:val="18"/>
          <w:color w:val="auto"/>
        </w:rPr>
        <w:t>As of September 30, 2021, there was $1.8 million of unrecognized compensation cost, adjusted for estimated forfeitures, related to the three-year vest non-vested restricted shares, which will be recognized over a remaining weighted average period of 1.9 years.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activity for these awards nine months ended September 30, 2021 is presented below:</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Wtd. Avg. Fair</w:t>
            </w:r>
          </w:p>
        </w:tc>
      </w:tr>
      <w:tr>
        <w:trPr>
          <w:trHeight w:val="234"/>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Year Vest Non-Vested Restricted Shares</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Value Per Share</w:t>
            </w:r>
          </w:p>
        </w:tc>
      </w:tr>
      <w:tr>
        <w:trPr>
          <w:trHeight w:val="210"/>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2021</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43,050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35.47</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r>
      <w:tr>
        <w:trPr>
          <w:trHeight w:val="20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Nonvested at September 30, 2021</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56,874</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45.04</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Non-Qualified Stock Option Awards</w:t>
      </w:r>
    </w:p>
    <w:p>
      <w:pPr>
        <w:spacing w:after="0" w:line="212" w:lineRule="exact"/>
        <w:rPr>
          <w:sz w:val="20"/>
          <w:szCs w:val="20"/>
          <w:color w:val="auto"/>
        </w:rPr>
      </w:pPr>
    </w:p>
    <w:p>
      <w:pPr>
        <w:jc w:val="both"/>
        <w:ind w:left="60" w:right="59" w:firstLine="441"/>
        <w:spacing w:after="0" w:line="276" w:lineRule="auto"/>
        <w:rPr>
          <w:sz w:val="20"/>
          <w:szCs w:val="20"/>
          <w:color w:val="auto"/>
        </w:rPr>
      </w:pPr>
      <w:r>
        <w:rPr>
          <w:rFonts w:ascii="Arial" w:cs="Arial" w:eastAsia="Arial" w:hAnsi="Arial"/>
          <w:sz w:val="16"/>
          <w:szCs w:val="16"/>
          <w:color w:val="auto"/>
        </w:rPr>
        <w:t>Stock option awards have been granted to certain employees under the 2010 Plan. The vesting period of the options awards granted ranged from a period of one to three years. All options had vested as of December 31, 2018. The option expires on the earliest of: (a) the tenth anniversary of the grant date; (b) twelve months after the employee’s death or termination for disability; or (c) thirty days after the termination of employment for any reason other than death or disability. Effective January 20, 2021, as a result of the Equitable Adjustment, the number of shares covered by the options then outstanding were increased by a total of 20,332 with an adjustment to the respective exercise prices.</w:t>
      </w:r>
    </w:p>
    <w:p>
      <w:pPr>
        <w:spacing w:after="0" w:line="148" w:lineRule="exact"/>
        <w:rPr>
          <w:sz w:val="20"/>
          <w:szCs w:val="20"/>
          <w:color w:val="auto"/>
        </w:rPr>
      </w:pPr>
    </w:p>
    <w:p>
      <w:pPr>
        <w:jc w:val="both"/>
        <w:ind w:left="60" w:right="59" w:firstLine="441"/>
        <w:spacing w:after="0" w:line="243" w:lineRule="auto"/>
        <w:rPr>
          <w:sz w:val="20"/>
          <w:szCs w:val="20"/>
          <w:color w:val="auto"/>
        </w:rPr>
      </w:pPr>
      <w:r>
        <w:rPr>
          <w:rFonts w:ascii="Arial" w:cs="Arial" w:eastAsia="Arial" w:hAnsi="Arial"/>
          <w:sz w:val="18"/>
          <w:szCs w:val="18"/>
          <w:color w:val="auto"/>
        </w:rPr>
        <w:t>The Company used the Black-Scholes valuation pricing model to determine the fair value of its non-qualified stock option awards. The determination of the fair value of the awards is affected by the stock price as well as assumptions regarding a number of other variables. These variables include expected stock price volatility over the term of the awards, annual dividends, and a risk-free interest rate assumption.</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the activity for these awards during the nine months ended September 30, 2021 is presented below:</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Wtd. Avg.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Wtd. Avg.</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21"/>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Non-Qualified Stock Option Awards</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Ex. Price</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2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1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20,332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(78,791)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Outstanding at September 30, 2021</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21,541</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43.37</w:t>
            </w:r>
          </w:p>
        </w:tc>
        <w:tc>
          <w:tcPr>
            <w:tcW w:w="1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223,833</w:t>
            </w:r>
          </w:p>
        </w:tc>
        <w:tc>
          <w:tcPr>
            <w:tcW w:w="0" w:type="dxa"/>
            <w:vAlign w:val="bottom"/>
          </w:tcPr>
          <w:p>
            <w:pPr>
              <w:spacing w:after="0"/>
              <w:rPr>
                <w:sz w:val="1"/>
                <w:szCs w:val="1"/>
                <w:color w:val="auto"/>
              </w:rPr>
            </w:pPr>
          </w:p>
        </w:tc>
      </w:tr>
      <w:tr>
        <w:trPr>
          <w:trHeight w:val="197"/>
        </w:trPr>
        <w:tc>
          <w:tcPr>
            <w:tcW w:w="4500" w:type="dxa"/>
            <w:vAlign w:val="bottom"/>
            <w:tcBorders>
              <w:bottom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8"/>
                <w:szCs w:val="18"/>
                <w:color w:val="auto"/>
              </w:rPr>
              <w:t>Exercisable at January 1, 2021</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80,000</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55.63</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20"/>
              <w:spacing w:after="0"/>
              <w:rPr>
                <w:sz w:val="20"/>
                <w:szCs w:val="20"/>
                <w:color w:val="auto"/>
              </w:rPr>
            </w:pPr>
            <w:r>
              <w:rPr>
                <w:rFonts w:ascii="Arial" w:cs="Arial" w:eastAsia="Arial" w:hAnsi="Arial"/>
                <w:sz w:val="18"/>
                <w:szCs w:val="18"/>
                <w:color w:val="auto"/>
              </w:rPr>
              <w:t>Exercisable at September 30, 2021</w:t>
            </w: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21,541</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43.37</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223,833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The total intrinsic value of options exercised during the nine months ended September 30, 2021 totaled $0.9 million. As of September 30, 2021, there is no unrecognized compensation cost related to non-qualified, non-vested stock option awards.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NON-EMPLOYEE DIRECTOR STOCK COMPENSATION</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closing price of the Company’s common stock on the last business day of the quarter for which such payment applied, rounded down to the nearest whole number of shares.</w:t>
      </w:r>
    </w:p>
    <w:p>
      <w:pPr>
        <w:spacing w:after="0" w:line="192"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Commencing in 2019, each non-employee director serving as of the beginning of each calendar year shall receive an annual award of the Company’s common stock valued at $20,000 for the years ended December 31, 2019 and 2020 and $35,000 for the year ending December 31, 2021 (the “Annual Award”). The number of shares awarded is calculated based on the trailing 20-day average price of the Company’s common stock as of the date two business days prior to the date of the award, rounded down to the nearest whole number of shares. Commencing in 2021, non-employee directors will no longer receive meeting fees, but will receive additional retainers for service on Board committees, as set forth in the Company’s Non-Employee Director Compensation Policy available on the Company’s website (www.ctoreit.com).</w:t>
      </w:r>
    </w:p>
    <w:p>
      <w:pPr>
        <w:spacing w:after="0" w:line="207"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During the nine months ended September 30, 2021 and 2020, the expense recognized for the value of the Company’s common stock received by non-employee directors totaled $0.5 million or 9,684 shares, and $0.4 million, or 8,143 shares, respectively. The expense recognized during the nine months ended September 30, 2021 and 2020 includes the Annual Award received during the first quarter of each respective year which totaled $0.2 million and $0.1 million,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22. INCOME TAXES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The Company has elected to be taxed as a REIT for U.S. federal income tax purposes under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 and subsidiaries of TRSs, which will be subject to applicable U.S. federal, state and local corporate income tax on their taxable income. For the periods presented, the Company held a total of five TRSs subject to taxation. The Company’s TRSs will file separately as C-Corporations.</w:t>
      </w:r>
    </w:p>
    <w:p>
      <w:pPr>
        <w:spacing w:after="0" w:line="167" w:lineRule="exact"/>
        <w:rPr>
          <w:sz w:val="20"/>
          <w:szCs w:val="20"/>
          <w:color w:val="auto"/>
        </w:rPr>
      </w:pPr>
    </w:p>
    <w:p>
      <w:pPr>
        <w:jc w:val="both"/>
        <w:ind w:left="60" w:right="59" w:firstLine="441"/>
        <w:spacing w:after="0" w:line="253" w:lineRule="auto"/>
        <w:rPr>
          <w:sz w:val="20"/>
          <w:szCs w:val="20"/>
          <w:color w:val="auto"/>
        </w:rPr>
      </w:pPr>
      <w:r>
        <w:rPr>
          <w:rFonts w:ascii="Arial" w:cs="Arial" w:eastAsia="Arial" w:hAnsi="Arial"/>
          <w:sz w:val="18"/>
          <w:szCs w:val="18"/>
          <w:color w:val="auto"/>
        </w:rPr>
        <w:t>As a result of the Company’s election to be taxed as a REIT, during the year ended December 31, 2020, a $82.5 million deferred tax benefit was recorded to de-recognize the deferred tax assets and liabilities associated with the entities included in the REIT. A significant portion of the deferred tax benefit recognized relates to the de-recognition of deferred tax liabilities resulting from Internal Revenue Code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generally does not intend to dispose of any REIT assets after the REIT conversion within the 5-year period, unless various tax planning strategies, including 1031 Exchanges or other deferred tax structures are available to mitigate the built-in gain tax liability of conversion.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23. COMMITMENTS AND CONTINGENCIES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65"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i w:val="1"/>
          <w:iCs w:val="1"/>
          <w:color w:val="auto"/>
        </w:rPr>
        <w:t xml:space="preserve">Buc-ee’s. </w:t>
      </w:r>
      <w:r>
        <w:rPr>
          <w:rFonts w:ascii="Arial" w:cs="Arial" w:eastAsia="Arial" w:hAnsi="Arial"/>
          <w:sz w:val="16"/>
          <w:szCs w:val="16"/>
          <w:color w:val="auto"/>
        </w:rPr>
        <w:t>On March 31, 2021, the Company and its wholly-owned subsidiary, Indigo Development LLC, a Florida</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liability company (collectively, “CTO”) filed a Complaint for Declaratory Relief in the Circuit Court, Seventh Judicial Circuit, in and for Volusia County, Florida (Case No. 2021-30415-CICI) against Buc-ee’s Ltd., a Texas limited partnership (“Buc-ee’s”), in connection with a dispute over funds deposited in escrow by CTO in the amount of $0.8 million (the “Escrowed Funds”). The Escrowed Funds were deposited simultaneously with CTO’s sale to Buc-ee’s in March 2018 of 35 acres of real property located in Daytona Beach, Volusia County, Florida (the “Buc-ee’s Parcel”). Pursuant to a post-closing escrow agreement between CTO and Buc-ee’s, the Escrowed Funds were to be released to CTO once CTO had obtained certain wetlands-related permits for the benefit of a portion of the Buc-ee’s Parcel. CTO was ultimately successful in obtaining the permits, although the permits were issued later than originally contemplated by the escrow agreement. Buc-ee’s was aware of and acquiesced to CTO’s continuing efforts and expenditures in obtaining the permits, including after the date originally contemplated in the escrow agreement; however, not until after the permits were issued did Buc-ee’s inform CTO that Buc-ee’s would not agree to release the Escrowed Funds to CTO. CTO’s complaint seeks a declaratory judgment determining the parties’ entitlement to the Escrowed Funds and to reimburse CTO for its costs associated with seeking legal relief. CTO has asked for a hearing with the court but the date for the hearing has not yet been set; the parties to the dispute are proceeding with the pre-trial discovery process.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Commitments – Expenditures</w:t>
      </w:r>
    </w:p>
    <w:p>
      <w:pPr>
        <w:spacing w:after="0" w:line="212" w:lineRule="exact"/>
        <w:rPr>
          <w:sz w:val="20"/>
          <w:szCs w:val="20"/>
          <w:color w:val="auto"/>
        </w:rPr>
      </w:pPr>
    </w:p>
    <w:p>
      <w:pPr>
        <w:jc w:val="both"/>
        <w:ind w:left="60" w:right="59" w:firstLine="492"/>
        <w:spacing w:after="0" w:line="248" w:lineRule="auto"/>
        <w:rPr>
          <w:sz w:val="20"/>
          <w:szCs w:val="20"/>
          <w:color w:val="auto"/>
        </w:rPr>
      </w:pPr>
      <w:r>
        <w:rPr>
          <w:rFonts w:ascii="Arial" w:cs="Arial" w:eastAsia="Arial" w:hAnsi="Arial"/>
          <w:sz w:val="18"/>
          <w:szCs w:val="18"/>
          <w:color w:val="auto"/>
        </w:rPr>
        <w:t>The Company has committed to fund the following capital improvements. The improvements, which are related to several properties, are estimated to be completed generally within twelve months. These commitments, as of September 30, 2021, are as follows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As of September 30,</w:t>
            </w:r>
          </w:p>
        </w:tc>
      </w:tr>
      <w:tr>
        <w:trPr>
          <w:trHeight w:val="234"/>
        </w:trPr>
        <w:tc>
          <w:tcPr>
            <w:tcW w:w="2240" w:type="dxa"/>
            <w:vAlign w:val="bottom"/>
            <w:tcBorders>
              <w:bottom w:val="single" w:sz="8" w:color="CCEEFF"/>
            </w:tcBorders>
          </w:tcPr>
          <w:p>
            <w:pPr>
              <w:spacing w:after="0"/>
              <w:rPr>
                <w:sz w:val="20"/>
                <w:szCs w:val="20"/>
                <w:color w:val="auto"/>
              </w:rPr>
            </w:pPr>
          </w:p>
        </w:tc>
        <w:tc>
          <w:tcPr>
            <w:tcW w:w="47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09"/>
        </w:trPr>
        <w:tc>
          <w:tcPr>
            <w:tcW w:w="69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Commitment </w:t>
            </w:r>
            <w:r>
              <w:rPr>
                <w:rFonts w:ascii="Arial" w:cs="Arial" w:eastAsia="Arial" w:hAnsi="Arial"/>
                <w:sz w:val="24"/>
                <w:szCs w:val="24"/>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15,810</w:t>
            </w:r>
          </w:p>
        </w:tc>
      </w:tr>
      <w:tr>
        <w:trPr>
          <w:trHeight w:val="216"/>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 Funded</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w:t>
            </w:r>
          </w:p>
        </w:tc>
      </w:tr>
      <w:tr>
        <w:trPr>
          <w:trHeight w:val="21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Remaining Commitment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12,094</w:t>
            </w:r>
          </w:p>
        </w:tc>
      </w:tr>
      <w:tr>
        <w:trPr>
          <w:trHeight w:val="20"/>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60" w:type="dxa"/>
            <w:vAlign w:val="bottom"/>
          </w:tcPr>
          <w:p>
            <w:pPr>
              <w:spacing w:after="0"/>
              <w:rPr>
                <w:sz w:val="8"/>
                <w:szCs w:val="8"/>
                <w:color w:val="auto"/>
              </w:rPr>
            </w:pPr>
          </w:p>
        </w:tc>
      </w:tr>
    </w:tbl>
    <w:p>
      <w:pPr>
        <w:spacing w:after="0" w:line="26" w:lineRule="exact"/>
        <w:rPr>
          <w:sz w:val="20"/>
          <w:szCs w:val="20"/>
          <w:color w:val="auto"/>
        </w:rPr>
      </w:pPr>
    </w:p>
    <w:p>
      <w:pPr>
        <w:ind w:left="340" w:hanging="290"/>
        <w:spacing w:after="0"/>
        <w:tabs>
          <w:tab w:leader="none" w:pos="34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Commitment includes tenant improvements, leasing commissions, rebranding, facility expansion and other capital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24. BUSINESS SEGMENT DATA</w:t>
      </w:r>
    </w:p>
    <w:p>
      <w:pPr>
        <w:spacing w:after="0" w:line="229" w:lineRule="exact"/>
        <w:rPr>
          <w:sz w:val="20"/>
          <w:szCs w:val="20"/>
          <w:color w:val="auto"/>
        </w:rPr>
      </w:pPr>
    </w:p>
    <w:p>
      <w:pPr>
        <w:jc w:val="both"/>
        <w:ind w:left="60" w:right="59" w:firstLine="441"/>
        <w:spacing w:after="0" w:line="288" w:lineRule="auto"/>
        <w:rPr>
          <w:sz w:val="20"/>
          <w:szCs w:val="20"/>
          <w:color w:val="auto"/>
        </w:rPr>
      </w:pPr>
      <w:r>
        <w:rPr>
          <w:rFonts w:ascii="Arial" w:cs="Arial" w:eastAsia="Arial" w:hAnsi="Arial"/>
          <w:sz w:val="16"/>
          <w:szCs w:val="16"/>
          <w:color w:val="auto"/>
        </w:rPr>
        <w:t>The Company operates in four primary business segments: income properties, management services, commercial loan and master lease investments, and real estate operations. Our income property operations consist primarily of income-producing properties, and our business plan is focused on investing in additional income-producing properties. Our income property operations accounted for 74.0% and 80.0% of our identifiable assets as of September 30, 2021 and December 31, 2020, respectively, and 80.7% and 87.6% of our consolidated revenues for the nine months ended September 30, 2021 and 2020, respectively. Our management fee income consists of the management fees earned for the management of PINE and the Land JV. As of September 30, 2021, our commercial loan and master lease investments portfolio consisted of two commercial loan investment and two commercial properties whose leases are classified as commercial loan and master lease investments. Our continuing real estate operations consists of revenues generated from leasing and royalty income from our interests in subsurface oil, gas, and mineral rights, and the generation and sale of mitigation credits.</w:t>
      </w:r>
    </w:p>
    <w:p>
      <w:pPr>
        <w:spacing w:after="0" w:line="168"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The Company evaluates performance based on profit or loss from operations. The Company’s reportable segments are strategic business units that offer different products. They are managed separately because each segment requires different management techniques, knowledge, and skills.</w:t>
      </w:r>
    </w:p>
    <w:p>
      <w:pPr>
        <w:spacing w:after="0" w:line="184" w:lineRule="exact"/>
        <w:rPr>
          <w:sz w:val="20"/>
          <w:szCs w:val="20"/>
          <w:color w:val="auto"/>
        </w:rPr>
      </w:pPr>
    </w:p>
    <w:p>
      <w:pPr>
        <w:jc w:val="both"/>
        <w:ind w:left="60" w:right="59" w:firstLine="492"/>
        <w:spacing w:after="0" w:line="261" w:lineRule="auto"/>
        <w:rPr>
          <w:sz w:val="20"/>
          <w:szCs w:val="20"/>
          <w:color w:val="auto"/>
        </w:rPr>
      </w:pPr>
      <w:r>
        <w:rPr>
          <w:rFonts w:ascii="Arial" w:cs="Arial" w:eastAsia="Arial" w:hAnsi="Arial"/>
          <w:sz w:val="18"/>
          <w:szCs w:val="18"/>
          <w:color w:val="auto"/>
        </w:rPr>
        <w:t>Information about the Company’s operations in different segments for the three and nine months ended September 30, 2021 and 2020 are as follows (in thousands):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220" w:type="dxa"/>
            <w:vAlign w:val="bottom"/>
            <w:gridSpan w:val="5"/>
          </w:tcPr>
          <w:p>
            <w:pPr>
              <w:ind w:left="22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860" w:type="dxa"/>
            <w:vAlign w:val="bottom"/>
          </w:tcPr>
          <w:p>
            <w:pPr>
              <w:spacing w:after="0"/>
              <w:rPr>
                <w:sz w:val="16"/>
                <w:szCs w:val="16"/>
                <w:color w:val="auto"/>
              </w:rPr>
            </w:pPr>
          </w:p>
        </w:tc>
        <w:tc>
          <w:tcPr>
            <w:tcW w:w="130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6"/>
                <w:szCs w:val="16"/>
                <w:color w:val="auto"/>
              </w:rPr>
            </w:pPr>
          </w:p>
        </w:tc>
        <w:tc>
          <w:tcPr>
            <w:tcW w:w="13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0" w:type="dxa"/>
            <w:vAlign w:val="bottom"/>
          </w:tcPr>
          <w:p>
            <w:pPr>
              <w:spacing w:after="0"/>
              <w:rPr>
                <w:sz w:val="16"/>
                <w:szCs w:val="16"/>
                <w:color w:val="auto"/>
              </w:rPr>
            </w:pPr>
          </w:p>
        </w:tc>
      </w:tr>
      <w:tr>
        <w:trPr>
          <w:trHeight w:val="234"/>
        </w:trPr>
        <w:tc>
          <w:tcPr>
            <w:tcW w:w="38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13,734</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12,933</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36,757</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35,409</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0" w:type="dxa"/>
            <w:vAlign w:val="bottom"/>
          </w:tcPr>
          <w:p>
            <w:pPr>
              <w:spacing w:after="0"/>
              <w:rPr>
                <w:sz w:val="18"/>
                <w:szCs w:val="18"/>
                <w:color w:val="auto"/>
              </w:rPr>
            </w:pPr>
          </w:p>
        </w:tc>
      </w:tr>
      <w:tr>
        <w:trPr>
          <w:trHeight w:val="202"/>
        </w:trPr>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Interest Income from Commercial Loan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Master Lease Investments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2,300</w:t>
            </w:r>
          </w:p>
        </w:tc>
        <w:tc>
          <w:tcPr>
            <w:tcW w:w="20" w:type="dxa"/>
            <w:vAlign w:val="bottom"/>
          </w:tcPr>
          <w:p>
            <w:pPr>
              <w:spacing w:after="0"/>
              <w:rPr>
                <w:sz w:val="20"/>
                <w:szCs w:val="20"/>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8"/>
                <w:szCs w:val="18"/>
                <w:color w:val="auto"/>
              </w:rPr>
            </w:pPr>
          </w:p>
        </w:tc>
      </w:tr>
      <w:tr>
        <w:trPr>
          <w:trHeight w:val="250"/>
        </w:trPr>
        <w:tc>
          <w:tcPr>
            <w:tcW w:w="3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16,577</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14,572</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45,572</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40,420</w:t>
            </w:r>
          </w:p>
        </w:tc>
        <w:tc>
          <w:tcPr>
            <w:tcW w:w="20" w:type="dxa"/>
            <w:vAlign w:val="bottom"/>
          </w:tcPr>
          <w:p>
            <w:pPr>
              <w:spacing w:after="0"/>
              <w:rPr>
                <w:sz w:val="21"/>
                <w:szCs w:val="21"/>
                <w:color w:val="auto"/>
              </w:rPr>
            </w:pPr>
          </w:p>
        </w:tc>
      </w:tr>
      <w:tr>
        <w:trPr>
          <w:trHeight w:val="196"/>
        </w:trPr>
        <w:tc>
          <w:tcPr>
            <w:tcW w:w="38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Operating Income (Loss):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9,750</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9,341</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27,069</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27,136</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0" w:type="dxa"/>
            <w:vAlign w:val="bottom"/>
          </w:tcPr>
          <w:p>
            <w:pPr>
              <w:spacing w:after="0"/>
              <w:rPr>
                <w:sz w:val="18"/>
                <w:szCs w:val="18"/>
                <w:color w:val="auto"/>
              </w:rPr>
            </w:pPr>
          </w:p>
        </w:tc>
      </w:tr>
      <w:tr>
        <w:trPr>
          <w:trHeight w:val="202"/>
        </w:trPr>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Interest Income from Commercial Loan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Master Lease Investments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2,300</w:t>
            </w:r>
          </w:p>
        </w:tc>
        <w:tc>
          <w:tcPr>
            <w:tcW w:w="20" w:type="dxa"/>
            <w:vAlign w:val="bottom"/>
          </w:tcPr>
          <w:p>
            <w:pPr>
              <w:spacing w:after="0"/>
              <w:rPr>
                <w:sz w:val="20"/>
                <w:szCs w:val="20"/>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20" w:type="dxa"/>
            <w:vAlign w:val="bottom"/>
          </w:tcPr>
          <w:p>
            <w:pPr>
              <w:spacing w:after="0"/>
              <w:rPr>
                <w:sz w:val="18"/>
                <w:szCs w:val="18"/>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General and Corporate Expense</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(8,247)</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(8,102)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(23,905)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(22,938)</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(16,527)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20" w:type="dxa"/>
            <w:vAlign w:val="bottom"/>
          </w:tcPr>
          <w:p>
            <w:pPr>
              <w:spacing w:after="0"/>
              <w:rPr>
                <w:sz w:val="18"/>
                <w:szCs w:val="18"/>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Gain on Disposition of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22,666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7,365</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Extinguishment of Debt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0" w:type="dxa"/>
            <w:vAlign w:val="bottom"/>
          </w:tcPr>
          <w:p>
            <w:pPr>
              <w:spacing w:after="0"/>
              <w:rPr>
                <w:sz w:val="18"/>
                <w:szCs w:val="18"/>
                <w:color w:val="auto"/>
              </w:rPr>
            </w:pPr>
          </w:p>
        </w:tc>
      </w:tr>
      <w:tr>
        <w:trPr>
          <w:trHeight w:val="249"/>
        </w:trPr>
        <w:tc>
          <w:tcPr>
            <w:tcW w:w="3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Income</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26,760</w:t>
            </w:r>
          </w:p>
        </w:tc>
        <w:tc>
          <w:tcPr>
            <w:tcW w:w="1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22,050</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12,547</w:t>
            </w:r>
          </w:p>
        </w:tc>
        <w:tc>
          <w:tcPr>
            <w:tcW w:w="20" w:type="dxa"/>
            <w:vAlign w:val="bottom"/>
          </w:tcPr>
          <w:p>
            <w:pPr>
              <w:spacing w:after="0"/>
              <w:rPr>
                <w:sz w:val="21"/>
                <w:szCs w:val="21"/>
                <w:color w:val="auto"/>
              </w:rPr>
            </w:pPr>
          </w:p>
        </w:tc>
      </w:tr>
      <w:tr>
        <w:trPr>
          <w:trHeight w:val="197"/>
        </w:trPr>
        <w:tc>
          <w:tcPr>
            <w:tcW w:w="38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5,562</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4,751</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15,413</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14,314</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49"/>
        </w:trPr>
        <w:tc>
          <w:tcPr>
            <w:tcW w:w="3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15,428</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14,334</w:t>
            </w:r>
          </w:p>
        </w:tc>
        <w:tc>
          <w:tcPr>
            <w:tcW w:w="20" w:type="dxa"/>
            <w:vAlign w:val="bottom"/>
          </w:tcPr>
          <w:p>
            <w:pPr>
              <w:spacing w:after="0"/>
              <w:rPr>
                <w:sz w:val="21"/>
                <w:szCs w:val="21"/>
                <w:color w:val="auto"/>
              </w:rPr>
            </w:pPr>
          </w:p>
        </w:tc>
      </w:tr>
      <w:tr>
        <w:trPr>
          <w:trHeight w:val="197"/>
        </w:trPr>
        <w:tc>
          <w:tcPr>
            <w:tcW w:w="38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Capital Expenditures: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1,754</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48,189</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115,861</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186,431</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Commercial Loan and Master Lease Investments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20" w:type="dxa"/>
            <w:vAlign w:val="bottom"/>
          </w:tcPr>
          <w:p>
            <w:pPr>
              <w:spacing w:after="0"/>
              <w:rPr>
                <w:sz w:val="18"/>
                <w:szCs w:val="18"/>
                <w:color w:val="auto"/>
              </w:rPr>
            </w:pPr>
          </w:p>
        </w:tc>
      </w:tr>
      <w:tr>
        <w:trPr>
          <w:trHeight w:val="216"/>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09"/>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Capital Expenditures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48,193</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115,890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193,201</w:t>
            </w:r>
          </w:p>
        </w:tc>
        <w:tc>
          <w:tcPr>
            <w:tcW w:w="2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Identifiable assets of each segment as of September 30, 2021 and December 31, 2020 are as follows (in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1450"/>
              <w:spacing w:after="0"/>
              <w:rPr>
                <w:sz w:val="20"/>
                <w:szCs w:val="20"/>
                <w:color w:val="auto"/>
              </w:rPr>
            </w:pPr>
            <w:r>
              <w:rPr>
                <w:rFonts w:ascii="Arial" w:cs="Arial" w:eastAsia="Arial" w:hAnsi="Arial"/>
                <w:sz w:val="18"/>
                <w:szCs w:val="18"/>
                <w:b w:val="1"/>
                <w:bCs w:val="1"/>
                <w:color w:val="auto"/>
              </w:rPr>
              <w:t>As of</w:t>
            </w:r>
          </w:p>
        </w:tc>
      </w:tr>
      <w:tr>
        <w:trPr>
          <w:trHeight w:val="209"/>
        </w:trPr>
        <w:tc>
          <w:tcPr>
            <w:tcW w:w="5400" w:type="dxa"/>
            <w:vAlign w:val="bottom"/>
          </w:tcPr>
          <w:p>
            <w:pPr>
              <w:spacing w:after="0"/>
              <w:rPr>
                <w:sz w:val="18"/>
                <w:szCs w:val="18"/>
                <w:color w:val="auto"/>
              </w:rPr>
            </w:pPr>
          </w:p>
        </w:tc>
        <w:tc>
          <w:tcPr>
            <w:tcW w:w="184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 2020</w:t>
            </w:r>
          </w:p>
        </w:tc>
      </w:tr>
      <w:tr>
        <w:trPr>
          <w:trHeight w:val="209"/>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Identifiable Assets:</w:t>
            </w:r>
          </w:p>
        </w:tc>
        <w:tc>
          <w:tcPr>
            <w:tcW w:w="5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508,409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531,325</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Services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Commercial Loan and Master Lease Investments</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38,321</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59,717</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Discontinued Land Operations</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35,804</w:t>
            </w:r>
          </w:p>
        </w:tc>
      </w:tr>
      <w:tr>
        <w:trPr>
          <w:trHeight w:val="209"/>
        </w:trPr>
        <w:tc>
          <w:tcPr>
            <w:tcW w:w="54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686,682</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666,700</w:t>
            </w:r>
          </w:p>
        </w:tc>
      </w:tr>
      <w:tr>
        <w:trPr>
          <w:trHeight w:val="20"/>
        </w:trPr>
        <w:tc>
          <w:tcPr>
            <w:tcW w:w="5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6" w:lineRule="auto"/>
        <w:rPr>
          <w:sz w:val="20"/>
          <w:szCs w:val="20"/>
          <w:color w:val="auto"/>
        </w:rPr>
      </w:pPr>
      <w:r>
        <w:rPr>
          <w:rFonts w:ascii="Arial" w:cs="Arial" w:eastAsia="Arial" w:hAnsi="Arial"/>
          <w:sz w:val="16"/>
          <w:szCs w:val="16"/>
          <w:color w:val="auto"/>
        </w:rPr>
        <w:t>Operating income represents income from continuing operations before loss on early extinguishment of debt, interest expense, investment income, and income taxes. General and corporate expenses are an aggregate of general and administrative expenses and depreciation and amortization expense. Identifiable assets by segment are those assets that are used in the Company’s operations in each segment. Real Estate Operations includes the identifiable assets of the Land JV, the Mitigation Bank, and Subsurface Interests. Corporate and other assets consist primarily of cash and restricted cash, property, plant, and equipment related to the other operations, as well as the general and corporate operations.</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Management Services segment had no capital expenditures as of September 30, 2021 or December 31, 2020.</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25. ASSETS AND LIABILITIES HELD FOR SALE</w:t>
      </w:r>
    </w:p>
    <w:p>
      <w:pPr>
        <w:spacing w:after="0" w:line="229"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Assets and liabilities held for sale as of September 30, 2021 and December 31, 2020 are summarized below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4180" w:type="dxa"/>
            <w:vAlign w:val="bottom"/>
            <w:tcBorders>
              <w:bottom w:val="single" w:sz="8" w:color="auto"/>
            </w:tcBorders>
            <w:gridSpan w:val="4"/>
          </w:tcPr>
          <w:p>
            <w:pPr>
              <w:ind w:left="1440"/>
              <w:spacing w:after="0"/>
              <w:rPr>
                <w:sz w:val="20"/>
                <w:szCs w:val="20"/>
                <w:color w:val="auto"/>
              </w:rPr>
            </w:pPr>
            <w:r>
              <w:rPr>
                <w:rFonts w:ascii="Arial" w:cs="Arial" w:eastAsia="Arial" w:hAnsi="Arial"/>
                <w:sz w:val="18"/>
                <w:szCs w:val="18"/>
                <w:b w:val="1"/>
                <w:bCs w:val="1"/>
                <w:color w:val="auto"/>
              </w:rPr>
              <w:t>As of September 30, 2021</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Total Assets (Liabilities) Held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Land JV</w:t>
            </w: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for Sale</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700" w:type="dxa"/>
            <w:vAlign w:val="bottom"/>
            <w:tcBorders>
              <w:bottom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Held for Sale</w:t>
            </w:r>
          </w:p>
        </w:tc>
        <w:tc>
          <w:tcPr>
            <w:tcW w:w="17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700" w:type="dxa"/>
            <w:vAlign w:val="bottom"/>
          </w:tcPr>
          <w:p>
            <w:pPr>
              <w:jc w:val="right"/>
              <w:ind w:right="15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(831)</w:t>
            </w:r>
          </w:p>
        </w:tc>
        <w:tc>
          <w:tcPr>
            <w:tcW w:w="16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Held for Sale</w:t>
            </w:r>
          </w:p>
        </w:tc>
        <w:tc>
          <w:tcPr>
            <w:tcW w:w="1700" w:type="dxa"/>
            <w:vAlign w:val="bottom"/>
            <w:tcBorders>
              <w:top w:val="single" w:sz="8" w:color="auto"/>
              <w:bottom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360" w:type="dxa"/>
            <w:vAlign w:val="bottom"/>
            <w:tcBorders>
              <w:bottom w:val="single" w:sz="8" w:color="auto"/>
            </w:tcBorders>
            <w:gridSpan w:val="4"/>
          </w:tcPr>
          <w:p>
            <w:pPr>
              <w:ind w:left="1460"/>
              <w:spacing w:after="0"/>
              <w:rPr>
                <w:sz w:val="20"/>
                <w:szCs w:val="20"/>
                <w:color w:val="auto"/>
              </w:rPr>
            </w:pPr>
            <w:r>
              <w:rPr>
                <w:rFonts w:ascii="Arial" w:cs="Arial" w:eastAsia="Arial" w:hAnsi="Arial"/>
                <w:sz w:val="18"/>
                <w:szCs w:val="18"/>
                <w:b w:val="1"/>
                <w:bCs w:val="1"/>
                <w:color w:val="auto"/>
                <w:w w:val="88"/>
              </w:rPr>
              <w:t>As of December 31, 2020</w:t>
            </w:r>
          </w:p>
        </w:tc>
        <w:tc>
          <w:tcPr>
            <w:tcW w:w="1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Total Assets (Liabilities) Held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b w:val="1"/>
                <w:bCs w:val="1"/>
                <w:color w:val="auto"/>
              </w:rPr>
              <w:t>Land JV</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for Sale</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700" w:type="dxa"/>
            <w:vAlign w:val="bottom"/>
            <w:tcBorders>
              <w:top w:val="single" w:sz="8" w:color="auto"/>
              <w:bottom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Held for Sale</w:t>
            </w:r>
          </w:p>
        </w:tc>
        <w:tc>
          <w:tcPr>
            <w:tcW w:w="17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700" w:type="dxa"/>
            <w:vAlign w:val="bottom"/>
          </w:tcPr>
          <w:p>
            <w:pPr>
              <w:jc w:val="right"/>
              <w:ind w:right="15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(831)</w:t>
            </w: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Held for Sale</w:t>
            </w:r>
          </w:p>
        </w:tc>
        <w:tc>
          <w:tcPr>
            <w:tcW w:w="1700" w:type="dxa"/>
            <w:vAlign w:val="bottom"/>
            <w:tcBorders>
              <w:top w:val="single" w:sz="8" w:color="auto"/>
              <w:bottom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i w:val="1"/>
          <w:iCs w:val="1"/>
          <w:color w:val="auto"/>
        </w:rPr>
        <w:t xml:space="preserve">Deferred Revenue on Land Sales. </w:t>
      </w:r>
      <w:r>
        <w:rPr>
          <w:rFonts w:ascii="Arial" w:cs="Arial" w:eastAsia="Arial" w:hAnsi="Arial"/>
          <w:sz w:val="17"/>
          <w:szCs w:val="17"/>
          <w:color w:val="auto"/>
        </w:rPr>
        <w:t>In conjunction with the land sale to Buc-ee’s in March 2018, the Company funded</w:t>
      </w:r>
      <w:r>
        <w:rPr>
          <w:rFonts w:ascii="Arial" w:cs="Arial" w:eastAsia="Arial" w:hAnsi="Arial"/>
          <w:sz w:val="17"/>
          <w:szCs w:val="17"/>
          <w:i w:val="1"/>
          <w:iCs w:val="1"/>
          <w:color w:val="auto"/>
        </w:rPr>
        <w:t xml:space="preserve"> </w:t>
      </w:r>
      <w:r>
        <w:rPr>
          <w:rFonts w:ascii="Arial" w:cs="Arial" w:eastAsia="Arial" w:hAnsi="Arial"/>
          <w:sz w:val="17"/>
          <w:szCs w:val="17"/>
          <w:color w:val="auto"/>
        </w:rPr>
        <w:t>an escrow account for $0.8 million related to the portion of the acreage sold for which the Company was obligated to perform wetlands mitigation. As a result of the Company’s obligation, $0.8 million of the sales price collected at closing was deferred and the revenue was to be recognized upon the Company’s performance of the obligation. See Note 23, “Commitments and Contingencies” for further discussion related to the escrowed funds.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26. SUBSEQUENT EVENTS</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Company reviewed all subsequent events and transactions through October 28, 2021, the date the consolidated financial statements were issued.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 and Sale Agreement</w:t>
      </w:r>
    </w:p>
    <w:p>
      <w:pPr>
        <w:spacing w:after="0" w:line="229"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On October 18, 2021, the Company entered into a Purchase and Sale Agreement (the “PSA”) with a partnership between (i) a real estate developer and owner and (ii) an institutional money manager (combined, the “Seller”) for the purchase of a retail center in the Raleigh, North Carolina Metropolitan Area (the “Property”). The terms of the PSA provide that the total purchase price for the Property will be $70.5 million subject to adjustment for closing prorations. Certain customary closing conditions must be met before or at the closing and are not currently satisfied. Accordingly, until the closing of the purchase of the Property, there can be no assurance that the Company will acquire the Property.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were no other reportable subsequent events or transactions.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9019"/>
          </w:cols>
          <w:pgMar w:left="1440" w:top="517" w:right="1440" w:bottom="1440" w:gutter="0" w:footer="0" w:header="0"/>
        </w:sectPr>
      </w:pPr>
    </w:p>
    <w:p>
      <w:pPr>
        <w:spacing w:after="0" w:line="108" w:lineRule="exact"/>
        <w:rPr>
          <w:sz w:val="20"/>
          <w:szCs w:val="20"/>
          <w:color w:val="auto"/>
        </w:rPr>
      </w:pPr>
    </w:p>
    <w:p>
      <w:pPr>
        <w:ind w:left="60" w:right="300" w:hanging="10"/>
        <w:spacing w:after="0" w:line="442" w:lineRule="auto"/>
        <w:tabs>
          <w:tab w:leader="none" w:pos="3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Exhibits: </w:t>
      </w:r>
      <w:r>
        <w:rPr>
          <w:rFonts w:ascii="Arial" w:cs="Arial" w:eastAsia="Arial" w:hAnsi="Arial"/>
          <w:sz w:val="15"/>
          <w:szCs w:val="15"/>
          <w:color w:val="auto"/>
        </w:rPr>
        <w:t>(3.1)</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7"/>
          <w:szCs w:val="17"/>
          <w:color w:val="auto"/>
        </w:rPr>
        <w:t>(3.2)</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(3.3)</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7"/>
          <w:szCs w:val="17"/>
          <w:color w:val="auto"/>
        </w:rPr>
        <w:t>(4.1)</w:t>
      </w:r>
    </w:p>
    <w:p>
      <w:pPr>
        <w:spacing w:after="0" w:line="331"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*(10.3)</w:t>
      </w:r>
    </w:p>
    <w:p>
      <w:pPr>
        <w:spacing w:after="0" w:line="331" w:lineRule="exact"/>
        <w:rPr>
          <w:sz w:val="20"/>
          <w:szCs w:val="20"/>
          <w:color w:val="auto"/>
        </w:rPr>
      </w:pPr>
    </w:p>
    <w:p>
      <w:pPr>
        <w:ind w:left="180" w:hanging="130"/>
        <w:spacing w:after="0"/>
        <w:tabs>
          <w:tab w:leader="none" w:pos="180" w:val="left"/>
        </w:tabs>
        <w:numPr>
          <w:ilvl w:val="0"/>
          <w:numId w:val="16"/>
        </w:numPr>
        <w:rPr>
          <w:rFonts w:ascii="Arial" w:cs="Arial" w:eastAsia="Arial" w:hAnsi="Arial"/>
          <w:sz w:val="16"/>
          <w:szCs w:val="16"/>
          <w:color w:val="auto"/>
        </w:rPr>
      </w:pPr>
      <w:r>
        <w:rPr>
          <w:rFonts w:ascii="Arial" w:cs="Arial" w:eastAsia="Arial" w:hAnsi="Arial"/>
          <w:sz w:val="17"/>
          <w:szCs w:val="17"/>
          <w:color w:val="auto"/>
        </w:rPr>
        <w:t>(10.4)</w:t>
      </w:r>
    </w:p>
    <w:p>
      <w:pPr>
        <w:spacing w:after="0" w:line="200" w:lineRule="exact"/>
        <w:rPr>
          <w:sz w:val="20"/>
          <w:szCs w:val="20"/>
          <w:color w:val="auto"/>
        </w:rPr>
      </w:pPr>
    </w:p>
    <w:p>
      <w:pPr>
        <w:spacing w:after="0" w:line="334" w:lineRule="exact"/>
        <w:rPr>
          <w:sz w:val="20"/>
          <w:szCs w:val="20"/>
          <w:color w:val="auto"/>
        </w:rPr>
      </w:pPr>
    </w:p>
    <w:p>
      <w:pPr>
        <w:jc w:val="both"/>
        <w:ind w:left="60" w:right="180"/>
        <w:spacing w:after="0" w:line="426" w:lineRule="auto"/>
        <w:rPr>
          <w:sz w:val="20"/>
          <w:szCs w:val="20"/>
          <w:color w:val="auto"/>
        </w:rPr>
      </w:pPr>
      <w:r>
        <w:rPr>
          <w:rFonts w:ascii="Arial" w:cs="Arial" w:eastAsia="Arial" w:hAnsi="Arial"/>
          <w:sz w:val="16"/>
          <w:szCs w:val="16"/>
          <w:color w:val="auto"/>
        </w:rPr>
        <w:t>**Exhibit 31.1 **Exhibit 31.2 **Exhibit 32.1</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**Exhibit 32.2</w:t>
      </w:r>
    </w:p>
    <w:p>
      <w:pPr>
        <w:spacing w:after="0" w:line="304"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Exhibit 101.INS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Exhibit 101.SCH</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Exhibit 101.CAL</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Exhibit 101.DEF</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Exhibit 101.LAB</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Exhibit 101.PRE</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Exhibit 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119"/>
        <w:spacing w:after="0" w:line="263" w:lineRule="auto"/>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Articles of Amendment and Restatement of CTO Realty Growth, Inc., as amended by the Articles of</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Amendment (Name Change), filed as Exhibit 3.1 to the registrant’s current report on Form 8-K12B filed</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February 1, 2021, and incorporated herein by reference.</w:t>
        </w:r>
      </w:hyperlink>
    </w:p>
    <w:p>
      <w:pPr>
        <w:spacing w:after="0" w:line="89" w:lineRule="exact"/>
        <w:rPr>
          <w:rFonts w:ascii="Arial" w:cs="Arial" w:eastAsia="Arial" w:hAnsi="Arial"/>
          <w:sz w:val="18"/>
          <w:szCs w:val="18"/>
          <w:u w:val="single" w:color="auto"/>
          <w:color w:val="0000EE"/>
        </w:rPr>
      </w:pPr>
    </w:p>
    <w:p>
      <w:pPr>
        <w:ind w:right="159"/>
        <w:spacing w:after="0" w:line="248" w:lineRule="auto"/>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Articles Supplementary, designating CTO Realty Growth, Inc.’s 6.375% Series A Cumulative</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Redeemable Preferred Stock, filed as Exhibit 3.2 to the registrant's Registration Statement on Form 8-A</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filed July 1, 2021 (File No. 001-11350), and incorporated herein by reference.</w:t>
        </w:r>
      </w:hyperlink>
    </w:p>
    <w:p>
      <w:pPr>
        <w:spacing w:after="0" w:line="87" w:lineRule="exact"/>
        <w:rPr>
          <w:rFonts w:ascii="Arial" w:cs="Arial" w:eastAsia="Arial" w:hAnsi="Arial"/>
          <w:sz w:val="18"/>
          <w:szCs w:val="18"/>
          <w:u w:val="single" w:color="auto"/>
          <w:color w:val="0000EE"/>
        </w:rPr>
      </w:pPr>
    </w:p>
    <w:p>
      <w:pPr>
        <w:ind w:right="299"/>
        <w:spacing w:after="0" w:line="248" w:lineRule="auto"/>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Second Amended and Restated Bylaws of CTO Realty Growth, Inc., effective as of January 29, 2021,</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filed as Exhibit 3.2 to the registrant’s current report on Form 8-K12B filed February 1, 2021, and</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incorporated herein by reference.</w:t>
        </w:r>
      </w:hyperlink>
    </w:p>
    <w:p>
      <w:pPr>
        <w:spacing w:after="0" w:line="87" w:lineRule="exact"/>
        <w:rPr>
          <w:rFonts w:ascii="Arial" w:cs="Arial" w:eastAsia="Arial" w:hAnsi="Arial"/>
          <w:sz w:val="18"/>
          <w:szCs w:val="18"/>
          <w:u w:val="single" w:color="auto"/>
          <w:color w:val="0000EE"/>
        </w:rPr>
      </w:pPr>
    </w:p>
    <w:p>
      <w:pPr>
        <w:ind w:right="119"/>
        <w:spacing w:after="0" w:line="324" w:lineRule="auto"/>
        <w:rPr>
          <w:rFonts w:ascii="Arial" w:cs="Arial" w:eastAsia="Arial" w:hAnsi="Arial"/>
          <w:sz w:val="16"/>
          <w:szCs w:val="16"/>
          <w:u w:val="single" w:color="auto"/>
          <w:color w:val="0000EE"/>
        </w:rPr>
      </w:pPr>
      <w:hyperlink r:id="rId68">
        <w:r>
          <w:rPr>
            <w:rFonts w:ascii="Arial" w:cs="Arial" w:eastAsia="Arial" w:hAnsi="Arial"/>
            <w:sz w:val="16"/>
            <w:szCs w:val="16"/>
            <w:u w:val="single" w:color="auto"/>
            <w:color w:val="0000EE"/>
          </w:rPr>
          <w:t>Specimen Common Stock Certificate of CTO Realty Growth, Inc., filed as Exhibit 4.2 to the registrant’s</w:t>
        </w:r>
      </w:hyperlink>
      <w:r>
        <w:rPr>
          <w:rFonts w:ascii="Arial" w:cs="Arial" w:eastAsia="Arial" w:hAnsi="Arial"/>
          <w:sz w:val="16"/>
          <w:szCs w:val="16"/>
          <w:u w:val="single" w:color="auto"/>
          <w:color w:val="0000EE"/>
        </w:rPr>
        <w:t xml:space="preserve"> </w:t>
      </w:r>
      <w:hyperlink r:id="rId68">
        <w:r>
          <w:rPr>
            <w:rFonts w:ascii="Arial" w:cs="Arial" w:eastAsia="Arial" w:hAnsi="Arial"/>
            <w:sz w:val="16"/>
            <w:szCs w:val="16"/>
            <w:u w:val="single" w:color="auto"/>
            <w:color w:val="0000EE"/>
          </w:rPr>
          <w:t>current report on Form 8-K12B filed February 1, 2021, and incorporated herein by reference.</w:t>
        </w:r>
      </w:hyperlink>
    </w:p>
    <w:p>
      <w:pPr>
        <w:spacing w:after="0" w:line="30" w:lineRule="exact"/>
        <w:rPr>
          <w:sz w:val="20"/>
          <w:szCs w:val="20"/>
          <w:color w:val="auto"/>
        </w:rPr>
      </w:pPr>
    </w:p>
    <w:p>
      <w:pPr>
        <w:jc w:val="both"/>
        <w:ind w:right="79"/>
        <w:spacing w:after="0" w:line="284" w:lineRule="auto"/>
        <w:rPr>
          <w:rFonts w:ascii="Arial" w:cs="Arial" w:eastAsia="Arial" w:hAnsi="Arial"/>
          <w:sz w:val="16"/>
          <w:szCs w:val="16"/>
          <w:u w:val="single" w:color="auto"/>
          <w:color w:val="0000EE"/>
        </w:rPr>
      </w:pPr>
      <w:hyperlink r:id="rId69">
        <w:r>
          <w:rPr>
            <w:rFonts w:ascii="Arial" w:cs="Arial" w:eastAsia="Arial" w:hAnsi="Arial"/>
            <w:sz w:val="16"/>
            <w:szCs w:val="16"/>
            <w:u w:val="single" w:color="auto"/>
            <w:color w:val="0000EE"/>
          </w:rPr>
          <w:t>First Amendment to the Contract for Sale and Purchase, dated July 30, 2021, by and between Crisp39 –</w:t>
        </w:r>
      </w:hyperlink>
      <w:r>
        <w:rPr>
          <w:rFonts w:ascii="Arial" w:cs="Arial" w:eastAsia="Arial" w:hAnsi="Arial"/>
          <w:sz w:val="16"/>
          <w:szCs w:val="16"/>
          <w:u w:val="single" w:color="auto"/>
          <w:color w:val="0000EE"/>
        </w:rPr>
        <w:t xml:space="preserve"> </w:t>
      </w:r>
      <w:hyperlink r:id="rId69">
        <w:r>
          <w:rPr>
            <w:rFonts w:ascii="Arial" w:cs="Arial" w:eastAsia="Arial" w:hAnsi="Arial"/>
            <w:sz w:val="16"/>
            <w:szCs w:val="16"/>
            <w:u w:val="single" w:color="auto"/>
            <w:color w:val="0000EE"/>
          </w:rPr>
          <w:t>3 LLC, Crisp39 – 4 LLC, Crisp39 – 6 LLC, Crisp39 – 7 LLC, Crisp39 – 8 LLC, Timberline Acquisition</w:t>
        </w:r>
      </w:hyperlink>
      <w:r>
        <w:rPr>
          <w:rFonts w:ascii="Arial" w:cs="Arial" w:eastAsia="Arial" w:hAnsi="Arial"/>
          <w:sz w:val="16"/>
          <w:szCs w:val="16"/>
          <w:u w:val="single" w:color="auto"/>
          <w:color w:val="0000EE"/>
        </w:rPr>
        <w:t xml:space="preserve"> </w:t>
      </w:r>
      <w:hyperlink r:id="rId69">
        <w:r>
          <w:rPr>
            <w:rFonts w:ascii="Arial" w:cs="Arial" w:eastAsia="Arial" w:hAnsi="Arial"/>
            <w:sz w:val="16"/>
            <w:szCs w:val="16"/>
            <w:u w:val="single" w:color="auto"/>
            <w:color w:val="0000EE"/>
          </w:rPr>
          <w:t>Partners, LLC, and LHC14 Old Deland LLC, filed as Exhibit 10.1 to the registrant’s Quarterly Report on</w:t>
        </w:r>
      </w:hyperlink>
      <w:r>
        <w:rPr>
          <w:rFonts w:ascii="Arial" w:cs="Arial" w:eastAsia="Arial" w:hAnsi="Arial"/>
          <w:sz w:val="16"/>
          <w:szCs w:val="16"/>
          <w:u w:val="single" w:color="auto"/>
          <w:color w:val="0000EE"/>
        </w:rPr>
        <w:t xml:space="preserve"> </w:t>
      </w:r>
      <w:hyperlink r:id="rId69">
        <w:r>
          <w:rPr>
            <w:rFonts w:ascii="Arial" w:cs="Arial" w:eastAsia="Arial" w:hAnsi="Arial"/>
            <w:sz w:val="16"/>
            <w:szCs w:val="16"/>
            <w:u w:val="single" w:color="auto"/>
            <w:color w:val="0000EE"/>
          </w:rPr>
          <w:t>Form 10-Q for the quarter ended September 30, 2021, and incorporated herein by reference.</w:t>
        </w:r>
      </w:hyperlink>
    </w:p>
    <w:p>
      <w:pPr>
        <w:spacing w:after="0" w:line="61" w:lineRule="exact"/>
        <w:rPr>
          <w:rFonts w:ascii="Arial" w:cs="Arial" w:eastAsia="Arial" w:hAnsi="Arial"/>
          <w:sz w:val="16"/>
          <w:szCs w:val="16"/>
          <w:u w:val="single" w:color="auto"/>
          <w:color w:val="0000EE"/>
        </w:rPr>
      </w:pPr>
    </w:p>
    <w:p>
      <w:pPr>
        <w:ind w:right="199"/>
        <w:spacing w:after="0" w:line="241" w:lineRule="auto"/>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Second Amendment to the Contract for Sale and Purchase, dated September 10, 2021, by and between</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Crisp39 – 3 LLC, Crisp39 – 4 LLC, Crisp39 – 6 LLC, Crisp39 – 7 LLC, Crisp39 – 8 LLC, LHC14 Old</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Deland LLC, and Timberline Acquisition Partners, LLC filed as Exhibit 10.2 to the registrant’s</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Quarterly Report on Form 10-Q for the quarter ended September 30, 2021, and incorporated herein by</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reference.</w:t>
        </w:r>
      </w:hyperlink>
    </w:p>
    <w:p>
      <w:pPr>
        <w:spacing w:after="0" w:line="95" w:lineRule="exact"/>
        <w:rPr>
          <w:rFonts w:ascii="Arial" w:cs="Arial" w:eastAsia="Arial" w:hAnsi="Arial"/>
          <w:sz w:val="18"/>
          <w:szCs w:val="18"/>
          <w:u w:val="single" w:color="auto"/>
          <w:color w:val="0000EE"/>
        </w:rPr>
      </w:pPr>
    </w:p>
    <w:p>
      <w:pPr>
        <w:ind w:right="599"/>
        <w:spacing w:after="0" w:line="324" w:lineRule="auto"/>
        <w:rPr>
          <w:rFonts w:ascii="Arial" w:cs="Arial" w:eastAsia="Arial" w:hAnsi="Arial"/>
          <w:sz w:val="16"/>
          <w:szCs w:val="16"/>
          <w:u w:val="single" w:color="auto"/>
          <w:color w:val="0000EE"/>
        </w:rPr>
      </w:pPr>
      <w:hyperlink r:id="rId71">
        <w:r>
          <w:rPr>
            <w:rFonts w:ascii="Arial" w:cs="Arial" w:eastAsia="Arial" w:hAnsi="Arial"/>
            <w:sz w:val="16"/>
            <w:szCs w:val="16"/>
            <w:u w:val="single" w:color="auto"/>
            <w:color w:val="0000EE"/>
          </w:rPr>
          <w:t>Purchase and Sale Agreement, made as of October 18 2021, filed as Exhibit 2.1 to the registrant’s</w:t>
        </w:r>
      </w:hyperlink>
      <w:r>
        <w:rPr>
          <w:rFonts w:ascii="Arial" w:cs="Arial" w:eastAsia="Arial" w:hAnsi="Arial"/>
          <w:sz w:val="16"/>
          <w:szCs w:val="16"/>
          <w:u w:val="single" w:color="auto"/>
          <w:color w:val="0000EE"/>
        </w:rPr>
        <w:t xml:space="preserve"> </w:t>
      </w:r>
      <w:hyperlink r:id="rId71">
        <w:r>
          <w:rPr>
            <w:rFonts w:ascii="Arial" w:cs="Arial" w:eastAsia="Arial" w:hAnsi="Arial"/>
            <w:sz w:val="16"/>
            <w:szCs w:val="16"/>
            <w:u w:val="single" w:color="auto"/>
            <w:color w:val="0000EE"/>
          </w:rPr>
          <w:t>Current Report on Form 8-K filed October 22, 2021, and incorporated herein by reference.</w:t>
        </w:r>
      </w:hyperlink>
    </w:p>
    <w:p>
      <w:pPr>
        <w:spacing w:after="0" w:line="30" w:lineRule="exact"/>
        <w:rPr>
          <w:sz w:val="20"/>
          <w:szCs w:val="20"/>
          <w:color w:val="auto"/>
        </w:rPr>
      </w:pPr>
    </w:p>
    <w:p>
      <w:pPr>
        <w:ind w:right="299"/>
        <w:spacing w:after="0" w:line="248" w:lineRule="auto"/>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Third Amended and Restated CTO Realty Growth, Inc., 2010 Equity Incentive Plan, filed as Exhibit</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10.4 to the registrant’s Quarterly Report on Form 10-Q for the quarter ended September 30, 2021, and</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incorporated herein by reference.</w:t>
        </w:r>
      </w:hyperlink>
    </w:p>
    <w:p>
      <w:pPr>
        <w:spacing w:after="0" w:line="84"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Certification filed pursuant to Section 302 of the Sarbanes-Oxley Act of 2002.</w:t>
        </w:r>
      </w:hyperlink>
    </w:p>
    <w:p>
      <w:pPr>
        <w:spacing w:after="0" w:line="115"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Certification filed pursuant to Section 302 of the Sarbanes-Oxley Act of 2002.</w:t>
        </w:r>
      </w:hyperlink>
    </w:p>
    <w:p>
      <w:pPr>
        <w:spacing w:after="0" w:line="115" w:lineRule="exact"/>
        <w:rPr>
          <w:rFonts w:ascii="Arial" w:cs="Arial" w:eastAsia="Arial" w:hAnsi="Arial"/>
          <w:sz w:val="18"/>
          <w:szCs w:val="18"/>
          <w:u w:val="single" w:color="auto"/>
          <w:color w:val="0000EE"/>
        </w:rPr>
      </w:pPr>
    </w:p>
    <w:p>
      <w:pPr>
        <w:ind w:right="659"/>
        <w:spacing w:after="0" w:line="257" w:lineRule="auto"/>
        <w:rPr>
          <w:rFonts w:ascii="Arial" w:cs="Arial" w:eastAsia="Arial" w:hAnsi="Arial"/>
          <w:sz w:val="17"/>
          <w:szCs w:val="17"/>
          <w:u w:val="single" w:color="auto"/>
          <w:color w:val="0000EE"/>
        </w:rPr>
      </w:pPr>
      <w:hyperlink w:anchor="page53">
        <w:r>
          <w:rPr>
            <w:rFonts w:ascii="Arial" w:cs="Arial" w:eastAsia="Arial" w:hAnsi="Arial"/>
            <w:sz w:val="17"/>
            <w:szCs w:val="17"/>
            <w:u w:val="single" w:color="auto"/>
            <w:color w:val="0000EE"/>
          </w:rPr>
          <w:t>Certification furnished pursuant to 18 U.S.C. Section 1350, as Adopted pursuant to Section 906 of the</w:t>
        </w:r>
      </w:hyperlink>
      <w:r>
        <w:rPr>
          <w:rFonts w:ascii="Arial" w:cs="Arial" w:eastAsia="Arial" w:hAnsi="Arial"/>
          <w:sz w:val="17"/>
          <w:szCs w:val="17"/>
          <w:u w:val="single" w:color="auto"/>
          <w:color w:val="0000EE"/>
        </w:rPr>
        <w:t xml:space="preserve"> </w:t>
      </w:r>
      <w:hyperlink w:anchor="page53">
        <w:r>
          <w:rPr>
            <w:rFonts w:ascii="Arial" w:cs="Arial" w:eastAsia="Arial" w:hAnsi="Arial"/>
            <w:sz w:val="17"/>
            <w:szCs w:val="17"/>
            <w:u w:val="single" w:color="auto"/>
            <w:color w:val="0000EE"/>
          </w:rPr>
          <w:t>Sarbanes-Oxley Act of 2002.</w:t>
        </w:r>
      </w:hyperlink>
    </w:p>
    <w:p>
      <w:pPr>
        <w:spacing w:after="0" w:line="81" w:lineRule="exact"/>
        <w:rPr>
          <w:sz w:val="20"/>
          <w:szCs w:val="20"/>
          <w:color w:val="auto"/>
        </w:rPr>
      </w:pPr>
    </w:p>
    <w:p>
      <w:pPr>
        <w:ind w:right="659"/>
        <w:spacing w:after="0" w:line="257" w:lineRule="auto"/>
        <w:rPr>
          <w:rFonts w:ascii="Arial" w:cs="Arial" w:eastAsia="Arial" w:hAnsi="Arial"/>
          <w:sz w:val="17"/>
          <w:szCs w:val="17"/>
          <w:u w:val="single" w:color="auto"/>
          <w:color w:val="0000EE"/>
        </w:rPr>
      </w:pPr>
      <w:hyperlink w:anchor="page54">
        <w:r>
          <w:rPr>
            <w:rFonts w:ascii="Arial" w:cs="Arial" w:eastAsia="Arial" w:hAnsi="Arial"/>
            <w:sz w:val="17"/>
            <w:szCs w:val="17"/>
            <w:u w:val="single" w:color="auto"/>
            <w:color w:val="0000EE"/>
          </w:rPr>
          <w:t>Certification furnished pursuant to 18 U.S.C. Section 1350, as Adopted pursuant to Section 906 of the</w:t>
        </w:r>
      </w:hyperlink>
      <w:r>
        <w:rPr>
          <w:rFonts w:ascii="Arial" w:cs="Arial" w:eastAsia="Arial" w:hAnsi="Arial"/>
          <w:sz w:val="17"/>
          <w:szCs w:val="17"/>
          <w:u w:val="single" w:color="auto"/>
          <w:color w:val="0000EE"/>
        </w:rPr>
        <w:t xml:space="preserve"> </w:t>
      </w:r>
      <w:hyperlink w:anchor="page54">
        <w:r>
          <w:rPr>
            <w:rFonts w:ascii="Arial" w:cs="Arial" w:eastAsia="Arial" w:hAnsi="Arial"/>
            <w:sz w:val="17"/>
            <w:szCs w:val="17"/>
            <w:u w:val="single" w:color="auto"/>
            <w:color w:val="0000EE"/>
          </w:rPr>
          <w:t>Sarbanes-Oxley Act of 2002.</w:t>
        </w:r>
      </w:hyperlink>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Inline XBRL Instance Document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Inline XBRL Taxonomy Extension Schema Document</w:t>
      </w:r>
    </w:p>
    <w:p>
      <w:pPr>
        <w:spacing w:after="0" w:line="115" w:lineRule="exact"/>
        <w:rPr>
          <w:sz w:val="20"/>
          <w:szCs w:val="20"/>
          <w:color w:val="auto"/>
        </w:rPr>
      </w:pPr>
    </w:p>
    <w:p>
      <w:pPr>
        <w:ind w:right="2979"/>
        <w:spacing w:after="0" w:line="405" w:lineRule="auto"/>
        <w:rPr>
          <w:sz w:val="20"/>
          <w:szCs w:val="20"/>
          <w:color w:val="auto"/>
        </w:rPr>
      </w:pPr>
      <w:r>
        <w:rPr>
          <w:rFonts w:ascii="Arial" w:cs="Arial" w:eastAsia="Arial" w:hAnsi="Arial"/>
          <w:sz w:val="16"/>
          <w:szCs w:val="16"/>
          <w:color w:val="auto"/>
        </w:rPr>
        <w:t>Inline XBRL Taxonomy Extension Calculation Linkbase Document Inline XBRL Taxonomy Definition Linkbase Document</w:t>
      </w:r>
    </w:p>
    <w:p>
      <w:pPr>
        <w:ind w:right="2919"/>
        <w:spacing w:after="0" w:line="405" w:lineRule="auto"/>
        <w:rPr>
          <w:sz w:val="20"/>
          <w:szCs w:val="20"/>
          <w:color w:val="auto"/>
        </w:rPr>
      </w:pPr>
      <w:r>
        <w:rPr>
          <w:rFonts w:ascii="Arial" w:cs="Arial" w:eastAsia="Arial" w:hAnsi="Arial"/>
          <w:sz w:val="16"/>
          <w:szCs w:val="16"/>
          <w:color w:val="auto"/>
        </w:rPr>
        <w:t>Inline XBRL Taxonomy Extension Label Linkbase Document Inline XBRL Taxonomy Extension Presentation Linkbase Document</w:t>
      </w:r>
    </w:p>
    <w:p>
      <w:pPr>
        <w:spacing w:after="0"/>
        <w:rPr>
          <w:sz w:val="20"/>
          <w:szCs w:val="20"/>
          <w:color w:val="auto"/>
        </w:rPr>
      </w:pPr>
      <w:r>
        <w:rPr>
          <w:rFonts w:ascii="Arial" w:cs="Arial" w:eastAsia="Arial" w:hAnsi="Arial"/>
          <w:sz w:val="17"/>
          <w:szCs w:val="17"/>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1240" w:space="140"/>
            <w:col w:w="7639"/>
          </w:cols>
          <w:pgMar w:left="1440" w:top="517" w:right="1440" w:bottom="1440" w:gutter="0" w:footer="0" w:header="0"/>
          <w:type w:val="continuous"/>
        </w:sect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80" w:right="79" w:hanging="330"/>
        <w:spacing w:after="0" w:line="255"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8"/>
          <w:szCs w:val="18"/>
          <w:color w:val="auto"/>
        </w:rPr>
        <w:t>Portions of this exhibit have been redacted in compliance with Regulation S-K Item 601(b)(2). The omitted information is not material and is the type of information that the Company customarily and actually treats as private and confidential.</w:t>
      </w:r>
    </w:p>
    <w:p>
      <w:pPr>
        <w:spacing w:after="0" w:line="3" w:lineRule="exact"/>
        <w:rPr>
          <w:sz w:val="20"/>
          <w:szCs w:val="20"/>
          <w:color w:val="auto"/>
        </w:rPr>
      </w:pPr>
    </w:p>
    <w:p>
      <w:pPr>
        <w:jc w:val="both"/>
        <w:ind w:left="380" w:right="79" w:hanging="330"/>
        <w:spacing w:after="0" w:line="265" w:lineRule="auto"/>
        <w:tabs>
          <w:tab w:leader="none" w:pos="380" w:val="left"/>
        </w:tabs>
        <w:numPr>
          <w:ilvl w:val="0"/>
          <w:numId w:val="18"/>
        </w:numPr>
        <w:rPr>
          <w:rFonts w:ascii="Arial" w:cs="Arial" w:eastAsia="Arial" w:hAnsi="Arial"/>
          <w:sz w:val="15"/>
          <w:szCs w:val="15"/>
          <w:color w:val="auto"/>
        </w:rPr>
      </w:pPr>
      <w:r>
        <w:rPr>
          <w:rFonts w:ascii="Arial" w:cs="Arial" w:eastAsia="Arial" w:hAnsi="Arial"/>
          <w:sz w:val="17"/>
          <w:szCs w:val="17"/>
          <w:color w:val="auto"/>
        </w:rPr>
        <w:t>In accordance with Item 601(b)(32) of Regulation S-K, this Exhibit is not deemed “filed” for purposes of Section 18 of the Exchange Act or otherwise subject to the liabilities of that section. Such certifications will not be deemed</w:t>
      </w:r>
    </w:p>
    <w:p>
      <w:pPr>
        <w:ind w:left="380" w:right="79"/>
        <w:spacing w:after="0" w:line="250" w:lineRule="auto"/>
        <w:rPr>
          <w:sz w:val="20"/>
          <w:szCs w:val="20"/>
          <w:color w:val="auto"/>
        </w:rPr>
      </w:pPr>
      <w:r>
        <w:rPr>
          <w:rFonts w:ascii="Arial" w:cs="Arial" w:eastAsia="Arial" w:hAnsi="Arial"/>
          <w:sz w:val="18"/>
          <w:szCs w:val="18"/>
          <w:color w:val="auto"/>
        </w:rPr>
        <w:t>incorporated by reference into any filing under the Securities Act or the Exchange Act, except to the extent that the registrant specifically incorporates it by reference.</w:t>
      </w:r>
    </w:p>
    <w:p>
      <w:pPr>
        <w:spacing w:after="0" w:line="1"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ind w:left="4400"/>
        <w:spacing w:after="0"/>
        <w:rPr>
          <w:rFonts w:ascii="Arial" w:cs="Arial" w:eastAsia="Arial" w:hAnsi="Arial"/>
          <w:sz w:val="16"/>
          <w:szCs w:val="16"/>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October 29, 2021</w:t>
      </w:r>
      <w:r>
        <w:rPr>
          <w:sz w:val="20"/>
          <w:szCs w:val="20"/>
          <w:color w:val="auto"/>
        </w:rPr>
        <w:tab/>
      </w:r>
      <w:r>
        <w:rPr>
          <w:rFonts w:ascii="Arial" w:cs="Arial" w:eastAsia="Arial" w:hAnsi="Arial"/>
          <w:sz w:val="16"/>
          <w:szCs w:val="16"/>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October 29, 2021</w:t>
      </w:r>
      <w:r>
        <w:rPr>
          <w:sz w:val="20"/>
          <w:szCs w:val="20"/>
          <w:color w:val="auto"/>
        </w:rPr>
        <w:tab/>
      </w:r>
      <w:r>
        <w:rPr>
          <w:rFonts w:ascii="Arial" w:cs="Arial" w:eastAsia="Arial" w:hAnsi="Arial"/>
          <w:sz w:val="16"/>
          <w:szCs w:val="16"/>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Matthew M. Partridge, Senior Vice President,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Financial Officer)</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October 29, 2021</w:t>
      </w:r>
      <w:r>
        <w:rPr>
          <w:sz w:val="20"/>
          <w:szCs w:val="20"/>
          <w:color w:val="auto"/>
        </w:rPr>
        <w:tab/>
      </w:r>
      <w:r>
        <w:rPr>
          <w:rFonts w:ascii="Arial" w:cs="Arial" w:eastAsia="Arial" w:hAnsi="Arial"/>
          <w:sz w:val="17"/>
          <w:szCs w:val="17"/>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Lisa M. Vorakoun, Vice President and</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Accounting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CTO Realty Growth,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219" w:hanging="658"/>
        <w:spacing w:after="0" w:line="279" w:lineRule="auto"/>
        <w:tabs>
          <w:tab w:leader="none" w:pos="16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139" w:hanging="658"/>
        <w:spacing w:after="0" w:line="279" w:lineRule="auto"/>
        <w:tabs>
          <w:tab w:leader="none" w:pos="16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680" w:right="319" w:hanging="658"/>
        <w:spacing w:after="0" w:line="311" w:lineRule="auto"/>
        <w:tabs>
          <w:tab w:leader="none" w:pos="16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29, 2021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7171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1" w:name="page52"/>
    <w:bookmarkEnd w:id="5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M. Partridge, certify that:</w:t>
      </w:r>
    </w:p>
    <w:p>
      <w:pPr>
        <w:spacing w:after="0" w:line="185" w:lineRule="exact"/>
        <w:rPr>
          <w:sz w:val="20"/>
          <w:szCs w:val="20"/>
          <w:color w:val="auto"/>
        </w:rPr>
      </w:pPr>
    </w:p>
    <w:p>
      <w:pPr>
        <w:ind w:left="700" w:hanging="650"/>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CTO Realty Growth,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219" w:hanging="658"/>
        <w:spacing w:after="0" w:line="279" w:lineRule="auto"/>
        <w:tabs>
          <w:tab w:leader="none" w:pos="16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139" w:hanging="658"/>
        <w:spacing w:after="0" w:line="279" w:lineRule="auto"/>
        <w:tabs>
          <w:tab w:leader="none" w:pos="16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680" w:right="319" w:hanging="658"/>
        <w:spacing w:after="0" w:line="311" w:lineRule="auto"/>
        <w:tabs>
          <w:tab w:leader="none" w:pos="16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29, 2021</w:t>
      </w:r>
    </w:p>
    <w:p>
      <w:pPr>
        <w:spacing w:after="0" w:line="198"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7000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Matthew M. Partridge, Senior Vice President and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2" w:name="page53"/>
    <w:bookmarkEnd w:id="52"/>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359"/>
        <w:spacing w:after="0" w:line="279" w:lineRule="auto"/>
        <w:rPr>
          <w:sz w:val="20"/>
          <w:szCs w:val="20"/>
          <w:color w:val="auto"/>
        </w:rPr>
      </w:pPr>
      <w:r>
        <w:rPr>
          <w:rFonts w:ascii="Arial" w:cs="Arial" w:eastAsia="Arial" w:hAnsi="Arial"/>
          <w:sz w:val="17"/>
          <w:szCs w:val="17"/>
          <w:color w:val="auto"/>
        </w:rPr>
        <w:t>In connection with the Quarterly Report of CTO Realty Growth, Inc. (the “Company”) on Form 10-Q/A for the period ended September 30, 2021,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71" w:lineRule="exact"/>
        <w:rPr>
          <w:sz w:val="20"/>
          <w:szCs w:val="20"/>
          <w:color w:val="auto"/>
        </w:rPr>
      </w:pPr>
    </w:p>
    <w:p>
      <w:pPr>
        <w:ind w:left="1340" w:right="359" w:hanging="642"/>
        <w:spacing w:after="0" w:line="277"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29, 2021</w:t>
      </w:r>
    </w:p>
    <w:p>
      <w:pPr>
        <w:spacing w:after="0" w:line="239"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26917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3" w:name="page54"/>
    <w:bookmarkEnd w:id="53"/>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left="60" w:right="259"/>
        <w:spacing w:after="0" w:line="301" w:lineRule="auto"/>
        <w:rPr>
          <w:sz w:val="20"/>
          <w:szCs w:val="20"/>
          <w:color w:val="auto"/>
        </w:rPr>
      </w:pPr>
      <w:r>
        <w:rPr>
          <w:rFonts w:ascii="Arial" w:cs="Arial" w:eastAsia="Arial" w:hAnsi="Arial"/>
          <w:sz w:val="16"/>
          <w:szCs w:val="16"/>
          <w:color w:val="auto"/>
        </w:rPr>
        <w:t>In connection with the Quarterly Report of CTO Realty Growth, Inc. (the “Company”) on Form 10-Q/A for the period ended September 30, 2021,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157" w:lineRule="exact"/>
        <w:rPr>
          <w:sz w:val="20"/>
          <w:szCs w:val="20"/>
          <w:color w:val="auto"/>
        </w:rPr>
      </w:pPr>
    </w:p>
    <w:p>
      <w:pPr>
        <w:ind w:left="1340" w:right="359" w:hanging="642"/>
        <w:spacing w:after="0" w:line="277"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29, 2021</w:t>
      </w:r>
    </w:p>
    <w:p>
      <w:pPr>
        <w:spacing w:after="0" w:line="239"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26746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Matthew M. Partridge, Senior Vice President and</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lowerRoman"/>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65" Type="http://schemas.openxmlformats.org/officeDocument/2006/relationships/hyperlink" Target="https://www.sec.gov/Archives/edgar/data/0000023795/000119312521023648/d113606dex31.htm" TargetMode="External"/><Relationship Id="rId66" Type="http://schemas.openxmlformats.org/officeDocument/2006/relationships/hyperlink" Target="https://www.sec.gov/Archives/edgar/data/23795/000119312521206336/d124719dex32.htm" TargetMode="External"/><Relationship Id="rId67" Type="http://schemas.openxmlformats.org/officeDocument/2006/relationships/hyperlink" Target="https://www.sec.gov/Archives/edgar/data/0000023795/000119312521023648/d113606dex32.htm" TargetMode="External"/><Relationship Id="rId68" Type="http://schemas.openxmlformats.org/officeDocument/2006/relationships/hyperlink" Target="https://www.sec.gov/Archives/edgar/data/0000023795/000119312521023648/d113606dex42.htm" TargetMode="External"/><Relationship Id="rId69" Type="http://schemas.openxmlformats.org/officeDocument/2006/relationships/hyperlink" Target="https://www.sec.gov/Archives/edgar/data/23795/000155837021013743/cto-20210930xex10d1.htm" TargetMode="External"/><Relationship Id="rId70" Type="http://schemas.openxmlformats.org/officeDocument/2006/relationships/hyperlink" Target="https://www.sec.gov/Archives/edgar/data/23795/000155837021013743/cto-20210930xex10d2.htm" TargetMode="External"/><Relationship Id="rId71" Type="http://schemas.openxmlformats.org/officeDocument/2006/relationships/hyperlink" Target="https://www.sec.gov/Archives/edgar/data/23795/000155837021013400/cto-20211018xex2d1.htm" TargetMode="External"/><Relationship Id="rId72" Type="http://schemas.openxmlformats.org/officeDocument/2006/relationships/hyperlink" Target="https://www.sec.gov/Archives/edgar/data/23795/000155837021013743/cto-20210930x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2021-10-29T16:25:18Z</dcterms:created>
  <dcterms:modified xsi:type="dcterms:W3CDTF">2021-10-29T16:25:18Z</dcterms:modified>
</cp:coreProperties>
</file>