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o-20251231x10k.htm"/>
        <w:bookmarkStart w:id="1" w:name="kscto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rFonts w:ascii="Times New Roman;Times;serif" w:hAnsi="Times New Roman;Times;serif"/>
          <w:b/>
          <w:sz w:val="26"/>
          <w:bdr w:val="single" w:sz="24" w:space="1" w:color="000000"/>
        </w:rPr>
      </w:pPr>
      <w:bookmarkStart w:id="2" w:name="_1eb1753b_bedf_4c83_aa9e_06b4318e6e8e"/>
      <w:bookmarkEnd w:id="2"/>
      <w:r>
        <w:rPr>
          <w:rFonts w:ascii="Times New Roman;Times;serif" w:hAnsi="Times New Roman;Times;serif"/>
          <w:b/>
          <w:sz w:val="26"/>
          <w:bdr w:val="single" w:sz="24" w:space="1" w:color="000000"/>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Washington, DC 20549 </w:t>
      </w:r>
    </w:p>
    <w:p>
      <w:pPr>
        <w:pStyle w:val="TextBody"/>
        <w:bidi w:val="0"/>
        <w:spacing w:before="0" w:after="0"/>
        <w:ind w:left="0" w:right="0" w:hanging="0"/>
        <w:jc w:val="center"/>
        <w:rPr>
          <w:rFonts w:ascii="Times New Roman;Times;serif" w:hAnsi="Times New Roman;Times;serif"/>
          <w:sz w:val="26"/>
        </w:rPr>
      </w:pPr>
      <w:r>
        <w:rPr>
          <w:rFonts w:ascii="Times New Roman;Times;serif" w:hAnsi="Times New Roman;Times;serif"/>
          <w:b/>
          <w:sz w:val="26"/>
        </w:rPr>
        <w:t>FORM 10-K</w:t>
      </w:r>
      <w:r>
        <w:rPr>
          <w:rFonts w:ascii="Times New Roman;Times;serif" w:hAnsi="Times New Roman;Times;serif"/>
          <w:sz w:val="26"/>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A</w:t>
      </w:r>
      <w:r>
        <w:rPr>
          <w:rFonts w:ascii="Times New Roman;Times;serif" w:hAnsi="Times New Roman;Times;serif"/>
          <w:b/>
          <w:sz w:val="16"/>
        </w:rPr>
        <w:t>NNUAL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001-11350</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CTO REALTY GROWTH,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(Exact name of registrant as specified in its charter) </w:t>
      </w:r>
    </w:p>
    <w:p>
      <w:pPr>
        <w:pStyle w:val="Normal"/>
        <w:bidi w:val="0"/>
        <w:spacing w:before="0" w:after="0"/>
        <w:ind w:left="0" w:right="0" w:hanging="0"/>
        <w:jc w:val="left"/>
        <w:rPr>
          <w:sz w:val="4"/>
          <w:szCs w:val="4"/>
        </w:rPr>
      </w:pPr>
      <w:r>
        <w:rPr>
          <w:sz w:val="4"/>
          <w:szCs w:val="4"/>
        </w:rPr>
      </w:r>
      <w:bookmarkStart w:id="3" w:name="Tc_Lq-8Mnh3jkSYI4jGbmNJng_1_1"/>
      <w:bookmarkStart w:id="4" w:name="Tc_1ObYYdY6XUmHwVynVj4U9g_1_0"/>
      <w:bookmarkStart w:id="5" w:name="_e7330e18_129a_43c9_9833_d77ffa4d3064"/>
      <w:bookmarkStart w:id="6" w:name="Tc_Lq-8Mnh3jkSYI4jGbmNJng_1_1"/>
      <w:bookmarkStart w:id="7" w:name="Tc_1ObYYdY6XUmHwVynVj4U9g_1_0"/>
      <w:bookmarkStart w:id="8" w:name="_e7330e18_129a_43c9_9833_d77ffa4d3064"/>
      <w:bookmarkEnd w:id="6"/>
      <w:bookmarkEnd w:id="7"/>
      <w:bookmarkEnd w:id="8"/>
    </w:p>
    <w:tbl>
      <w:tblPr>
        <w:tblW w:w="3227" w:type="dxa"/>
        <w:jc w:val="left"/>
        <w:tblInd w:w="0" w:type="dxa"/>
        <w:tblLayout w:type="fixed"/>
        <w:tblCellMar>
          <w:top w:w="0" w:type="dxa"/>
          <w:left w:w="0" w:type="dxa"/>
          <w:bottom w:w="0" w:type="dxa"/>
          <w:right w:w="0" w:type="dxa"/>
        </w:tblCellMar>
      </w:tblPr>
      <w:tblGrid>
        <w:gridCol w:w="1981"/>
        <w:gridCol w:w="1246"/>
      </w:tblGrid>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Maryland</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59-0483700</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k7FCIwmwX0SrqAENS3cGwA_1_2"/>
      <w:bookmarkStart w:id="10" w:name="Tc_hWswwFt_hUqGaMKZJLgllg_1_0"/>
      <w:bookmarkStart w:id="11" w:name="_90f27a09_8664_4297_a89f_cd3ff610e230"/>
      <w:bookmarkStart w:id="12" w:name="Tc_60eA0xl5BEeA_rJWxeCcvg_0_0"/>
      <w:bookmarkStart w:id="13" w:name="Tc_k7FCIwmwX0SrqAENS3cGwA_1_2"/>
      <w:bookmarkStart w:id="14" w:name="Tc_hWswwFt_hUqGaMKZJLgllg_1_0"/>
      <w:bookmarkStart w:id="15" w:name="_90f27a09_8664_4297_a89f_cd3ff610e230"/>
      <w:bookmarkStart w:id="16" w:name="Tc_60eA0xl5BEeA_rJWxeCcvg_0_0"/>
      <w:bookmarkEnd w:id="13"/>
      <w:bookmarkEnd w:id="14"/>
      <w:bookmarkEnd w:id="15"/>
      <w:bookmarkEnd w:id="16"/>
    </w:p>
    <w:tbl>
      <w:tblPr>
        <w:tblW w:w="3321" w:type="dxa"/>
        <w:jc w:val="left"/>
        <w:tblInd w:w="0" w:type="dxa"/>
        <w:tblLayout w:type="fixed"/>
        <w:tblCellMar>
          <w:top w:w="0" w:type="dxa"/>
          <w:left w:w="0" w:type="dxa"/>
          <w:bottom w:w="0" w:type="dxa"/>
          <w:right w:w="0" w:type="dxa"/>
        </w:tblCellMar>
      </w:tblPr>
      <w:tblGrid>
        <w:gridCol w:w="2431"/>
        <w:gridCol w:w="109"/>
        <w:gridCol w:w="781"/>
      </w:tblGrid>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369 N. New York Avenue, Suite 201</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Winter Park, Florida</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32789</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(407) 904-3324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SECURITIES REGISTERED PURSUANT TO SECTION 12(b) OF THE ACT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cS8M1_naiEuuWmtfCfEZWw_3_0"/>
      <w:bookmarkStart w:id="18" w:name="Tc_ZBZKr-QUPUm2epenlaQd0g_1_4"/>
      <w:bookmarkStart w:id="19" w:name="Tc_08Q0UPrdbUi43NMGo1gVwg_1_2"/>
      <w:bookmarkStart w:id="20" w:name="Tc_OPYBJ65flk2XaGmhWjKFIw_1_0"/>
      <w:bookmarkStart w:id="21" w:name="_56ad4011_7327_4faf_86de_a3e377e5ca98"/>
      <w:bookmarkStart w:id="22" w:name="Tc_cS8M1_naiEuuWmtfCfEZWw_3_0"/>
      <w:bookmarkStart w:id="23" w:name="Tc_ZBZKr-QUPUm2epenlaQd0g_1_4"/>
      <w:bookmarkStart w:id="24" w:name="Tc_08Q0UPrdbUi43NMGo1gVwg_1_2"/>
      <w:bookmarkStart w:id="25" w:name="Tc_OPYBJ65flk2XaGmhWjKFIw_1_0"/>
      <w:bookmarkStart w:id="26" w:name="_56ad4011_7327_4faf_86de_a3e377e5ca98"/>
      <w:bookmarkEnd w:id="22"/>
      <w:bookmarkEnd w:id="23"/>
      <w:bookmarkEnd w:id="24"/>
      <w:bookmarkEnd w:id="25"/>
      <w:bookmarkEnd w:id="26"/>
    </w:p>
    <w:tbl>
      <w:tblPr>
        <w:tblW w:w="8870" w:type="dxa"/>
        <w:jc w:val="left"/>
        <w:tblInd w:w="0" w:type="dxa"/>
        <w:tblLayout w:type="fixed"/>
        <w:tblCellMar>
          <w:top w:w="0" w:type="dxa"/>
          <w:left w:w="0" w:type="dxa"/>
          <w:bottom w:w="0" w:type="dxa"/>
          <w:right w:w="0" w:type="dxa"/>
        </w:tblCellMar>
      </w:tblPr>
      <w:tblGrid>
        <w:gridCol w:w="5086"/>
        <w:gridCol w:w="346"/>
        <w:gridCol w:w="886"/>
        <w:gridCol w:w="346"/>
        <w:gridCol w:w="2206"/>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06" w:type="dxa"/>
            <w:tcBorders/>
            <w:vAlign w:val="center"/>
          </w:tcPr>
          <w:p>
            <w:pPr>
              <w:pStyle w:val="TableContents"/>
              <w:bidi w:val="0"/>
              <w:spacing w:before="0" w:after="283"/>
              <w:ind w:left="0" w:right="0" w:hanging="0"/>
              <w:jc w:val="left"/>
              <w:rPr>
                <w:sz w:val="4"/>
                <w:szCs w:val="4"/>
              </w:rPr>
            </w:pPr>
            <w:r>
              <w:rPr>
                <w:sz w:val="4"/>
                <w:szCs w:val="4"/>
              </w:rPr>
            </w:r>
          </w:p>
        </w:tc>
      </w:tr>
      <w:tr>
        <w:trPr/>
        <w:tc>
          <w:tcPr>
            <w:tcW w:w="508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Title of each class: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Name of each exchange on which registered:</w:t>
            </w:r>
          </w:p>
        </w:tc>
      </w:tr>
      <w:tr>
        <w:trPr/>
        <w:tc>
          <w:tcPr>
            <w:tcW w:w="50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Common Stock, $0.01</w:t>
            </w:r>
            <w:r>
              <w:rPr>
                <w:rFonts w:ascii="Times New Roman;Times;serif" w:hAnsi="Times New Roman;Times;serif"/>
                <w:sz w:val="20"/>
              </w:rPr>
              <w:t xml:space="preserve"> </w:t>
            </w:r>
            <w:r>
              <w:rPr>
                <w:rFonts w:ascii="Times New Roman;Times;serif" w:hAnsi="Times New Roman;Times;serif"/>
                <w:b/>
                <w:sz w:val="14"/>
              </w:rPr>
              <w:t>par value per share</w:t>
            </w:r>
          </w:p>
        </w:tc>
        <w:tc>
          <w:tcPr>
            <w:tcW w:w="346" w:type="dxa"/>
            <w:tcBorders/>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CTO</w:t>
            </w:r>
          </w:p>
        </w:tc>
        <w:tc>
          <w:tcPr>
            <w:tcW w:w="346" w:type="dxa"/>
            <w:tcBorders/>
            <w:vAlign w:val="center"/>
          </w:tcPr>
          <w:p>
            <w:pPr>
              <w:pStyle w:val="TableContents"/>
              <w:bidi w:val="0"/>
              <w:spacing w:before="0" w:after="0"/>
              <w:ind w:left="0" w:right="0" w:hanging="0"/>
              <w:jc w:val="left"/>
              <w:rPr/>
            </w:pPr>
            <w:r>
              <w:rPr/>
              <w:t>​</w:t>
            </w:r>
          </w:p>
        </w:tc>
        <w:tc>
          <w:tcPr>
            <w:tcW w:w="22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NYSE</w:t>
            </w:r>
          </w:p>
        </w:tc>
      </w:tr>
      <w:tr>
        <w:trPr/>
        <w:tc>
          <w:tcPr>
            <w:tcW w:w="5086" w:type="dxa"/>
            <w:tcBorders/>
            <w:vAlign w:val="center"/>
          </w:tcPr>
          <w:p>
            <w:pPr>
              <w:pStyle w:val="TableContents"/>
              <w:bidi w:val="0"/>
              <w:spacing w:lineRule="auto" w:line="280" w:before="0" w:after="0"/>
              <w:ind w:left="0" w:right="0" w:hanging="0"/>
              <w:jc w:val="center"/>
              <w:rPr>
                <w:rFonts w:ascii="Times New Roman;Times;serif" w:hAnsi="Times New Roman;Times;serif"/>
                <w:sz w:val="20"/>
              </w:rPr>
            </w:pPr>
            <w:r>
              <w:rPr>
                <w:rFonts w:ascii="Times New Roman;Times;serif" w:hAnsi="Times New Roman;Times;serif"/>
                <w:b/>
                <w:sz w:val="14"/>
              </w:rPr>
              <w:t>6.375% Series A Cumulative Redeemable Preferred Stock, $0.01</w:t>
            </w:r>
            <w:r>
              <w:rPr>
                <w:rFonts w:ascii="Times New Roman;Times;serif" w:hAnsi="Times New Roman;Times;serif"/>
                <w:sz w:val="20"/>
              </w:rPr>
              <w:t xml:space="preserve"> </w:t>
            </w:r>
            <w:r>
              <w:rPr>
                <w:rFonts w:ascii="Times New Roman;Times;serif" w:hAnsi="Times New Roman;Times;serif"/>
                <w:b/>
                <w:sz w:val="14"/>
              </w:rPr>
              <w:t>par value per share</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CTO/PA</w:t>
            </w:r>
          </w:p>
        </w:tc>
        <w:tc>
          <w:tcPr>
            <w:tcW w:w="34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NYSE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SECURITIES REGISTERED PURSUANT TO SECTION 12(g) OF THE ACT: </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39" w:type="dxa"/>
        <w:jc w:val="left"/>
        <w:tblInd w:w="0" w:type="dxa"/>
        <w:tblLayout w:type="fixed"/>
        <w:tblCellMar>
          <w:top w:w="0" w:type="dxa"/>
          <w:left w:w="0" w:type="dxa"/>
          <w:bottom w:w="0" w:type="dxa"/>
          <w:right w:w="0" w:type="dxa"/>
        </w:tblCellMar>
      </w:tblPr>
      <w:tblGrid>
        <w:gridCol w:w="1516"/>
        <w:gridCol w:w="1261"/>
        <w:gridCol w:w="1441"/>
        <w:gridCol w:w="19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62660" cy="29210"/>
                      <wp:effectExtent l="0" t="0" r="0" b="0"/>
                      <wp:wrapNone/>
                      <wp:docPr id="1" name="Frame1"/>
                      <a:graphic xmlns:a="http://schemas.openxmlformats.org/drawingml/2006/main">
                        <a:graphicData uri="http://schemas.microsoft.com/office/word/2010/wordprocessingShape">
                          <wps:wsp>
                            <wps:cNvSpPr txBox="1"/>
                            <wps:spPr>
                              <a:xfrm>
                                <a:off x="0" y="0"/>
                                <a:ext cx="962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00735" cy="29210"/>
                      <wp:effectExtent l="0" t="0" r="0" b="0"/>
                      <wp:wrapNone/>
                      <wp:docPr id="2" name="Frame2"/>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15035" cy="29210"/>
                      <wp:effectExtent l="0" t="0" r="0" b="0"/>
                      <wp:wrapNone/>
                      <wp:docPr id="3" name="Frame3"/>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19835" cy="29210"/>
                      <wp:effectExtent l="0" t="0" r="0" b="0"/>
                      <wp:wrapNone/>
                      <wp:docPr id="4" name="Frame4"/>
                      <a:graphic xmlns:a="http://schemas.openxmlformats.org/drawingml/2006/main">
                        <a:graphicData uri="http://schemas.microsoft.com/office/word/2010/wordprocessingShape">
                          <wps:wsp>
                            <wps:cNvSpPr txBox="1"/>
                            <wps:spPr>
                              <a:xfrm>
                                <a:off x="0" y="0"/>
                                <a:ext cx="1219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Accelerated filer</w:t>
            </w: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4"/>
              </w:rPr>
              <w:t>Smaller reporting company </w:t>
            </w:r>
            <w:r>
              <w:rPr>
                <w:rFonts w:ascii="Times New Roman;Times;serif" w:hAnsi="Times New Roman;Times;serif"/>
                <w:sz w:val="20"/>
              </w:rPr>
              <w:t>☐</w:t>
            </w:r>
          </w:p>
        </w:tc>
      </w:tr>
      <w:tr>
        <w:trPr/>
        <w:tc>
          <w:tcPr>
            <w:tcW w:w="151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4"/>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lineRule="auto" w:line="256" w:before="0" w:after="0"/>
        <w:ind w:left="0" w:right="0" w:hanging="0"/>
        <w:jc w:val="left"/>
        <w:rPr>
          <w:rFonts w:ascii="Times New Roman;Times;serif" w:hAnsi="Times New Roman;Times;serif"/>
          <w:sz w:val="20"/>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 </w:t>
      </w:r>
    </w:p>
    <w:p>
      <w:pPr>
        <w:pStyle w:val="TextBody"/>
        <w:bidi w:val="0"/>
        <w:spacing w:lineRule="auto" w:line="256" w:before="0" w:after="0"/>
        <w:ind w:left="0" w:right="0" w:hanging="0"/>
        <w:jc w:val="left"/>
        <w:rPr>
          <w:rFonts w:ascii="Times New Roman;Times;serif" w:hAnsi="Times New Roman;Times;serif"/>
          <w:sz w:val="14"/>
        </w:rPr>
      </w:pPr>
      <w:r>
        <w:rPr>
          <w:rFonts w:ascii="Times New Roman;Times;serif" w:hAnsi="Times New Roman;Times;serif"/>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At June 30, 2025, the aggregate market value of voting and non-voting common stock held by non-affiliates of the registrant was $545,448,000</w:t>
      </w:r>
      <w:r>
        <w:rPr>
          <w:rFonts w:ascii="Times New Roman;Times;serif" w:hAnsi="Times New Roman;Times;serif"/>
          <w:color w:val="FF0000"/>
          <w:sz w:val="14"/>
        </w:rPr>
        <w:t xml:space="preserve"> </w:t>
      </w:r>
      <w:r>
        <w:rPr>
          <w:rFonts w:ascii="Times New Roman;Times;serif" w:hAnsi="Times New Roman;Times;serif"/>
          <w:sz w:val="14"/>
        </w:rPr>
        <w:t xml:space="preserve">based upon the last reported sale price on the NYSE on June 30, 2025, the last business day of the registrant's most recently completed second fiscal quarter. The determination of affiliate status is solely for the purpose of this report and shall not be construed as an admission for the purposes of determining affiliate status.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number of shares of the registrant’s Common Stock outstanding on February 12, 2026 was 32,559,588.</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14"/>
        </w:rPr>
      </w:pPr>
      <w:r>
        <w:rPr>
          <w:rFonts w:ascii="Times New Roman;Times;serif" w:hAnsi="Times New Roman;Times;serif"/>
          <w:sz w:val="14"/>
        </w:rPr>
        <w:t>Registrant incorporates by reference into Part III (Items 10, 11, 12, 13 and 14) of this Annual Report on Form 10-K portions of CTO Realty Growth, Inc.’s definitive Proxy Statement for the 2026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pStyle w:val="TextBody"/>
        <w:pBdr>
          <w:bottom w:val="single" w:sz="8" w:space="1" w:color="000000"/>
        </w:pBdr>
        <w:bidi w:val="0"/>
        <w:spacing w:before="0" w:after="0"/>
        <w:ind w:left="0" w:right="0" w:hanging="0"/>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547"/>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7" w:name="_a3d2935a_6453_44b0_b55c_7393bbc577ab"/>
      <w:bookmarkStart w:id="28" w:name="TOC"/>
      <w:bookmarkEnd w:id="27"/>
      <w:bookmarkEnd w:id="2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346"/>
        <w:gridCol w:w="7981"/>
        <w:gridCol w:w="346"/>
        <w:gridCol w:w="721"/>
      </w:tblGrid>
      <w:tr>
        <w:trPr/>
        <w:tc>
          <w:tcPr>
            <w:tcW w:w="8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57175" cy="175260"/>
                      <wp:effectExtent l="0" t="0" r="0" b="0"/>
                      <wp:wrapNone/>
                      <wp:docPr id="5" name="Frame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9855" cy="175260"/>
                      <wp:effectExtent l="0" t="0" r="0" b="0"/>
                      <wp:wrapNone/>
                      <wp:docPr id="6" name="Frame6"/>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98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533650" cy="175260"/>
                      <wp:effectExtent l="0" t="0" r="0" b="0"/>
                      <wp:wrapNone/>
                      <wp:docPr id="7" name="Frame7"/>
                      <a:graphic xmlns:a="http://schemas.openxmlformats.org/drawingml/2006/main">
                        <a:graphicData uri="http://schemas.microsoft.com/office/word/2010/wordprocessingShape">
                          <wps:wsp>
                            <wps:cNvSpPr txBox="1"/>
                            <wps:spPr>
                              <a:xfrm>
                                <a:off x="0" y="0"/>
                                <a:ext cx="25336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9855" cy="175260"/>
                      <wp:effectExtent l="0" t="0" r="0" b="0"/>
                      <wp:wrapNone/>
                      <wp:docPr id="8" name="Frame8"/>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8600" cy="175260"/>
                      <wp:effectExtent l="0" t="0" r="0" b="0"/>
                      <wp:wrapNone/>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11"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7981"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_61336">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BUSINESS_924827">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BUSINESS_924827">
              <w:r>
                <w:rPr>
                  <w:rStyle w:val="InternetLink"/>
                  <w:rFonts w:ascii="Times New Roman;Times;serif" w:hAnsi="Times New Roman;Times;serif"/>
                  <w:b w:val="false"/>
                  <w:i w:val="false"/>
                  <w:caps w:val="false"/>
                  <w:smallCaps w:val="false"/>
                  <w:sz w:val="20"/>
                </w:rPr>
                <w:t>BUSINESS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1BUNRESOLVEDSTAFFCOMMENTS_141720">
              <w:r>
                <w:rPr>
                  <w:rStyle w:val="InternetLink"/>
                  <w:rFonts w:ascii="Times New Roman;Times;serif" w:hAnsi="Times New Roman;Times;serif"/>
                  <w:b w:val="false"/>
                  <w:i w:val="false"/>
                  <w:caps w:val="false"/>
                  <w:smallCaps w:val="false"/>
                  <w:sz w:val="20"/>
                </w:rPr>
                <w:t>Item 1B.</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BUNRESOLVEDSTAFFCOMMENTS_141720">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2PROPERTIES_106345">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2PROPERTIES_106345">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3LEGALPROCEEDINGS_671621">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3LEGALPROCEEDINGS_671621">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4MINESAFETYDISCLOSURES_700159">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4MINESAFETYDISCLOSURES_700159">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I_588345">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MARKETFORREGISTRANTSCOMMONEQUITY_60">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5MARKETFORREGISTRANTSCOMMONEQUITY_60">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6SELECTEDFINANCIALDATA_194053">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6SELECTEDFINANCIALDATA_194053">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7MANAGEMENTSDISCUSSIONANDANALYSIS_99">
              <w:r>
                <w:rPr>
                  <w:rStyle w:val="InternetLink"/>
                  <w:rFonts w:ascii="Times New Roman;Times;serif" w:hAnsi="Times New Roman;Times;serif"/>
                  <w:b w:val="false"/>
                  <w:i w:val="false"/>
                  <w:caps w:val="false"/>
                  <w:smallCaps w:val="false"/>
                  <w:sz w:val="20"/>
                </w:rPr>
                <w:t>Item 7.</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7MANAGEMENTSDISCUSSIONANDANALYSIS_9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8FINANCIALSTATEMENTS_191919">
              <w:r>
                <w:rPr>
                  <w:rStyle w:val="InternetLink"/>
                  <w:rFonts w:ascii="Times New Roman;Times;serif" w:hAnsi="Times New Roman;Times;serif"/>
                  <w:b w:val="false"/>
                  <w:i w:val="false"/>
                  <w:caps w:val="false"/>
                  <w:smallCaps w:val="false"/>
                  <w:sz w:val="20"/>
                </w:rPr>
                <w:t>Item 8.</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8FINANCIALSTATEMENTS_191919">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9ACONTROLSANDPROCEDURES_243073">
              <w:r>
                <w:rPr>
                  <w:rStyle w:val="InternetLink"/>
                  <w:rFonts w:ascii="Times New Roman;Times;serif" w:hAnsi="Times New Roman;Times;serif"/>
                  <w:b w:val="false"/>
                  <w:i w:val="false"/>
                  <w:caps w:val="false"/>
                  <w:smallCaps w:val="false"/>
                  <w:sz w:val="20"/>
                </w:rPr>
                <w:t>Item 9A.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9ACONTROLSANDPROCEDURES_243073">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9BOTHERINFORMATION_440438">
              <w:r>
                <w:rPr>
                  <w:rStyle w:val="InternetLink"/>
                  <w:rFonts w:ascii="Times New Roman;Times;serif" w:hAnsi="Times New Roman;Times;serif"/>
                  <w:b w:val="false"/>
                  <w:i w:val="false"/>
                  <w:caps w:val="false"/>
                  <w:smallCaps w:val="false"/>
                  <w:sz w:val="20"/>
                </w:rPr>
                <w:t>Item 9B.</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9BOTHERINFORMATION_440438">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Item 9C.</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II_557267">
              <w:r>
                <w:rPr>
                  <w:rStyle w:val="InternetLink"/>
                  <w:rFonts w:ascii="Times New Roman;Times;serif" w:hAnsi="Times New Roman;Times;serif"/>
                  <w:b/>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0DIRECTORSEXECUTIVEOFFICERS_863060">
              <w:r>
                <w:rPr>
                  <w:rStyle w:val="InternetLink"/>
                  <w:rFonts w:ascii="Times New Roman;Times;serif" w:hAnsi="Times New Roman;Times;serif"/>
                  <w:b w:val="false"/>
                  <w:i w:val="false"/>
                  <w:caps w:val="false"/>
                  <w:smallCaps w:val="false"/>
                  <w:sz w:val="20"/>
                </w:rPr>
                <w:t>Item 10.</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10DIRECTORSEXECUTIVEOFFICERS_86306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1EXECUTIVECOMPENSATION_696703">
              <w:r>
                <w:rPr>
                  <w:rStyle w:val="InternetLink"/>
                  <w:rFonts w:ascii="Times New Roman;Times;serif" w:hAnsi="Times New Roman;Times;serif"/>
                  <w:b w:val="false"/>
                  <w:i w:val="false"/>
                  <w:caps w:val="false"/>
                  <w:smallCaps w:val="false"/>
                  <w:sz w:val="20"/>
                </w:rPr>
                <w:t>Item 11.</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1EXECUTIVECOMPENSATION_696703">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2SECURITYOWNERSHIP_46880">
              <w:r>
                <w:rPr>
                  <w:rStyle w:val="InternetLink"/>
                  <w:rFonts w:ascii="Times New Roman;Times;serif" w:hAnsi="Times New Roman;Times;serif"/>
                  <w:b w:val="false"/>
                  <w:i w:val="false"/>
                  <w:caps w:val="false"/>
                  <w:smallCaps w:val="false"/>
                  <w:sz w:val="20"/>
                </w:rPr>
                <w:t>Item 12.</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12SECURITYOWNERSHIP_46880">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3CERTAINRELATIONSHIPS_4116">
              <w:r>
                <w:rPr>
                  <w:rStyle w:val="InternetLink"/>
                  <w:rFonts w:ascii="Times New Roman;Times;serif" w:hAnsi="Times New Roman;Times;serif"/>
                  <w:b w:val="false"/>
                  <w:i w:val="false"/>
                  <w:caps w:val="false"/>
                  <w:smallCaps w:val="false"/>
                  <w:sz w:val="20"/>
                </w:rPr>
                <w:t>Item 13.</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pBdr/>
              <w:bidi w:val="0"/>
              <w:spacing w:before="0" w:after="0"/>
              <w:ind w:left="0" w:right="0" w:hanging="0"/>
              <w:jc w:val="left"/>
              <w:rPr/>
            </w:pPr>
            <w:hyperlink w:anchor="ITEM13CERTAINRELATIONSHIPS_4116">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4PRINCIPALACCOUNTANTFEES_323553">
              <w:r>
                <w:rPr>
                  <w:rStyle w:val="InternetLink"/>
                  <w:rFonts w:ascii="Times New Roman;Times;serif" w:hAnsi="Times New Roman;Times;serif"/>
                  <w:b w:val="false"/>
                  <w:i w:val="false"/>
                  <w:caps w:val="false"/>
                  <w:smallCaps w:val="false"/>
                  <w:sz w:val="20"/>
                </w:rPr>
                <w:t>Item 14.</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4PRINCIPALACCOUNTANTFEES_323553">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V_951682">
              <w:r>
                <w:rPr>
                  <w:rStyle w:val="InternetLink"/>
                  <w:rFonts w:ascii="Times New Roman;Times;serif" w:hAnsi="Times New Roman;Times;serif"/>
                  <w:b/>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5EXHIBITSFINANCIALSTATEMENT_16149">
              <w:r>
                <w:rPr>
                  <w:rStyle w:val="InternetLink"/>
                  <w:rFonts w:ascii="Times New Roman;Times;serif" w:hAnsi="Times New Roman;Times;serif"/>
                  <w:b w:val="false"/>
                  <w:i w:val="false"/>
                  <w:caps w:val="false"/>
                  <w:smallCaps w:val="false"/>
                  <w:sz w:val="20"/>
                </w:rPr>
                <w:t>Item 15.</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5EXHIBITSFINANCIALSTATEMENT_16149">
              <w:r>
                <w:rPr>
                  <w:rStyle w:val="InternetLink"/>
                  <w:rFonts w:ascii="Times New Roman;Times;serif" w:hAnsi="Times New Roman;Times;serif"/>
                  <w:b w:val="false"/>
                  <w:i w:val="false"/>
                  <w:caps w:val="false"/>
                  <w:smallCaps w:val="false"/>
                  <w:sz w:val="20"/>
                </w:rPr>
                <w:t>EXHIBITS,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11" w:type="dxa"/>
            <w:tcBorders/>
            <w:vAlign w:val="center"/>
          </w:tcPr>
          <w:p>
            <w:pPr>
              <w:pStyle w:val="TableContents"/>
              <w:bidi w:val="0"/>
              <w:spacing w:before="0" w:after="0"/>
              <w:ind w:left="0" w:right="0" w:hanging="0"/>
              <w:jc w:val="left"/>
              <w:rPr/>
            </w:pPr>
            <w:hyperlink w:anchor="ITEM16Form10K">
              <w:r>
                <w:rPr>
                  <w:rStyle w:val="InternetLink"/>
                  <w:rFonts w:ascii="Times New Roman;Times;serif" w:hAnsi="Times New Roman;Times;serif"/>
                  <w:b w:val="false"/>
                  <w:i w:val="false"/>
                  <w:caps w:val="false"/>
                  <w:smallCaps w:val="false"/>
                  <w:sz w:val="20"/>
                </w:rPr>
                <w:t>Item 16.</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6Form10K">
              <w:r>
                <w:rPr>
                  <w:rStyle w:val="InternetLink"/>
                  <w:rFonts w:ascii="Times New Roman;Times;serif" w:hAnsi="Times New Roman;Times;serif"/>
                  <w:b w:val="false"/>
                  <w:i w:val="false"/>
                  <w:caps w:val="false"/>
                  <w:smallCaps w:val="false"/>
                  <w:sz w:val="20"/>
                </w:rPr>
                <w:t>FORM 10-K SUMMARY</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138" w:type="dxa"/>
            <w:gridSpan w:val="3"/>
            <w:tcBorders/>
            <w:vAlign w:val="center"/>
          </w:tcPr>
          <w:p>
            <w:pPr>
              <w:pStyle w:val="TableContents"/>
              <w:bidi w:val="0"/>
              <w:spacing w:before="0" w:after="0"/>
              <w:ind w:left="0" w:right="0" w:hanging="0"/>
              <w:jc w:val="left"/>
              <w:rPr/>
            </w:pPr>
            <w:hyperlink w:anchor="SIGNATURES_913021">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547"/>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PARTI_61336"/>
      <w:bookmarkStart w:id="30" w:name="_fce2d2ec_3f3d_4044_a843_229bc94f1e60"/>
      <w:bookmarkEnd w:id="29"/>
      <w:bookmarkEnd w:id="30"/>
      <w:r>
        <w:rPr>
          <w:rFonts w:ascii="Times New Roman;Times;serif" w:hAnsi="Times New Roman;Times;serif"/>
          <w:b/>
          <w:sz w:val="20"/>
        </w:rPr>
        <w:t>PART I</w:t>
      </w:r>
    </w:p>
    <w:p>
      <w:pPr>
        <w:pStyle w:val="TextBody"/>
        <w:bidi w:val="0"/>
        <w:spacing w:before="0" w:after="120"/>
        <w:ind w:left="0" w:right="0" w:firstLine="490"/>
        <w:jc w:val="both"/>
        <w:rPr>
          <w:rFonts w:ascii="Times New Roman;Times;serif" w:hAnsi="Times New Roman;Times;serif"/>
          <w:i/>
          <w:sz w:val="20"/>
        </w:rPr>
      </w:pPr>
      <w:r>
        <w:rPr>
          <w:rFonts w:ascii="Times New Roman;Times;serif" w:hAnsi="Times New Roman;Times;serif"/>
          <w:i/>
          <w:sz w:val="20"/>
        </w:rPr>
        <w:t xml:space="preserve">When we refer to “we,” “us,” “our,” or “the Company,” we mean CTO Realty Growth, Inc. and its consolidated subsidiaries. Statements contained in this Annual Report on Form 10-K, including the documents that are incorporated by reference,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operate in a highly competitive market for the acquisition of income properties and commercial loan and investment opportunities, and more established entities or other investors may be able to compete more effectively for acquisition and commercial loan and investment opportunities than we can;</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be unable to successfully execute on asset acquisitions or dispositions;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loss of revenues from our income property or commercial loans and investments portfolios or certain tenants or borrowers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suffer losses when a borrower defaults on a loan and the value of the underlying collateral is less than the amount due;</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Company’s real estate investments are generally illiquid;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if a transaction intended to qualify as a Section 1031 like-kind exchange is later determined to be taxable, or if we are unable to identify and complete the acquisition of suitable replacement property to effect a Section 1031 like-kind exchange, we may face adverse consequences;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our operations and properties could be adversely affected in the event of natural disasters, pandemics, or other significant disruptions;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we may encounter environmental problems which require remediation or the incurrence of significant costs to resolve, which could adversely impact our financial condition, results of operations, and cash flows;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risk that the REIT requirements could limit our financial flexibility;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our ability to pay dividends consistent with the REIT requirements, and expectations as to timing and amounts of such dividends; </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ability of our board of directors (the “Board”) to revoke our REIT status without stockholder approval;</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exposure to changes in U.S. federal and state income tax laws, including changes to the REIT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general </w:t>
            </w:r>
            <w:r>
              <w:rPr>
                <w:rFonts w:ascii="Times New Roman;Times;serif" w:hAnsi="Times New Roman;Times;serif"/>
                <w:b w:val="false"/>
                <w:i/>
                <w:sz w:val="20"/>
                <w:shd w:fill="FFFFFF" w:val="clear"/>
              </w:rPr>
              <w:t>business and economic conditions, including unstable macroeconomic conditions due to, among other things, political unrest and economic uncertainty due to terrorism or war, inflation, higher interest rates and distress in the banking sector</w:t>
            </w:r>
            <w:r>
              <w:rPr>
                <w:rFonts w:ascii="Times New Roman;Times;serif" w:hAnsi="Times New Roman;Times;serif"/>
                <w:b w:val="false"/>
                <w:i/>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tc>
      </w:tr>
    </w:tbl>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i/>
          <w:sz w:val="20"/>
        </w:rPr>
      </w:pPr>
      <w:r>
        <w:rPr>
          <w:rFonts w:ascii="Times New Roman;Times;serif" w:hAnsi="Times New Roman;Times;serif"/>
          <w:i/>
          <w:sz w:val="20"/>
        </w:rPr>
        <w:t>The Company describes additional risks and uncertainties that could cause actual results or events to differ materially from those described in the Company’s forward-looking statements in “Risk Factors” (Part I, Item 1A of this Annual Report on Form 10-K), “Quantitative and Qualitative Disclosures about Market Risk” (Part II, Item 7A), and “Management’s Discussion and Analysis of Financial Condition and Results of Operations” (Part II, Item 7).</w:t>
      </w:r>
    </w:p>
    <w:p>
      <w:pPr>
        <w:pStyle w:val="TextBody"/>
        <w:pBdr/>
        <w:bidi w:val="0"/>
        <w:spacing w:before="0" w:after="240"/>
        <w:ind w:left="0" w:right="0" w:hanging="490"/>
        <w:jc w:val="both"/>
        <w:rPr>
          <w:rFonts w:ascii="Times New Roman;Times;serif" w:hAnsi="Times New Roman;Times;serif"/>
          <w:b/>
          <w:sz w:val="20"/>
        </w:rPr>
      </w:pPr>
      <w:bookmarkStart w:id="31" w:name="ITEM1BUSINESS_924827"/>
      <w:bookmarkEnd w:id="31"/>
      <w:r>
        <w:rPr>
          <w:rFonts w:ascii="Times New Roman;Times;serif" w:hAnsi="Times New Roman;Times;serif"/>
          <w:b/>
          <w:sz w:val="20"/>
        </w:rPr>
        <w:t>ITEM 1.              BUSINESS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BUSINESS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2025, we own and manage, sometimes utilizing third-party property management companies, 21 commercial real estate properties in 7 states in the United States, comprising 5.5 million square feet of gross leasable space. In addition to our income property portfolio, as of December 31, 2025, our business included the following: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the consolidated financial statements in Item 8.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Real Estate Operations: There were no significant transactions within the Company’s real estate operations during the year ended December 31, 2025.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on the accompanying consolidated statements of operations.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is a summary of financial information regarding the Company’s business segments for the years ended December 31, 2025, 2024 and 2023 (in thousands): </w:t>
      </w:r>
    </w:p>
    <w:p>
      <w:pPr>
        <w:pStyle w:val="TextBody"/>
        <w:bidi w:val="0"/>
        <w:spacing w:before="0" w:after="0"/>
        <w:ind w:left="0" w:right="0" w:firstLine="490"/>
        <w:jc w:val="both"/>
        <w:rPr/>
      </w:pPr>
      <w:r>
        <w:rPr/>
        <w:t>​</w:t>
      </w:r>
    </w:p>
    <w:tbl>
      <w:tblPr>
        <w:tblW w:w="9145" w:type="dxa"/>
        <w:jc w:val="left"/>
        <w:tblInd w:w="0" w:type="dxa"/>
        <w:tblLayout w:type="fixed"/>
        <w:tblCellMar>
          <w:top w:w="0" w:type="dxa"/>
          <w:left w:w="0" w:type="dxa"/>
          <w:bottom w:w="0" w:type="dxa"/>
          <w:right w:w="0" w:type="dxa"/>
        </w:tblCellMar>
      </w:tblPr>
      <w:tblGrid>
        <w:gridCol w:w="4726"/>
        <w:gridCol w:w="346"/>
        <w:gridCol w:w="211"/>
        <w:gridCol w:w="931"/>
        <w:gridCol w:w="346"/>
        <w:gridCol w:w="211"/>
        <w:gridCol w:w="931"/>
        <w:gridCol w:w="346"/>
        <w:gridCol w:w="211"/>
        <w:gridCol w:w="886"/>
      </w:tblGrid>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4" name="Frame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62610" cy="175260"/>
                      <wp:effectExtent l="0" t="0" r="0" b="0"/>
                      <wp:wrapNone/>
                      <wp:docPr id="17" name="Frame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346" w:type="dxa"/>
            <w:tcBorders/>
            <w:vAlign w:val="center"/>
          </w:tcPr>
          <w:p>
            <w:pPr>
              <w:pStyle w:val="TableContents"/>
              <w:bidi w:val="0"/>
              <w:spacing w:before="0" w:after="0"/>
              <w:ind w:left="0" w:right="0" w:hanging="0"/>
              <w:jc w:val="right"/>
              <w:rPr/>
            </w:pPr>
            <w:r>
              <w:rPr/>
              <w:t>  ​ ​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68,208</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1,039,466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887,345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62,843</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35,742</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1,181,644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989,668</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Corporate and other assets consist primarily of cash and restricted cash, property, plant, and equipment related to the other operations, as well as the general and corporate operations.</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 PLAN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plan is primarily focused on investing in shopping centers. We believe that focusing on shopping centers will allow us to continue to broaden the credit base of our tenants. We also seek to diversify our income property portfolio geographically, with an emphasis on what we believe to be faster growing, business-friendly markets exhibiting accommodative business tax policies, outsized relative job and population growth, and where retail demand exceeds supply. We may also self-develop multi-tenant income properties, as we have done in the past. </w:t>
      </w:r>
    </w:p>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longer-term leases. For shopping centers, each tenant typically pays its proportionate share of the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addition to our primary shopping center investment strategy, our targeted investment classes may include the following:</w:t>
      </w:r>
    </w:p>
    <w:p>
      <w:pPr>
        <w:pStyle w:val="TextBody"/>
        <w:bidi w:val="0"/>
        <w:spacing w:before="0" w:after="0"/>
        <w:ind w:left="0" w:right="0" w:firstLine="490"/>
        <w:jc w:val="both"/>
        <w:rPr/>
      </w:pPr>
      <w:r>
        <w:rPr/>
        <w:t>​</w:t>
      </w:r>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Other asset classes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Single-tenant retail or other commercial, double or triple net leased, properties that are typically stabilized and located in what we believe to be faster growing, business-friendly markets exhibiting accommodative business tax policies and outsized relative job and population growth that are compliant with our commitments under the ROFO Agreement (as defined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national market knowledge and expertise in an effort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equity, and corporate bonds.</w:t>
            </w:r>
          </w:p>
        </w:tc>
      </w:tr>
    </w:tbl>
    <w:p>
      <w:pPr>
        <w:pStyle w:val="TextBody"/>
        <w:bidi w:val="0"/>
        <w:spacing w:before="0" w:after="0"/>
        <w:ind w:left="72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access to capital includes raising equity or debt financing, and our sources of debt financing primarily includes our borrowing capacity under our revolving credit facility (as amended and restated, the “Credit Facility”) and term loans. Our strategy is to utilize leverage, when appropriate and necessary, and potentially proceeds from sales of income properties, and the disposition or payoffs of our commercial loans and investments to acquire income properties. As our current properties generally have low tax basis, we may seek to have sales of our income properties qualify for income tax deferral through the like-kind exchange provisions under Section 1031 of the Internal Revenue Code of 1986, as amended (the “Code”).</w:t>
      </w:r>
    </w:p>
    <w:p>
      <w:pPr>
        <w:pStyle w:val="TextBody"/>
        <w:bidi w:val="0"/>
        <w:spacing w:before="240" w:after="240"/>
        <w:ind w:left="0" w:right="0" w:hanging="0"/>
        <w:jc w:val="both"/>
        <w:rPr>
          <w:rFonts w:ascii="Times New Roman;Times;serif" w:hAnsi="Times New Roman;Times;serif"/>
          <w:b/>
          <w:i/>
          <w:sz w:val="20"/>
        </w:rPr>
      </w:pPr>
      <w:r>
        <w:rPr>
          <w:rFonts w:ascii="Times New Roman;Times;serif" w:hAnsi="Times New Roman;Times;serif"/>
          <w:b/>
          <w:i/>
          <w:sz w:val="20"/>
        </w:rPr>
        <w:t>INCOME PROPERTIES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have pursued a strategy of investing in income-producing properties, when possible, by utilizing the proceeds from real estate transactions, including the disposition of income properties, borrowing capacity under the Credit Facility, term loans and issuances of equity and debt securities.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and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acquired two shopping centers for an aggregate purchase price of $144.9 million, or a total acquisition cost of $145.1 million. Of the aggregate $145.1 million acquisition cost, $56.9 million was allocated to land, $73.3 million was allocated to buildings and improvements, $36.6 million was allocated to intangible assets pertaining to the in-place lease value, leasing costs, and above market lease value and $21.7 million was allocated to intangible liabilities for the below market lease value. The weighted average amortization period for the intangible assets and liabilities was 4.6 years at acquisition.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2025, the Company sold four income properties for an aggregate sales price of $85.1 million and aggregate gains on sales of $21.0 million. The sales consisted of (i) three single-tenant Main Street properties in Daytona Beach, Florida for $7.1 million, generating gains totaling $1.2 million, and (ii) one shopping center located in Plano, Texas for $78.0 million, resulting in a gain on sale of $19.8 million.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17 shopping centers generates $102.4 million of revenue from annualized straight-line base lease payments and had a weighted average remaining lease term of 5.0 years as of December 31, 2025. Our current portfolio of 4 other income property assets generates $3.8 million of revenues from annualized straight-line base lease payments and had a weighted average remaining lease term of 3.9 years as of December 31, 2025.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As a result of entering into the Exclusivity and Right of First Offer Agreement with PINE (the “ROFO Agreement”) which generally prevents us from investing in single-tenant net lease income properties, our income property investment strategy will continue to be focused on shopping centers. We may pursue this strategy by monetizing certain of our single-tenant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properties, and should we do so, we would seek to utilize the 1031 like-kind exchange structure to preserve the tax-deferred gain on the original transaction(s) that pertains to the replacement asset.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2025, the Company owned 21 income properties in 7 states. Following is a summary of these properties:</w:t>
      </w:r>
    </w:p>
    <w:tbl>
      <w:tblPr>
        <w:tblW w:w="8175" w:type="dxa"/>
        <w:jc w:val="left"/>
        <w:tblInd w:w="0" w:type="dxa"/>
        <w:tblLayout w:type="fixed"/>
        <w:tblCellMar>
          <w:top w:w="0" w:type="dxa"/>
          <w:left w:w="0" w:type="dxa"/>
          <w:bottom w:w="0" w:type="dxa"/>
          <w:right w:w="0" w:type="dxa"/>
        </w:tblCellMar>
      </w:tblPr>
      <w:tblGrid>
        <w:gridCol w:w="2746"/>
        <w:gridCol w:w="346"/>
        <w:gridCol w:w="1531"/>
        <w:gridCol w:w="109"/>
        <w:gridCol w:w="1261"/>
        <w:gridCol w:w="346"/>
        <w:gridCol w:w="496"/>
        <w:gridCol w:w="109"/>
        <w:gridCol w:w="123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43710" cy="175260"/>
                      <wp:effectExtent l="0" t="0" r="0" b="0"/>
                      <wp:wrapNone/>
                      <wp:docPr id="18" name="Frame1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72185" cy="175260"/>
                      <wp:effectExtent l="0" t="0" r="0" b="0"/>
                      <wp:wrapNone/>
                      <wp:docPr id="20" name="Frame2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800735" cy="175260"/>
                      <wp:effectExtent l="0" t="0" r="0" b="0"/>
                      <wp:wrapNone/>
                      <wp:docPr id="22" name="Frame2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14960" cy="175260"/>
                      <wp:effectExtent l="0" t="0" r="0" b="0"/>
                      <wp:wrapNone/>
                      <wp:docPr id="24" name="Frame2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1685" cy="175260"/>
                      <wp:effectExtent l="0" t="0" r="0" b="0"/>
                      <wp:wrapNone/>
                      <wp:docPr id="26" name="Frame2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Tenant / Property</w:t>
            </w:r>
          </w:p>
        </w:tc>
        <w:tc>
          <w:tcPr>
            <w:tcW w:w="346" w:type="dxa"/>
            <w:tcBorders/>
            <w:vAlign w:val="center"/>
          </w:tcPr>
          <w:p>
            <w:pPr>
              <w:pStyle w:val="TableContents"/>
              <w:bidi w:val="0"/>
              <w:spacing w:before="0" w:after="0"/>
              <w:ind w:left="0" w:right="0" w:hanging="0"/>
              <w:jc w:val="left"/>
              <w:rPr/>
            </w:pPr>
            <w:r>
              <w:rPr/>
              <w:t>  ​ ​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Category</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City</w:t>
            </w:r>
          </w:p>
        </w:tc>
        <w:tc>
          <w:tcPr>
            <w:tcW w:w="346" w:type="dxa"/>
            <w:tcBorders/>
            <w:vAlign w:val="center"/>
          </w:tcPr>
          <w:p>
            <w:pPr>
              <w:pStyle w:val="TableContents"/>
              <w:bidi w:val="0"/>
              <w:spacing w:before="0" w:after="0"/>
              <w:ind w:left="0" w:right="0" w:hanging="0"/>
              <w:jc w:val="left"/>
              <w:rPr/>
            </w:pPr>
            <w:r>
              <w:rPr/>
              <w:t>  ​ ​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w:t>
            </w:r>
          </w:p>
        </w:tc>
        <w:tc>
          <w:tcPr>
            <w:tcW w:w="109"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Area</w:t>
              <w:br/>
              <w:t xml:space="preserve">(Square Feet)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Granada Plaza</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Dunedin</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74,178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Exchange at Gwinnett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Buford</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97,366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Millenia Crossing</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Orlando</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100,385</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Lake Brandon Village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Brandon</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102,022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Madison Yards</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Atlanta</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162,521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Price Plaza</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Katy</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TX</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200,576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Strand at St. Johns Town Center</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Jacksonville</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211,197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Crossroads Towne Center</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Chandler</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AZ</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221,658</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Ashford Lane</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Atlanta</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277,118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Marketplace at Seminole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Sanford</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320,273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Beaver Creek Crossings</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Apex</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NC</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322,113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West Broad Village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Glen Allen</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VA</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392,139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Plaza at Rockwall</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Rockwall</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TX</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443,880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Pompano Citi Centre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Pompano Beach</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508,874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Ashley Park</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Newnan</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559,465</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Collection at Forsyth</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Cumming</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560,919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Carolina Pavilion</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Charlotte</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NC</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693,813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17 Shopping Centers</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5,248,497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Crabby's Oceanside </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Single-Tenant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Daytona Beach</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LandShark Bar &amp; Grill</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Single-Tenant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Daytona Beach</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369 N. New York Ave.</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Multi-Tenant/Other</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Winter Park</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27,948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5401 Watson Dr. SE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Multi-Tenant/Office</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Albuquerque</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109"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212,409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4 Other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252,401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21 Total Properties</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2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5,500,898</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weighted average economic and physical occupancy rates of our income properties at December 31st for each of the last three years on a portfolio basis are as follows: </w:t>
      </w:r>
    </w:p>
    <w:p>
      <w:pPr>
        <w:pStyle w:val="TextBody"/>
        <w:bidi w:val="0"/>
        <w:spacing w:before="0" w:after="0"/>
        <w:ind w:left="0" w:right="0" w:firstLine="490"/>
        <w:jc w:val="both"/>
        <w:rPr/>
      </w:pPr>
      <w:r>
        <w:rPr/>
        <w:t>​</w:t>
      </w:r>
    </w:p>
    <w:tbl>
      <w:tblPr>
        <w:tblW w:w="4100" w:type="dxa"/>
        <w:jc w:val="left"/>
        <w:tblInd w:w="0" w:type="dxa"/>
        <w:tblLayout w:type="fixed"/>
        <w:tblCellMar>
          <w:top w:w="0" w:type="dxa"/>
          <w:left w:w="0" w:type="dxa"/>
          <w:bottom w:w="0" w:type="dxa"/>
          <w:right w:w="0" w:type="dxa"/>
        </w:tblCellMar>
      </w:tblPr>
      <w:tblGrid>
        <w:gridCol w:w="481"/>
        <w:gridCol w:w="346"/>
        <w:gridCol w:w="1441"/>
        <w:gridCol w:w="346"/>
        <w:gridCol w:w="148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05435" cy="175260"/>
                      <wp:effectExtent l="0" t="0" r="0" b="0"/>
                      <wp:wrapNone/>
                      <wp:docPr id="27" name="Frame2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15035" cy="175260"/>
                      <wp:effectExtent l="0" t="0" r="0" b="0"/>
                      <wp:wrapNone/>
                      <wp:docPr id="29" name="Frame2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43610" cy="175260"/>
                      <wp:effectExtent l="0" t="0" r="0" b="0"/>
                      <wp:wrapNone/>
                      <wp:docPr id="31" name="Frame31"/>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Shopping Centers</w:t>
              <w:br/>
              <w:t>Economic / Leased</w:t>
              <w:br/>
              <w:t>Occupancy</w:t>
            </w:r>
          </w:p>
        </w:tc>
        <w:tc>
          <w:tcPr>
            <w:tcW w:w="346" w:type="dxa"/>
            <w:tcBorders/>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Properties</w:t>
              <w:br/>
              <w:t>Economic / Leased</w:t>
              <w:br/>
              <w:t>Occupancy</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89% / 93%</w:t>
            </w:r>
          </w:p>
        </w:tc>
        <w:tc>
          <w:tcPr>
            <w:tcW w:w="346"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 / 100%</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90% / 93%</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 / 100%</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92% / 96%</w:t>
            </w:r>
          </w:p>
        </w:tc>
        <w:tc>
          <w:tcPr>
            <w:tcW w:w="346"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61% / 100%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information on lease expirations of our total income property portfolio for each of the ten years starting with 2026 is as follows: </w:t>
      </w:r>
    </w:p>
    <w:tbl>
      <w:tblPr>
        <w:tblW w:w="8829" w:type="dxa"/>
        <w:jc w:val="left"/>
        <w:tblInd w:w="0" w:type="dxa"/>
        <w:tblLayout w:type="fixed"/>
        <w:tblCellMar>
          <w:top w:w="0" w:type="dxa"/>
          <w:left w:w="0" w:type="dxa"/>
          <w:bottom w:w="0" w:type="dxa"/>
          <w:right w:w="0" w:type="dxa"/>
        </w:tblCellMar>
      </w:tblPr>
      <w:tblGrid>
        <w:gridCol w:w="496"/>
        <w:gridCol w:w="346"/>
        <w:gridCol w:w="1546"/>
        <w:gridCol w:w="346"/>
        <w:gridCol w:w="2986"/>
        <w:gridCol w:w="346"/>
        <w:gridCol w:w="291"/>
        <w:gridCol w:w="895"/>
        <w:gridCol w:w="346"/>
        <w:gridCol w:w="1231"/>
      </w:tblGrid>
      <w:tr>
        <w:trPr/>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81710" cy="175260"/>
                      <wp:effectExtent l="0" t="0" r="0" b="0"/>
                      <wp:wrapNone/>
                      <wp:docPr id="33" name="Frame3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96110" cy="175260"/>
                      <wp:effectExtent l="0" t="0" r="0" b="0"/>
                      <wp:wrapNone/>
                      <wp:docPr id="35" name="Frame3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4785" cy="175260"/>
                      <wp:effectExtent l="0" t="0" r="0" b="0"/>
                      <wp:wrapNone/>
                      <wp:docPr id="37" name="Frame3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8325" cy="175260"/>
                      <wp:effectExtent l="0" t="0" r="0" b="0"/>
                      <wp:wrapNone/>
                      <wp:docPr id="38" name="Frame38"/>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1685" cy="175260"/>
                      <wp:effectExtent l="0" t="0" r="0" b="0"/>
                      <wp:wrapNone/>
                      <wp:docPr id="40" name="Frame4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Tenant Leases</w:t>
              <w:br/>
              <w:t xml:space="preserve">Expiring </w:t>
            </w:r>
          </w:p>
        </w:tc>
        <w:tc>
          <w:tcPr>
            <w:tcW w:w="346" w:type="dxa"/>
            <w:tcBorders/>
            <w:vAlign w:val="center"/>
          </w:tcPr>
          <w:p>
            <w:pPr>
              <w:pStyle w:val="TableContents"/>
              <w:bidi w:val="0"/>
              <w:spacing w:before="0" w:after="0"/>
              <w:ind w:left="0" w:right="0" w:hanging="0"/>
              <w:jc w:val="center"/>
              <w:rPr/>
            </w:pPr>
            <w:r>
              <w:rPr/>
              <w:t>  ​ ​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Square Feet of Leases Expiring </w:t>
            </w:r>
          </w:p>
        </w:tc>
        <w:tc>
          <w:tcPr>
            <w:tcW w:w="346" w:type="dxa"/>
            <w:tcBorders/>
            <w:vAlign w:val="center"/>
          </w:tcPr>
          <w:p>
            <w:pPr>
              <w:pStyle w:val="TableContents"/>
              <w:bidi w:val="0"/>
              <w:spacing w:before="0" w:after="0"/>
              <w:ind w:left="0" w:right="0" w:hanging="0"/>
              <w:jc w:val="center"/>
              <w:rPr/>
            </w:pPr>
            <w:r>
              <w:rPr/>
              <w:t>  ​ ​ ​</w:t>
            </w:r>
          </w:p>
        </w:tc>
        <w:tc>
          <w:tcPr>
            <w:tcW w:w="118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Annual Rents</w:t>
              <w:br/>
              <w:t xml:space="preserve">Expiring </w:t>
            </w:r>
            <w:r>
              <w:rPr>
                <w:rFonts w:ascii="Times New Roman;Times;serif" w:hAnsi="Times New Roman;Times;serif"/>
                <w:b/>
                <w:sz w:val="14"/>
              </w:rPr>
              <w:t>(1)</w:t>
            </w:r>
            <w:r>
              <w:rPr>
                <w:rFonts w:ascii="Times New Roman;Times;serif" w:hAnsi="Times New Roman;Times;serif"/>
                <w:b/>
                <w:sz w:val="18"/>
              </w:rPr>
              <w:br/>
              <w:t>($000's)</w:t>
            </w:r>
          </w:p>
        </w:tc>
        <w:tc>
          <w:tcPr>
            <w:tcW w:w="346" w:type="dxa"/>
            <w:tcBorders/>
            <w:vAlign w:val="center"/>
          </w:tcPr>
          <w:p>
            <w:pPr>
              <w:pStyle w:val="TableContents"/>
              <w:bidi w:val="0"/>
              <w:spacing w:before="0" w:after="0"/>
              <w:ind w:left="0" w:right="0" w:hanging="0"/>
              <w:jc w:val="center"/>
              <w:rPr/>
            </w:pPr>
            <w:r>
              <w:rPr/>
              <w:t>  ​ ​ ​</w:t>
            </w:r>
          </w:p>
        </w:tc>
        <w:tc>
          <w:tcPr>
            <w:tcW w:w="12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Percentage of </w:t>
              <w:br/>
              <w:t>Gross</w:t>
              <w:br/>
              <w:t>Annual Rents</w:t>
              <w:br/>
              <w:t xml:space="preserve">Expiring </w:t>
            </w:r>
            <w:r>
              <w:rPr>
                <w:rFonts w:ascii="Times New Roman;Times;serif" w:hAnsi="Times New Roman;Times;serif"/>
                <w:b/>
                <w:sz w:val="14"/>
              </w:rPr>
              <w:t xml:space="preserve">(1) </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389,985</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8,919</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599,120</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4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1,031,509</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20,706</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646,231</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10,421</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452,514</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10,628</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2031</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530,928</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11,278</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2032</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332,546</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7,144</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2033</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182,537</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5,175</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2034</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238,147</w:t>
            </w:r>
          </w:p>
        </w:tc>
        <w:tc>
          <w:tcPr>
            <w:tcW w:w="34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5,770</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2035</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309,105</w:t>
            </w:r>
          </w:p>
        </w:tc>
        <w:tc>
          <w:tcPr>
            <w:tcW w:w="34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7,552</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7.3%</w:t>
            </w:r>
          </w:p>
        </w:tc>
      </w:tr>
    </w:tbl>
    <w:tbl>
      <w:tblPr>
        <w:tblW w:w="9197" w:type="dxa"/>
        <w:jc w:val="left"/>
        <w:tblInd w:w="0" w:type="dxa"/>
        <w:tblLayout w:type="fixed"/>
        <w:tblCellMar>
          <w:top w:w="0" w:type="dxa"/>
          <w:left w:w="0" w:type="dxa"/>
          <w:bottom w:w="0" w:type="dxa"/>
          <w:right w:w="0" w:type="dxa"/>
        </w:tblCellMar>
      </w:tblPr>
      <w:tblGrid>
        <w:gridCol w:w="271"/>
        <w:gridCol w:w="89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 Rents consist of the in-place base rent to be received pursuant to each lease agreement (i.e. not on a straight-line basis).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majority of leases have additional option periods beyond the original term of the lease, which typically are exercisable at the tenant’s option.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Provision for Impairment – 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each of the years ended December 31, 2025 or 2024.</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Related Party Management of PINE.</w:t>
      </w:r>
      <w:r>
        <w:rPr>
          <w:rFonts w:ascii="Times New Roman;Times;serif" w:hAnsi="Times New Roman;Times;serif"/>
          <w:sz w:val="20"/>
        </w:rPr>
        <w:t xml:space="preserve"> Our business plan includes generating revenue from managing PINE. Pursuant to the management agreement with PINE, the Company generates a base management fee equal to 1.5% of PINE’s “total equity” (as defined in the management agreement).We have waived a portion of the base management fee attributable to the inclusion of the net cash proceeds from the issuance of PINE’s Series A Preferred Stock in PINE’s “total equity” (the “Incremental Equity Base”), such that the base management fee rate on the Incremental Equity Base is equal to 0.75% per annum, instead of 1.50% per annum, as provided in the Management Agreement. The Company also has an opportunity to achieve additional cash flows as manager of PINE pursuant to the terms of an annual incentive fee, as further described in Note 5, “Management Services Business” in the notes to the consolidated financial statements in Item 8.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Management fee income earned pursuant to the Portfolio Management Agreement, is included in management fee income on the Company’s consolidated statement of operations and is further described in Note 5, “Management Services Business” in the notes to the consolidated financial statements in Item 8.</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i/>
          <w:sz w:val="20"/>
        </w:rPr>
        <w:t xml:space="preserve">Asset Management Agreement. </w:t>
      </w:r>
      <w:r>
        <w:rPr>
          <w:rFonts w:ascii="Times New Roman;Times;serif" w:hAnsi="Times New Roman;Times;serif"/>
          <w:sz w:val="20"/>
        </w:rPr>
        <w:t>On February 16, 2024, the Company entered into the Subsurface Management Agreement with a third party in conjunction with the sale of the Company’s remaining Subsurface Interests as further described in Note 6, “Real Estate Operations” below. The Company receives management fees and may receive other fees pursuant to the Subsurface Management Agreement. Management fee income earned pursuant to the Subsurface Management Agreement is included in management fee income on the Company’s consolidated statement of operations and is further described in Note 5, “Management Services Business” in the notes to the consolidated financial statements in Item 8.</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COMMERCIAL LOANS AND INVESTMENTS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pacing w:val="-2"/>
          <w:sz w:val="20"/>
        </w:rPr>
        <w:t>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w:t>
      </w:r>
      <w:r>
        <w:rPr>
          <w:rFonts w:ascii="Times New Roman;Times;serif" w:hAnsi="Times New Roman;Times;serif"/>
          <w:sz w:val="20"/>
          <w:shd w:fill="FFFFFF" w:val="clear"/>
        </w:rPr>
        <w:t xml:space="preserve">loans are typically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r>
        <w:rPr>
          <w:rFonts w:ascii="Times New Roman;Times;serif" w:hAnsi="Times New Roman;Times;serif"/>
          <w:sz w:val="20"/>
        </w:rPr>
        <w:t xml:space="preserve">.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2025 Commercial Loans and Investments Portfolio</w:t>
      </w:r>
      <w:r>
        <w:rPr>
          <w:rFonts w:ascii="Times New Roman;Times;serif" w:hAnsi="Times New Roman;Times;serif"/>
          <w:sz w:val="20"/>
        </w:rPr>
        <w:t>. During the year ended December 31, 2025, the Company originated $21.0 million of commercial loans and investments, including an amendment and $16.0 million upsize of an existing loan, of which none was funded, and a $5.0 million mortgage note, for a weighted average interest rate of 10.7% (including paid-in-kind interest). The Company earned $0.3 million of origination fees from these investments. During the same period, the Company funded $9.3 million under existing construction loan commitments, net of origination fees received, and received principal repayments totaling $15.2 million. As of December 31, 2025, the Company’s commercial loans and investments portfolio included four commercial loan investments and two preferred equity investments with a carrying value of $104.8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2024 Commercial Loans and Investments Portfolio</w:t>
      </w:r>
      <w:r>
        <w:rPr>
          <w:rFonts w:ascii="Times New Roman;Times;serif" w:hAnsi="Times New Roman;Times;serif"/>
          <w:sz w:val="20"/>
        </w:rPr>
        <w:t xml:space="preserve">. </w:t>
      </w:r>
      <w:r>
        <w:rPr>
          <w:rFonts w:ascii="Times New Roman;Times;serif" w:hAnsi="Times New Roman;Times;serif"/>
          <w:sz w:val="20"/>
          <w:shd w:fill="FFFFFF" w:val="clear"/>
        </w:rPr>
        <w:t>During the year ended December 31, 2024, the Company originated four commercial loan investments totaling $104.0 million at a weighted average initial cash yield of </w:t>
      </w:r>
      <w:r>
        <w:rPr>
          <w:rFonts w:ascii="Times New Roman;Times;serif" w:hAnsi="Times New Roman;Times;serif"/>
          <w:sz w:val="20"/>
        </w:rPr>
        <w:t>11.7</w:t>
      </w:r>
      <w:r>
        <w:rPr>
          <w:rFonts w:ascii="Times New Roman;Times;serif" w:hAnsi="Times New Roman;Times;serif"/>
          <w:sz w:val="20"/>
          <w:shd w:fill="FFFFFF" w:val="clear"/>
        </w:rPr>
        <w:t>%, of which $63.9 million had been funded as of December 31, 2024. One of these investments, totaling $10.0 million, was structured as preferred equity and is further described below. During the year ended December 31, 2024, the Company received principal repayments totaling $20.3 million. As of December 31, 2024, the Company’s commercial loans and investments portfolio included five commercial loan investments and two preferred equity investments with a carrying value of $105.0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Commercial Loans and Investments Portfolio</w:t>
      </w:r>
      <w:r>
        <w:rPr>
          <w:rFonts w:ascii="Times New Roman;Times;serif" w:hAnsi="Times New Roman;Times;serif"/>
          <w:sz w:val="20"/>
        </w:rPr>
        <w:t xml:space="preserve">. During the year ended December 31, 2023, the Company originated two loans for a total investment of $30.4 million and received cash repayments of principal totaling $1.0 million. Including the two originations and fundings on our construction loans, $32.9 million was funded during the year ended December 31, 2023. </w:t>
      </w:r>
      <w:r>
        <w:rPr>
          <w:rFonts w:ascii="Times New Roman;Times;serif" w:hAnsi="Times New Roman;Times;serif"/>
          <w:sz w:val="20"/>
          <w:shd w:fill="FFFFFF" w:val="clear"/>
        </w:rPr>
        <w:t>As of December 31, 2023, the Company’s commercial loans and investments portfolio included four commercial loan investments and one preferred equity investment with a carrying value of $61.8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Provision for Impairment – Commercial Loans and Investments. </w:t>
      </w:r>
      <w:r>
        <w:rPr>
          <w:rFonts w:ascii="Times New Roman;Times;serif" w:hAnsi="Times New Roman;Times;serif"/>
          <w:sz w:val="20"/>
        </w:rPr>
        <w:t>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recorded impairment charges of $0.1 million, $0.7 million and $0.6 million related to its commercial loans and investments portfolio during the years ended December 31, 2025, 2024 and 2023,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REAL ESTATE OPERATIONS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Mitigation Credits and Mitigation Credit Rights.</w:t>
      </w:r>
      <w:r>
        <w:rPr>
          <w:rFonts w:ascii="Times New Roman;Times;serif" w:hAnsi="Times New Roman;Times;serif"/>
          <w:sz w:val="20"/>
        </w:rPr>
        <w:t xml:space="preserve"> Revenues and the cost of sales of mitigation credit sales are reported as revenues from, and direct costs of, real estate operations, respectively, in the consolidated statements of operations. During the year ended December 31, 2024, the Company sold all of its remaining 14.99 mitigation credits for $1.8 million with a cost basis of $1.3 million. During the year ended December 31, 2023, the Company sold 20 mitigation credits for proceeds of $2.3 million with a cost basis of $1.5 million.</w:t>
      </w:r>
      <w:r>
        <w:rPr>
          <w:rFonts w:ascii="Times New Roman;Times;serif" w:hAnsi="Times New Roman;Times;serif"/>
          <w:sz w:val="20"/>
          <w:shd w:fill="FFFFFF" w:val="clear"/>
        </w:rPr>
        <w:t xml:space="preserve"> As of December 31, 2025, the Company did not own any mitigation credits</w:t>
      </w:r>
      <w:r>
        <w:rPr>
          <w:rFonts w:ascii="Times New Roman;Times;serif" w:hAnsi="Times New Roman;Times;serif"/>
          <w:sz w:val="20"/>
        </w:rPr>
        <w:t xml:space="preserve">.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The Company sold its remaining acres of Subsurface Interests during the year ended December 31, 2024 for $5.0 million, or a gain on sale of $4.5 million. As of December 31, 2025, the Company did not own any Subsurface Interests.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The Company historically leased certain of the Subsurface Interests to mineral exploration firms for exploration. The Company’s subsurface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w:t>
      </w:r>
      <w:r>
        <w:rPr>
          <w:rFonts w:ascii="Times New Roman;Times;serif" w:hAnsi="Times New Roman;Times;serif"/>
          <w:sz w:val="20"/>
        </w:rPr>
        <w:t xml:space="preserve"> There were no sales of subsurface oil, gas, and mineral rights during the year ended December 31, 2024. During the year ended December 31, 2023, the Company sold 3,481 acres of Subsurface Interests for a sales price of $1.0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 </w:t>
      </w:r>
      <w:r>
        <w:rPr>
          <w:rFonts w:ascii="Times New Roman;Times;serif" w:hAnsi="Times New Roman;Times;serif"/>
          <w:sz w:val="20"/>
        </w:rPr>
        <w:t xml:space="preserve">historically </w:t>
      </w:r>
      <w:r>
        <w:rPr>
          <w:rFonts w:ascii="Times New Roman;Times;serif" w:hAnsi="Times New Roman;Times;serif"/>
          <w:sz w:val="20"/>
          <w:shd w:fill="FFFFFF" w:val="clear"/>
        </w:rPr>
        <w:t>released surface entry rights or other rights upon request of a surface owner for a negotiated release fee typically based on a percentage of the surface value.</w:t>
      </w:r>
      <w:r>
        <w:rPr>
          <w:rFonts w:ascii="Times New Roman;Times;serif" w:hAnsi="Times New Roman;Times;serif"/>
          <w:sz w:val="20"/>
        </w:rPr>
        <w:t xml:space="preserve"> No cash payments were received for the release of surface entry rights for the year ended December 31, 2025. Cash payments for the release of surface entry rights totaled $0.1 million and $0.7 million during the years ended December 31, 2024 and 2023, respectively.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REIT CONVERSION AND MERGER</w:t>
      </w:r>
    </w:p>
    <w:p>
      <w:pPr>
        <w:pStyle w:val="TextBody"/>
        <w:bidi w:val="0"/>
        <w:spacing w:before="0" w:after="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January 29, 2021, in connection with the REIT conversion, the Company completed the Merger. 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pStyle w:val="TextBody"/>
        <w:shd w:fill="FFFFFF" w:val="clear"/>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transaction structure and certainty of execution also being significant considerations for potential sellers. Should we need to re-lease our single-tenant income properties or space(s) in our multi-tenant properties, we would compete with many other property owners in the local market based on, among other elements, price, location of our property, potential tenant improvements, and lease term.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plan also includes investing in commercial real estate through the acquisition or origination of mortgage financings secured by commercial real estate and similar financial instruments. Competition for investing in commercial mortgage loans and similar financial instruments can include financial institutions such as banks, private equity investors, institutional investment funds, debt funds, private credits funds, specialty finance companies, life insurance companies, institutional investors such as pension funds, and other lenders including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pStyle w:val="TextBody"/>
        <w:bidi w:val="0"/>
        <w:spacing w:before="360" w:after="0"/>
        <w:ind w:left="0" w:right="0" w:hanging="0"/>
        <w:jc w:val="both"/>
        <w:rPr>
          <w:rFonts w:ascii="Times New Roman;Times;serif" w:hAnsi="Times New Roman;Times;serif"/>
          <w:b/>
          <w:i/>
          <w:sz w:val="20"/>
        </w:rPr>
      </w:pPr>
      <w:r>
        <w:rPr>
          <w:rFonts w:ascii="Times New Roman;Times;serif" w:hAnsi="Times New Roman;Times;serif"/>
          <w:b/>
          <w:i/>
          <w:sz w:val="20"/>
        </w:rPr>
        <w:t>REGULATION</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properties are subject to various laws, ordinances and regulations, including those relating to fire and 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Americans With Disabilities Act. </w:t>
      </w:r>
      <w:r>
        <w:rPr>
          <w:rFonts w:ascii="Times New Roman;Times;serif" w:hAnsi="Times New Roman;Times;serif"/>
          <w:sz w:val="20"/>
        </w:rPr>
        <w:t>Under Title III of the Americans with Disabilities Act (“ADA”), 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ENVIRONMENTAL</w:t>
      </w:r>
      <w:r>
        <w:rPr>
          <w:rFonts w:ascii="Times New Roman;Times;serif" w:hAnsi="Times New Roman;Times;serif"/>
          <w:sz w:val="20"/>
        </w:rPr>
        <w:t xml:space="preserve"> </w:t>
      </w:r>
      <w:r>
        <w:rPr>
          <w:rFonts w:ascii="Times New Roman;Times;serif" w:hAnsi="Times New Roman;Times;serif"/>
          <w:b/>
          <w:i/>
          <w:sz w:val="20"/>
        </w:rPr>
        <w:t>MATTERS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obtain Phase I environmental assessments on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cannot predict what other environmental legislation or regulations will be enacted in the future, how existing or future laws or regulations will be administered or interpreted or what environmental conditions may be found to exist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HUMAN CAPITAL</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opportunities to participate in industry conferences;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regular feedback to assist in employee development and providing opportunities for employees to provide suggestions to management and safely register complaints;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focusing on creating a workplace that values employee health and safety;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committing to the full inclusion of all qualified employees and applicants and providing equal employment opportunities to all persons, in accordance with the principles of the Equal Employment Opportunities Commission and the principles of the ADA;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appreciating the many contributions of a diverse workforce, understanding that diverse backgrounds bring diverse perspectives, and result in unique insights.</w:t>
            </w:r>
          </w:p>
        </w:tc>
      </w:tr>
    </w:tbl>
    <w:p>
      <w:pPr>
        <w:pStyle w:val="TextBody"/>
        <w:bidi w:val="0"/>
        <w:spacing w:before="0" w:after="0"/>
        <w:ind w:left="85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At December 31, 2025, the Company had 42 full-time employees and considers its employee relations to be satisfactory.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AVAILABLE INFORMATION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executive offices are located at 369 N. New York Avenue, Suite 201 Winter Park, Florida, and its telephone number is (407) 904-3324.</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the Company’s website you can also obtain, free of charge, a copy of this Annual Report on Form 10-K, quarterly reports on Form 10-Q, current reports on Form 8-K and amendments to those reports filed or furnished pursuant to Section 13(a) or 15(d) of the Exchange Act,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pStyle w:val="TextBody"/>
        <w:pBdr/>
        <w:bidi w:val="0"/>
        <w:spacing w:before="0" w:after="240"/>
        <w:ind w:left="0" w:right="0" w:hanging="490"/>
        <w:jc w:val="both"/>
        <w:rPr>
          <w:rFonts w:ascii="Times New Roman;Times;serif" w:hAnsi="Times New Roman;Times;serif"/>
          <w:b/>
          <w:sz w:val="20"/>
        </w:rPr>
      </w:pPr>
      <w:bookmarkStart w:id="32" w:name="ITEM1A_RISK_FACTORS"/>
      <w:bookmarkStart w:id="33" w:name="_a2cb94a8_32a6_476a_af95_b14347d00c5c"/>
      <w:bookmarkEnd w:id="32"/>
      <w:bookmarkEnd w:id="33"/>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SUMMARY OF RISK FACTORS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securities.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U.S., global and local regions or markets that impact our tenants’ businesses may materially and adversely affect us generally and the ability of our tenants to make rental payments to us pursuant to our leases.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revenues from our income property or commercial loans and investments portfolios or certain tenants or borrowers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properties, particularly those with multiple tenants, often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shopping centers.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receipt of management fees and potentially incentive fees derived from our provision of management services to PINE and the loss or failure, or decline in the business or assets, of PINE could substantially reduce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fixed-rate loan investments, and an increase in market interest rates may adversely affect the value of these investments,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loans or similar investments we may acquire that are secured by real estate typically depend on the ability of the property owner to generate income from operating the property. Failure to do so may result in delinquency and/or foreclosure.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real estate investments are generally illiquid.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decline in the fair value of our real estate assets or investments which could result in impairments and would impact our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properties could be adversely affected in the event of natural disasters, pandemics, or other significant disruptions.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environmental problems which require remediation or the incurrence of significant costs to resolve,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remain qualified as a REIT, would cause us to be taxed as a regular corporation, which would substantially reduce funds available for distributions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qualify as a REIT, we may face other tax liabilities that could reduce our cash flows and negatively impact our results of operations and financial condition.</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failed to distribute our Pre-REIT Conversion Earnings and Profits, we could fail to qualify as a REIT.</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required distributions would subject us to U.S. federal corporate income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REIT requirements may limit our ability to hedge our liabilities effectively and may cause us to incur tax liabilities.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tax may limit our ability to dispose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revoke our REIT qualification without stockholder approval may cause adverse consequences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transaction intended to qualify as a Section 1031 like-kind exchange is later determined to be taxable, or if we are unable to identify and complete the acquisition of suitable replacement property to effect a Section 1031 like-kind exchange, we may face adverse consequences.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REITs do not qualify for the reduced tax rates available for some dividends.</w:t>
            </w:r>
          </w:p>
        </w:tc>
      </w:tr>
    </w:tbl>
    <w:p>
      <w:pPr>
        <w:pStyle w:val="TextBody"/>
        <w:bidi w:val="0"/>
        <w:spacing w:before="0" w:after="12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 FACTORS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Business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Property Operations</w:t>
      </w:r>
    </w:p>
    <w:p>
      <w:pPr>
        <w:pStyle w:val="TextBody"/>
        <w:bidi w:val="0"/>
        <w:spacing w:before="100" w:after="10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i/>
          <w:sz w:val="20"/>
        </w:rPr>
        <w:t>We are subject to risks related to the ownership of commercial real estate that could affect the performance and value of our properties.</w:t>
      </w:r>
      <w:r>
        <w:rPr>
          <w:rFonts w:ascii="Times New Roman;Times;serif" w:hAnsi="Times New Roman;Times;serif"/>
          <w:sz w:val="20"/>
        </w:rPr>
        <w: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Factors beyond our control can affect the performance and value of our properties. Our core business is the ownership of commercial properties that generate lease revenue from either multiple tenants occupying a single structure or multiple structures or a single tenant in a stand-alone property. Accordingly, our performance is subject to risks incident to the ownership of commercial real estate, including:</w:t>
      </w:r>
    </w:p>
    <w:p>
      <w:pPr>
        <w:pStyle w:val="TextBody"/>
        <w:bidi w:val="0"/>
        <w:spacing w:before="100" w:after="100"/>
        <w:ind w:left="0" w:right="0" w:firstLine="490"/>
        <w:jc w:val="both"/>
        <w:rPr/>
      </w:pPr>
      <w:r>
        <w:rPr/>
        <w:t>​</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rents from tenants due to financial hardship, including bankruptcy;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real estate conditions in the markets where our properties are located, including the availability and demand for the properties we own;</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trends and preferences that affect the demand for products and services offered by our tenants;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national, regional and local economic conditions;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lease or sell properties upon expiration or termination of existing leases;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risks, including the presence of hazardous or toxic substances on our properties;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subjectivity of real estate valuations and changes in such valuations over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portfolio promptly in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response to changes in economic or other conditions;</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which inhibit interest in the markets in which our properties are located;</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the availability of financing;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 xml:space="preserve">competition based on rental rates, age and location of properties and the quality of maintenance, insurance </w:t>
      </w:r>
    </w:p>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and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including natural disasters and global pandemics, which impact the United States, which may result in uninsured losses;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consequences of terrorist attacks;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properties to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tenants or cause decreases in market rental rates;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need to periodically repair, renovate or re-lease our properties;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which may occur even when circumstances such as market factors and competition cause a reduction in our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costs of compliance with laws and regulations, fiscal policies and ordinances including in response to global pandemics whereby our tenants’ businesses are forced to close or remain open on a limited basis only; and</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occurrence of any of the risks described above may cause the performance and value of our properties to decline, which could materially and adversely affect us.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Adverse changes in U.S., global and local regions or markets that impact our tenants’ businesses may materially and adversely affect us generally and the ability of our tenants to make rental payments to us pursuant to our leases.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higher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Global trade disruption, significant introductions of trade barriers and bilateral trade frictions, together with any future downturns in the global economy resulting therefrom, could adversely affect our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i/>
          <w:sz w:val="20"/>
        </w:rPr>
        <w:t>Our business is dependent upon our tenants successfully operating their businesses, and their failure to do so could materially and adversely affect us.</w:t>
      </w:r>
      <w:r>
        <w:rPr>
          <w:rFonts w:ascii="Times New Roman;Times;serif" w:hAnsi="Times New Roman;Times;serif"/>
          <w:sz w:val="20"/>
        </w:rPr>
        <w: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success of our investments in our income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inflation, higher interest rates, supply chain issues (including those potentially caused by global trade uncertainty or tariffs), unfavorable economic conditions in general, changes in consumer trends and preferences that decrease demand for a tenant’s products or services or other factors, including the impact of a global pandemic which affects the United States, over which neither they nor we have control. To the extent we own multiple properties operated by one tenant, the general failure of that single tenant or a loss or significant decline in its business could materially and adversely affect us.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filing for bankruptcy protection.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materially and adversely affected if a tenant representing a significant portion of our operating results or a number of our tenants were unable to meet their obligations to us.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Retail properties, particularly those with multiple tenants, often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Retail properties, like other properties, are subject to the risk that tenants may be unable to make their lease payments or may decline to extend a lease upon its expiration. A shopping center is particularly sensitive to the risk that a tenant that occupies a large area of the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to us. In the event of default by a tenant, we may experience delays and costs in enforcing our rights as landlord to recover amounts due to us under the terms of our agreements with that tenant.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properties.</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 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new and enhanced technologies, including new digital technologies, new web services technologies and artificial intelligence, may increase competition for certain of our retail tenants. We cannot predict with certainty what future tenants will require to operate their businesses, what demands will be made for the build out of future retail spaces and how much revenue will be generated at traditional “brick and mortar” locations. If we are unable to anticipate and respond promptly to trends in the market, our occupancy levels and rental income may decline.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Any of the foregoing factors could adversely affect the financial condition of our retail tenants and the willingness of retail operators to lease space at our income properties. In turn, these conditions could negatively affect market rents for retail space and could materially and adversely affect our financial condition, results of operations, cash flow and our ability to satisfy our debt service obligations and to pay distributions to the Company’s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Competition that traditional retail tenants face from e-commerce retail sales, or the integration of brick and mortar stores with e-commerce retail operators, could adversely affect our business.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key element of our future success will depend upon, among other things, our ability to successfully execute our strategy to invest in income-producing assets which if unsuccessful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operate in a highly competitive market for the acquisition of income properties and more established entities or other investors may be able to compete more effectively for acquisition opportunities than we can.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 number of entities and other investors compete with us to purchase income properties. We compete with REITs, public and private real estate focused companies, high wealth individual investors, private equity investors, institutional investment funds,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 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loss of revenues from our income property portfolio or certain tenants would adversely impact our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tenants may account for a significant portion of our total revenues and/or square footage in our income property portfolio (see Note 2, “Summary of Significant Accounting Policies” under the heading Concentration of Credit Risk in the notes to the consolidated financial statements in Item 8). 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re-lease the income property at comparable rental rates and in a timely manner, our financial condition, results of operations and cash flows could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epidemics or pandemics more than other areas.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Any financial hardship and/or economic downturns in the financial industry, including a downturn similar to the financial crisis in 2007 through 2009, or in the states noted could have an adverse effect on our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Certain provisions of the Company’s leases may be unenforceable.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not be able to dispose of properties we target for sale to recycle our capital.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While the Company’s strategy may include selectively selling non-core assets or other income-producing properties to recycle our capital, we may be unable to sell such assets or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inflation, higher interest rates, supply chain issues (including those potentially caused by global trade uncertainty or tariffs), or other factors that may 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origination or acquisition of commercial loans and investments, and other operating needs. The risks associated with development activities, including but not necessarily limited to those noted, could adversely impact our financial condition, results of operations, and liquidity.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 of and Investment in PINE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revenues include receipt of management fees and potentially incentive fees derived from our provision of management services to PINE and the loss or failure, or decline in the business or assets, of PINE could substantially reduce our revenues.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 xml:space="preserve">Our revenues include the fees we earn from providing management services to PINE. The revenues we generate from managing PINE depend in large part on the ability of PINE to raise capital to invest in real estate assets and on the positive performance of PINE’s investments and stockholder returns. The performance of PINE is subject to a number of risks and uncertainties. Therefore, a portion of our operating results and our ability to maintain and grow the fees we earn from providing management services to PINE depends upon the ability of PINE and its tenants to maintain and grow their respective businesses. Our ability to maintain and grow the fees we earn from providing management services to PINE also depend upon the ability of PINE to maintain and grow its market capitalization and to achieve positive stockholder returns in excess of applicable total stockholder return indexes. Reduced business activities, market capitalizations or stockholder returns, sales of assets or the failure of PINE or the termination of our management agreement with PINE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could materially reduce our revenues and our profitability thereby adversely impacting our cash flows and results of operations.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management agreement with PINE is subject to termination  for events of default or non-performance, and any such termination could have a material adverse effect on our business, results of operations and financial condition.</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Our management agreement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pStyle w:val="TextBody"/>
        <w:bidi w:val="0"/>
        <w:spacing w:before="0" w:after="0"/>
        <w:ind w:left="0" w:right="0" w:firstLine="490"/>
        <w:jc w:val="both"/>
        <w:rPr>
          <w:color w:val="212529"/>
        </w:rPr>
      </w:pPr>
      <w:r>
        <w:rPr>
          <w:color w:val="212529"/>
        </w:rPr>
        <w:t>​</w:t>
      </w:r>
    </w:p>
    <w:p>
      <w:pPr>
        <w:pStyle w:val="TextBody"/>
        <w:shd w:fill="FFFFFF" w:val="clear"/>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An internalization of PINE’s management functions could have a material adverse effect on our business, results of operations and financial condition.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Even if the internalization price paid to us in connection with an internalization is substantial, we cannot assure you that any consideration received by us in connection with an internalization transaction will ultimately lead to returns equal to or greater than the revenues lost as a result of the internalization transaction.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We may be unable to successfully operate PINE’s business.</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includes its ability to raise additional equity capital to fund its goals for growth. Our successful performance as the manager of PINE therefore depends, in part, on our ability to assist PINE in raising equity capital in amounts sufficient to support PINE’s goals and on acceptable terms. Our successful performance as the manager of PINE also depends on our ability to access debt financing for PINE, on acceptable terms. There can be no assurance that we will be successful in this business, that PINE will achieve its objectives, will invest successfully in income properties or commercial loans and investments, and will generally operate successfully, or that we will earn fees from PINE sufficient to recover the costs we have incurred or to provide a suitable return on our investment in PINE.</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Declines in the market values of our investment in PINE may adversely affect periodic reported results.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hold a significant equity interest in PINE as of December 31, 2025, including the OP Units we hold in the PINE Operating Partnership as further described in Note 1, “Organization” in the notes to the consolidated financial statements in Item 8. PINE is publicly traded and as such, PINE’s common stock is subject to the risks associated with public equities, including, but not limited to, market risk broadly, risks associated with the REIT industry, and risks associated with the real estate industry more specifically. The public equity markets can be volatile, and the value of PINE’s stock and OP Units may fluctuate significantly over short periods of time. A significant decrease in the trading price of PINE’s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could result in losses that have a material adverse effect on the value of our investment in PINE which could adversely impact our financial condition.</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our directors also serves on PINE's board of directors.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pStyle w:val="TextBody"/>
        <w:bidi w:val="0"/>
        <w:spacing w:before="0" w:after="0"/>
        <w:ind w:left="0" w:right="0" w:firstLine="49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part of our investment strategy is focused on investing in commercial loans and  investments which may involve credit risk or the risk that our borrowers will fail to pay scheduled contractual payments to us when due. </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As part of our business strategy, we have invested in commercial loans secured by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commercial loans and investments segment is also exposed to risks associated with real estate investments generally.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origination or acquisition of construction loans exposes us to an increased risk of loss.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investments in construction loans require us to make estimates about the fair value of land improvements that may be challenged by the Internal Revenue Service (“IRS”).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the interest from which will be qualifying income for purposes of the 75% and 95% gross income tests applicable to REITs,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Because of competition, we may not be able to originate or acquire commercial loans or similar financings at all or at favorable yields.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When we seek to invest in commercial loans or similar financings secured by underlying real estate, we may not be able to originate or acquire such loan investments at favorable spreads over our borrowing costs. We compete with many other investment groups including other REITs, public and private investment funds, life insurance companies, commercial and investment banks and commercial finance companies, including some of the third parties with which we have, or expect to have, relationships. In many instances, the competition has greater financial capacity, are larger organizations and has a greater operating presence in the market. As a result, we may not be able to originate or acquire commercial loans or similar financings in the future at all or at favorable spreads over our borrowing costs, which could adversely impact our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Debt and preferred equity investments could cause us to incur expenses, which could adversely affect our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have in the past, currently and will own in the future, investments in first mortgages, mezzanine loans, junior participations and preferred equity interests. Such investments may or may not be recourse 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mezzanine loan assets that we may acquire will involve greater risks of loss than senior loans secured by income-producing properties.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become unsecured as a result of foreclosure by the senior lender. In the event of a bankruptcy of the entity providing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invest in fixed-rate loan investments, and an increase in interest rates may adversely affect the value of these investments, which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Increases in interest rates may negatively affect the market value of our investments, particularly the fixed-rate commercial loans and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commercial loans or similar investments we have acquired and may acquire in the future that are secured by real estate typically depend on the ability of the property owner to generate income from operating the property. Failure to do so may result in delinquency and/or foreclosure.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Commercial loans are secured by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activities or actions of a third-party servicer engaged to service our investment in a commercial loan or similar debt financing could adversely impact the value of our investment or our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suffer losses when a borrower defaults on a loan and the value of the underlying collateral is less than the amount due.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any of the above factors or events, the losses we may suffer could adversely impact our financial condition, results of operations and cash flows.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could fail to continue to qualify as a REIT if the IRS successfully challenges our treatment of any mezzanine loans in which we invest.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 Consequently, there can be no assurance that the IRS will not challenge our treatment of such loans as qualifying real estate assets, which could adversely affect our ability to continue to qualify as a REIT.</w:t>
      </w:r>
    </w:p>
    <w:p>
      <w:pPr>
        <w:pStyle w:val="TextBody"/>
        <w:bidi w:val="0"/>
        <w:spacing w:before="100" w:after="1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Investments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General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Factors beyond our control can affect the performance and value of our real estate assets including our income properties, and investments in commercial loans or similar financings secured by real estate or other investments. Real estate assets are subject to various risks, including but not limited to the following: </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changes in national, regional, and local economic and market conditions where our properties or the properties underlying a loan investment are located;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competition based on rental rates, age and location of the property and the quality of maintenance, insurance, and management services;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income properties to tenants or decreases in market rental rates;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which inhibit interest in the markets in which our income-producing assets are located;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associated with the need to periodically repair, renovate or re-lease our income properties;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which may occur even when circumstances such as market factors and competition cause a reduction in our revenues;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costs of compliance with laws and regulations, fiscal policies, and ordinances; </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income-producing asset portfolios promptly in response to changes in economic or other conditions; </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Acts of God, including natural disasters, which may result in uninsured losses; and </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Acts of war or terrorism, including consequences of terrorist attacks. </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any of these or similar events occurs, it may reduce our return from an affected real estate asset or investment which could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Company’s real estate investments are generally illiquid.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Real estate investments, including investments in income properties and investments in commercial loans or similar financings secured by real estate,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validating third party pricing for illiquid 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properties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experience a decline in the fair value of our real estate assets or investments which could result in impairments and would impact our financial condition and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loans and investments and similar financings or other capitalized costs. Any such non-cash charges could have an adverse effect on our financial condition and results of operations.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From time to time we make investments in companies over which we do not have control. Some of these companies may operate in industries that differ from our current operations, with different risks than investing in real estate.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Quarterly results may fluctuate and may not be indicative of future quarterly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Financing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 may be unable to obtain debt or equity capital on favorable terms, if at all, or additional borrowings may impact our liquidity or ability to monetize any assets securing such borrowings.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order to further our business objectives, we have in the past and expect to continue to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An increase in our borrowing costs would adversely affect our financial condition and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 eliminated entirely. This would adversely affect our returns on our assets, and therefore adversely impact our financial condition, our results of operations, and cash flows, and could require us to liquidate certain or all of these assets.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Servicing our debt requires a significant amount of cash, and we may not have sufficient cash flow from our business to service or pay our debt.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ability to make scheduled payments of the principal of, to pay interest on, or to refinance our indebtedness, depends on our future operating and financial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level of indebtedness could have significant adverse consequences and our cash flow may be insufficient to meet our debt service obligations.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level of indebtedness, as further described in Note 16 “Long-Term Debt” in the notes to the consolidated financial statements in Item 8, could have significant adverse consequences on our business and operations, including the following:</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increase our vulnerability to changes in economic conditions (including increases in interest rates) and limit our flexibility in planning for, or reacting to, changes in our business and/or industry;</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at a disadvantage compared to our competitors with comparatively less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hedge our debt, or such hedges may fail or expire, leaving us exposed to potentially volatile interest or currency exchange rates; and</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refinance our indebtedness or obtain additional financing as needed or on favorable terms.</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ability to generate sufficient cash flow determines whether we will be able to (i) meet our existing or potential future debt service obligations; (ii) refinance our existing or potential future indebtedness; and (iii) 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 actions to meet those obligations, such as selling properties, raising equity, or delaying capital expenditures, any of which may not be feasible or could have a material adverse effect on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continue to have the ability to incur debt; if we incur substantial additional debt, the higher levels of debt may affect our ability to pay the interest and principal of our debt.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Despite our current consolidated debt levels, we and our subsidiaries may incur substantial additional debt in the future (subject to the restrictions contained in our debt instruments), some of which may be secured debt.. If we incur substantial additional indebtedness in the future, these higher levels of indebtedness may affect our ability to pay the principal of, and interest on, our outstanding debt and our creditworthiness generally.</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Declines in the value of the assets in which we invest will adversely affect our financial condition and results of operations and make it costlier to finance these assets.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Generally, we use our income-producing assets and certain loan investments secured by real property as collateral for our financings or as the borrowing base for our Credit Facility. Any decline in their value, a significant decrease in the income received from our income-producing assets, or perceived market uncertainty about the value of our income-producing assets, could make it difficult for us to obtain or renew financing on favorable terms or at all, or maintain our compliance with terms of any financing arrangements already in place.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have in the past and expect to continue to utilize derivative instruments to hedge risk, which may adversely affect our borrowing cost and expose us to other risks.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derivative instruments we have used in the past and expect to continue to use in the future are and could be in the form of interest rate swaps, interest rate caps and or interest rate collars. Interest rate swaps effectively change variable-rate debt obligations to fixed-rate debt obligations or fixed-rate debt obligations to variable-rate debt obligations. Interest rate caps limit our exposure to rising interest rates. Interest rate collars limit our exposure to rising interest rates while also limiting our benefit from declining interest rates.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Increases in interest rates could have an adverse effect on our operating results.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4"/>
        </w:rPr>
        <w:t>O</w:t>
      </w:r>
      <w:r>
        <w:rPr>
          <w:rFonts w:ascii="Times New Roman;Times;serif" w:hAnsi="Times New Roman;Times;serif"/>
          <w:sz w:val="20"/>
        </w:rPr>
        <w:t xml:space="preserve">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have in the past affected and may in the future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interest-bearing liabilities could have a material adverse effect on us. While interest rates remain low relative to certain historical rates, rates have recently risen. Despite multiple federal fund rate decreases over the course of 2024 and 2025, interest rates have remained elevated as compared to interest rates over the five year period preceding March 2022. Interest rates are highly sensitive to many factors, including governmental monetary and tax policies, domestic and international economic and political conditions, inflation, labor markets, and other factors beyond our control. In the event of a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 our operating results and our cash flows. An increase in interest rates could also, among other things, reduce the value of certain of our income-producing assets and our ability to realize gains from the sale of such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Company’s Credit Facility and secured financings include certain financial and/or other covenants that could restrict our operating activities, and the failure to comply with such covenants could result in a default that accelerates the required payment of such debt.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assets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or the performance of borrowers under the Company’s commercial loans and investments.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Associated with Certain Events, Environmental Issues, and Climate Change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Our</w:t>
      </w:r>
      <w:r>
        <w:rPr>
          <w:rFonts w:ascii="Times New Roman;Times;serif" w:hAnsi="Times New Roman;Times;serif"/>
          <w:sz w:val="20"/>
        </w:rPr>
        <w:t xml:space="preserve"> </w:t>
      </w:r>
      <w:r>
        <w:rPr>
          <w:rFonts w:ascii="Times New Roman;Times;serif" w:hAnsi="Times New Roman;Times;serif"/>
          <w:b/>
          <w:i/>
          <w:sz w:val="20"/>
        </w:rPr>
        <w:t>operations and properties could be adversely affected in the event of natural disasters, pandemics, or other significant disruptions.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 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 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financial condition, results of operations and cash flows may be adversely impacted. If a hurricane, fire,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Acts of violence, terrorist attacks or war may affect the markets in which the Company operates and adversely affect the Company’s results of operations and cash flows.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borrowers,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encounter environmental problems which require remediation or the incurrence of significant costs to resolve, which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Under various federal, state and local laws, ordinances and regulations, we may be required to investigate and clean up certain hazardous or toxic substances released on or in properties we own or operate or that we previously owned or operated, and we may be required to pay other costs relating to hazardous or toxic substances. Any such liability may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imposed without regard to whether the Company’s management had knowledge, were notified or were otherwise aware of the origination of the environmental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 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we are subject to any material costs or liabilities associated with environmental, our financial condition, results of operations and our cash flows could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certain risks associated with investing in real estate, including potential liabilities under environmental laws and risks of loss from weather conditions, man-made or natural disasters, climate change and terrorism.</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Weather conditions and man-made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or preferred stock. In addition, there is a risk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that one or more of our property insurers may not be able to fulfill their obligations with respect to claims payments due to a deterioration in its financial condition.</w:t>
      </w:r>
    </w:p>
    <w:p>
      <w:pPr>
        <w:pStyle w:val="TextBody"/>
        <w:bidi w:val="0"/>
        <w:spacing w:lineRule="auto" w:line="280"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w:t>
      </w:r>
      <w:r>
        <w:rPr>
          <w:rFonts w:ascii="Times New Roman;Times;serif" w:hAnsi="Times New Roman;Times;serif"/>
          <w:sz w:val="20"/>
        </w:rPr>
        <w:t xml:space="preserve"> </w:t>
      </w:r>
      <w:r>
        <w:rPr>
          <w:rFonts w:ascii="Times New Roman;Times;serif" w:hAnsi="Times New Roman;Times;serif"/>
          <w:b/>
          <w:i/>
          <w:sz w:val="20"/>
        </w:rPr>
        <w:t xml:space="preserve">operations and financial condition may be adversely affected by climate change, including possible changes in weather patterns, weather-related events, government policy, laws, regulations, and economic conditions.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land-use practices. The promulgation of policies, laws or regulations relating to climate change by governmental authorities in the U.S. and the markets in which the Company owns real estate may require the Company to invest additional capital in our income properties. In addition, the impact of climate change on businesses to whom the Company seeks to lease its income properties is not reasonably 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 adversely impact the Company’s ability to lease its income properties, which would adversely impact the Company’s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Organization and Structure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Certain provisions of Maryland law could inhibit changes in control of our company.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securities with the opportunity to  realize a premium over the then-prevailing market price of our securities.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securities or that our stockholders otherwise believe to be in their best interest.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charter contains stock ownership limits, which may delay, defer or prevent a change of control.</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w:t>
      </w:r>
      <w:r>
        <w:rPr>
          <w:rFonts w:ascii="Times New Roman;Times;serif" w:hAnsi="Times New Roman;Times;serif"/>
          <w:i/>
          <w:sz w:val="20"/>
        </w:rPr>
        <w:t>i.e.</w:t>
      </w:r>
      <w:r>
        <w:rPr>
          <w:rFonts w:ascii="Times New Roman;Times;serif" w:hAnsi="Times New Roman;Times;serif"/>
          <w:sz w:val="20"/>
        </w:rPr>
        <w:t xml:space="preserve">, our taxable year ended December 31, 2020).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securities might receive a premium for their shares over the then prevailing market price or which holders might believe to be otherwise in their best interests.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rights and the rights of our stockholders to take action against our directors and executive officers are limited,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which could limit your recourse in the event of actions not in your best interest.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Qualification and Operation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Failure to remain qualified as a REIT, would cause us to be taxed as a regular corporation, which would substantially reduce funds available for distributions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If we fail to qualify as a REIT in any taxable year, we will face serious tax consequences that will substantially reduce the funds available for distributions to our stockholders because:</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not be allowed a deduction for dividends paid to stockholders in computing our taxable income and would be subject to U.S. federal income tax at regular corporate rates;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increased state and local taxes;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entitled to relief under certain U.S. federal income tax laws, we could not re-elect REIT status until the fifth calendar year after the year in which we failed to qualify as a REIT.</w:t>
            </w:r>
          </w:p>
        </w:tc>
      </w:tr>
    </w:tbl>
    <w:p>
      <w:pPr>
        <w:pStyle w:val="TextBody"/>
        <w:bidi w:val="0"/>
        <w:spacing w:lineRule="auto" w:line="300" w:before="0" w:after="0"/>
        <w:ind w:left="85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securities.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Even if we remain qualified as a REIT, we may face other tax liabilities that could reduce our cash flows and negatively impact our results of operations and financial condition.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taxable REIT subsidiaries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securities.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If we failed to distribute our Pre-REIT Conversion Earnings and Profits, we could fail to qualify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 qualify as a REIT, we must not have any non-REIT accumulated earnings and profits, as measured for U.S. federal income tax purposes, at the end of any REIT taxable year. We were treated as a C corporation prior to our first REIT year, which was our taxable year ended December 31, 2020. Thus, we were required to distribute our Pre-REIT Conversion Earnings and Profits by the end of the 2020 taxable year. While we believe that the Special Distribution satisfied the requirements relating to the distribution of our Pre-REIT Conversion Earnings and Profits, the determination of the amount of accumulated earnings and profits attributable to non-REIT years is a complex factual and legal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determination. There are substantial uncertainties relating to the computation of our Pre-REIT Earnings and Profits. For example, information used at the time we completed our analysis may have been less than complete or we may have interpreted the applicable law differently from the IRS.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 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Failure to make required distributions would subject us to U.S. federal corporate income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Complying with REIT requirements may cause us to forego otherwise attractive opportunities or liquidate otherwise attractive investments.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25%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Complying with REIT requirements may limit our ability to hedge our liabilities effectively and may cause us to incur tax liabilities.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 would be subject to tax on gains or expose us to greater risks associated with changes in interest rates than we would otherwise bear. In addition, losses in a TRS generally will not provide any tax benefit, except for being carried forward against future taxable income of such TRS.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ability to provide certain services to our tenants may be limited by the REIT rules or may have to be provided through a TRS.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 prohibited transactions tax may limit our ability to dispose of our properties.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whose sale of properties would be subject to U.S. federal corporate income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may pay taxable dividends in our stock and cash, in which case stockholders may sell shares of our stock to pay tax on such dividends, placing downward pressure on the market price of our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 ability of the Board to revoke our REIT qualification without stockholder approval may cause adverse consequences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pStyle w:val="TextBody"/>
        <w:bidi w:val="0"/>
        <w:spacing w:before="100" w:after="10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There are limits on our ownership of TRSs and our transactions with a TRS may cause us to be subject to a 100% penalty tax on certain income or deductions if those transactions are not conducted on arm’s-length terms.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Overall, no more than 25%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 for the purpose of ensuring compliance with TRS ownership limitations and will structure our transactions with such TRS on terms that we believe are arm’s length to avoid incurring the 100% excise tax described above. There can be no assurance, however, that we will be able to comply with the 25% limitation or to avoid application of the 100% excise tax.</w:t>
      </w:r>
    </w:p>
    <w:p>
      <w:pPr>
        <w:pStyle w:val="TextBody"/>
        <w:bidi w:val="0"/>
        <w:spacing w:before="100" w:after="100"/>
        <w:ind w:left="0" w:right="0" w:firstLine="490"/>
        <w:jc w:val="both"/>
        <w:rPr/>
      </w:pPr>
      <w:r>
        <w:rPr/>
        <w:t>​</w:t>
      </w:r>
    </w:p>
    <w:p>
      <w:pPr>
        <w:pStyle w:val="TextBody"/>
        <w:bidi w:val="0"/>
        <w:spacing w:before="0" w:after="0"/>
        <w:ind w:left="0" w:right="0" w:firstLine="490"/>
        <w:jc w:val="left"/>
        <w:rPr>
          <w:rFonts w:ascii="Times New Roman;Times;serif" w:hAnsi="Times New Roman;Times;serif"/>
          <w:b/>
          <w:i/>
          <w:sz w:val="20"/>
        </w:rPr>
      </w:pPr>
      <w:r>
        <w:rPr>
          <w:rFonts w:ascii="Times New Roman;Times;serif" w:hAnsi="Times New Roman;Times;serif"/>
          <w:b/>
          <w:i/>
          <w:sz w:val="20"/>
        </w:rPr>
        <w:t>If a transaction intended to qualify as a Section 1031 like-kind exchange is later determined to be taxable, or if we are unable to identify and complete the acquisition of suitable replacement property to effect a Section 1031 like-kind exchange, we may face adverse consequences.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we seek to dispose of properties in transactions that are intended to qualify as tax-deferred “like kind exchanges” under Section 1031 of the Code (“Section 1031”). It is possible that the qualification of a transaction as a Section 1031 exchange could be successfully challenged and determined to be currently taxable. It is also possible that we are unable to identify and complete the acquisition of suitable replacement property to effect a Section 1031 exchange. In any such case, our taxable income and earnings and profits would increase. This could increase the dividend income to our stockholders by reducing any return of capital they received. In some circumstances, we may be required to pay additional dividends or, in lieu of that, corporate income tax, possibly including interest and penalties. As a result, we may be required to borrow funds in order to pay additional dividends or taxes, and the payment of such taxes could cause us to have less cash available to distribute to our shareholders. In addition, if a Section 1031 exchange were later determined to be taxable, we may be required to amend our tax returns for the applicable year in question, including any information reports we sent our stockholders. Moreover, it is possible that legislation could be enacted that could modify or repeal the laws with respect to Section 1031 exchanges, which could make it more difficult or not possible for us to dispose of properties on a tax-deferred basis.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If the provisions of Section 1031 were altered substantially or eliminated, our financial position, results of operations and cash flows could be adversely impacted.</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fundamental element of our strategy is investing in income-producing properties, in some instances utilizing the proceeds obtained from the disposition of our income properties in tax deferred like-kind exchanges. As noted above, the use of Section 1031 will generally allow us to avoid the Built-in Gains Tax that may apply during the five-year period following our REIT conversion. If Section 1031, including the deferral of taxes on gains related to the sale of real property such as our income properties, were to be altered substantially or eliminated, we may be limited in our ability to dispose of properties and may be subject to increased income taxes, including the Built-in Gains Tax, which may have a material adverse effect on our results of operations and our cash flows.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You may be restricted from acquiring or transferring certain amounts of our common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stock ownership restrictions for REITs in the Code and the 9.8% share ownership limit in our charter may inhibit market activity in our capital stock and restrict our business combination opportunities.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(i.e., our taxable year ended December 31, 2020). To help insure that we meet these tests, our charter restricts the acquisition and ownership of shares of our capital stock.</w:t>
      </w:r>
    </w:p>
    <w:p>
      <w:pPr>
        <w:pStyle w:val="TextBody"/>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Dividends payable by REITs do not qualify for the reduced tax rates available for some dividends.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and preferred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may be subject to adverse legislative or regulatory tax changes, in each instance with potentially retroactive effect, that could reduce the market price of our securities.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securities.</w:t>
      </w:r>
    </w:p>
    <w:p>
      <w:pPr>
        <w:pStyle w:val="TextBody"/>
        <w:bidi w:val="0"/>
        <w:spacing w:lineRule="auto" w:line="273" w:before="100" w:after="10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Risks Associated with our Common Stock</w:t>
      </w:r>
    </w:p>
    <w:p>
      <w:pPr>
        <w:pStyle w:val="TextBody"/>
        <w:bidi w:val="0"/>
        <w:spacing w:lineRule="auto" w:line="273" w:before="0" w:after="0"/>
        <w:ind w:left="0" w:right="0" w:firstLine="490"/>
        <w:jc w:val="both"/>
        <w:rPr/>
      </w:pPr>
      <w:r>
        <w:rPr/>
        <w:t>​</w:t>
      </w:r>
    </w:p>
    <w:p>
      <w:pPr>
        <w:pStyle w:val="TextBody"/>
        <w:bidi w:val="0"/>
        <w:spacing w:lineRule="auto" w:line="273" w:before="0" w:after="0"/>
        <w:ind w:left="0" w:right="0" w:firstLine="490"/>
        <w:jc w:val="both"/>
        <w:rPr>
          <w:rFonts w:ascii="Times New Roman;Times;serif" w:hAnsi="Times New Roman;Times;serif"/>
          <w:sz w:val="20"/>
        </w:rPr>
      </w:pPr>
      <w:r>
        <w:rPr>
          <w:rFonts w:ascii="Times New Roman;Times;serif" w:hAnsi="Times New Roman;Times;serif"/>
          <w:b/>
          <w:i/>
          <w:sz w:val="20"/>
        </w:rPr>
        <w:t>The Company may from time to time have stockholders that beneficially own more than 5% of the Company’s outstanding common stock and</w:t>
      </w:r>
      <w:r>
        <w:rPr>
          <w:rFonts w:ascii="Times New Roman;Times;serif" w:hAnsi="Times New Roman;Times;serif"/>
          <w:sz w:val="20"/>
        </w:rPr>
        <w:t xml:space="preserve"> </w:t>
      </w:r>
      <w:r>
        <w:rPr>
          <w:rFonts w:ascii="Times New Roman;Times;serif" w:hAnsi="Times New Roman;Times;serif"/>
          <w:b/>
          <w:i/>
          <w:sz w:val="20"/>
        </w:rPr>
        <w:t xml:space="preserve">exercise the related voting rights of those shares. Actions by these stockholders, including trading activity, could have a material adverse impact on the trading price of our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stockholders may from time to time beneficially own more than 5% of the outstanding common stock of the Company.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 </w:t>
      </w:r>
    </w:p>
    <w:p>
      <w:pPr>
        <w:pStyle w:val="TextBody"/>
        <w:bidi w:val="0"/>
        <w:spacing w:before="100" w:after="10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Other Operational Risks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Our</w:t>
      </w:r>
      <w:r>
        <w:rPr>
          <w:rFonts w:ascii="Times New Roman;Times;serif" w:hAnsi="Times New Roman;Times;serif"/>
          <w:sz w:val="20"/>
        </w:rPr>
        <w:t xml:space="preserve"> </w:t>
      </w:r>
      <w:r>
        <w:rPr>
          <w:rFonts w:ascii="Times New Roman;Times;serif" w:hAnsi="Times New Roman;Times;serif"/>
          <w:b/>
          <w:i/>
          <w:sz w:val="20"/>
        </w:rPr>
        <w:t>operations could be negatively impacted by the loss of key management personnel</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believe our future success depends, to a significant extent, on the efforts of each member of the Company’s senior management and our ability to attract and retain key personnel. The loss of, or our inability to replace, any member of senior management could adversely affect our operations and our ability to execute our business strategies and thereby our financial condition,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Uninsured</w:t>
      </w:r>
      <w:r>
        <w:rPr>
          <w:rFonts w:ascii="Times New Roman;Times;serif" w:hAnsi="Times New Roman;Times;serif"/>
          <w:sz w:val="20"/>
        </w:rPr>
        <w:t xml:space="preserve"> </w:t>
      </w:r>
      <w:r>
        <w:rPr>
          <w:rFonts w:ascii="Times New Roman;Times;serif" w:hAnsi="Times New Roman;Times;serif"/>
          <w:b/>
          <w:i/>
          <w:sz w:val="20"/>
        </w:rPr>
        <w:t>losses may adversely affect the Company’s financial condition and results of operations.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income-producing properties are generally covered by comprehensive liability, fire, and extended insurance coverage, typically paid by the tenant under the triple-net and double-net lease structure. The Company believes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Property insurance costs may continue to increase, and in some cases insurance may not be available.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In the past few years, the costs of property insurance have increased significantly, and these increased costs have had an adverse effect on us. In addition, in some instances, property insurance may be unavailable altogether. Increased insurance costs or the unavailability of some insurance coverages altogether have adversely affected our ability to profitably operate and dispose of our income properties, as well as the ability of the owners of the properties that secure our commercial loans and other investments to profitably operate and dispose of those properties. Market conditions may also limit the scope of insurance or coverage available to us or the owners of the properties that secure our commercial loans and other investments on economic terms. Any uninsured loss with respect to a property relating to one of our investments could result in the corresponding non-performance of or loss on our investment related to such property. See “—Other Operational Risks—Uninsured losses may adversely affect the Company’s financial condition and results of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We are highly dependent on information systems and certain third-party technology service providers, and systems failures not related to cyber-attacks or similar external attacks could significantly disrupt our business, which may, in turn, negatively</w:t>
      </w:r>
      <w:r>
        <w:rPr>
          <w:rFonts w:ascii="Times New Roman;Times;serif" w:hAnsi="Times New Roman;Times;serif"/>
          <w:sz w:val="20"/>
        </w:rPr>
        <w:t xml:space="preserve"> </w:t>
      </w:r>
      <w:r>
        <w:rPr>
          <w:rFonts w:ascii="Times New Roman;Times;serif" w:hAnsi="Times New Roman;Times;serif"/>
          <w:b/>
          <w:i/>
          <w:sz w:val="20"/>
        </w:rPr>
        <w:t>affect the market price of our common stock and preferred stock and adversely impact our results of operations and cash flows.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managed by a third party and as such we also face the risk of operational failure, termination, or capacity constraints by  this third party.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required to make a number of judgments in applying accounting policies, and different estimates and assumptions could result in changes to our financial condition and results of operations.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Changes in accounting rules will affect our financial reporting.</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FASB and the SEC, who create and interpret appropriate accounting standards, may change the financial accounting and reporting standards or their interpretation and application of these standards that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For additional information regarding new accounting standards, refer to Note 2, “Summary of Significant Accounting Policies” in the notes to the consolidated financial statements in Item 8. under the heading "Recently Issued Accounting Standards.”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Under the Americans with Disabilities Act of 1990, all public accommodations and commercial facilities must meet certain federal requirements related</w:t>
      </w:r>
      <w:r>
        <w:rPr>
          <w:rFonts w:ascii="Times New Roman;Times;serif" w:hAnsi="Times New Roman;Times;serif"/>
          <w:sz w:val="20"/>
        </w:rPr>
        <w:t xml:space="preserve"> </w:t>
      </w:r>
      <w:r>
        <w:rPr>
          <w:rFonts w:ascii="Times New Roman;Times;serif" w:hAnsi="Times New Roman;Times;serif"/>
          <w:b/>
          <w:i/>
          <w:sz w:val="20"/>
        </w:rPr>
        <w:t>to access and use by disabled persons, compliance with which may be costly.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cannot predict the unintended consequences and market distortions that may stem from far-ranging governmental intervention in the economic and financial system or from financial reform legislation.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laws and regulations governing our operations, as well as their interpretation, may change from time to time, and new laws and regulations may be enacted. Accordingly, any change in these laws or regulations, changes in their interpretation, or newly enacted laws or regulations and any failure by us to comply with these laws or regulations, could negatively impact our business, results of operations and financial condition, impose additional costs on us or otherwise adversely affect our business. </w:t>
      </w:r>
    </w:p>
    <w:p>
      <w:pPr>
        <w:pStyle w:val="TextBody"/>
        <w:bidi w:val="0"/>
        <w:spacing w:before="100" w:after="100"/>
        <w:ind w:left="0" w:right="0" w:firstLine="49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U.S. government, the U.S. Federal Reserve, the U.S. Treasury, the SEC and other governmental and regulatory bodies have taken or are taking various actions involving intervention in the economic and financial system and regulatory reform of the oversight of financial markets. In 2010, former President Obama signed into law the Dodd- Frank Wall Street Reform and Consumer Protection Act (the "Dodd-Frank Act"), which has changed the regulation of financial institutions and the financial services industry. The current regulatory environment may be impacted by recent and potential future legislative developments, such as amendments to key provisions of the Dodd-Frank Act. </w:t>
      </w:r>
    </w:p>
    <w:p>
      <w:pPr>
        <w:pStyle w:val="TextBody"/>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cannot predict the ultimate content, timing, or effect of future legislative and regulatory actions, nor is it possible at this time to estimate the impact of any such actions which could have a dramatic impact on our business, results of operations and financial condition.</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 failure to maintain effective internal control over financial reporting could have a material adverse effect on</w:t>
      </w:r>
      <w:r>
        <w:rPr>
          <w:rFonts w:ascii="Times New Roman;Times;serif" w:hAnsi="Times New Roman;Times;serif"/>
          <w:sz w:val="20"/>
        </w:rPr>
        <w:t xml:space="preserve"> </w:t>
      </w:r>
      <w:r>
        <w:rPr>
          <w:rFonts w:ascii="Times New Roman;Times;serif" w:hAnsi="Times New Roman;Times;serif"/>
          <w:b/>
          <w:i/>
          <w:sz w:val="20"/>
        </w:rPr>
        <w:t xml:space="preserve">its business, operating results, and price of our common stock and preferred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 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 </w:t>
      </w:r>
    </w:p>
    <w:p>
      <w:pPr>
        <w:pStyle w:val="TextBody"/>
        <w:bidi w:val="0"/>
        <w:spacing w:before="24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Section 404 of the Sarbanes-Oxley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pStyle w:val="TextBody"/>
        <w:bidi w:val="0"/>
        <w:spacing w:before="24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We are subject to substantial regulation and numerous contractual obligations and internal policies, and failure to comply with these provisions could have a material adverse effect on our business, financial condition and results of operations.</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 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pStyle w:val="TextBody"/>
        <w:bidi w:val="0"/>
        <w:spacing w:before="0" w:after="0"/>
        <w:ind w:left="0" w:right="0" w:hanging="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Employee misconduct could harm us by subjecting us to significant legal liability, reputational harm and loss of business.</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There is a risk that our employees could engage in misconduct that adversely affects our business. We are subject to a number of obligations and standards arising from our business and our authority over PINE or any other ventures we may manage from time to time. The violation of these obligations and standards by any of our employees may adversely affect PINE or the ventures we manage from time to time and us. Our business often requires that we deal with confidential matters of great significance to PINE and the ventures we manage from time to time. If our employees improperly use or disclose confidential information, we and PINE or the ventures we manage from time to time could suffer serious harm to our and their reputations,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from time to time to terminate their agreements with us for cause and without paying a termination fee, which could materially adversely affect our business, results of operations and financial condition.</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 ability to pay dividends in the future is subject to many factors.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consistently paid a dividend since 1976. Payment of the Company’s dividend depends upon the Company’s financial condition, results of operations, and cash flows.  The Company’s ability to continue to pay dividends may be adversely impacted if any of the events or conditions associated with the risks described in this section were to occur</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General Risk Factors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Cybersecurity</w:t>
      </w:r>
      <w:r>
        <w:rPr>
          <w:rFonts w:ascii="Times New Roman;Times;serif" w:hAnsi="Times New Roman;Times;serif"/>
          <w:sz w:val="20"/>
        </w:rPr>
        <w:t xml:space="preserve"> </w:t>
      </w:r>
      <w:r>
        <w:rPr>
          <w:rFonts w:ascii="Times New Roman;Times;serif" w:hAnsi="Times New Roman;Times;serif"/>
          <w:b/>
          <w:i/>
          <w:sz w:val="20"/>
        </w:rPr>
        <w:t xml:space="preserve">risks and cyber incidents could adversely affect the Company’s business and disrupt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New technologies also continue to develop, including tools that harness generative artificial intelligence and other machine learning techniques (collectively, “AI”). AI is developing at a rapid pace and becoming more accessible. As a result, the use of such new technologies by us or our service providers or counterparties can present additional known and unknown risks, including, among others, the risk that confidential information may be stolen, misappropriated or disclosed and the risk that we, our service providers and/or our counterparties may rely on incorrect, unclear or biased outputs generated by such technologies, any of which could have an adverse impact on us and our business. See “—Artificial intelligence and other machine learning techniques could increase competitive, operational, legal and regulatory risks to our business in ways that we cannot predict.”</w:t>
      </w:r>
    </w:p>
    <w:p>
      <w:pPr>
        <w:pStyle w:val="TextBody"/>
        <w:bidi w:val="0"/>
        <w:spacing w:before="0" w:after="0"/>
        <w:ind w:left="0" w:right="0" w:firstLine="490"/>
        <w:jc w:val="left"/>
        <w:rPr/>
      </w:pPr>
      <w:r>
        <w:rPr/>
        <w:t>​</w:t>
      </w:r>
    </w:p>
    <w:p>
      <w:pPr>
        <w:pStyle w:val="TextBody"/>
        <w:bidi w:val="0"/>
        <w:spacing w:before="0" w:after="0"/>
        <w:ind w:left="0" w:right="0" w:firstLine="490"/>
        <w:jc w:val="left"/>
        <w:rPr>
          <w:rFonts w:ascii="Times New Roman;Times;serif" w:hAnsi="Times New Roman;Times;serif"/>
          <w:b/>
          <w:i/>
          <w:sz w:val="20"/>
        </w:rPr>
      </w:pPr>
      <w:r>
        <w:rPr>
          <w:rFonts w:ascii="Times New Roman;Times;serif" w:hAnsi="Times New Roman;Times;serif"/>
          <w:b/>
          <w:i/>
          <w:sz w:val="20"/>
        </w:rPr>
        <w:t>Artificial intelligence and other machine learning techniques could increase competitive, operational, legal and regulatory risks to our business in ways that we cannot predict.</w:t>
      </w:r>
    </w:p>
    <w:p>
      <w:pPr>
        <w:pStyle w:val="TextBody"/>
        <w:bidi w:val="0"/>
        <w:spacing w:before="100" w:after="10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use of AI by us and others, and the overall adoption of AI throughout society, may exacerbate or create new and unpredictable competitive, operational, legal and regulatory risks to our business.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 investment strategies and operational processes. Some of our competitors may be more successful than us in the development and implementation of new technologies, including services and platforms based on AI, to improve their operations. If we are unable to adequately advance our capabilities in these areas, or do so at a slower pace than others in our industry, we may be at a competitive disadvantage.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the data we, or third parties whose services we rely on, use in connection with the possible development or deployment of AI is incomplete, inadequate or biased in some way, the performance of our business could suffer. In addition, recent technological advances in AI both present opportunities and pose risks to us. Data in technology that uses AI may contain a degree of inaccuracy and error, which could result in flawed algorithms in various models used in our business.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the AI’s work product.</w:t>
      </w:r>
    </w:p>
    <w:p>
      <w:pPr>
        <w:pStyle w:val="TextBody"/>
        <w:bidi w:val="0"/>
        <w:spacing w:before="100" w:after="100"/>
        <w:ind w:left="0" w:right="0" w:firstLine="72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is also a risk that AI may be misused or misappropriated by third parties we engage. For example, a user may input confidential information, including material non-public information or personally identifiable information, into AI applications, resulting in the information becoming a part of a dataset that is accessible by third-party technology applications and users, including our competitors. Further, we may not be able to control how third-party AI that we choose to use is developed or maintained, or how data we input is used or disclosed. The misuse or misappropriation of our data could have an adverse impact on our reputation and could subject us to legal and regulatory investigations or actions or create competitive risk.</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“big data,” diligence of data sets and oversight of data vendors. Our ability to use data to gain insights into and manage our business may be limited in the future by regulatory scrutiny and legal developments. </w:t>
      </w:r>
    </w:p>
    <w:p>
      <w:pPr>
        <w:pStyle w:val="TextBody"/>
        <w:bidi w:val="0"/>
        <w:spacing w:lineRule="auto" w:line="273" w:before="280" w:after="0"/>
        <w:ind w:left="0" w:right="0" w:firstLine="490"/>
        <w:jc w:val="both"/>
        <w:rPr>
          <w:rFonts w:ascii="Times New Roman;Times;serif" w:hAnsi="Times New Roman;Times;serif"/>
          <w:sz w:val="20"/>
        </w:rPr>
      </w:pPr>
      <w:r>
        <w:rPr>
          <w:rFonts w:ascii="Times New Roman;Times;serif" w:hAnsi="Times New Roman;Times;serif"/>
          <w:b/>
          <w:i/>
          <w:sz w:val="20"/>
        </w:rPr>
        <w:t>The market value of the Company’s common stock and preferred stock is subject to various factors that may cause significant fluctuations</w:t>
      </w:r>
      <w:r>
        <w:rPr>
          <w:rFonts w:ascii="Times New Roman;Times;serif" w:hAnsi="Times New Roman;Times;serif"/>
          <w:sz w:val="20"/>
        </w:rPr>
        <w:t xml:space="preserve"> </w:t>
      </w:r>
      <w:r>
        <w:rPr>
          <w:rFonts w:ascii="Times New Roman;Times;serif" w:hAnsi="Times New Roman;Times;serif"/>
          <w:b/>
          <w:i/>
          <w:sz w:val="20"/>
        </w:rPr>
        <w:t xml:space="preserve">or volatility.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with other publicly-traded securities, the market price of the Company’s common stock and preferred stock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 </w:t>
      </w:r>
    </w:p>
    <w:p>
      <w:pPr>
        <w:pStyle w:val="TextBody"/>
        <w:bidi w:val="0"/>
        <w:spacing w:before="100" w:after="100"/>
        <w:ind w:left="0" w:right="0" w:firstLine="490"/>
        <w:jc w:val="both"/>
        <w:rPr/>
      </w:pPr>
      <w:r>
        <w:rPr/>
        <w:t>​</w:t>
      </w:r>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and financial market conditions including a weak economic environment; </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and trend of interest rates; </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ability to access the capital markets to raise additional debt or equity capital; </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Company’s cash flows or results of operations; </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condition and performance; </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perception of the Company compared to other real estate companies; </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perception of the real estate sector compared to other investment sectors;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average daily trading and the amount of the Company’s common stock and preferred stock available to be traded.</w:t>
            </w:r>
          </w:p>
        </w:tc>
      </w:tr>
    </w:tbl>
    <w:p>
      <w:pPr>
        <w:pStyle w:val="TextBody"/>
        <w:bidi w:val="0"/>
        <w:spacing w:before="100" w:after="100"/>
        <w:ind w:left="490" w:right="0" w:hanging="0"/>
        <w:jc w:val="both"/>
        <w:rPr/>
      </w:pPr>
      <w:r>
        <w:rPr/>
        <w:t>​</w:t>
      </w:r>
    </w:p>
    <w:p>
      <w:pPr>
        <w:pStyle w:val="TextBody"/>
        <w:bidi w:val="0"/>
        <w:spacing w:before="280" w:after="0"/>
        <w:ind w:left="0" w:right="0" w:firstLine="360"/>
        <w:jc w:val="left"/>
        <w:rPr>
          <w:rFonts w:ascii="Times New Roman;Times;serif" w:hAnsi="Times New Roman;Times;serif"/>
          <w:b/>
          <w:i/>
          <w:sz w:val="20"/>
        </w:rPr>
      </w:pPr>
      <w:r>
        <w:rPr>
          <w:rFonts w:ascii="Times New Roman;Times;serif" w:hAnsi="Times New Roman;Times;serif"/>
          <w:b/>
          <w:i/>
          <w:sz w:val="20"/>
        </w:rPr>
        <w:t>Future sales of our common stock or other securities convertible into our common stock could cause the market value of our common stock to decline and could result in dilution of your shares.</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Our Board is authorized to increase the total number of shares of stock that we are authorized to issue and without stockholder approval, to cause us to issue additional shares of our stock or to raise capital through the issuance of preferred stock, options, warrants and other rights on terms and for consideration as our Board in its sole discretion may determine. Sales of substantial amounts of our common stock will dilute the ownership of our stockholders and could cause the market price of our common stock to decrease significantly. We cannot predict the effect, if any, of future sales of our common stock, or the availability of our common stock for future sales, on the value of our common stock. Sales of substantial amounts of our common stock, or the perception that such sales could occur, may adversely affect the market price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Significant legal proceedings may adversely affect our results of operations or financial condition.</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An epidemic or pandemic,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An epidemic or pandemic could have a material and adverse effect on or cause disruption to our business or financial condition, results of operations, cash flows and the market value and trading price of our securities due to, among other factors:</w:t>
      </w:r>
    </w:p>
    <w:p>
      <w:pPr>
        <w:pStyle w:val="TextBody"/>
        <w:bidi w:val="0"/>
        <w:spacing w:before="100" w:after="100"/>
        <w:ind w:left="0" w:right="0" w:hanging="0"/>
        <w:jc w:val="both"/>
        <w:rPr>
          <w:color w:val="212529"/>
        </w:rPr>
      </w:pPr>
      <w:r>
        <w:rPr>
          <w:color w:val="212529"/>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 xml:space="preserve">A complete or partial closure of, or other operational issues with, our portfolio as a result of government or tenant </w:t>
            </w:r>
            <w:r>
              <w:rPr>
                <w:rFonts w:ascii="Times New Roman;Times;serif" w:hAnsi="Times New Roman;Times;serif"/>
                <w:b w:val="false"/>
                <w:i w:val="false"/>
                <w:caps w:val="false"/>
                <w:smallCaps w:val="false"/>
                <w:sz w:val="20"/>
              </w:rPr>
              <w:t>action</w:t>
            </w:r>
            <w:r>
              <w:rPr>
                <w:rFonts w:ascii="Times New Roman;Times;serif" w:hAnsi="Times New Roman;Times;serif"/>
                <w:b w:val="false"/>
                <w:i w:val="false"/>
                <w:caps w:val="false"/>
                <w:smallCaps w:val="false"/>
                <w:color w:val="212529"/>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 xml:space="preserve">Declines in or instability of the economy or financial markets may result in a recession or negatively impact consumer </w:t>
            </w:r>
            <w:r>
              <w:rPr>
                <w:rFonts w:ascii="Times New Roman;Times;serif" w:hAnsi="Times New Roman;Times;serif"/>
                <w:b w:val="false"/>
                <w:i w:val="false"/>
                <w:caps w:val="false"/>
                <w:smallCaps w:val="false"/>
                <w:sz w:val="20"/>
              </w:rPr>
              <w:t>discretionary</w:t>
            </w:r>
            <w:r>
              <w:rPr>
                <w:caps w:val="false"/>
                <w:smallCaps w:val="false"/>
                <w:color w:val="212529"/>
              </w:rPr>
              <w:t xml:space="preserve"> </w:t>
            </w:r>
            <w:r>
              <w:rPr>
                <w:rFonts w:ascii="Times New Roman;Times;serif" w:hAnsi="Times New Roman;Times;serif"/>
                <w:b w:val="false"/>
                <w:i w:val="false"/>
                <w:caps w:val="false"/>
                <w:smallCaps w:val="false"/>
                <w:color w:val="212529"/>
                <w:sz w:val="20"/>
              </w:rPr>
              <w:t>spending, which could adversely affect retailers and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general decline in business activity and demand for real estate transactions would adversely affect our ability to successfully execute our investment strategies or expand our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significant reduction in our cash flows could impact our ability to continue paying cash dividends to our stockholders at expected levels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financial impact could negatively affect our future compliance with financial and other covenants of our debt instruments, and the failure to comply with such covenants could result in a default that accelerates the payment of such debt;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potential negative impact on the health of the Company’s personnel, particularly if a significant number are impacted, or the impact of government actions or restrictions, including stay-at-home orders, restricting access to the Company’s headquarters, could result in a deterioration in our ability to ensure business continuity during a disruption.</w:t>
            </w:r>
          </w:p>
        </w:tc>
      </w:tr>
    </w:tbl>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risks related to corporate social responsibility.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Evolving investor-related sentiment related to ESG issues could adversely affect our business.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So-called “anti-ESG” sentiment has also gained momentum across the U.S., with several states having enacted or proposed “anti-ESG” policies, legislation, or issued related legal opinions. For example, boycott bills in certain states target financial institutions that are perceived as “boycotting” or “discriminating against” companies in certain industries (e.g., energy and mining) and prohibit state entities from doing business with such institutions and/or investing the state’s assets through such institutions. In addition, certain states now require that relevant state entities or managers/administrators of state investments make investments based solely on pecuniary factors without consideration of ESG factors. If investors subject to such legislation viewed us, our policies, or our practices, as being in contradiction of such “anti-ESG” policies, legislation or legal opinions, such investors may not invest in us, which could negatively affect our financial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0" w:right="0" w:hanging="490"/>
        <w:jc w:val="left"/>
        <w:rPr>
          <w:rFonts w:ascii="Times New Roman;Times;serif" w:hAnsi="Times New Roman;Times;serif"/>
          <w:sz w:val="10"/>
        </w:rPr>
      </w:pPr>
      <w:bookmarkStart w:id="34" w:name="ITEM1BUNRESOLVEDSTAFFCOMMENTS_141720"/>
      <w:bookmarkStart w:id="35" w:name="_80690a7f_7eed_4b7f_9196_f90c7eaf41a3"/>
      <w:bookmarkEnd w:id="34"/>
      <w:bookmarkEnd w:id="35"/>
      <w:r>
        <w:rPr>
          <w:rFonts w:ascii="Times New Roman;Times;serif" w:hAnsi="Times New Roman;Times;serif"/>
          <w:b/>
          <w:sz w:val="20"/>
        </w:rPr>
        <w:t>ITEM 1B.          </w:t>
      </w:r>
      <w:r>
        <w:rPr>
          <w:rFonts w:ascii="Times New Roman;Times;serif" w:hAnsi="Times New Roman;Times;serif"/>
          <w:sz w:val="10"/>
        </w:rPr>
        <w:t>  </w:t>
      </w:r>
      <w:r>
        <w:rPr>
          <w:rFonts w:ascii="Times New Roman;Times;serif" w:hAnsi="Times New Roman;Times;serif"/>
          <w:b/>
          <w:sz w:val="20"/>
        </w:rPr>
        <w:t xml:space="preserve">UNRESOLVED STAFF COMMENTS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100" w:after="100"/>
        <w:ind w:left="0" w:right="0" w:firstLine="490"/>
        <w:jc w:val="both"/>
        <w:rPr/>
      </w:pPr>
      <w:r>
        <w:rPr/>
        <w:t>​</w:t>
      </w:r>
    </w:p>
    <w:p>
      <w:pPr>
        <w:pStyle w:val="TextBody"/>
        <w:pBdr/>
        <w:bidi w:val="0"/>
        <w:spacing w:before="0" w:after="120"/>
        <w:ind w:left="0" w:right="0" w:hanging="490"/>
        <w:jc w:val="left"/>
        <w:rPr>
          <w:rFonts w:ascii="Times New Roman;Times;serif" w:hAnsi="Times New Roman;Times;serif"/>
          <w:sz w:val="10"/>
        </w:rPr>
      </w:pPr>
      <w:bookmarkStart w:id="36" w:name="Item_1C_Cybersecurity"/>
      <w:bookmarkStart w:id="37" w:name="_c7fb7af9_4a74_440e_9c48_cd3ca04ab7b8"/>
      <w:bookmarkEnd w:id="36"/>
      <w:bookmarkEnd w:id="37"/>
      <w:r>
        <w:rPr>
          <w:rFonts w:ascii="Times New Roman;Times;serif" w:hAnsi="Times New Roman;Times;serif"/>
          <w:b/>
          <w:sz w:val="20"/>
        </w:rPr>
        <w:t>ITEM 1C.          </w:t>
      </w:r>
      <w:r>
        <w:rPr>
          <w:rFonts w:ascii="Times New Roman;Times;serif" w:hAnsi="Times New Roman;Times;serif"/>
          <w:sz w:val="10"/>
        </w:rPr>
        <w:t>  </w:t>
      </w:r>
      <w:r>
        <w:rPr>
          <w:rFonts w:ascii="Times New Roman;Times;serif" w:hAnsi="Times New Roman;Times;serif"/>
          <w:b/>
          <w:sz w:val="20"/>
        </w:rPr>
        <w:t xml:space="preserve">CYBERSECURITY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recognizes the critical importance of maintaining the trust and confidence of our tenants, borrowers and business partners. The Board plays an active role in overseeing management of our risks, and cybersecurity represents an important component of the Company’s overall approach to risk management and oversight. The Company’s cybersecurity processes and practices are integrated into our risk management and oversight program.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utilize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cybersecurity program is focused on the following key areas: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As discussed in more detail under “Item 1C. Cybersecurity—Governance,” the Board’s oversight of cybersecurity risk management is supported by the Audit Committee, which regularly interacts with the Company’s management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Safeguards: Together with the MSP, we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Recovery Planning: Together with the MSP, we have established a written information security incident response plan that addresses the response to a cybersecurity incident, which is tested and evaluated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Together with the MSP, we maintain a comprehensive, risk-based approach to identifying and overseeing cybersecurity risks presented by third parties, including vendors, service providers and other external users of our systems, as well as the systems of third parties that could adversely impact the Company’s business in the event of a cybersecurity incident affecting those third-party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and Awareness: As directed by the Company, the MSP provides regular training for Company personnel regarding cybersecurity threats as a means to equip such personnel with effective tools to address cybersecurity threats, and to communicate evolving information security policies, standards, processes and practices.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Together with the MSP, we engage in the periodic assessment and testing of our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MSP regularly assesses our cybersecurity measures, including information security maturity, and regularly reviews our information security control environment and operating effectiveness. The results of such assessments, audits and reviews are reported to the Audit Committee and the Board, and we will adjust our cybersecurity policies, standards, processes and practices as necessary based on the information provided by these assessments, audits and reviews.</w:t>
      </w:r>
    </w:p>
    <w:p>
      <w:pPr>
        <w:pStyle w:val="TextBody"/>
        <w:bidi w:val="0"/>
        <w:spacing w:before="0" w:after="0"/>
        <w:ind w:left="0" w:right="0" w:firstLine="36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in coordination with the Audit Committee, oversees the Company’s cybersecurity risk management process. The Audit Committee has adopted a charter that provides that the Audit Committee must review and discuss with the Company’s management team the Company’s privacy and cybersecurity risk exposures, including:</w:t>
      </w:r>
    </w:p>
    <w:p>
      <w:pPr>
        <w:pStyle w:val="TextBody"/>
        <w:bidi w:val="0"/>
        <w:spacing w:before="0" w:after="0"/>
        <w:ind w:left="0" w:right="0" w:firstLine="360"/>
        <w:jc w:val="both"/>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those exposures on the Company’s business, financial results, operations and reputation;</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management has taken to monitor and mitigate such exposures;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information governance policies and programs;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major legislative and regulatory developments that could materially impact the Company’s privacy and cybersecurity risk exposure.</w:t>
            </w:r>
            <w:r>
              <w:rPr>
                <w:caps w:val="false"/>
                <w:smallCaps w:val="false"/>
              </w:rPr>
              <w:t xml:space="preserve">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Senior Vice President, Chief Financial Officer and Treasurer, Senior Vice President, General Counsel and Corporate Secretary, and Senior Vice President and Chief Accounting Officer work collaboratively with the MSP to implement a program designed to protect our information systems from cybersecurity threats and to promptly respond to any cybersecurity incidents in accordance with a written information security incident response plan that we have adopted. These members of our management team, together with the MSP, monitor the prevention, detection, mitigation and remediation of cybersecurity threats and incidents and will report such threats and incidents to the Audit Committee when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Senior Vice President, Chief Financial Officer and Treasurer, Senior Vice President, General Counsel and Corporate Secretary, and Senior Vice President and Chief Accounting Officer each hold degrees in their respective fields, and have approximately 20</w:t>
      </w:r>
      <w:r>
        <w:rPr>
          <w:rFonts w:ascii="Times New Roman;Times;serif" w:hAnsi="Times New Roman;Times;serif"/>
          <w:color w:val="FF0000"/>
          <w:sz w:val="20"/>
        </w:rPr>
        <w:t xml:space="preserve"> </w:t>
      </w:r>
      <w:r>
        <w:rPr>
          <w:rFonts w:ascii="Times New Roman;Times;serif" w:hAnsi="Times New Roman;Times;serif"/>
          <w:sz w:val="20"/>
        </w:rPr>
        <w:t>years or more of experience managing risks at the Company and similar companies, including risks arising from cybersecurity threats.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Cybersecurity threats, including as a result of any previous cybersecurity incidents, have not materially affected and are not reasonably likely to affect the Company, including its business strategy, results of operations or financial condition.</w:t>
      </w:r>
    </w:p>
    <w:p>
      <w:pPr>
        <w:pStyle w:val="TextBody"/>
        <w:pBdr/>
        <w:bidi w:val="0"/>
        <w:spacing w:before="0" w:after="120"/>
        <w:ind w:left="0" w:right="0" w:hanging="490"/>
        <w:jc w:val="left"/>
        <w:rPr>
          <w:rFonts w:ascii="Times New Roman;Times;serif" w:hAnsi="Times New Roman;Times;serif"/>
          <w:b/>
          <w:sz w:val="20"/>
        </w:rPr>
      </w:pPr>
      <w:bookmarkStart w:id="38" w:name="ITEM2PROPERTIES_106345"/>
      <w:bookmarkStart w:id="39" w:name="_619d0663_5561_4199_9457_deb9c5aca8f3"/>
      <w:bookmarkEnd w:id="38"/>
      <w:bookmarkEnd w:id="39"/>
      <w:r>
        <w:rPr>
          <w:rFonts w:ascii="Times New Roman;Times;serif" w:hAnsi="Times New Roman;Times;serif"/>
          <w:b/>
          <w:sz w:val="20"/>
        </w:rPr>
        <w:t>ITEM 2.              PROPERTIES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Our principal offices are located at 369 N. New York Avenue, Suite 201, Winter Park, Florida 32789.</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2025, the Company owns the following assets: (i) 2 properties occupied by single-tenants located in Florida and (ii) 19 multi-tenanted properties located in Arizona, Florida, Georgia, North Carolina, Texas, Virginia and New Mexico. Please refer to Item 1. “Business” for a more detailed discussion of our properties.</w:t>
      </w:r>
    </w:p>
    <w:p>
      <w:pPr>
        <w:pStyle w:val="TextBody"/>
        <w:pBdr/>
        <w:bidi w:val="0"/>
        <w:spacing w:before="0" w:after="120"/>
        <w:ind w:left="0" w:right="0" w:hanging="490"/>
        <w:jc w:val="left"/>
        <w:rPr>
          <w:rFonts w:ascii="Times New Roman;Times;serif" w:hAnsi="Times New Roman;Times;serif"/>
          <w:b/>
          <w:sz w:val="20"/>
        </w:rPr>
      </w:pPr>
      <w:bookmarkStart w:id="40" w:name="ITEM3LEGALPROCEEDINGS_671621"/>
      <w:bookmarkStart w:id="41" w:name="_1d1716fd_477e_49bb_91bb_d6471c5c4e34"/>
      <w:bookmarkEnd w:id="40"/>
      <w:bookmarkEnd w:id="41"/>
      <w:r>
        <w:rPr>
          <w:rFonts w:ascii="Times New Roman;Times;serif" w:hAnsi="Times New Roman;Times;serif"/>
          <w:b/>
          <w:sz w:val="20"/>
        </w:rPr>
        <w:t>ITEM 3.              LEGAL PROCEEDINGS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 See Note 22, “Commitments and Contingencies” in the notes to the consolidated financial statements in Item 8 for additional disclosure related to the Company’s legal proceedings. </w:t>
      </w:r>
    </w:p>
    <w:p>
      <w:pPr>
        <w:pStyle w:val="TextBody"/>
        <w:pBdr/>
        <w:bidi w:val="0"/>
        <w:spacing w:before="0" w:after="120"/>
        <w:ind w:left="0" w:right="0" w:hanging="490"/>
        <w:jc w:val="left"/>
        <w:rPr>
          <w:rFonts w:ascii="Times New Roman;Times;serif" w:hAnsi="Times New Roman;Times;serif"/>
          <w:b/>
          <w:sz w:val="20"/>
        </w:rPr>
      </w:pPr>
      <w:bookmarkStart w:id="42" w:name="ITEM4MINESAFETYDISCLOSURES_700159"/>
      <w:bookmarkStart w:id="43" w:name="_a790eb7f_38b3_4f8c_97b8_ef4304cc3791"/>
      <w:bookmarkEnd w:id="42"/>
      <w:bookmarkEnd w:id="43"/>
      <w:r>
        <w:rPr>
          <w:rFonts w:ascii="Times New Roman;Times;serif" w:hAnsi="Times New Roman;Times;serif"/>
          <w:b/>
          <w:sz w:val="20"/>
        </w:rPr>
        <w:t>ITEM 4.              MINE SAFETY DISCLOSURES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40"/>
        <w:ind w:left="0" w:right="0" w:hanging="0"/>
        <w:jc w:val="center"/>
        <w:rPr>
          <w:rFonts w:ascii="Times New Roman;Times;serif" w:hAnsi="Times New Roman;Times;serif"/>
          <w:b/>
          <w:sz w:val="20"/>
        </w:rPr>
      </w:pPr>
      <w:bookmarkStart w:id="44" w:name="PARTII_588345"/>
      <w:bookmarkStart w:id="45" w:name="_a4744be6_2dd9_4c89_8187_96d59ad1daca"/>
      <w:bookmarkEnd w:id="44"/>
      <w:bookmarkEnd w:id="45"/>
      <w:r>
        <w:rPr>
          <w:rFonts w:ascii="Times New Roman;Times;serif" w:hAnsi="Times New Roman;Times;serif"/>
          <w:b/>
          <w:sz w:val="20"/>
        </w:rPr>
        <w:t>PART II</w:t>
      </w:r>
    </w:p>
    <w:p>
      <w:pPr>
        <w:pStyle w:val="TextBody"/>
        <w:pBdr/>
        <w:bidi w:val="0"/>
        <w:spacing w:lineRule="atLeast" w:line="220" w:before="0" w:after="240"/>
        <w:ind w:left="0" w:right="0" w:hanging="490"/>
        <w:jc w:val="both"/>
        <w:rPr>
          <w:rFonts w:ascii="Times New Roman;Times;serif" w:hAnsi="Times New Roman;Times;serif"/>
          <w:b/>
          <w:sz w:val="20"/>
        </w:rPr>
      </w:pPr>
      <w:bookmarkStart w:id="46" w:name="ITEM5MARKETFORREGISTRANTSCOMMONEQUITY_60"/>
      <w:bookmarkEnd w:id="46"/>
      <w:r>
        <w:rPr>
          <w:rFonts w:ascii="Times New Roman;Times;serif" w:hAnsi="Times New Roman;Times;serif"/>
          <w:b/>
          <w:sz w:val="20"/>
        </w:rPr>
        <w:t>ITEM 5.              MARKET FOR REGISTRANT’S COMMON EQUITY, RELATED STOCKHOLDER MATTERS, AND ISSUER REPURCHASES OF EQUITY SECURITIES</w:t>
      </w:r>
    </w:p>
    <w:p>
      <w:pPr>
        <w:pStyle w:val="TextBody"/>
        <w:bidi w:val="0"/>
        <w:spacing w:lineRule="atLeast" w:line="220" w:before="0" w:after="120"/>
        <w:ind w:left="0" w:right="0" w:hanging="0"/>
        <w:jc w:val="center"/>
        <w:rPr>
          <w:rFonts w:ascii="Times New Roman;Times;serif" w:hAnsi="Times New Roman;Times;serif"/>
          <w:b/>
          <w:sz w:val="20"/>
        </w:rPr>
      </w:pPr>
      <w:r>
        <w:rPr>
          <w:rFonts w:ascii="Times New Roman;Times;serif" w:hAnsi="Times New Roman;Times;serif"/>
          <w:b/>
          <w:sz w:val="20"/>
        </w:rPr>
        <w:t>COMMON STOCK PRICES AND DIVIDENDS</w:t>
      </w:r>
    </w:p>
    <w:p>
      <w:pPr>
        <w:pStyle w:val="TextBody"/>
        <w:bidi w:val="0"/>
        <w:spacing w:lineRule="atLeast" w:line="220" w:before="0" w:after="240"/>
        <w:ind w:left="0" w:right="0" w:firstLine="490"/>
        <w:jc w:val="both"/>
        <w:rPr>
          <w:rFonts w:ascii="Times New Roman;Times;serif" w:hAnsi="Times New Roman;Times;serif"/>
          <w:sz w:val="20"/>
        </w:rPr>
      </w:pPr>
      <w:r>
        <w:rPr>
          <w:rFonts w:ascii="Times New Roman;Times;serif" w:hAnsi="Times New Roman;Times;serif"/>
          <w:sz w:val="20"/>
        </w:rPr>
        <w:t>The Company’s common stock trades on the NYSE under the symbol “CTO”. Aggregate annual dividends per common share, which were paid quarterly, totaled $1.52 during each of the years ended December 31, 2025 and 2024.</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level of future dividends will be subject to an ongoing review of the Company’s operating results and financial position, </w:t>
      </w:r>
      <w:r>
        <w:rPr>
          <w:rFonts w:ascii="Times New Roman;Times;serif" w:hAnsi="Times New Roman;Times;serif"/>
          <w:sz w:val="20"/>
          <w:shd w:fill="FFFFFF" w:val="clear"/>
        </w:rPr>
        <w:t>the annual distribution requirements under the REIT provisions of the Code</w:t>
      </w:r>
      <w:r>
        <w:rPr>
          <w:rFonts w:ascii="Times New Roman;Times;serif" w:hAnsi="Times New Roman;Times;serif"/>
          <w:sz w:val="20"/>
        </w:rPr>
        <w:t xml:space="preserve"> and, among other factors, the overall economy, with an emphasis on our local real estate markets and our capital needs.</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number of stockholders of record as of February 10, 2026 (without regard to shares held in nominee or street name) was 500. Many of the Company’s shares of common stock are held by brokers and institutions on behalf of stockholders; consequently, the Company is unable to estimate the total number of stockholders represented by these record holders.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firstLine="49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unregistered sales of equity securities during the year ended December 31, 2025 which were not previously reported.</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color w:val="212529"/>
          <w:sz w:val="20"/>
          <w:shd w:fill="FFFFFF" w:val="clear"/>
        </w:rPr>
        <w:t>The following repurchases of shares of the Company’s common stock were made during the three months ended December 31, 2025:</w:t>
      </w:r>
      <w:r>
        <w:rPr>
          <w:rFonts w:ascii="Times New Roman;Times;serif" w:hAnsi="Times New Roman;Times;serif"/>
          <w:sz w:val="20"/>
        </w:rPr>
        <w:t xml:space="preserve"> </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1448"/>
        <w:gridCol w:w="346"/>
        <w:gridCol w:w="1306"/>
        <w:gridCol w:w="346"/>
        <w:gridCol w:w="368"/>
        <w:gridCol w:w="998"/>
        <w:gridCol w:w="346"/>
        <w:gridCol w:w="2629"/>
        <w:gridCol w:w="346"/>
        <w:gridCol w:w="528"/>
        <w:gridCol w:w="1544"/>
      </w:tblGrid>
      <w:tr>
        <w:trPr/>
        <w:tc>
          <w:tcPr>
            <w:tcW w:w="14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829310" cy="175260"/>
                      <wp:effectExtent l="0" t="0" r="0" b="0"/>
                      <wp:wrapNone/>
                      <wp:docPr id="42" name="Frame4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3680" cy="175260"/>
                      <wp:effectExtent l="0" t="0" r="0" b="0"/>
                      <wp:wrapNone/>
                      <wp:docPr id="44" name="Frame4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33730" cy="175260"/>
                      <wp:effectExtent l="0" t="0" r="0" b="0"/>
                      <wp:wrapNone/>
                      <wp:docPr id="45" name="Frame4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69415" cy="175260"/>
                      <wp:effectExtent l="0" t="0" r="0" b="0"/>
                      <wp:wrapNone/>
                      <wp:docPr id="47" name="Frame47"/>
                      <a:graphic xmlns:a="http://schemas.openxmlformats.org/drawingml/2006/main">
                        <a:graphicData uri="http://schemas.microsoft.com/office/word/2010/wordprocessingShape">
                          <wps:wsp>
                            <wps:cNvSpPr txBox="1"/>
                            <wps:spPr>
                              <a:xfrm>
                                <a:off x="0" y="0"/>
                                <a:ext cx="166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35280" cy="175260"/>
                      <wp:effectExtent l="0" t="0" r="0" b="0"/>
                      <wp:wrapNone/>
                      <wp:docPr id="49" name="Frame49"/>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80440" cy="175260"/>
                      <wp:effectExtent l="0" t="0" r="0" b="0"/>
                      <wp:wrapNone/>
                      <wp:docPr id="50" name="Frame50"/>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46" w:type="dxa"/>
            <w:tcBorders/>
            <w:vAlign w:val="center"/>
          </w:tcPr>
          <w:p>
            <w:pPr>
              <w:pStyle w:val="TableContents"/>
              <w:bidi w:val="0"/>
              <w:spacing w:before="0" w:after="0"/>
              <w:ind w:left="0" w:right="0" w:hanging="0"/>
              <w:jc w:val="left"/>
              <w:rPr/>
            </w:pPr>
            <w:r>
              <w:rPr/>
              <w:t>  ​ ​ ​</w:t>
            </w:r>
          </w:p>
        </w:tc>
        <w:tc>
          <w:tcPr>
            <w:tcW w:w="262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Total Number of</w:t>
              <w:br/>
              <w:t>Shares Purchased as a Part of Publicly</w:t>
              <w:br/>
              <w:t>Announced Plans</w:t>
              <w:br/>
              <w:t xml:space="preserve">or Programs </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  ​ ​ ​</w:t>
            </w:r>
          </w:p>
        </w:tc>
        <w:tc>
          <w:tcPr>
            <w:tcW w:w="20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Programs</w:t>
              <w:br/>
              <w:t xml:space="preserve">($000's) </w:t>
            </w:r>
            <w:r>
              <w:rPr>
                <w:rFonts w:ascii="Times New Roman;Times;serif" w:hAnsi="Times New Roman;Times;serif"/>
                <w:b/>
                <w:sz w:val="15"/>
              </w:rPr>
              <w:t>(1)</w:t>
            </w:r>
          </w:p>
        </w:tc>
      </w:tr>
      <w:tr>
        <w:trPr/>
        <w:tc>
          <w:tcPr>
            <w:tcW w:w="1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10/1/2025 - 10/31/2025</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307,563</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w:t>
            </w:r>
          </w:p>
        </w:tc>
        <w:tc>
          <w:tcPr>
            <w:tcW w:w="346" w:type="dxa"/>
            <w:tcBorders/>
            <w:shd w:fill="CCEEFF" w:val="clear"/>
            <w:vAlign w:val="center"/>
          </w:tcPr>
          <w:p>
            <w:pPr>
              <w:pStyle w:val="TableContents"/>
              <w:bidi w:val="0"/>
              <w:spacing w:before="0" w:after="0"/>
              <w:ind w:left="0" w:right="0" w:hanging="0"/>
              <w:jc w:val="left"/>
              <w:rPr/>
            </w:pPr>
            <w:r>
              <w:rPr/>
              <w:t>​</w:t>
            </w:r>
          </w:p>
        </w:tc>
        <w:tc>
          <w:tcPr>
            <w:tcW w:w="26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307,563</w:t>
            </w:r>
          </w:p>
        </w:tc>
        <w:tc>
          <w:tcPr>
            <w:tcW w:w="34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11/1/2025 - 11/30/2025</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12/1/2025 - 12/31/2025</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307,563</w:t>
            </w:r>
          </w:p>
        </w:tc>
        <w:tc>
          <w:tcPr>
            <w:tcW w:w="346" w:type="dxa"/>
            <w:tcBorders/>
            <w:vAlign w:val="center"/>
          </w:tcPr>
          <w:p>
            <w:pPr>
              <w:pStyle w:val="TableContents"/>
              <w:bidi w:val="0"/>
              <w:spacing w:before="0" w:after="0"/>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w:t>
            </w:r>
          </w:p>
        </w:tc>
        <w:tc>
          <w:tcPr>
            <w:tcW w:w="346" w:type="dxa"/>
            <w:tcBorders/>
            <w:vAlign w:val="center"/>
          </w:tcPr>
          <w:p>
            <w:pPr>
              <w:pStyle w:val="TableContents"/>
              <w:bidi w:val="0"/>
              <w:spacing w:before="0" w:after="0"/>
              <w:ind w:left="0" w:right="0" w:hanging="0"/>
              <w:jc w:val="left"/>
              <w:rPr/>
            </w:pPr>
            <w:r>
              <w:rPr/>
              <w:t>​</w:t>
            </w:r>
          </w:p>
        </w:tc>
        <w:tc>
          <w:tcPr>
            <w:tcW w:w="26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307,563</w:t>
            </w:r>
          </w:p>
        </w:tc>
        <w:tc>
          <w:tcPr>
            <w:tcW w:w="34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 September 24, 2025, the Company’s Board of Directors approved a $10.0 million common stock repurchase program. The repurchase program does not have an expiration date.</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1109"/>
        <w:jc w:val="center"/>
        <w:rPr>
          <w:rFonts w:ascii="Times New Roman;Times;serif" w:hAnsi="Times New Roman;Times;serif"/>
          <w:b/>
          <w:sz w:val="20"/>
        </w:rPr>
      </w:pPr>
      <w:r>
        <w:rPr>
          <w:rFonts w:ascii="Times New Roman;Times;serif" w:hAnsi="Times New Roman;Times;serif"/>
          <w:b/>
          <w:sz w:val="20"/>
        </w:rPr>
        <w:t>STOCK PERFORMANCE GRAPH</w:t>
      </w:r>
    </w:p>
    <w:p>
      <w:pPr>
        <w:pStyle w:val="TextBody"/>
        <w:pBdr/>
        <w:bidi w:val="0"/>
        <w:spacing w:before="240" w:after="0"/>
        <w:ind w:left="0" w:right="0" w:hanging="1109"/>
        <w:jc w:val="center"/>
        <w:rPr>
          <w:rFonts w:ascii="Times New Roman;Times;serif" w:hAnsi="Times New Roman;Times;serif"/>
          <w:b/>
          <w:sz w:val="20"/>
        </w:rPr>
      </w:pPr>
      <w:r>
        <w:rPr>
          <w:rFonts w:ascii="Times New Roman;Times;serif" w:hAnsi="Times New Roman;Times;serif"/>
          <w:b/>
          <w:sz w:val="20"/>
        </w:rPr>
        <w:t>COMPARISON OF 5-YEAR CUMULATIVE TOTAL RETURN*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Among CTO Realty Growth, Inc., the Russell 2000 Index,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FTSE Nareit Equity REITs Index, the NYSE Composite Index, and the 2025 and 2024 Peer Group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performance graph shows a comparison of cumulative total stockholder return from a $100 investment in stock of the Company over the five-year period ending December 31, 2025, with the cumulative stockholder return of the following: (i) the Russell 2000 Index; (ii) the NYSE Composite Index; (iii) the FTSE Nareit Equity REITs Index, a real estate industry index provided by Research Data Group; (iv) an index of selected issuers in our Peer Group (composed of Alexander &amp; Baldwin, Inc., Armada Hoffler Properties, Inc., Chatham Lodging Trust, Community Healthcare Trust, Inc., Four Corners Property Trust, Inc., Frontview Reit, Inc., Getty Realty Corp., Inventrust Properties Corp, NETSTREIT Corp., Plymouth Industrial REIT, Inc., Seaport Entertainment Group, Inc., Urban Edge Properties, and Whitestone REIT (the “2025 Peer Group”), and (v) an index of selected issuers in our Peer Group (composed of Armada Hoffler Properties, Inc., Chatham Lodging Trust, City Office REIT Inc., Community Healthcare Trust, Inc., Four Corners Property Trust, Inc., Getty Realty Corp., NETSTREIT Corp., One Liberty Properties Inc., Plymouth Industrial REIT Inc., and Whitestone REIT (the “2024 Peer Group”). </w:t>
      </w:r>
    </w:p>
    <w:p>
      <w:pPr>
        <w:pStyle w:val="TextBody"/>
        <w:bidi w:val="0"/>
        <w:spacing w:lineRule="atLeast" w:line="220" w:before="240" w:after="0"/>
        <w:ind w:left="0" w:right="0" w:firstLine="490"/>
        <w:jc w:val="both"/>
        <w:rPr/>
      </w:pPr>
      <w:r>
        <w:rPr/>
        <w:t>​</w:t>
      </w:r>
    </w:p>
    <w:p>
      <w:pPr>
        <w:pStyle w:val="TextBody"/>
        <w:bidi w:val="0"/>
        <w:spacing w:before="240" w:after="0"/>
        <w:ind w:left="0" w:right="0" w:hanging="0"/>
        <w:jc w:val="center"/>
        <w:rPr/>
      </w:pPr>
      <w:r>
        <w:rPr/>
        <w:drawing>
          <wp:inline distT="0" distB="0" distL="0" distR="0">
            <wp:extent cx="6172200" cy="512889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2"/>
                    <a:stretch>
                      <a:fillRect/>
                    </a:stretch>
                  </pic:blipFill>
                  <pic:spPr bwMode="auto">
                    <a:xfrm>
                      <a:off x="0" y="0"/>
                      <a:ext cx="6172200" cy="512889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left"/>
        <w:rPr>
          <w:rFonts w:ascii="Times New Roman;Times;serif" w:hAnsi="Times New Roman;Times;serif"/>
          <w:b/>
          <w:sz w:val="24"/>
        </w:rPr>
      </w:pPr>
      <w:bookmarkStart w:id="47" w:name="ITEM6SELECTEDFINANCIALDATA_194053"/>
      <w:bookmarkStart w:id="48" w:name="_84d0e993_19d6_4770_a79a_09e6513644e8"/>
      <w:bookmarkEnd w:id="47"/>
      <w:bookmarkEnd w:id="48"/>
      <w:r>
        <w:rPr>
          <w:rFonts w:ascii="Times New Roman;Times;serif" w:hAnsi="Times New Roman;Times;serif"/>
          <w:b/>
          <w:sz w:val="24"/>
        </w:rPr>
        <w:t>ITEM 6.              [Reserved]</w:t>
      </w:r>
    </w:p>
    <w:p>
      <w:pPr>
        <w:pStyle w:val="TextBody"/>
        <w:bidi w:val="0"/>
        <w:spacing w:before="28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49" w:name="ITEM7MANAGEMENTSDISCUSSIONANDANALYSIS_99"/>
      <w:bookmarkStart w:id="50" w:name="_4a809267_810e_4a51_98d2_0ea69bfdb855"/>
      <w:bookmarkEnd w:id="49"/>
      <w:bookmarkEnd w:id="50"/>
      <w:r>
        <w:rPr>
          <w:rFonts w:ascii="Times New Roman;Times;serif" w:hAnsi="Times New Roman;Times;serif"/>
          <w:b/>
          <w:sz w:val="20"/>
        </w:rPr>
        <w:t xml:space="preserve">ITEM 7.              MANAGEMENT’S DISCUSSION AND ANALYSIS OF FINANCIAL CONDITION AND RESULTS OF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i/>
          <w:sz w:val="20"/>
        </w:rPr>
      </w:pPr>
      <w:r>
        <w:rPr>
          <w:rFonts w:ascii="Times New Roman;Times;serif" w:hAnsi="Times New Roman;Times;serif"/>
          <w:i/>
          <w:sz w:val="20"/>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w:t>
      </w:r>
    </w:p>
    <w:p>
      <w:pPr>
        <w:pStyle w:val="TextBody"/>
        <w:pBdr/>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2025, we own and manage, sometimes utilizing third-party property management companies, 21 commercial real estate properties in 7 states in the United States, comprising 5.5 million square feet of gross leasable space. In addition to our income property portfolio, as of December 31, 2025, our business included the following: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the consolidated financial statements in Item 8.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Real Estate Operations: There were no significant transactions within the Company’s real estate operations during the year ended December 31, 2025.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received from PINE are included in investment and other income on the accompanying consolidated statements of operations. </w:t>
      </w:r>
    </w:p>
    <w:p>
      <w:pPr>
        <w:pStyle w:val="TextBody"/>
        <w:bidi w:val="0"/>
        <w:spacing w:before="0" w:after="0"/>
        <w:ind w:left="0" w:right="0" w:firstLine="490"/>
        <w:jc w:val="both"/>
        <w:rPr/>
      </w:pPr>
      <w:r>
        <w:rPr/>
        <w:t>​</w:t>
      </w:r>
    </w:p>
    <w:p>
      <w:pPr>
        <w:pStyle w:val="TextBody"/>
        <w:shd w:fill="FFFFFF" w:val="clear"/>
        <w:bidi w:val="0"/>
        <w:spacing w:before="180" w:after="0"/>
        <w:ind w:left="0" w:right="0" w:firstLine="490"/>
        <w:jc w:val="both"/>
        <w:rPr>
          <w:rFonts w:ascii="Times New Roman;Times;serif" w:hAnsi="Times New Roman;Times;serif"/>
          <w:sz w:val="20"/>
        </w:rPr>
      </w:pPr>
      <w:r>
        <w:rPr>
          <w:rFonts w:ascii="Times New Roman;Times;serif" w:hAnsi="Times New Roman;Times;serif"/>
          <w:sz w:val="20"/>
        </w:rPr>
        <w:t>The Company operates in four primary business segments: income properties, management services, commercial loans and investments, and real estate operations.</w:t>
      </w:r>
    </w:p>
    <w:p>
      <w:pPr>
        <w:pStyle w:val="TextBody"/>
        <w:bidi w:val="0"/>
        <w:spacing w:before="0" w:after="0"/>
        <w:ind w:left="0" w:right="0" w:firstLine="49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REIT Conversion and Merger</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of December 31, 2020, the Company had completed certain internal reorganization transactions necessary to begin operating in compliance with the requirements for qualification and taxation as a REIT for U.S. federal income tax purposes,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pStyle w:val="TextBody"/>
        <w:bidi w:val="0"/>
        <w:spacing w:before="280" w:after="240"/>
        <w:ind w:left="0" w:right="0" w:hanging="0"/>
        <w:jc w:val="both"/>
        <w:rPr>
          <w:rFonts w:ascii="Times New Roman;Times;serif" w:hAnsi="Times New Roman;Times;serif"/>
          <w:b/>
          <w:i/>
          <w:sz w:val="20"/>
        </w:rPr>
      </w:pPr>
      <w:r>
        <w:rPr>
          <w:rFonts w:ascii="Times New Roman;Times;serif" w:hAnsi="Times New Roman;Times;serif"/>
          <w:b/>
          <w:i/>
          <w:sz w:val="20"/>
        </w:rPr>
        <w:t>Selected Historical Financial Information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2025, 2024, and 2023 is included elsewhere in this report.</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3110"/>
        <w:gridCol w:w="346"/>
        <w:gridCol w:w="211"/>
        <w:gridCol w:w="931"/>
        <w:gridCol w:w="346"/>
        <w:gridCol w:w="211"/>
        <w:gridCol w:w="931"/>
        <w:gridCol w:w="346"/>
        <w:gridCol w:w="211"/>
        <w:gridCol w:w="781"/>
        <w:gridCol w:w="346"/>
        <w:gridCol w:w="211"/>
        <w:gridCol w:w="781"/>
        <w:gridCol w:w="346"/>
        <w:gridCol w:w="211"/>
        <w:gridCol w:w="886"/>
      </w:tblGrid>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895"/>
                      <wp:effectExtent l="0" t="0" r="0" b="0"/>
                      <wp:wrapNone/>
                      <wp:docPr id="52" name="Frame5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1185" cy="175895"/>
                      <wp:effectExtent l="0" t="0" r="0" b="0"/>
                      <wp:wrapNone/>
                      <wp:docPr id="53" name="Frame52"/>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895"/>
                      <wp:effectExtent l="0" t="0" r="0" b="0"/>
                      <wp:wrapNone/>
                      <wp:docPr id="54" name="Frame5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895"/>
                      <wp:effectExtent l="0" t="0" r="0" b="0"/>
                      <wp:wrapNone/>
                      <wp:docPr id="55" name="Frame5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895"/>
                      <wp:effectExtent l="0" t="0" r="0" b="0"/>
                      <wp:wrapNone/>
                      <wp:docPr id="56" name="Frame55"/>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895"/>
                      <wp:effectExtent l="0" t="0" r="0" b="0"/>
                      <wp:wrapNone/>
                      <wp:docPr id="57" name="Frame5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895"/>
                      <wp:effectExtent l="0" t="0" r="0" b="0"/>
                      <wp:wrapNone/>
                      <wp:docPr id="58" name="Frame5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895"/>
                      <wp:effectExtent l="0" t="0" r="0" b="0"/>
                      <wp:wrapNone/>
                      <wp:docPr id="59" name="Frame58"/>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895"/>
                      <wp:effectExtent l="0" t="0" r="0" b="0"/>
                      <wp:wrapNone/>
                      <wp:docPr id="60" name="Frame5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895"/>
                      <wp:effectExtent l="0" t="0" r="0" b="0"/>
                      <wp:wrapNone/>
                      <wp:docPr id="61" name="Frame6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895"/>
                      <wp:effectExtent l="0" t="0" r="0" b="0"/>
                      <wp:wrapNone/>
                      <wp:docPr id="62" name="Frame6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895"/>
                      <wp:effectExtent l="0" t="0" r="0" b="0"/>
                      <wp:wrapNone/>
                      <wp:docPr id="63" name="Frame6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895"/>
                      <wp:effectExtent l="0" t="0" r="0" b="0"/>
                      <wp:wrapNone/>
                      <wp:docPr id="64" name="Frame6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2610" cy="175895"/>
                      <wp:effectExtent l="0" t="0" r="0" b="0"/>
                      <wp:wrapNone/>
                      <wp:docPr id="65" name="Frame64"/>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538"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Fiscal Years Ended </w:t>
            </w:r>
          </w:p>
        </w:tc>
      </w:tr>
      <w:tr>
        <w:trPr/>
        <w:tc>
          <w:tcPr>
            <w:tcW w:w="3110"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1"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46" w:type="dxa"/>
            <w:tcBorders/>
            <w:vAlign w:val="center"/>
          </w:tcPr>
          <w:p>
            <w:pPr>
              <w:pStyle w:val="TableContents"/>
              <w:bidi w:val="0"/>
              <w:spacing w:before="1"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149,545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124,519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109,119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82,320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70,272</w:t>
            </w:r>
          </w:p>
        </w:tc>
      </w:tr>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34,015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17,611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26,506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10,667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23,345</w:t>
            </w:r>
          </w:p>
        </w:tc>
      </w:tr>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10,092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29,940</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(7,512)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(6,814)</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(8,779)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27,615</w:t>
            </w:r>
          </w:p>
        </w:tc>
      </w:tr>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pPr>
            <w:r>
              <w:rPr/>
              <w:t>​</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lef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110"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110"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left"/>
              <w:rPr/>
            </w:pPr>
            <w:r>
              <w:rPr/>
              <w:t>​</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Summary of Financial Position: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953,129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901,338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734,463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734,721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494,695</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1,263,902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1,181,644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989,668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986,545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733,139</w:t>
            </w:r>
          </w:p>
        </w:tc>
      </w:tr>
      <w:tr>
        <w:trPr/>
        <w:tc>
          <w:tcPr>
            <w:tcW w:w="311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567,346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612,798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457,526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504,770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430,480</w:t>
            </w:r>
          </w:p>
        </w:tc>
      </w:tr>
      <w:tr>
        <w:trPr/>
        <w:tc>
          <w:tcPr>
            <w:tcW w:w="311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518,993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495,370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445,583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278,273</w:t>
            </w:r>
          </w:p>
        </w:tc>
      </w:tr>
    </w:tbl>
    <w:p>
      <w:pPr>
        <w:pStyle w:val="TextBody"/>
        <w:bidi w:val="0"/>
        <w:spacing w:lineRule="auto" w:line="268" w:before="100" w:after="100"/>
        <w:ind w:left="0" w:right="0" w:hanging="0"/>
        <w:jc w:val="center"/>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(“CECL”)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Non-U.S. GAAP Measures (in thousands):</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5116"/>
        <w:gridCol w:w="109"/>
        <w:gridCol w:w="265"/>
        <w:gridCol w:w="1306"/>
        <w:gridCol w:w="109"/>
        <w:gridCol w:w="265"/>
        <w:gridCol w:w="1306"/>
        <w:gridCol w:w="109"/>
        <w:gridCol w:w="263"/>
        <w:gridCol w:w="1357"/>
      </w:tblGrid>
      <w:tr>
        <w:trPr/>
        <w:tc>
          <w:tcPr>
            <w:tcW w:w="5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895"/>
                      <wp:effectExtent l="0" t="0" r="0" b="0"/>
                      <wp:wrapNone/>
                      <wp:docPr id="66" name="Frame6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8275" cy="175895"/>
                      <wp:effectExtent l="0" t="0" r="0" b="0"/>
                      <wp:wrapNone/>
                      <wp:docPr id="67" name="Frame66"/>
                      <a:graphic xmlns:a="http://schemas.openxmlformats.org/drawingml/2006/main">
                        <a:graphicData uri="http://schemas.microsoft.com/office/word/2010/wordprocessingShape">
                          <wps:wsp>
                            <wps:cNvSpPr txBox="1"/>
                            <wps:spPr>
                              <a:xfrm>
                                <a:off x="0" y="0"/>
                                <a:ext cx="1682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29310" cy="175895"/>
                      <wp:effectExtent l="0" t="0" r="0" b="0"/>
                      <wp:wrapNone/>
                      <wp:docPr id="68" name="Frame67"/>
                      <a:graphic xmlns:a="http://schemas.openxmlformats.org/drawingml/2006/main">
                        <a:graphicData uri="http://schemas.microsoft.com/office/word/2010/wordprocessingShape">
                          <wps:wsp>
                            <wps:cNvSpPr txBox="1"/>
                            <wps:spPr>
                              <a:xfrm>
                                <a:off x="0" y="0"/>
                                <a:ext cx="829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895"/>
                      <wp:effectExtent l="0" t="0" r="0" b="0"/>
                      <wp:wrapNone/>
                      <wp:docPr id="69" name="Frame6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68275" cy="175895"/>
                      <wp:effectExtent l="0" t="0" r="0" b="0"/>
                      <wp:wrapNone/>
                      <wp:docPr id="70" name="Frame69"/>
                      <a:graphic xmlns:a="http://schemas.openxmlformats.org/drawingml/2006/main">
                        <a:graphicData uri="http://schemas.microsoft.com/office/word/2010/wordprocessingShape">
                          <wps:wsp>
                            <wps:cNvSpPr txBox="1"/>
                            <wps:spPr>
                              <a:xfrm>
                                <a:off x="0" y="0"/>
                                <a:ext cx="1682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829310" cy="175895"/>
                      <wp:effectExtent l="0" t="0" r="0" b="0"/>
                      <wp:wrapNone/>
                      <wp:docPr id="71" name="Frame70"/>
                      <a:graphic xmlns:a="http://schemas.openxmlformats.org/drawingml/2006/main">
                        <a:graphicData uri="http://schemas.microsoft.com/office/word/2010/wordprocessingShape">
                          <wps:wsp>
                            <wps:cNvSpPr txBox="1"/>
                            <wps:spPr>
                              <a:xfrm>
                                <a:off x="0" y="0"/>
                                <a:ext cx="829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895"/>
                      <wp:effectExtent l="0" t="0" r="0" b="0"/>
                      <wp:wrapNone/>
                      <wp:docPr id="72" name="Frame7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7005" cy="175895"/>
                      <wp:effectExtent l="0" t="0" r="0" b="0"/>
                      <wp:wrapNone/>
                      <wp:docPr id="73" name="Frame72"/>
                      <a:graphic xmlns:a="http://schemas.openxmlformats.org/drawingml/2006/main">
                        <a:graphicData uri="http://schemas.microsoft.com/office/word/2010/wordprocessingShape">
                          <wps:wsp>
                            <wps:cNvSpPr txBox="1"/>
                            <wps:spPr>
                              <a:xfrm>
                                <a:off x="0" y="0"/>
                                <a:ext cx="1670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61695" cy="175895"/>
                      <wp:effectExtent l="0" t="0" r="0" b="0"/>
                      <wp:wrapNone/>
                      <wp:docPr id="74" name="Frame73"/>
                      <a:graphic xmlns:a="http://schemas.openxmlformats.org/drawingml/2006/main">
                        <a:graphicData uri="http://schemas.microsoft.com/office/word/2010/wordprocessingShape">
                          <wps:wsp>
                            <wps:cNvSpPr txBox="1"/>
                            <wps:spPr>
                              <a:xfrm>
                                <a:off x="0" y="0"/>
                                <a:ext cx="8616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9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11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57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1" w:after="1"/>
              <w:ind w:left="0" w:right="0" w:hanging="0"/>
              <w:jc w:val="left"/>
              <w:rPr/>
            </w:pPr>
            <w:r>
              <w:rPr/>
              <w:t>​</w:t>
            </w:r>
          </w:p>
        </w:tc>
        <w:tc>
          <w:tcPr>
            <w:tcW w:w="157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1" w:after="1"/>
              <w:ind w:left="0" w:right="0" w:hanging="0"/>
              <w:jc w:val="left"/>
              <w:rPr/>
            </w:pPr>
            <w:r>
              <w:rPr/>
              <w:t>​</w:t>
            </w:r>
          </w:p>
        </w:tc>
        <w:tc>
          <w:tcPr>
            <w:tcW w:w="16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10,092</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5,530</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left"/>
              <w:rPr/>
            </w:pPr>
            <w:r>
              <w:rPr/>
              <w:t>​</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59,947</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64,981</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44,107</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(21,452)</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(8,308)</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3,689</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Extinguishment of Contingent Obligation</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(2,815)</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48,565</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54,943</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42,252</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(7,512)</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(6,814)</w:t>
            </w:r>
          </w:p>
        </w:tc>
        <w:tc>
          <w:tcPr>
            <w:tcW w:w="109" w:type="dxa"/>
            <w:tcBorders/>
            <w:vAlign w:val="center"/>
          </w:tcPr>
          <w:p>
            <w:pPr>
              <w:pStyle w:val="TableContents"/>
              <w:bidi w:val="0"/>
              <w:spacing w:before="1"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(4,772)</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41,053</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48,129</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37,480</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pPr>
            <w:r>
              <w:rPr/>
              <w:t>​</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20,449</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pPr>
            <w:r>
              <w:rPr/>
              <w:t>—</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vAlign w:val="center"/>
          </w:tcPr>
          <w:p>
            <w:pPr>
              <w:pStyle w:val="TableContents"/>
              <w:bidi w:val="0"/>
              <w:spacing w:before="1"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2,303</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60,496</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47,875</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39,783</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pPr>
            <w:r>
              <w:rPr/>
              <w:t>​</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(1,681)</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(1,159)</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COVID-19 Rent Repayments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1,069</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955</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4,158</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3,673</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63,562</w:t>
            </w:r>
          </w:p>
        </w:tc>
        <w:tc>
          <w:tcPr>
            <w:tcW w:w="109" w:type="dxa"/>
            <w:tcBorders/>
            <w:vAlign w:val="center"/>
          </w:tcPr>
          <w:p>
            <w:pPr>
              <w:pStyle w:val="TableContents"/>
              <w:bidi w:val="0"/>
              <w:spacing w:before="1"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50,773</w:t>
            </w:r>
          </w:p>
        </w:tc>
        <w:tc>
          <w:tcPr>
            <w:tcW w:w="109" w:type="dxa"/>
            <w:tcBorders/>
            <w:vAlign w:val="center"/>
          </w:tcPr>
          <w:p>
            <w:pPr>
              <w:pStyle w:val="TableContents"/>
              <w:bidi w:val="0"/>
              <w:spacing w:before="1"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43,073</w:t>
            </w:r>
          </w:p>
        </w:tc>
      </w:tr>
      <w:tr>
        <w:trPr/>
        <w:tc>
          <w:tcPr>
            <w:tcW w:w="511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pPr>
            <w:r>
              <w:rPr/>
              <w:t>​</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pPr>
            <w:r>
              <w:rPr/>
              <w:t>​</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32,267,365</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25,361,379</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r>
      <w:tr>
        <w:trPr/>
        <w:tc>
          <w:tcPr>
            <w:tcW w:w="5116"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(1)</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32,292,812</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25,401,176</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pPr>
            <w:r>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r>
      <w:tr>
        <w:trPr/>
        <w:tc>
          <w:tcPr>
            <w:tcW w:w="511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pPr>
            <w:r>
              <w:rPr/>
              <w:t>​</w:t>
            </w:r>
          </w:p>
        </w:tc>
        <w:tc>
          <w:tcPr>
            <w:tcW w:w="1357" w:type="dxa"/>
            <w:tcBorders/>
            <w:shd w:fill="CCEEFF" w:val="clear"/>
            <w:vAlign w:val="center"/>
          </w:tcPr>
          <w:p>
            <w:pPr>
              <w:pStyle w:val="TableContents"/>
              <w:bidi w:val="0"/>
              <w:spacing w:before="1" w:after="1"/>
              <w:ind w:left="0" w:right="0" w:hanging="0"/>
              <w:jc w:val="right"/>
              <w:rPr/>
            </w:pPr>
            <w:r>
              <w:rPr/>
              <w:t>​</w:t>
            </w:r>
          </w:p>
        </w:tc>
      </w:tr>
      <w:tr>
        <w:trPr/>
        <w:tc>
          <w:tcPr>
            <w:tcW w:w="51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vAlign w:val="center"/>
          </w:tcPr>
          <w:p>
            <w:pPr>
              <w:pStyle w:val="TableContents"/>
              <w:bidi w:val="0"/>
              <w:spacing w:before="1" w:after="1"/>
              <w:ind w:left="0" w:right="0" w:hanging="0"/>
              <w:jc w:val="left"/>
              <w:rPr/>
            </w:pPr>
            <w:r>
              <w:rPr/>
              <w:t>​</w:t>
            </w:r>
          </w:p>
        </w:tc>
        <w:tc>
          <w:tcPr>
            <w:tcW w:w="26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51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1" w:after="1"/>
              <w:ind w:left="0" w:right="0" w:hanging="0"/>
              <w:jc w:val="left"/>
              <w:rPr/>
            </w:pPr>
            <w:r>
              <w:rPr/>
              <w:t>​</w:t>
            </w:r>
          </w:p>
        </w:tc>
        <w:tc>
          <w:tcPr>
            <w:tcW w:w="26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1.52</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3"/>
        <w:gridCol w:w="9848"/>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14"/>
              </w:rPr>
            </w:pPr>
            <w:r>
              <w:rPr>
                <w:rFonts w:ascii="Times New Roman;Times;serif" w:hAnsi="Times New Roman;Times;serif"/>
                <w:b/>
                <w:sz w:val="14"/>
              </w:rPr>
              <w:t>(1)</w:t>
            </w:r>
          </w:p>
        </w:tc>
        <w:tc>
          <w:tcPr>
            <w:tcW w:w="9848"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2025 Notes were settled during the year ended December 31, 2025. For the years ended December 31, 2025, 2024 and 2023, a total of $0.6 million, $2.1 million, and $2.1 million of interest, respectively, was excluded from net income (loss) attributable to the Company to derive FFO, as the impact to net income (loss) attributable to common stockholders would be antidilutive. Further,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Notes, other than as described below</w:t>
            </w:r>
            <w:r>
              <w:rPr>
                <w:rFonts w:ascii="Times New Roman;Times;serif" w:hAnsi="Times New Roman;Times;serif"/>
                <w:b/>
                <w:i w:val="false"/>
                <w:caps w:val="false"/>
                <w:smallCaps w:val="false"/>
                <w:sz w:val="18"/>
              </w:rPr>
              <w:t xml:space="preserve">. </w:t>
            </w:r>
          </w:p>
        </w:tc>
      </w:tr>
    </w:tbl>
    <w:p>
      <w:pPr>
        <w:pStyle w:val="TextBody"/>
        <w:shd w:fill="FFFFFF" w:val="clear"/>
        <w:bidi w:val="0"/>
        <w:spacing w:before="100" w:after="100"/>
        <w:ind w:left="720" w:right="0" w:hanging="0"/>
        <w:jc w:val="both"/>
        <w:rPr/>
      </w:pPr>
      <w:r>
        <w:rPr/>
        <w:t>​</w:t>
      </w:r>
    </w:p>
    <w:p>
      <w:pPr>
        <w:pStyle w:val="TextBody"/>
        <w:shd w:fill="FFFFFF" w:val="clear"/>
        <w:bidi w:val="0"/>
        <w:spacing w:before="0" w:after="0"/>
        <w:ind w:left="720" w:right="0" w:hanging="0"/>
        <w:jc w:val="both"/>
        <w:rPr>
          <w:rFonts w:ascii="Times New Roman;Times;serif" w:hAnsi="Times New Roman;Times;serif"/>
          <w:sz w:val="18"/>
        </w:rPr>
      </w:pPr>
      <w:r>
        <w:rPr>
          <w:rFonts w:ascii="Times New Roman;Times;serif" w:hAnsi="Times New Roman;Times;serif"/>
          <w:sz w:val="18"/>
        </w:rPr>
        <w:t>During the year ended December 31, 2025, the Company issued 1,089,555 shares of the Company’s common stock in connection with the settlement of the 2025 Notes and such shares were included in the basic and diluted weighted average share count for the period.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Data (in thousands except per share data):</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5057"/>
        <w:gridCol w:w="109"/>
        <w:gridCol w:w="377"/>
        <w:gridCol w:w="1214"/>
        <w:gridCol w:w="109"/>
        <w:gridCol w:w="377"/>
        <w:gridCol w:w="1214"/>
        <w:gridCol w:w="109"/>
        <w:gridCol w:w="369"/>
        <w:gridCol w:w="1270"/>
      </w:tblGrid>
      <w:tr>
        <w:trPr/>
        <w:tc>
          <w:tcPr>
            <w:tcW w:w="5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70890" cy="175260"/>
                      <wp:effectExtent l="0" t="0" r="0" b="0"/>
                      <wp:wrapNone/>
                      <wp:docPr id="75" name="Frame74"/>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70890" cy="175260"/>
                      <wp:effectExtent l="0" t="0" r="0" b="0"/>
                      <wp:wrapNone/>
                      <wp:docPr id="77" name="Frame76"/>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06450" cy="175260"/>
                      <wp:effectExtent l="0" t="0" r="0" b="0"/>
                      <wp:wrapNone/>
                      <wp:docPr id="79" name="Frame78"/>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0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41,053</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48,129</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37,480</w:t>
            </w:r>
          </w:p>
        </w:tc>
      </w:tr>
      <w:tr>
        <w:trPr/>
        <w:tc>
          <w:tcPr>
            <w:tcW w:w="505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50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left"/>
              <w:rPr/>
            </w:pPr>
            <w:r>
              <w:rPr/>
              <w:t>​</w:t>
            </w:r>
          </w:p>
        </w:tc>
      </w:tr>
      <w:tr>
        <w:trPr/>
        <w:tc>
          <w:tcPr>
            <w:tcW w:w="5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60,496</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47,875</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39,783</w:t>
            </w:r>
          </w:p>
        </w:tc>
      </w:tr>
      <w:tr>
        <w:trPr/>
        <w:tc>
          <w:tcPr>
            <w:tcW w:w="505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5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left"/>
              <w:rPr/>
            </w:pPr>
            <w:r>
              <w:rPr/>
              <w:t>​</w:t>
            </w:r>
          </w:p>
        </w:tc>
      </w:tr>
      <w:tr>
        <w:trPr/>
        <w:tc>
          <w:tcPr>
            <w:tcW w:w="5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63,562</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50,773</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43,073</w:t>
            </w:r>
          </w:p>
        </w:tc>
      </w:tr>
      <w:tr>
        <w:trPr/>
        <w:tc>
          <w:tcPr>
            <w:tcW w:w="505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2"/>
        <w:gridCol w:w="9849"/>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2025 Notes were settled during the year ended December 31, 2025. During the year ended December 31, 2025, the Company issued 1,089,555 shares of the Company’s common stock in connection with the settlement of the 2025 Notes and such shares were included in the basic and diluted weighted average share count for the period.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assumed dilution related to the ultimate settlement of the 2025 Notes other than the 1,089,555 shares of the Company's common stock actually issued.</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b/>
          <w:spacing w:val="-2"/>
          <w:sz w:val="20"/>
        </w:rPr>
      </w:pPr>
      <w:r>
        <w:rPr>
          <w:rFonts w:ascii="Times New Roman;Times;serif" w:hAnsi="Times New Roman;Times;serif"/>
          <w:b/>
          <w:spacing w:val="-2"/>
          <w:sz w:val="20"/>
        </w:rPr>
        <w:t>COMPARISON OF THE YEARS ENDED DECEMBER 31, 2025 AND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year ended December 31, 2025 is presented in the following summary and indicates the changes as compared to the year ended December 31, 2024 (in thousands): </w:t>
      </w:r>
    </w:p>
    <w:p>
      <w:pPr>
        <w:pStyle w:val="TextBody"/>
        <w:bidi w:val="0"/>
        <w:spacing w:before="0" w:after="0"/>
        <w:ind w:left="0" w:right="0" w:firstLine="490"/>
        <w:jc w:val="both"/>
        <w:rPr/>
      </w:pPr>
      <w:r>
        <w:rPr/>
        <w:t>​</w:t>
      </w:r>
    </w:p>
    <w:tbl>
      <w:tblPr>
        <w:tblW w:w="9109" w:type="dxa"/>
        <w:jc w:val="left"/>
        <w:tblInd w:w="0" w:type="dxa"/>
        <w:tblLayout w:type="fixed"/>
        <w:tblCellMar>
          <w:top w:w="0" w:type="dxa"/>
          <w:left w:w="0" w:type="dxa"/>
          <w:bottom w:w="0" w:type="dxa"/>
          <w:right w:w="0" w:type="dxa"/>
        </w:tblCellMar>
      </w:tblPr>
      <w:tblGrid>
        <w:gridCol w:w="3016"/>
        <w:gridCol w:w="109"/>
        <w:gridCol w:w="367"/>
        <w:gridCol w:w="1358"/>
        <w:gridCol w:w="109"/>
        <w:gridCol w:w="366"/>
        <w:gridCol w:w="1359"/>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33045" cy="175260"/>
                      <wp:effectExtent l="0" t="0" r="0" b="0"/>
                      <wp:wrapNone/>
                      <wp:docPr id="81" name="Frame8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62330" cy="175260"/>
                      <wp:effectExtent l="0" t="0" r="0" b="0"/>
                      <wp:wrapNone/>
                      <wp:docPr id="82" name="Frame81"/>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2410" cy="175260"/>
                      <wp:effectExtent l="0" t="0" r="0" b="0"/>
                      <wp:wrapNone/>
                      <wp:docPr id="84" name="Frame8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62965" cy="175260"/>
                      <wp:effectExtent l="0" t="0" r="0" b="0"/>
                      <wp:wrapNone/>
                      <wp:docPr id="85" name="Frame84"/>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6210" cy="175260"/>
                      <wp:effectExtent l="0" t="0" r="0" b="0"/>
                      <wp:wrapNone/>
                      <wp:docPr id="87" name="Frame86"/>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1650" cy="175260"/>
                      <wp:effectExtent l="0" t="0" r="0" b="0"/>
                      <wp:wrapNone/>
                      <wp:docPr id="88" name="Frame8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43585" cy="175260"/>
                      <wp:effectExtent l="0" t="0" r="0" b="0"/>
                      <wp:wrapNone/>
                      <wp:docPr id="90" name="Frame8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149,545</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124,519</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20.1%</w:t>
            </w:r>
          </w:p>
        </w:tc>
      </w:tr>
    </w:tbl>
    <w:p>
      <w:pPr>
        <w:pStyle w:val="TextBody"/>
        <w:bidi w:val="0"/>
        <w:spacing w:before="0" w:after="0"/>
        <w:ind w:left="0" w:right="0" w:firstLine="490"/>
        <w:jc w:val="both"/>
        <w:rPr/>
      </w:pPr>
      <w:r>
        <w:rPr/>
        <w:t>​</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Total revenue for the year ended December 31, 2025 increased to $149.5 million, compared to $124.5 million during the year ended December 31, 2024. The increase in total revenue is primarily attributable to increased income produced by the Company’s recent income property acquisitions versus that of properties disposed of by the Company during the comparative period, as well as increased same store revenue from our properties owned during each period. Revenues further benefited from a $5.2 million increase in income from the Company’s commercial loans and investments. These increases were partially offset by a $2.0 million decrease in real estate operations which is primarily due the completion of the sales of all remaining Subsurface Interests and mitigation credits during the year ended December 31, 2024.</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0"/>
        <w:ind w:left="0" w:right="0" w:firstLine="446"/>
        <w:jc w:val="both"/>
        <w:rPr>
          <w:rFonts w:ascii="Times New Roman;Times;serif" w:hAnsi="Times New Roman;Times;serif"/>
          <w:sz w:val="20"/>
        </w:rPr>
      </w:pPr>
      <w:r>
        <w:rPr>
          <w:rFonts w:ascii="Times New Roman;Times;serif" w:hAnsi="Times New Roman;Times;serif"/>
          <w:sz w:val="20"/>
        </w:rPr>
        <w:t xml:space="preserve">Revenue and operating income from our income property operations totaled $132.2 million and $94.2 million, respectively, during the year ended December 31, 2025, compared to total revenue and operating income of $110.6 million and $78.8 million, respectively, for the year ended December 31, 2024. The direct costs of revenues for our income property operations totaled $37.9 million and $31.8 million for the years ended December 31, 2025 and 2024, respectively. The increase in revenues of $21.6 million, or 19.5%, during the year ended December 31, 2025 is primarily related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overall growth and lease up of the Company’s income property portfolio, as well as the timing of acquisitions versus dispositions. </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Revenue from our management services totaled $4.8 million during the year ended December 31, 2025, of which $4.4 million was earned from PINE, $0.3 million was earned from the Portfolio Management Agreement, and less than $0.1 million was earned from the Subsurface Management Agreement. Revenue from our management services totaled $4.6 million during the year ended December 31, 2024, </w:t>
      </w:r>
      <w:r>
        <w:rPr>
          <w:rFonts w:ascii="Times New Roman;Times;serif" w:hAnsi="Times New Roman;Times;serif"/>
          <w:sz w:val="20"/>
          <w:shd w:fill="FFFFFF" w:val="clear"/>
        </w:rPr>
        <w:t>of which $4.2 million was earned from PINE, $0.3 million was earned from the Portfolio Management Agreement, and less than $0.1 million was earned from the Subsurface Management Agreement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$12.5 million and $7.4 million during the years ended December 31, 2025 and 2024, respectively. The increase is primarily due to increased income as a result of the overall growth in the loan portfolio, including additional advances under existing construction and loan commitments, as well as the timing of the investments made related to new loan originations and structured investments.</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During the year ended December 31, 2024, operating income from real estate operations was $0.5 million on revenues totaling $2.0 million</w:t>
      </w:r>
      <w:r>
        <w:rPr>
          <w:rFonts w:ascii="Times New Roman;Times;serif" w:hAnsi="Times New Roman;Times;serif"/>
          <w:sz w:val="20"/>
        </w:rPr>
        <w:t xml:space="preserve">, which was primarily attributable to mitigation credits sold during the period. There was no revenue or operating income from real estate operations during the year ended December 31, 2025, because the Company sold its portfolio of Subsurface Interests and all remaining mitigation credits during the year ended December 31, 2024.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year ended December 31, 2025 is presented in the following summary and indicates the changes as compared to the year ended December 31, 2024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4229"/>
        <w:gridCol w:w="109"/>
        <w:gridCol w:w="391"/>
        <w:gridCol w:w="1260"/>
        <w:gridCol w:w="109"/>
        <w:gridCol w:w="398"/>
        <w:gridCol w:w="1282"/>
        <w:gridCol w:w="109"/>
        <w:gridCol w:w="279"/>
        <w:gridCol w:w="757"/>
        <w:gridCol w:w="109"/>
        <w:gridCol w:w="1173"/>
      </w:tblGrid>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48285" cy="175260"/>
                      <wp:effectExtent l="0" t="0" r="0" b="0"/>
                      <wp:wrapNone/>
                      <wp:docPr id="92" name="Frame9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00100" cy="175260"/>
                      <wp:effectExtent l="0" t="0" r="0" b="0"/>
                      <wp:wrapNone/>
                      <wp:docPr id="93" name="Frame92"/>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52730" cy="175260"/>
                      <wp:effectExtent l="0" t="0" r="0" b="0"/>
                      <wp:wrapNone/>
                      <wp:docPr id="95" name="Frame9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14070" cy="175260"/>
                      <wp:effectExtent l="0" t="0" r="0" b="0"/>
                      <wp:wrapNone/>
                      <wp:docPr id="96" name="Frame95"/>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7165" cy="175260"/>
                      <wp:effectExtent l="0" t="0" r="0" b="0"/>
                      <wp:wrapNone/>
                      <wp:docPr id="98" name="Frame9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80695" cy="175260"/>
                      <wp:effectExtent l="0" t="0" r="0" b="0"/>
                      <wp:wrapNone/>
                      <wp:docPr id="99" name="Frame98"/>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44855" cy="175260"/>
                      <wp:effectExtent l="0" t="0" r="0" b="0"/>
                      <wp:wrapNone/>
                      <wp:docPr id="101" name="Frame10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 (in thousands)</w:t>
            </w:r>
          </w:p>
        </w:tc>
        <w:tc>
          <w:tcPr>
            <w:tcW w:w="109" w:type="dxa"/>
            <w:tcBorders/>
            <w:vAlign w:val="center"/>
          </w:tcPr>
          <w:p>
            <w:pPr>
              <w:pStyle w:val="TableContents"/>
              <w:bidi w:val="0"/>
              <w:spacing w:before="0" w:after="0"/>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14,369</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12,632</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4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18,527</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16,269</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Gains on Disposition of Assets and Provision for Impairment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Gain on Disposition of Assets – 2025 Dispositions.</w:t>
      </w:r>
      <w:r>
        <w:rPr>
          <w:rFonts w:ascii="Times New Roman;Times;serif" w:hAnsi="Times New Roman;Times;serif"/>
          <w:sz w:val="20"/>
        </w:rPr>
        <w:t xml:space="preserve"> During the year ended December 31, 2025, the Company sold four income properties for an aggregate sales price of $85.1 million and aggregate gains of sales of $21.0 million. The sales consisted of (i) three single-tenant Main Street properties in Daytona Beach, Florida for $7.1 million, generating gains totaling $1.2 million, and (ii) one shopping center located in Plano, Texas for $78.0 million, resulting in a gain on sale of $19.8 million.</w:t>
      </w:r>
    </w:p>
    <w:p>
      <w:pPr>
        <w:pStyle w:val="TextBody"/>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Gain on Disposition of Assets – 2024 Dispositions.</w:t>
      </w:r>
      <w:r>
        <w:rPr>
          <w:rFonts w:ascii="Times New Roman;Times;serif" w:hAnsi="Times New Roman;Times;serif"/>
          <w:sz w:val="20"/>
        </w:rPr>
        <w:t xml:space="preserve"> </w:t>
      </w:r>
      <w:r>
        <w:rPr>
          <w:rFonts w:ascii="Times New Roman;Times;serif" w:hAnsi="Times New Roman;Times;serif"/>
          <w:color w:val="212529"/>
          <w:sz w:val="20"/>
          <w:shd w:fill="FFFFFF" w:val="clear"/>
        </w:rPr>
        <w:t xml:space="preserve">During the year ended December 31,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shopping center located in West Jordan, Utah for $18.0 million resulting in a loss on sale of $0.8 million. </w:t>
      </w:r>
      <w:r>
        <w:rPr>
          <w:rFonts w:ascii="Times New Roman;Times;serif" w:hAnsi="Times New Roman;Times;serif"/>
          <w:sz w:val="20"/>
          <w:shd w:fill="FFFFFF" w:val="clear"/>
        </w:rPr>
        <w:t xml:space="preserve">In addition, during the year ended December 31, 2024, the Company sold its remaining acres of Subsurface Interests for $5.0 million, or a gain on sale of $4.5 million. The sales of these two properties and the remaining acres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Subsurface Interests resulted in aggregate gains on sales of $8.3 million, which consisted of aggregate gains on disposition of $9.1 million and aggregate losses on disposition of $0.8 million.</w:t>
      </w:r>
    </w:p>
    <w:p>
      <w:pPr>
        <w:pStyle w:val="TextBody"/>
        <w:bidi w:val="0"/>
        <w:spacing w:before="0" w:after="0"/>
        <w:ind w:left="0" w:right="0" w:firstLine="36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rPr>
        <w:t xml:space="preserve"> </w:t>
      </w:r>
      <w:r>
        <w:rPr>
          <w:rFonts w:ascii="Times New Roman;Times;serif" w:hAnsi="Times New Roman;Times;serif"/>
          <w:color w:val="212529"/>
          <w:sz w:val="20"/>
        </w:rPr>
        <w:t>There were no impairment charges on the Company’s income property portfolio during the years ended December 31, 2025 and 2024, respectively. </w:t>
      </w:r>
      <w:r>
        <w:rPr>
          <w:rFonts w:ascii="Times New Roman;Times;serif" w:hAnsi="Times New Roman;Times;serif"/>
          <w:sz w:val="20"/>
        </w:rPr>
        <w:t>The Company recorded impairment charges representing the provision for credit losses related to the increase in the principal outstanding on the Company's portfolio of commercial loans and investments of less than $0.1 million and $0.7 million for the years ended December 31, 2025 and 2024, respectively. </w:t>
      </w:r>
    </w:p>
    <w:p>
      <w:pPr>
        <w:pStyle w:val="TextBody"/>
        <w:shd w:fill="FFFFFF" w:val="clear"/>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100" w:after="10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$60.0 million and $65.1 million during the years ended December 31, 2025 and 2024, respectively. Depreciation and amortization expense generally increases commensurate with overall growth of the Company’s income property portfolio. During the year ended December 31, 2024, the Company recorded an out-of-period adjustment totaling $10.1 million consisting of (i) $4.5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year ended December 31, 2025, the closing stock price of PINE decreased by $0.07 per share, with a closing price of $16.72 as of December 31, 2025, resulting in a $0.1 million non-cash gain inclusive of the gains associated with the purchase of 109,081 shares of PINE common stock on the open market during the year for aggregate consideration of $1.6 million, at an average purchase price of $14.24 per share. During the year ended December 31, 2024, the Company recognized a $0.2 million unrealized, non-cash loss related to a decrease of $0.12 per share of PINE common stock, which is included in investment and other income on the consolidated statements of operations.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$2.8 million and $2.6 million during the years ended December 31, 2025 and 2024, respectively.</w:t>
      </w:r>
    </w:p>
    <w:p>
      <w:pPr>
        <w:pStyle w:val="TextBody"/>
        <w:bidi w:val="0"/>
        <w:spacing w:before="0" w:after="0"/>
        <w:ind w:left="0" w:right="0" w:firstLine="49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$26.9 million and $22.5 million for the years ended December 31, 2025 and 2024, respectively. The increase of $4.4 million is primarily attributable to an aggregate increase in the Company’s term loan balances.</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(loss) attributable to the Company totaled $10.1 million and $(2.0) million during the years ended December 31, 2025 and 2024, respectively. The increase in net income is attributable to the factors described above.</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pacing w:val="-2"/>
          <w:sz w:val="20"/>
        </w:rPr>
      </w:pPr>
      <w:r>
        <w:rPr>
          <w:rFonts w:ascii="Times New Roman;Times;serif" w:hAnsi="Times New Roman;Times;serif"/>
          <w:b/>
          <w:spacing w:val="-2"/>
          <w:sz w:val="20"/>
        </w:rPr>
        <w:t>COMPARISON OF THE YEARS ENDED DECEMBER 31, 2024 AND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year ended December 31, 2024 is presented in the following summary and indicates the changes as compared to the year ended December 31, 2023 (in thousands):</w:t>
      </w:r>
    </w:p>
    <w:p>
      <w:pPr>
        <w:pStyle w:val="TextBody"/>
        <w:bidi w:val="0"/>
        <w:spacing w:before="0" w:after="0"/>
        <w:ind w:left="0" w:right="0" w:hanging="0"/>
        <w:jc w:val="both"/>
        <w:rPr/>
      </w:pPr>
      <w:r>
        <w:rPr/>
        <w:t>​</w:t>
      </w:r>
    </w:p>
    <w:tbl>
      <w:tblPr>
        <w:tblW w:w="9109" w:type="dxa"/>
        <w:jc w:val="left"/>
        <w:tblInd w:w="0" w:type="dxa"/>
        <w:tblLayout w:type="fixed"/>
        <w:tblCellMar>
          <w:top w:w="0" w:type="dxa"/>
          <w:left w:w="0" w:type="dxa"/>
          <w:bottom w:w="0" w:type="dxa"/>
          <w:right w:w="0" w:type="dxa"/>
        </w:tblCellMar>
      </w:tblPr>
      <w:tblGrid>
        <w:gridCol w:w="3016"/>
        <w:gridCol w:w="109"/>
        <w:gridCol w:w="366"/>
        <w:gridCol w:w="1359"/>
        <w:gridCol w:w="109"/>
        <w:gridCol w:w="367"/>
        <w:gridCol w:w="1358"/>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2410" cy="175260"/>
                      <wp:effectExtent l="0" t="0" r="0" b="0"/>
                      <wp:wrapNone/>
                      <wp:docPr id="103" name="Frame10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62965" cy="175260"/>
                      <wp:effectExtent l="0" t="0" r="0" b="0"/>
                      <wp:wrapNone/>
                      <wp:docPr id="104" name="Frame103"/>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3045" cy="175260"/>
                      <wp:effectExtent l="0" t="0" r="0" b="0"/>
                      <wp:wrapNone/>
                      <wp:docPr id="106" name="Frame10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62330" cy="175260"/>
                      <wp:effectExtent l="0" t="0" r="0" b="0"/>
                      <wp:wrapNone/>
                      <wp:docPr id="107" name="Frame106"/>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6210" cy="175260"/>
                      <wp:effectExtent l="0" t="0" r="0" b="0"/>
                      <wp:wrapNone/>
                      <wp:docPr id="109" name="Frame10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1650" cy="175260"/>
                      <wp:effectExtent l="0" t="0" r="0" b="0"/>
                      <wp:wrapNone/>
                      <wp:docPr id="110" name="Frame10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43585" cy="175260"/>
                      <wp:effectExtent l="0" t="0" r="0" b="0"/>
                      <wp:wrapNone/>
                      <wp:docPr id="112" name="Frame11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109" w:type="dxa"/>
            <w:tcBorders/>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124,519</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15,400</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w:t>
            </w:r>
          </w:p>
        </w:tc>
      </w:tr>
    </w:tbl>
    <w:p>
      <w:pPr>
        <w:pStyle w:val="TextBody"/>
        <w:bidi w:val="0"/>
        <w:spacing w:before="0" w:after="0"/>
        <w:ind w:left="0" w:right="0" w:firstLine="490"/>
        <w:jc w:val="both"/>
        <w:rPr/>
      </w:pPr>
      <w:r>
        <w:rPr/>
        <w:t>​</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Total revenue for the year ended December 31, 2024 increased to $124.5 million, compared to $109.1 million during the year ended December 31, 2023. The increase in total revenue is primarily attributable to increased revenue produced by the Company’s income property portfolio from the significant volume of acquisitions during the year ended December 31, 2024 versus that of properties disposed. Revenues further benefited from a $3.3 million increase in income from the Company’s commercial loans and investments. These increases were partially offset by a $2.0 million decrease in real estate operations which is primarily due to the completion of the sales of all remaining Subsurface Interests and mitigation credits during the year ended December 31, 2024.</w:t>
      </w:r>
      <w:r>
        <w:rPr>
          <w:rFonts w:ascii="Times New Roman;Times;serif" w:hAnsi="Times New Roman;Times;serif"/>
          <w:sz w:val="20"/>
        </w:rPr>
        <w:t xml:space="preserve"> </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Revenue and operating income from our income property operations totaled $110.6 million and $78.8 million, respectively, during the year ended December 31, 2024, compared to total revenue and operating income of $96.7 million and $68.2 million, respectively, for the year ended December 31, 2023. The direct costs of revenues for our income property operations totaled $31.8 million and $28.5 million for the years ended December 31, 2024 and 2023, respectively. The increase in revenues of $13.9 million, or 14.4%, during the year ended December 31, 2024 is primarily attributable to the Company’s significant volume of income property acquisitions versus that of properties disposed of.</w:t>
      </w:r>
      <w:r>
        <w:rPr>
          <w:rFonts w:ascii="Times New Roman;Times;serif" w:hAnsi="Times New Roman;Times;serif"/>
          <w:sz w:val="20"/>
        </w:rPr>
        <w:t xml:space="preserve"> </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Revenue from our management services totaled $4.6 million during the year ended December 31, 2024, of which $4.2 million was earned from PINE, $0.3 million was earned from the Portfolio Management Agreement, and less than $0.1 million was earned from the Subsurface Management Agreement. Revenue from our management services totaled $4.4 million during the year ended December 31, 2023, and was earned primarily from PINE with less than $0.1 million earned from the Portfolio Management Agreement.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from our commercial loans and investments totaled $7.4 million and $4.1 million during the years ended December 31, 2024 and 2023, respectively. The increase is due to the increase in investments made by the Company during the year ended December 31, 2024.</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2024, operating income from real estate operations was $0.5 million on revenues totaling $2.0 million. During the year ended December 31, 2023, operating income from real estate operations was $2.3 million on revenues totaling $4.0 million. The operating income during the years ended December 31, 2024 and 2023 was the result of mitigation credit sales and sales of Subsurface Interests. The remaining Subsurface Interests were sold during the first half of 2024 and all remaining mitigation credits were sold as of December 31, 2024; therefore, the Company expects no further revenue or operating income from real estate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year ended December 31, 2024 is presented in the following summary and indicates the changes as compared to the year ended December 31, 2023 (in thousands):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229"/>
        <w:gridCol w:w="109"/>
        <w:gridCol w:w="398"/>
        <w:gridCol w:w="1282"/>
        <w:gridCol w:w="109"/>
        <w:gridCol w:w="391"/>
        <w:gridCol w:w="1260"/>
        <w:gridCol w:w="109"/>
        <w:gridCol w:w="279"/>
        <w:gridCol w:w="757"/>
        <w:gridCol w:w="109"/>
        <w:gridCol w:w="1173"/>
      </w:tblGrid>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2730" cy="175260"/>
                      <wp:effectExtent l="0" t="0" r="0" b="0"/>
                      <wp:wrapNone/>
                      <wp:docPr id="114" name="Frame11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14070" cy="175260"/>
                      <wp:effectExtent l="0" t="0" r="0" b="0"/>
                      <wp:wrapNone/>
                      <wp:docPr id="115" name="Frame114"/>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8285" cy="175260"/>
                      <wp:effectExtent l="0" t="0" r="0" b="0"/>
                      <wp:wrapNone/>
                      <wp:docPr id="117" name="Frame11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00100" cy="175260"/>
                      <wp:effectExtent l="0" t="0" r="0" b="0"/>
                      <wp:wrapNone/>
                      <wp:docPr id="118" name="Frame11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7165" cy="175260"/>
                      <wp:effectExtent l="0" t="0" r="0" b="0"/>
                      <wp:wrapNone/>
                      <wp:docPr id="120" name="Frame11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80695" cy="175260"/>
                      <wp:effectExtent l="0" t="0" r="0" b="0"/>
                      <wp:wrapNone/>
                      <wp:docPr id="121" name="Frame120"/>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44855" cy="175260"/>
                      <wp:effectExtent l="0" t="0" r="0" b="0"/>
                      <wp:wrapNone/>
                      <wp:docPr id="123" name="Frame122"/>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 (in thousands)</w:t>
            </w:r>
          </w:p>
        </w:tc>
        <w:tc>
          <w:tcPr>
            <w:tcW w:w="109" w:type="dxa"/>
            <w:tcBorders/>
            <w:vAlign w:val="center"/>
          </w:tcPr>
          <w:p>
            <w:pPr>
              <w:pStyle w:val="TableContents"/>
              <w:bidi w:val="0"/>
              <w:spacing w:before="0" w:after="0"/>
              <w:ind w:left="0" w:right="0" w:hanging="0"/>
              <w:jc w:val="left"/>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12,632</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16,269</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total general and administrative expenses was generated primarily from overall higher employee count as a result of the significant growth in our portfolio of shopping center assets and an increase in executive incentive compensation related to growth in earnings.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Gains (Losses) on Disposition of Assets and Provision for Impairment</w:t>
      </w:r>
    </w:p>
    <w:p>
      <w:pPr>
        <w:pStyle w:val="TextBody"/>
        <w:bidi w:val="0"/>
        <w:spacing w:before="0" w:after="0"/>
        <w:ind w:left="0" w:right="0" w:firstLine="49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Gain on Disposition of Assets – 2024 Dispositions.</w:t>
      </w:r>
      <w:r>
        <w:rPr>
          <w:rFonts w:ascii="Times New Roman;Times;serif" w:hAnsi="Times New Roman;Times;serif"/>
          <w:sz w:val="20"/>
        </w:rPr>
        <w:t> During the year ended December 31,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shopping center located in West Jordan, Utah for $18.0 million resulting in a loss on sale of $0.8 million. In addition, during the year ended December 31, 2024, the Company sold its remaining acres of Subsurface Interests for $5.0 million, or a gain on sale of $4.5 million. The sales of these two properties and the remaining acres of Subsurface Interests resulted in aggregate gains on sales of $8.3 million, which consisted of aggregate gains on disposition of $9.1 million and aggregate losses on disposition of $0.8 million.</w:t>
      </w:r>
    </w:p>
    <w:p>
      <w:pPr>
        <w:pStyle w:val="TextBody"/>
        <w:shd w:fill="FFFFFF" w:val="clear"/>
        <w:bidi w:val="0"/>
        <w:spacing w:before="100" w:after="10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Gain on Disposition of Assets – 2023 Dispositions. </w:t>
      </w:r>
      <w:r>
        <w:rPr>
          <w:rFonts w:ascii="Times New Roman;Times;serif" w:hAnsi="Times New Roman;Times;serif"/>
          <w:sz w:val="20"/>
        </w:rPr>
        <w:t>During the year ended December 31, 2023, the Company sold nine income properties, including (i) an outparcel of the shopping center known as Eastern Commons, located in Henderson, Nevada, for $2.1 million, (ii) four outparcels of the shopping center known as Crossroads Towne Center, located in Chandler, Arizona, for an aggregate sale price of $11.5 million, (iii) a single tenant office property located in Reston, Virginia leased to General Dynamics for $18.5 million, (iv) a shopping center known as Westcliff, located in Fort Worth, Texas, for $14.8 million, (v) a shopping center known as Eastern Commons, located in Henderson, Nevada, for $18.2 million, (vi) a single tenant office property known as Sabal Pavilion located in Tampa, Florida for $22.0 million. The sales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rPr>
        <w:t> There were no impairment charges on the Company’s income property portfolio during the year ended December 31, 2024. 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recorded a $0.7 million and $0.6 million impairment charge representing the provision for credit losses related to our commercial loans and investments during the years ended December 31, 2024 and 2023, respectively.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100" w:after="100"/>
        <w:ind w:left="0" w:right="0" w:firstLine="36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Depreciation and amortization totaled $65.1 million and $44.2 million during the years ended December 31, 2024 and 2023, respectively. Depreciation and amortization expense has generally increased commensurate with overall growth of the Company’s income property portfolio. During the year ended December 31, 2024, the Company recorded an out-of-period adjustment totaling $10.1 million consisting of (i) $4.5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100" w:after="10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2024, the closing stock price of PINE decreased by $0.12 per share, with a closing price of $16.79 on December 31, 2024. During the year ended December 31, 2023, the closing stock price of PINE decreased by $2.17 per share, with a closing price of $16.91 on December 31, 2023. The decreases resulted in unrealized, non-cash losses on the Company’s investment in PINE of $0.2 million and $4.7 million which is included in investment and other income in the consolidated statements of operations for the years ended December 31, 2024 and 2023, respectively.</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$2.6 million and $2.5 million during the years ended December 31, 2024 and 2023, respectively.</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derecognized two contingent obligations through a $2.8 million increase in investment and other income during the year ended December 31, 2023, pursuant to two leases whereby the Company’s obligation to fund certain tenant improvements was eliminated or expired prior to being exercised. The liabilities were previously included in Accrued and Other Liabilities on the Company’s consolidated balance sheets.</w:t>
      </w:r>
    </w:p>
    <w:p>
      <w:pPr>
        <w:pStyle w:val="TextBody"/>
        <w:bidi w:val="0"/>
        <w:spacing w:before="0" w:after="0"/>
        <w:ind w:left="0" w:right="0" w:firstLine="49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shd w:fill="FFFFFF" w:val="clear"/>
        </w:rPr>
        <w:t>nterest expense totaled $22.5 million and $22.4 million for the years ended December 31, 2024 and 2023, respectively. While interest expense was relatively flat, there was an increase of $2.2 million in interest expense on our term loans, primarily due to the 2029 Term Loan entered into on September 30, 2024, with a corresponding $2.2 million decrease in interest expense on our Credit Facility.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Net income (loss) attributable to the Company totaled $(2.0) million and $5.5 million during the years ended December 31, 2024 and 2023, respectively. The decrease in net income is attributable to the factors described above and most notably due to the increase in non-cash depreciation and amortization expense.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Cash totaled $41.1 million at December 31, 2025, including restricted cash of $34.7 million, see Note 2 “Summary of Significant Accounting Policies” under the heading Restricted Cash in the notes to the consolidated financial statements in Item 8 for the Company’s disclosure related to its restricted cash balance at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total cash balance at December 31, 2025 reflected cash flows provided by operating activities totaling $64.6 million during the year ended December 31, 2025, compared to cash flows provided by operating activities totaling $59.9 million for the year ended December 31, 2024, an increase of $4.7 million. The increase in operating cash flows is primarily attributable to higher operating income from the Company’s income property portfolio, as a result of overall growth and lease-up activities, and increased income from its commercial loans and investments, partially offset by increases in interest expense and general and administrative expenses. </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rPr>
        <w:t xml:space="preserve">Our cash flows used in investing activities totaled $71.5 million and $232.7 million for the years ended December 31, 2025 and 2024, respectively, representing a decrease of $161.2 million. The decrease is primarily attributable to (i) a net decrease in cash outflows of $126.5 million related to property transactions, reflecting lower acquisition activity offset by increased proceeds from dispositions, and (ii) $44.5 million of lower net funding of the Company’s commercial loans and investments portfolio, reflecting increased principal repayments received on such investments. </w:t>
      </w:r>
    </w:p>
    <w:p>
      <w:pPr>
        <w:pStyle w:val="TextBody"/>
        <w:bidi w:val="0"/>
        <w:spacing w:before="280" w:after="0"/>
        <w:ind w:left="0" w:right="0" w:firstLine="547"/>
        <w:jc w:val="both"/>
        <w:rPr>
          <w:rFonts w:ascii="Times New Roman;Times;serif" w:hAnsi="Times New Roman;Times;serif"/>
          <w:sz w:val="20"/>
        </w:rPr>
      </w:pPr>
      <w:r>
        <w:rPr>
          <w:rFonts w:ascii="Times New Roman;Times;serif" w:hAnsi="Times New Roman;Times;serif"/>
          <w:sz w:val="20"/>
        </w:rPr>
        <w:t xml:space="preserve">Our cash flows provided by financing activities totaled $30.7 million and $172.3 million for the years ended December 31, 2025 and 2024, respectively, representing a decrease of $141.6 million. The decrease is primarily attributable to $165.0 million of lower proceeds from common and preferred stock issuances under the Company’s ATM programs and a $33.0 million reduction in proceeds from preferred equity issuances. Cash flows were further reduced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$14.1 million premium paid in connection with the settlement of the 2025 Notes, an $8.7 million increase in common stock repurchase activity, and a $9.5 million increase, compared to the prior year, in aggregate common and preferred dividends paid during the year ended December 31, 2025. These decreases were partially offset by a net increase of $88.7 million in long-term debt during the year ended December 31, 2025. </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See Note 16, “Long-Term Debt” in the notes to the consolidated financial statements in Item 8 for the Company’s disclosure related to its long-term debt balance at December 31, 2025.</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year ended December 31, 2025, the Company acquired two shopping centers for an aggregate purchase price of $144.9 million, or a total acquisition cost of $145.1 million, as further described in Note 3, “Income Properties” in the notes to the consolidated financial statements in Item 8.</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We expect to fund future acquisitions utilizing cash on hand, cash from operations, proceeds from the dispositions of income properties through Section 1031 like-kind exchanges, and borrowings on our Credit Facility, if available and additional financing sources. We expect dispositions of income properties will qualify under the like-kind exchange deferred-tax structure.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During the year ended December 31, 2025, the Company sold four properties for an aggregate sales price of $85.1 million. The sales of the properties generated aggregate gains of $21.0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Contractual Obligations. </w:t>
      </w: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December 31, 2025, are as follows (in thousands):</w:t>
      </w:r>
    </w:p>
    <w:p>
      <w:pPr>
        <w:pStyle w:val="TextBody"/>
        <w:bidi w:val="0"/>
        <w:spacing w:before="0" w:after="0"/>
        <w:ind w:left="0" w:right="0" w:hanging="0"/>
        <w:jc w:val="both"/>
        <w:rPr/>
      </w:pPr>
      <w:r>
        <w:rPr/>
        <w:t>​</w:t>
      </w:r>
    </w:p>
    <w:tbl>
      <w:tblPr>
        <w:tblW w:w="4475" w:type="dxa"/>
        <w:jc w:val="left"/>
        <w:tblInd w:w="0" w:type="dxa"/>
        <w:tblLayout w:type="fixed"/>
        <w:tblCellMar>
          <w:top w:w="0" w:type="dxa"/>
          <w:left w:w="0" w:type="dxa"/>
          <w:bottom w:w="0" w:type="dxa"/>
          <w:right w:w="0" w:type="dxa"/>
        </w:tblCellMar>
      </w:tblPr>
      <w:tblGrid>
        <w:gridCol w:w="2131"/>
        <w:gridCol w:w="109"/>
        <w:gridCol w:w="474"/>
        <w:gridCol w:w="176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53185" cy="175260"/>
                      <wp:effectExtent l="0" t="0" r="0" b="0"/>
                      <wp:wrapNone/>
                      <wp:docPr id="124" name="Frame12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00990" cy="175260"/>
                      <wp:effectExtent l="0" t="0" r="0" b="0"/>
                      <wp:wrapNone/>
                      <wp:docPr id="126" name="Frame12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118235" cy="175260"/>
                      <wp:effectExtent l="0" t="0" r="0" b="0"/>
                      <wp:wrapNone/>
                      <wp:docPr id="127" name="Frame126"/>
                      <a:graphic xmlns:a="http://schemas.openxmlformats.org/drawingml/2006/main">
                        <a:graphicData uri="http://schemas.microsoft.com/office/word/2010/wordprocessingShape">
                          <wps:wsp>
                            <wps:cNvSpPr txBox="1"/>
                            <wps:spPr>
                              <a:xfrm>
                                <a:off x="0" y="0"/>
                                <a:ext cx="111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20,493</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The Company has unfunded loan commitments under two construction loans as described in Note 4, “Commercial Loans and Investments.” The unfunded portion of these construction loans totaled $51.6 million as of December 31, 2025. The Company is also contractually obligated under its various long-term debt and operating lease agreements. The company is obligated to repay an aggregate principal amount of $17.8 million within one year on August 1, 2026. Additionally, the Company has remaining obligations under these agreements totaling $601.0 million, which are due beyond one year.</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2025, we have no other contractual requirements to make capital expenditures.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$216.5 million of availability remaining under our $250.0 million “at-the-market” equity offering program, and $149.0 million of undrawn commitments available on the existing $300.0 million Credit Facility as of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COMMON STOCK REPURCHASE PROGRAM</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2020, the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average price per share of $19.15. No repurchases were made pursuant to the $10.0 Million Common Stock Repurchase Program during the year ended December 31,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16, 2023, the Board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year ended December 31, 2023, prior to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25, 2023, the Company’s Board of Directors approved a common stock repurchase program, (</w:t>
      </w:r>
      <w:r>
        <w:rPr>
          <w:rFonts w:ascii="TimesNewRomanPSMT" w:hAnsi="TimesNewRomanPSMT"/>
          <w:sz w:val="20"/>
        </w:rPr>
        <w:t>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65,946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(the “December 2023 $5.0 Million Common Stock Repurchase Program”). Pursuant to the December 2023 $5.0 Million Common Stock Repurchase Program, the Company was authorized to repurchase shares of its common stock for a total purchase price of up to $5.0 million. During the year ended December 31, 2024, the Company repurchased 40,726 shares of its common stock on the open market for a total cost of $0.7 million, or an average price per share of $16.28 pursuant to the December 2023 $5.0 Million Common Stock Repurchase Program. During the year ended December 31, 2025, the Company repurchased 266,161 shares of its common stock on the open market for a total cost of $4.3 million, or an average price per share of $16.29 pursuant to the December 2023 $5.0 Million Common Stock Repurchase Program. Accordingly, as of the date that the Company’s Board of Directors established the September 2025 $10.0 Million Common Stock Repurchase Program (hereinafter defined), no shares of the Company’s common stock remained available for repurchase under the December 2023 $5.0 Million Common Stock Repurchase Program.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24, 2025, the Company’s Board of Directors approved a common stock repurchase program, which is expected to be in effect until the approved dollar amount has been used to repurchase shares (the “September 2025 $10.0 Million Common Stock Repurchase Program”). Pursuant to the September 2025 $10.0 Million Common Stock Repurchase Program, the Company may repurchase shares of its common stock for a total purchase price of up to $10.0 million. Shares may be purchased under the September 2025 $10.0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 Million Common Stock Repurchase Program does not obligate the Company to acquire any particular amount of shares of its common stock and may be modified or suspended. During the year ended December 31, 2025, the Company repurchased 307,563 shares of its common stock on the open market for a total cost of $5.0 million, or an average price per share of $16.26 under the September 2025 $10 Million Common Stock Repurchase Program. As of December 31, 2025, $5.0 million remained available for repurchases under the September 2025 $10 Million Common Stock Repurchase Program.</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December 2023 $5.0 Million Common Stock Repurchase Program and September 2025 $10.0 Million Common Stock Repurchase Program, the Company repurchased 573,724 shares of its common stock on the open market for a total cost of $9.3 million, or an average price per share of $16.27 during the year ended December 31, 2025.</w:t>
      </w:r>
    </w:p>
    <w:p>
      <w:pPr>
        <w:pStyle w:val="TextBody"/>
        <w:bidi w:val="0"/>
        <w:spacing w:before="0" w:after="0"/>
        <w:ind w:left="0" w:right="0" w:firstLine="36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16, 2023, the Board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The Company did not purchase any shares of its Series A Preferred Stock under the Series A Preferred Stock Repurchase Program during the years ended December 31, 2025 and 2024.</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two shopping centers for an aggregate purchase price of $144.9 million, or a total acquisition cost of $145.1 million, for the year ended December 31, 2025, and five shopping centers, one building within an existing shopping center owned by the Company, and one vacant land parcel within an existing shopping center owned by the Company for an aggregate purchase price of $226.8 million, or a total acquisition cost of $224.4 million, for the year ended December 31, 2024. </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pBdr/>
        <w:bidi w:val="0"/>
        <w:spacing w:before="0" w:after="240"/>
        <w:ind w:left="0" w:right="0" w:hanging="490"/>
        <w:jc w:val="both"/>
        <w:rPr>
          <w:rFonts w:ascii="Times New Roman;Times;serif" w:hAnsi="Times New Roman;Times;serif"/>
          <w:b/>
          <w:sz w:val="20"/>
        </w:rPr>
      </w:pPr>
      <w:bookmarkStart w:id="51" w:name="ITEM7AQUANTITATIVEANDQUALITATIVEDISCLOSU"/>
      <w:bookmarkStart w:id="52" w:name="_97b48c4b_7152_4403_a72c_755f004332c7"/>
      <w:bookmarkEnd w:id="51"/>
      <w:bookmarkEnd w:id="52"/>
      <w:r>
        <w:rPr>
          <w:rFonts w:ascii="Times New Roman;Times;serif" w:hAnsi="Times New Roman;Times;serif"/>
          <w:b/>
          <w:sz w:val="20"/>
        </w:rPr>
        <w:t>ITEM 7A.           QUANTITATIVE AND QUALITATIVE DISCLOSURES ABOUT MARKET RISK</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December 31, 2025 and 2024, the outstanding balance on our Credit Facility totaled $151.0 million and $87.0 million, of which $86.0 million and $37.0 million, respectively, were not fixed by virtue of an interest rate swap agreement. A hypothetical change in the interest rate of 100 basis points (i.e., 1%) would affect our financial position, results of operations, and cash flows by $0.9 million and $0.4 million as of December 31, 2025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2024, respectively. The Company entered into interest rate swap agreements to hedge against changes in future cash flows resulting from fluctuating interest rates related to certain of its debt borrowings, see Note 17, “Interest Rate Swaps” in the notes to the consolidated financial statements in Item 8.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pBdr/>
        <w:bidi w:val="0"/>
        <w:spacing w:before="0" w:after="240"/>
        <w:ind w:left="0" w:right="0" w:hanging="490"/>
        <w:jc w:val="both"/>
        <w:rPr>
          <w:rFonts w:ascii="Times New Roman;Times;serif" w:hAnsi="Times New Roman;Times;serif"/>
          <w:b/>
          <w:sz w:val="20"/>
        </w:rPr>
      </w:pPr>
      <w:bookmarkStart w:id="53" w:name="ITEM8FINANCIALSTATEMENTS_191919"/>
      <w:bookmarkStart w:id="54" w:name="_4c5623e4_d606_4c92_a56d_d9884360065c"/>
      <w:bookmarkEnd w:id="53"/>
      <w:bookmarkEnd w:id="54"/>
      <w:r>
        <w:rPr>
          <w:rFonts w:ascii="Times New Roman;Times;serif" w:hAnsi="Times New Roman;Times;serif"/>
          <w:b/>
          <w:sz w:val="20"/>
        </w:rPr>
        <w:t>ITEM 8.              FINANCIAL STATEMENTS AND SUPPLEMENTARY DATA</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consolidated financial statements appear beginning on page F-1 of this report. See Item 15 of this report.</w:t>
      </w:r>
    </w:p>
    <w:p>
      <w:pPr>
        <w:pStyle w:val="TextBody"/>
        <w:pBdr/>
        <w:bidi w:val="0"/>
        <w:spacing w:before="0" w:after="240"/>
        <w:ind w:left="0" w:right="0" w:hanging="490"/>
        <w:jc w:val="both"/>
        <w:rPr>
          <w:rFonts w:ascii="Times New Roman;Times;serif" w:hAnsi="Times New Roman;Times;serif"/>
          <w:b/>
          <w:sz w:val="20"/>
        </w:rPr>
      </w:pPr>
      <w:bookmarkStart w:id="55" w:name="ITEM9CHANGESINANDDISAGREEMENTSWITHACCOUN"/>
      <w:bookmarkStart w:id="56" w:name="_f3b16f86_8a56_44cb_b481_811d577d965f"/>
      <w:bookmarkEnd w:id="55"/>
      <w:bookmarkEnd w:id="56"/>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have been no disagreements with our accountants on accounting and financial disclosures.</w:t>
      </w:r>
    </w:p>
    <w:p>
      <w:pPr>
        <w:pStyle w:val="TextBody"/>
        <w:pBdr/>
        <w:bidi w:val="0"/>
        <w:spacing w:before="0" w:after="240"/>
        <w:ind w:left="0" w:right="0" w:hanging="490"/>
        <w:jc w:val="both"/>
        <w:rPr>
          <w:rFonts w:ascii="Times New Roman;Times;serif" w:hAnsi="Times New Roman;Times;serif"/>
          <w:b/>
          <w:sz w:val="20"/>
        </w:rPr>
      </w:pPr>
      <w:bookmarkStart w:id="57" w:name="ITEM9ACONTROLSANDPROCEDURES_243073"/>
      <w:bookmarkStart w:id="58" w:name="_ef105588_58e8_48b9_967e_067c82d86f21"/>
      <w:bookmarkEnd w:id="57"/>
      <w:bookmarkEnd w:id="58"/>
      <w:r>
        <w:rPr>
          <w:rFonts w:ascii="Times New Roman;Times;serif" w:hAnsi="Times New Roman;Times;serif"/>
          <w:b/>
          <w:sz w:val="20"/>
        </w:rPr>
        <w:t>ITEM 9A.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management of the Company is responsible for establishing and maintaining adequate internal control over financial reporting as defined in Rules 13a-15(f) and 15d-15(f) under the Exchange Act.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incorporates business and operating environment changes over the past two decades, and improves the original 1992 Framework’s ease of use and application.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management assessed the effectiveness of the Company’s internal control over financial reporting as of December 31, 2025. In conducting this assessment, it used the criteria set forth by COSO in the 2013 Framework. Based on management’s assessment and those criteria, management believes that the Company has maintained effective internal control over financial reporting as of December 31, 2025. The audit report, of Grant Thornton LLP, the Company’s independent registered public accounting firm, on the effectiveness of our internal control over financial reporting as of December 31, 2025, is included in this Annual Report on Form 10-K and is incorporated herein as Item 15.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or 15d-15(f) of the Exchange Act) during the fourth fiscal quarter covered by this report that have materially affected, or are reasonably likely to materially affect, the Company’s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0" w:right="0" w:hanging="490"/>
        <w:jc w:val="both"/>
        <w:rPr>
          <w:rFonts w:ascii="Times New Roman;Times;serif" w:hAnsi="Times New Roman;Times;serif"/>
          <w:sz w:val="10"/>
        </w:rPr>
      </w:pPr>
      <w:bookmarkStart w:id="59" w:name="ITEM9BOTHERINFORMATION_440438"/>
      <w:bookmarkStart w:id="60" w:name="_943fda60_9192_4a1e_9d65_162fc17ed449"/>
      <w:bookmarkEnd w:id="59"/>
      <w:bookmarkEnd w:id="60"/>
      <w:r>
        <w:rPr>
          <w:rFonts w:ascii="Times New Roman;Times;serif" w:hAnsi="Times New Roman;Times;serif"/>
          <w:b/>
          <w:sz w:val="20"/>
        </w:rPr>
        <w:t>ITEM 9B.          </w:t>
      </w:r>
      <w:r>
        <w:rPr>
          <w:rFonts w:ascii="Times New Roman;Times;serif" w:hAnsi="Times New Roman;Times;serif"/>
          <w:sz w:val="10"/>
        </w:rPr>
        <w:t>  </w:t>
      </w:r>
      <w:r>
        <w:rPr>
          <w:rFonts w:ascii="Times New Roman;Times;serif" w:hAnsi="Times New Roman;Times;serif"/>
          <w:b/>
          <w:sz w:val="20"/>
        </w:rPr>
        <w:t>OTHER INFORMATION</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120" w:after="120"/>
        <w:ind w:left="0" w:right="0" w:firstLine="490"/>
        <w:jc w:val="both"/>
        <w:rPr>
          <w:spacing w:val="1"/>
        </w:rPr>
      </w:pPr>
      <w:r>
        <w:rPr>
          <w:spacing w:val="1"/>
        </w:rPr>
        <w:t>​</w:t>
      </w:r>
    </w:p>
    <w:p>
      <w:pPr>
        <w:pStyle w:val="TextBody"/>
        <w:pBdr/>
        <w:bidi w:val="0"/>
        <w:spacing w:before="120" w:after="120"/>
        <w:ind w:left="0" w:right="0" w:hanging="490"/>
        <w:jc w:val="both"/>
        <w:rPr>
          <w:rFonts w:ascii="Times New Roman;Times;serif" w:hAnsi="Times New Roman;Times;serif"/>
          <w:sz w:val="10"/>
        </w:rPr>
      </w:pPr>
      <w:bookmarkStart w:id="61" w:name="ITEM_9C_DISCLOSURE_REGARDING_FOREIGN"/>
      <w:bookmarkStart w:id="62" w:name="_4838ebdf_8972_4bb1_9a66_c1c0eb4e0b3b"/>
      <w:bookmarkEnd w:id="61"/>
      <w:bookmarkEnd w:id="62"/>
      <w:r>
        <w:rPr>
          <w:rFonts w:ascii="Times New Roman;Times;serif" w:hAnsi="Times New Roman;Times;serif"/>
          <w:b/>
          <w:sz w:val="20"/>
        </w:rPr>
        <w:t>ITEM 9C.          </w:t>
      </w:r>
      <w:r>
        <w:rPr>
          <w:rFonts w:ascii="Times New Roman;Times;serif" w:hAnsi="Times New Roman;Times;serif"/>
          <w:sz w:val="10"/>
        </w:rPr>
        <w:t>  </w:t>
      </w:r>
      <w:r>
        <w:rPr>
          <w:rFonts w:ascii="Times New Roman;Times;serif" w:hAnsi="Times New Roman;Times;serif"/>
          <w:b/>
          <w:sz w:val="20"/>
        </w:rPr>
        <w:t>DISCLOSURE REGARDING FOREIGN JURISDICTIONS THAT PREVENT INSPECTIONS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63" w:name="PARTIII_557267"/>
      <w:bookmarkStart w:id="64" w:name="_1a293c41_2ff6_4879_85ba_c868d686d978"/>
      <w:bookmarkEnd w:id="63"/>
      <w:bookmarkEnd w:id="64"/>
      <w:r>
        <w:rPr>
          <w:rFonts w:ascii="Times New Roman;Times;serif" w:hAnsi="Times New Roman;Times;serif"/>
          <w:b/>
          <w:sz w:val="20"/>
        </w:rPr>
        <w:t>PART III</w:t>
      </w:r>
    </w:p>
    <w:p>
      <w:pPr>
        <w:pStyle w:val="TextBody"/>
        <w:pBdr/>
        <w:bidi w:val="0"/>
        <w:spacing w:before="0" w:after="240"/>
        <w:ind w:left="0" w:right="0" w:hanging="490"/>
        <w:jc w:val="both"/>
        <w:rPr>
          <w:rFonts w:ascii="Times New Roman;Times;serif" w:hAnsi="Times New Roman;Times;serif"/>
          <w:b/>
          <w:sz w:val="20"/>
        </w:rPr>
      </w:pPr>
      <w:bookmarkStart w:id="65" w:name="ITEM10DIRECTORSEXECUTIVEOFFICERS_863060"/>
      <w:bookmarkEnd w:id="65"/>
      <w:r>
        <w:rPr>
          <w:rFonts w:ascii="Times New Roman;Times;serif" w:hAnsi="Times New Roman;Times;serif"/>
          <w:b/>
          <w:sz w:val="20"/>
        </w:rPr>
        <w:t>ITEM 10.            DIRECTORS, EXECUTIVE OFFICERS, AND CORPORATE GOVERNANCE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Company’s definitive proxy statement for its 2026 annual stockholders’ meeting to be filed with the SEC within 120 days after the end of the registrant’s fiscal year ended December 31, 2025 (the “Proxy Statement”), which sections are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66" w:name="ITEM11EXECUTIVECOMPENSATION_696703"/>
      <w:bookmarkStart w:id="67" w:name="_9bfd197a_2b7a_4cc8_91f7_1796f89eb016"/>
      <w:bookmarkEnd w:id="66"/>
      <w:bookmarkEnd w:id="67"/>
      <w:r>
        <w:rPr>
          <w:rFonts w:ascii="Times New Roman;Times;serif" w:hAnsi="Times New Roman;Times;serif"/>
          <w:b/>
          <w:sz w:val="20"/>
        </w:rPr>
        <w:t>ITEM 11.            EXECUTIVE COMPENSATION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68" w:name="ITEM12SECURITYOWNERSHIP_46880"/>
      <w:bookmarkStart w:id="69" w:name="_792716c6_4747_4544_be32_0932b5de9e34"/>
      <w:bookmarkEnd w:id="68"/>
      <w:bookmarkEnd w:id="69"/>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70" w:name="ITEM13CERTAINRELATIONSHIPS_4116"/>
      <w:bookmarkStart w:id="71" w:name="_ee1c60f0_d4da_498c_ab5b_633a55968c39"/>
      <w:bookmarkEnd w:id="70"/>
      <w:bookmarkEnd w:id="71"/>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72" w:name="ITEM14PRINCIPALACCOUNTANTFEES_323553"/>
      <w:bookmarkStart w:id="73" w:name="_1fc08db9_fd1a_49ef_ae37_305c974da29e"/>
      <w:bookmarkEnd w:id="72"/>
      <w:bookmarkEnd w:id="73"/>
      <w:r>
        <w:rPr>
          <w:rFonts w:ascii="Times New Roman;Times;serif" w:hAnsi="Times New Roman;Times;serif"/>
          <w:b/>
          <w:sz w:val="20"/>
        </w:rPr>
        <w:t>ITEM 14.            PRINCIPAL ACCOUNTANT FEES AND SERVICES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4" w:name="PARTIV_951682"/>
      <w:bookmarkStart w:id="75" w:name="_9c5fb98f_0b16_4f06_9e3b_96caffdf8235"/>
      <w:bookmarkEnd w:id="74"/>
      <w:bookmarkEnd w:id="75"/>
      <w:r>
        <w:rPr>
          <w:rFonts w:ascii="Times New Roman;Times;serif" w:hAnsi="Times New Roman;Times;serif"/>
          <w:b/>
          <w:sz w:val="20"/>
        </w:rPr>
        <w:t>PART IV</w:t>
      </w:r>
    </w:p>
    <w:p>
      <w:pPr>
        <w:pStyle w:val="TextBody"/>
        <w:pBdr/>
        <w:bidi w:val="0"/>
        <w:spacing w:before="0" w:after="240"/>
        <w:ind w:left="0" w:right="0" w:hanging="490"/>
        <w:jc w:val="both"/>
        <w:rPr>
          <w:rFonts w:ascii="Times New Roman;Times;serif" w:hAnsi="Times New Roman;Times;serif"/>
          <w:b/>
          <w:sz w:val="20"/>
        </w:rPr>
      </w:pPr>
      <w:bookmarkStart w:id="76" w:name="ITEM15EXHIBITSFINANCIALSTATEMENT_16149"/>
      <w:bookmarkEnd w:id="76"/>
      <w:r>
        <w:rPr>
          <w:rFonts w:ascii="Times New Roman;Times;serif" w:hAnsi="Times New Roman;Times;serif"/>
          <w:b/>
          <w:sz w:val="20"/>
        </w:rPr>
        <w:t>ITEM 15.            EXHIBITS, FINANCIAL STATEMENT SCHEDULES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FINANCIAL STATEMENTS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financial statements are filed as part of this report:</w:t>
      </w:r>
    </w:p>
    <w:tbl>
      <w:tblPr>
        <w:tblW w:w="10205" w:type="dxa"/>
        <w:jc w:val="left"/>
        <w:tblInd w:w="0" w:type="dxa"/>
        <w:tblLayout w:type="fixed"/>
        <w:tblCellMar>
          <w:top w:w="0" w:type="dxa"/>
          <w:left w:w="0" w:type="dxa"/>
          <w:bottom w:w="0" w:type="dxa"/>
          <w:right w:w="0" w:type="dxa"/>
        </w:tblCellMar>
      </w:tblPr>
      <w:tblGrid>
        <w:gridCol w:w="9304"/>
        <w:gridCol w:w="901"/>
      </w:tblGrid>
      <w:tr>
        <w:trPr/>
        <w:tc>
          <w:tcPr>
            <w:tcW w:w="9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08040" cy="175260"/>
                      <wp:effectExtent l="0" t="0" r="0" b="0"/>
                      <wp:wrapNone/>
                      <wp:docPr id="128" name="Frame127"/>
                      <a:graphic xmlns:a="http://schemas.openxmlformats.org/drawingml/2006/main">
                        <a:graphicData uri="http://schemas.microsoft.com/office/word/2010/wordprocessingShape">
                          <wps:wsp>
                            <wps:cNvSpPr txBox="1"/>
                            <wps:spPr>
                              <a:xfrm>
                                <a:off x="0" y="0"/>
                                <a:ext cx="590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2135" cy="175260"/>
                      <wp:effectExtent l="0" t="0" r="0" b="0"/>
                      <wp:wrapNone/>
                      <wp:docPr id="129" name="Frame1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04"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9304" w:type="dxa"/>
            <w:tcBorders/>
            <w:vAlign w:val="center"/>
          </w:tcPr>
          <w:p>
            <w:pPr>
              <w:pStyle w:val="TableContents"/>
              <w:bidi w:val="0"/>
              <w:spacing w:before="100" w:after="100"/>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100" w:after="100"/>
              <w:ind w:left="0" w:right="0" w:hanging="0"/>
              <w:jc w:val="right"/>
              <w:rPr/>
            </w:pPr>
            <w:r>
              <w:rPr/>
              <w:t>​</w:t>
            </w:r>
          </w:p>
        </w:tc>
      </w:tr>
      <w:tr>
        <w:trPr/>
        <w:tc>
          <w:tcPr>
            <w:tcW w:w="9304" w:type="dxa"/>
            <w:tcBorders/>
            <w:vAlign w:val="center"/>
          </w:tcPr>
          <w:p>
            <w:pPr>
              <w:pStyle w:val="TableContents"/>
              <w:pBdr/>
              <w:bidi w:val="0"/>
              <w:spacing w:before="0" w:after="0"/>
              <w:ind w:left="0" w:right="0" w:hanging="0"/>
              <w:jc w:val="left"/>
              <w:rPr/>
            </w:pPr>
            <w:hyperlink w:anchor="ReportofIndependentRegisteredPublic_1642">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(PCAOB ID Number 248)</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304" w:type="dxa"/>
            <w:tcBorders/>
            <w:vAlign w:val="center"/>
          </w:tcPr>
          <w:p>
            <w:pPr>
              <w:pStyle w:val="TableContents"/>
              <w:pBdr/>
              <w:bidi w:val="0"/>
              <w:spacing w:before="0" w:after="0"/>
              <w:ind w:left="0" w:right="0" w:hanging="0"/>
              <w:jc w:val="left"/>
              <w:rPr/>
            </w:pPr>
            <w:hyperlink w:anchor="CONSOLIDATEDANDCOMBINEDBALANCESHEETS">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304" w:type="dxa"/>
            <w:tcBorders/>
            <w:vAlign w:val="center"/>
          </w:tcPr>
          <w:p>
            <w:pPr>
              <w:pStyle w:val="TableContents"/>
              <w:pBdr/>
              <w:bidi w:val="0"/>
              <w:spacing w:before="0" w:after="0"/>
              <w:ind w:left="0" w:right="0" w:hanging="0"/>
              <w:jc w:val="left"/>
              <w:rPr/>
            </w:pPr>
            <w:hyperlink w:anchor="OPERATIONS_158107">
              <w:r>
                <w:rPr>
                  <w:rStyle w:val="InternetLink"/>
                  <w:rFonts w:ascii="Times New Roman;Times;serif" w:hAnsi="Times New Roman;Times;serif"/>
                  <w:b w:val="false"/>
                  <w:i w:val="false"/>
                  <w:caps w:val="false"/>
                  <w:smallCaps w:val="false"/>
                  <w:sz w:val="20"/>
                </w:rPr>
                <w:t>Consolidated Statements of Operations for the three years ended December 31, 2025, 2024, and 2023</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304" w:type="dxa"/>
            <w:tcBorders/>
            <w:vAlign w:val="center"/>
          </w:tcPr>
          <w:p>
            <w:pPr>
              <w:pStyle w:val="TableContents"/>
              <w:pBdr/>
              <w:bidi w:val="0"/>
              <w:spacing w:before="0" w:after="0"/>
              <w:ind w:left="0" w:right="0" w:hanging="0"/>
              <w:jc w:val="left"/>
              <w:rPr/>
            </w:pPr>
            <w:hyperlink w:anchor="COMPREHENSIVEINCOME_741614">
              <w:r>
                <w:rPr>
                  <w:rStyle w:val="InternetLink"/>
                  <w:rFonts w:ascii="Times New Roman;Times;serif" w:hAnsi="Times New Roman;Times;serif"/>
                  <w:b w:val="false"/>
                  <w:i w:val="false"/>
                  <w:caps w:val="false"/>
                  <w:smallCaps w:val="false"/>
                  <w:sz w:val="20"/>
                </w:rPr>
                <w:t>Consolidated Statements of Comprehensive Income (Loss) for the three years ended December 31, 2025, 2024, and 2023</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304"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 xml:space="preserve">Consolidated Statements of Stockholders’ Equity for the three years ended December 31, 2025, 2024 and 2023 </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304" w:type="dxa"/>
            <w:tcBorders/>
            <w:vAlign w:val="center"/>
          </w:tcPr>
          <w:p>
            <w:pPr>
              <w:pStyle w:val="TableContents"/>
              <w:pBdr/>
              <w:bidi w:val="0"/>
              <w:spacing w:before="0" w:after="0"/>
              <w:ind w:left="0" w:right="0" w:hanging="0"/>
              <w:jc w:val="left"/>
              <w:rPr/>
            </w:pPr>
            <w:hyperlink w:anchor="CASHFLOWS_979441">
              <w:r>
                <w:rPr>
                  <w:rStyle w:val="InternetLink"/>
                  <w:rFonts w:ascii="Times New Roman;Times;serif" w:hAnsi="Times New Roman;Times;serif"/>
                  <w:b w:val="false"/>
                  <w:i w:val="false"/>
                  <w:caps w:val="false"/>
                  <w:smallCaps w:val="false"/>
                  <w:sz w:val="20"/>
                </w:rPr>
                <w:t>Consolidated Statements of Cash Flows for the three years ended December 31, 2025, 2024, and 2023</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304" w:type="dxa"/>
            <w:tcBorders/>
            <w:vAlign w:val="center"/>
          </w:tcPr>
          <w:p>
            <w:pPr>
              <w:pStyle w:val="TableContents"/>
              <w:pBdr/>
              <w:bidi w:val="0"/>
              <w:spacing w:before="0" w:after="0"/>
              <w:ind w:left="0" w:right="0" w:hanging="0"/>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 for the three years ended December 31, 2025, 2024, and 2023</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FINANCIAL STATEMENT SCHEDULES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Included in Part IV on Form 10-K:</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Schedule III—Real Estate and Accumulated Depreciation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Schedule IV – Mortgage Loans on Real Estate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Other schedules are omitted because of the absence of conditions under which they are required, materiality, or because the required information is given in the financial statements or notes thereof.</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3. EXHIBITS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See Exhibit Index on page 62 of this Annual Report on Form 10-K.</w:t>
      </w:r>
    </w:p>
    <w:p>
      <w:pPr>
        <w:pStyle w:val="TextBody"/>
        <w:bidi w:val="0"/>
        <w:spacing w:before="0" w:after="240"/>
        <w:ind w:left="0" w:right="0" w:firstLine="490"/>
        <w:jc w:val="both"/>
        <w:rPr/>
      </w:pPr>
      <w:r>
        <w:rPr/>
        <w:t>​</w:t>
      </w:r>
    </w:p>
    <w:p>
      <w:pPr>
        <w:pStyle w:val="TextBody"/>
        <w:pBdr/>
        <w:bidi w:val="0"/>
        <w:spacing w:before="0" w:after="240"/>
        <w:ind w:left="0" w:right="0" w:hanging="490"/>
        <w:jc w:val="left"/>
        <w:rPr>
          <w:rFonts w:ascii="Times New Roman;Times;serif" w:hAnsi="Times New Roman;Times;serif"/>
          <w:b/>
          <w:sz w:val="20"/>
        </w:rPr>
      </w:pPr>
      <w:bookmarkStart w:id="77" w:name="ITEM16Form10K"/>
      <w:bookmarkStart w:id="78" w:name="_b987c1b2_0975_4cbf_9272_80f9659a886a"/>
      <w:bookmarkEnd w:id="77"/>
      <w:bookmarkEnd w:id="78"/>
      <w:r>
        <w:rPr>
          <w:rFonts w:ascii="Times New Roman;Times;serif" w:hAnsi="Times New Roman;Times;serif"/>
          <w:b/>
          <w:sz w:val="20"/>
        </w:rPr>
        <w:t>ITEM 16.              FORM 10-K SUMMARY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 w:name="_874b3508_2c74_4c98_8b67_9939fc79a1c6"/>
      <w:bookmarkEnd w:id="79"/>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EXHIBITS</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TO</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ANNUAL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001-11350</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the charter)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3" w:before="0" w:after="0"/>
        <w:ind w:left="0" w:right="0" w:hanging="490"/>
        <w:jc w:val="left"/>
        <w:rPr>
          <w:rFonts w:ascii="Times New Roman;Times;serif" w:hAnsi="Times New Roman;Times;serif"/>
          <w:b/>
          <w:sz w:val="20"/>
        </w:rPr>
      </w:pPr>
      <w:bookmarkStart w:id="80" w:name="_47b2e859_55cf_4560_ba6a_fb19a3ae7e4e"/>
      <w:bookmarkEnd w:id="80"/>
      <w:r>
        <w:rPr>
          <w:rFonts w:ascii="Times New Roman;Times;serif" w:hAnsi="Times New Roman;Times;serif"/>
          <w:b/>
          <w:sz w:val="20"/>
        </w:rPr>
        <w:t xml:space="preserve">EXHIBIT INDEX </w:t>
      </w:r>
    </w:p>
    <w:p>
      <w:pPr>
        <w:pStyle w:val="TextBody"/>
        <w:pBdr/>
        <w:bidi w:val="0"/>
        <w:spacing w:lineRule="auto" w:line="283" w:before="0" w:after="0"/>
        <w:ind w:left="0" w:right="0" w:hanging="490"/>
        <w:jc w:val="left"/>
        <w:rPr>
          <w:color w:val="FF0000"/>
        </w:rPr>
      </w:pPr>
      <w:r>
        <w:rPr>
          <w:color w:val="FF0000"/>
        </w:rPr>
        <w:t>​</w:t>
      </w:r>
    </w:p>
    <w:tbl>
      <w:tblPr>
        <w:tblW w:w="10205" w:type="dxa"/>
        <w:jc w:val="left"/>
        <w:tblInd w:w="0" w:type="dxa"/>
        <w:tblLayout w:type="fixed"/>
        <w:tblCellMar>
          <w:top w:w="0" w:type="dxa"/>
          <w:left w:w="0" w:type="dxa"/>
          <w:bottom w:w="0" w:type="dxa"/>
          <w:right w:w="0" w:type="dxa"/>
        </w:tblCellMar>
      </w:tblPr>
      <w:tblGrid>
        <w:gridCol w:w="767"/>
        <w:gridCol w:w="286"/>
        <w:gridCol w:w="9152"/>
      </w:tblGrid>
      <w:tr>
        <w:trPr/>
        <w:tc>
          <w:tcPr>
            <w:tcW w:w="767"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pBdr/>
              <w:bidi w:val="0"/>
              <w:spacing w:lineRule="auto" w:line="283" w:before="0" w:after="0"/>
              <w:ind w:left="0" w:right="0" w:hanging="0"/>
              <w:jc w:val="left"/>
              <w:rPr/>
            </w:pPr>
            <w:r>
              <w:rPr/>
              <w:t>​</w:t>
            </w:r>
          </w:p>
        </w:tc>
        <w:tc>
          <w:tcPr>
            <w:tcW w:w="9152"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lineRule="auto" w:line="283" w:before="0" w:after="0"/>
              <w:ind w:left="0" w:right="0" w:hanging="0"/>
              <w:jc w:val="both"/>
              <w:rPr/>
            </w:pPr>
            <w:r>
              <w:rPr/>
              <w:t>  ​ ​</w:t>
            </w:r>
          </w:p>
        </w:tc>
        <w:tc>
          <w:tcPr>
            <w:tcW w:w="9152" w:type="dxa"/>
            <w:tcBorders/>
            <w:vAlign w:val="center"/>
          </w:tcPr>
          <w:p>
            <w:pPr>
              <w:pStyle w:val="TableContents"/>
              <w:bidi w:val="0"/>
              <w:spacing w:lineRule="auto" w:line="283" w:before="0" w:after="0"/>
              <w:ind w:left="0" w:right="0" w:hanging="0"/>
              <w:jc w:val="both"/>
              <w:rPr/>
            </w:pPr>
            <w:hyperlink r:id="rId3">
              <w:r>
                <w:rPr>
                  <w:rStyle w:val="InternetLink"/>
                  <w:rFonts w:ascii="Times New Roman;Times;serif" w:hAnsi="Times New Roman;Times;serif"/>
                  <w:b w:val="false"/>
                  <w:i w:val="false"/>
                  <w:caps w:val="false"/>
                  <w:smallCaps w:val="false"/>
                  <w:sz w:val="20"/>
                </w:rPr>
                <w:t>Agreement and Plan of Merger by and between CTO Realty Growth, Inc., a Florida corporation and CTO Realty Growth, Inc. (formerly CTO NEWCO REIT, Inc.), a Maryland corporation, dated September 3, 2020, filed as Exhibit 2.1 to the registrant’s Current Report on Form 8-K filed September 3, 2020,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286" w:type="dxa"/>
            <w:tcBorders/>
            <w:vAlign w:val="center"/>
          </w:tcPr>
          <w:p>
            <w:pPr>
              <w:pStyle w:val="TableContents"/>
              <w:bidi w:val="0"/>
              <w:spacing w:lineRule="auto" w:line="283" w:before="0" w:after="0"/>
              <w:ind w:left="0" w:right="0" w:hanging="0"/>
              <w:jc w:val="both"/>
              <w:rPr/>
            </w:pPr>
            <w:r>
              <w:rPr/>
              <w:t>​</w:t>
            </w:r>
          </w:p>
        </w:tc>
        <w:tc>
          <w:tcPr>
            <w:tcW w:w="9152" w:type="dxa"/>
            <w:tcBorders/>
            <w:vAlign w:val="center"/>
          </w:tcPr>
          <w:p>
            <w:pPr>
              <w:pStyle w:val="TableContents"/>
              <w:bidi w:val="0"/>
              <w:spacing w:lineRule="auto" w:line="283" w:before="0" w:after="0"/>
              <w:ind w:left="0" w:right="0" w:hanging="0"/>
              <w:jc w:val="both"/>
              <w:rPr/>
            </w:pPr>
            <w:hyperlink r:id="rId4">
              <w:r>
                <w:rPr>
                  <w:rStyle w:val="InternetLink"/>
                  <w:rFonts w:ascii="Times New Roman;Times;serif" w:hAnsi="Times New Roman;Times;serif"/>
                  <w:b w:val="false"/>
                  <w:i w:val="false"/>
                  <w:caps w:val="false"/>
                  <w:smallCaps w:val="false"/>
                  <w:sz w:val="20"/>
                </w:rPr>
                <w:t>Purchase and Sale Agreement, dated August 2, 2024, filed as Exhibit 2.1 to the registrant’s Current Report on Form 8-K filed on August 8, 2024, and incorporated herein by reference.</w:t>
              </w:r>
            </w:hyperlink>
            <w:r>
              <w:rPr>
                <w:rFonts w:ascii="Times New Roman;Times;serif" w:hAnsi="Times New Roman;Times;serif"/>
                <w:sz w:val="20"/>
              </w:rPr>
              <w:t xml:space="preserve"> </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5">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6">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7">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8">
              <w:r>
                <w:rPr>
                  <w:rStyle w:val="InternetLink"/>
                  <w:rFonts w:ascii="Times New Roman;Times;serif" w:hAnsi="Times New Roman;Times;serif"/>
                  <w:b w:val="false"/>
                  <w:i w:val="false"/>
                  <w:caps w:val="false"/>
                  <w:smallCaps w:val="false"/>
                  <w:sz w:val="20"/>
                </w:rPr>
                <w:t>Articles Supplementary, designating 3,000,000 additional shares of CTO Realty Growth, Inc.’s 6.375% Series A Cumulative Redeemable Preferred Stock, filed as Exhibit 3.1 to the registrant’s Current Report on Form 8-K filed on April 3, 2024,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9">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0">
              <w:r>
                <w:rPr>
                  <w:rStyle w:val="InternetLink"/>
                  <w:rFonts w:ascii="Times New Roman;Times;serif" w:hAnsi="Times New Roman;Times;serif"/>
                  <w:b w:val="false"/>
                  <w:i w:val="false"/>
                  <w:caps w:val="false"/>
                  <w:smallCaps w:val="false"/>
                  <w:sz w:val="20"/>
                </w:rPr>
                <w:t>Registration Rights Agreement between Alpine Income Property Trust, Inc. and Consolidated-Tomoka Land Co.( now CTO Realty Growth, Inc.), filed as Exhibit 4.21 to the registrant’s Current Report on Form 8-K filed November 27, 2019, and incorporated herein by reference</w:t>
              </w:r>
            </w:hyperlink>
            <w:r>
              <w:rPr>
                <w:rFonts w:ascii="Times New Roman;Times;serif" w:hAnsi="Times New Roman;Times;serif"/>
                <w:sz w:val="20"/>
              </w:rPr>
              <w:t>.</w:t>
            </w:r>
          </w:p>
        </w:tc>
      </w:tr>
      <w:tr>
        <w:trPr/>
        <w:tc>
          <w:tcPr>
            <w:tcW w:w="767"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1">
              <w:r>
                <w:rPr>
                  <w:rStyle w:val="InternetLink"/>
                  <w:rFonts w:ascii="Times New Roman;Times;serif" w:hAnsi="Times New Roman;Times;serif"/>
                  <w:b w:val="false"/>
                  <w:i w:val="false"/>
                  <w:caps w:val="false"/>
                  <w:smallCaps w:val="false"/>
                  <w:sz w:val="20"/>
                </w:rPr>
                <w:t>Description of the Registrant’s Securities, filed as Exhibit 4.6 to the registrant’s Annual Report on Form 10-K for the year ended December 31, 2021, and incorporated herein by reference.</w:t>
              </w:r>
            </w:hyperlink>
          </w:p>
        </w:tc>
      </w:tr>
      <w:tr>
        <w:trPr/>
        <w:tc>
          <w:tcPr>
            <w:tcW w:w="767" w:type="dxa"/>
            <w:tcBorders/>
            <w:vAlign w:val="center"/>
          </w:tcPr>
          <w:p>
            <w:pPr>
              <w:pStyle w:val="TableContents"/>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Material Contracts:</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2">
              <w:r>
                <w:rPr>
                  <w:rStyle w:val="InternetLink"/>
                  <w:rFonts w:ascii="Times New Roman;Times;serif" w:hAnsi="Times New Roman;Times;serif"/>
                  <w:b w:val="false"/>
                  <w:i w:val="false"/>
                  <w:caps w:val="false"/>
                  <w:smallCaps w:val="false"/>
                  <w:sz w:val="20"/>
                </w:rPr>
                <w:t>Fifth Amended and Restated CTO Realty Growth, Inc., 2010 Equity Incentive Plan, filed as Exhibit 10.1 to the registrant’s Quarterly Report on Form 10-Q filed July 27, 2023,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3">
              <w:r>
                <w:rPr>
                  <w:rStyle w:val="InternetLink"/>
                  <w:rFonts w:ascii="Times New Roman;Times;serif" w:hAnsi="Times New Roman;Times;serif"/>
                  <w:b w:val="false"/>
                  <w:i w:val="false"/>
                  <w:caps w:val="false"/>
                  <w:smallCaps w:val="false"/>
                  <w:sz w:val="20"/>
                </w:rPr>
                <w:t>Consolidated-Tomoka Land Co.( now CTO Realty Growth, Inc.)</w:t>
              </w:r>
            </w:hyperlink>
            <w:hyperlink r:id="rId14">
              <w:r>
                <w:rPr>
                  <w:rStyle w:val="InternetLink"/>
                  <w:rFonts w:ascii="Times New Roman;Times;serif" w:hAnsi="Times New Roman;Times;serif"/>
                  <w:caps w:val="false"/>
                  <w:smallCaps w:val="false"/>
                  <w:sz w:val="20"/>
                </w:rPr>
                <w:t xml:space="preserve"> </w:t>
              </w:r>
            </w:hyperlink>
            <w:hyperlink r:id="rId15">
              <w:r>
                <w:rPr>
                  <w:rStyle w:val="InternetLink"/>
                  <w:rFonts w:ascii="Times New Roman;Times;serif" w:hAnsi="Times New Roman;Times;serif"/>
                  <w:b w:val="false"/>
                  <w:i w:val="false"/>
                  <w:caps w:val="false"/>
                  <w:smallCaps w:val="false"/>
                  <w:sz w:val="20"/>
                </w:rPr>
                <w:t>2017 Executive Annual Cash Incentive Plan, dated February 22, 2017, filed as Exhibit 10.28 to the registrant’s Annual Report on Form 10-K for the year ended December 31, 2018,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6">
              <w:r>
                <w:rPr>
                  <w:rStyle w:val="InternetLink"/>
                  <w:rFonts w:ascii="Times New Roman;Times;serif" w:hAnsi="Times New Roman;Times;serif"/>
                  <w:b w:val="false"/>
                  <w:i w:val="false"/>
                  <w:caps w:val="false"/>
                  <w:smallCaps w:val="false"/>
                  <w:sz w:val="20"/>
                </w:rPr>
                <w:t>Amended 2017 Executive Annual Cash Incentive Plan, filed as Exhibit 10.1 to the registrant’s Quarterly Report on Form 10-Q filed October 26, 2023,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Restricted Share Award Agreement under the Third Amended and Restated CTO Realty Growth, Inc., 2010 Equity Incentive Plan, filed as Exhibit 10.16 to the registrant’s Annual Report on Form 10-K for the year ended December 31, 2010,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*(10.5) </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Restricted Share Award Agreement, dated July 1, 2022, filed as Exhibit 10.1 to the registrant’s Current Report on Form 8-K filed on July 1, 2022,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19">
              <w:r>
                <w:rPr>
                  <w:rStyle w:val="InternetLink"/>
                  <w:rFonts w:ascii="Times New Roman;Times;serif" w:hAnsi="Times New Roman;Times;serif"/>
                  <w:b w:val="false"/>
                  <w:i w:val="false"/>
                  <w:caps w:val="false"/>
                  <w:smallCaps w:val="false"/>
                  <w:sz w:val="20"/>
                </w:rPr>
                <w:t>Omnibus Amendment to Restricted Share Award Agreements, dated as of July 1, 2022, filed as Exhibit 10.2 to the registrant’s Current Report on Form 8-K filed on July 1, 2022,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pBdr/>
              <w:bidi w:val="0"/>
              <w:spacing w:lineRule="auto" w:line="283" w:before="0" w:after="0"/>
              <w:ind w:left="0" w:right="0" w:hanging="0"/>
              <w:jc w:val="left"/>
              <w:rPr/>
            </w:pPr>
            <w:r>
              <w:rPr/>
              <w:t>​</w:t>
            </w:r>
          </w:p>
        </w:tc>
        <w:tc>
          <w:tcPr>
            <w:tcW w:w="9152" w:type="dxa"/>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*(10.7) </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February 10, 2021 Performance Share Award Agreement filed as Exhibit 10.17 to the registrant’s Annual Report on Form 10-K filed March 5, 2021,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February 17, 2022 Performance Share Award Agreement, filed as Exhibit 10.8 to the registrant’s Annual Report on Form 10-K for the year ended December 31, 2021, and incorporated herein by reference</w:t>
              </w:r>
            </w:hyperlink>
            <w:r>
              <w:rPr>
                <w:rFonts w:ascii="Times New Roman;Times;serif" w:hAnsi="Times New Roman;Times;serif"/>
                <w:sz w:val="20"/>
              </w:rPr>
              <w:t>.</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286" w:type="dxa"/>
            <w:tcBorders/>
            <w:vAlign w:val="center"/>
          </w:tcPr>
          <w:p>
            <w:pPr>
              <w:pStyle w:val="TableContents"/>
              <w:bidi w:val="0"/>
              <w:spacing w:lineRule="auto" w:line="283" w:before="0" w:after="0"/>
              <w:ind w:left="0" w:right="0" w:hanging="0"/>
              <w:jc w:val="left"/>
              <w:rPr/>
            </w:pPr>
            <w:r>
              <w:rPr/>
              <w:t>​</w:t>
            </w:r>
          </w:p>
        </w:tc>
        <w:tc>
          <w:tcPr>
            <w:tcW w:w="9152" w:type="dxa"/>
            <w:tcBorders/>
            <w:vAlign w:val="center"/>
          </w:tcPr>
          <w:p>
            <w:pPr>
              <w:pStyle w:val="TableContents"/>
              <w:bidi w:val="0"/>
              <w:spacing w:lineRule="auto" w:line="283" w:before="0" w:after="0"/>
              <w:ind w:left="75"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5"/>
        <w:gridCol w:w="109"/>
        <w:gridCol w:w="9331"/>
      </w:tblGrid>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February 17, 2023 Performance Share Award Agreement, filed as Exhibit 10.1 to the registrant’s Quarterly Report on Form 10-Q filed April 27, 2023,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3">
              <w:r>
                <w:rPr>
                  <w:rStyle w:val="InternetLink"/>
                  <w:rFonts w:ascii="Times New Roman;Times;serif" w:hAnsi="Times New Roman;Times;serif"/>
                  <w:b w:val="false"/>
                  <w:i w:val="false"/>
                  <w:caps w:val="false"/>
                  <w:smallCaps w:val="false"/>
                  <w:sz w:val="20"/>
                </w:rPr>
                <w:t>Omnibus Amendment to Performance Share Award Agreements, dated as of July 1, 2022, filed as Exhibit 10.3 to the registrant’s Current Report on Form 8-K filed on July 1, 2022,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4">
              <w:r>
                <w:rPr>
                  <w:rStyle w:val="InternetLink"/>
                  <w:rFonts w:ascii="Times New Roman;Times;serif" w:hAnsi="Times New Roman;Times;serif"/>
                  <w:b w:val="false"/>
                  <w:i w:val="false"/>
                  <w:caps w:val="false"/>
                  <w:smallCaps w:val="false"/>
                  <w:sz w:val="20"/>
                </w:rPr>
                <w:t>Second Amended and Restated Employment Agreement between CTO Realty Growth, Inc. and John P. Albright entered into July 29, 2020, filed as Exhibit 10.1 to the registrant’s Current Report on Form 8-K filed August 3, 2020,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5">
              <w:r>
                <w:rPr>
                  <w:rStyle w:val="InternetLink"/>
                  <w:rFonts w:ascii="Times New Roman;Times;serif" w:hAnsi="Times New Roman;Times;serif"/>
                  <w:b w:val="false"/>
                  <w:i w:val="false"/>
                  <w:caps w:val="false"/>
                  <w:smallCaps w:val="false"/>
                  <w:sz w:val="20"/>
                </w:rPr>
                <w:t>Employment Agreement between Consolidated-Tomoka Land Co.( now CTO Realty Growth, Inc.) and Daniel E. Smith entered into October 22, 2014, filed as Exhibit 10.24 to the registrant’s Annual Report on Form 10-K for the year ended December 31, 2014,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6">
              <w:r>
                <w:rPr>
                  <w:rStyle w:val="InternetLink"/>
                  <w:rFonts w:ascii="Times New Roman;Times;serif" w:hAnsi="Times New Roman;Times;serif"/>
                  <w:b w:val="false"/>
                  <w:i w:val="false"/>
                  <w:caps w:val="false"/>
                  <w:smallCaps w:val="false"/>
                  <w:sz w:val="20"/>
                </w:rPr>
                <w:t>Second Amended and Restated Credit Agreement, which supersedes the Company’s existing Amended and Restated Credit Agreement, with Bank of Montreal and the other lenders thereunder, with BMO acting as Administrative Agent, dated September 7, 2017, filed as Exhibit 10.1 to the registrant’s Current Report on Form 8-K filed September 13, 2017,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7">
              <w:r>
                <w:rPr>
                  <w:rStyle w:val="InternetLink"/>
                  <w:rFonts w:ascii="Times New Roman;Times;serif" w:hAnsi="Times New Roman;Times;serif"/>
                  <w:b w:val="false"/>
                  <w:i w:val="false"/>
                  <w:caps w:val="false"/>
                  <w:smallCaps w:val="false"/>
                  <w:sz w:val="20"/>
                </w:rPr>
                <w:t>Second Amendment to Second Amended and Restated Credit Agreement Dated May 24, 2019, filed as Exhibit 10.1 to the registrant’s Current Report on Form 8-K filed June 3, 2019,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8">
              <w:r>
                <w:rPr>
                  <w:rStyle w:val="InternetLink"/>
                  <w:rFonts w:ascii="Times New Roman;Times;serif" w:hAnsi="Times New Roman;Times;serif"/>
                  <w:b w:val="false"/>
                  <w:i w:val="false"/>
                  <w:caps w:val="false"/>
                  <w:smallCaps w:val="false"/>
                  <w:sz w:val="20"/>
                </w:rPr>
                <w:t>Third Amendment to Second Amended and Restated Credit Agreement Dated November 26, 2019 filed as Exhibit 10.1 to the registrant’s Current Report on Form 8-K filed November 27, 2019,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29">
              <w:r>
                <w:rPr>
                  <w:rStyle w:val="InternetLink"/>
                  <w:rFonts w:ascii="Times New Roman;Times;serif" w:hAnsi="Times New Roman;Times;serif"/>
                  <w:b w:val="false"/>
                  <w:i w:val="false"/>
                  <w:caps w:val="false"/>
                  <w:smallCaps w:val="false"/>
                  <w:sz w:val="20"/>
                </w:rPr>
                <w:t>Fourth Amendment to Second Amended and Restated Credit Agreement between CTO Realty Growth, Inc., the Borrower, the Guarantors party thereto, the Lenders party thereto and Bank of Montreal, as Administrative Agent, dated July 1, 2020 filed as Exhibit 10.34 to registrant’s Quarterly Report on Form 10-Q filed August 7, 2020,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0">
              <w:r>
                <w:rPr>
                  <w:rStyle w:val="InternetLink"/>
                  <w:rFonts w:ascii="Times New Roman;Times;serif" w:hAnsi="Times New Roman;Times;serif"/>
                  <w:b w:val="false"/>
                  <w:i w:val="false"/>
                  <w:caps w:val="false"/>
                  <w:smallCaps w:val="false"/>
                  <w:sz w:val="20"/>
                </w:rPr>
                <w:t>Fifth Amendment to Second Amended and Restated Credit Agreement between CTO Realty Growth, Inc., the Borrower, the Guarantors party thereto, the Lenders party thereto and Bank of Montreal, as Administrative Agent, dated November 9, 2020, filed as Exhibit 10.1 to registrant’s Current Report on Form 8-K filed November 13, 2020,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1">
              <w:r>
                <w:rPr>
                  <w:rStyle w:val="InternetLink"/>
                  <w:rFonts w:ascii="Times New Roman;Times;serif" w:hAnsi="Times New Roman;Times;serif"/>
                  <w:b w:val="false"/>
                  <w:i w:val="false"/>
                  <w:caps w:val="false"/>
                  <w:smallCaps w:val="false"/>
                  <w:sz w:val="20"/>
                </w:rPr>
                <w:t>Sixth Amendment to Second Amended and Restated Credit Agreement and Joinder Dated March 10, 2021 filed as Exhibit 10.1 to the registrant’s Current Report on Form 8-K filed March 12, 2021,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2">
              <w:r>
                <w:rPr>
                  <w:rStyle w:val="InternetLink"/>
                  <w:rFonts w:ascii="Times New Roman;Times;serif" w:hAnsi="Times New Roman;Times;serif"/>
                  <w:b w:val="false"/>
                  <w:i w:val="false"/>
                  <w:caps w:val="false"/>
                  <w:smallCaps w:val="false"/>
                  <w:sz w:val="20"/>
                </w:rPr>
                <w:t>Seventh Amendment to Second Amended and Restated Credit Agreement and Joinder Dated November 5, 2021 filed as Exhibit 10.19 to the registrant’s Annual Report on Form 10-K for the year ended December 31, 2021,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3">
              <w:r>
                <w:rPr>
                  <w:rStyle w:val="InternetLink"/>
                  <w:rFonts w:ascii="Times New Roman;Times;serif" w:hAnsi="Times New Roman;Times;serif"/>
                  <w:b w:val="false"/>
                  <w:i w:val="false"/>
                  <w:caps w:val="false"/>
                  <w:smallCaps w:val="false"/>
                  <w:sz w:val="20"/>
                </w:rPr>
                <w:t>Eighth Amendment to Second Amended and Restated Credit Agreement and Joinder Dated September 20, 2022 filed as Exhibit 10.1 to the registrant’s Current Report on Form 8-K filed on September 23, 2022,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4">
              <w:r>
                <w:rPr>
                  <w:rStyle w:val="InternetLink"/>
                  <w:rFonts w:ascii="Times New Roman;Times;serif" w:hAnsi="Times New Roman;Times;serif"/>
                  <w:b w:val="false"/>
                  <w:i w:val="false"/>
                  <w:caps w:val="false"/>
                  <w:smallCaps w:val="false"/>
                  <w:sz w:val="20"/>
                </w:rPr>
                <w:t>Tax Protection Agreement among Alpine Income Property Trust, Inc., Alpine Income Property Trust OP, LP, Consolidated-Tomoka Land Co.( now CTO Realty Growth, Inc.) and Indigo Group Ltd. filed as Exhibit 10.4 to the registrant’s Current Report on Form 8-K filed November 27, 2019,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5">
              <w:r>
                <w:rPr>
                  <w:rStyle w:val="InternetLink"/>
                  <w:rFonts w:ascii="Times New Roman;Times;serif" w:hAnsi="Times New Roman;Times;serif"/>
                  <w:b w:val="false"/>
                  <w:i w:val="false"/>
                  <w:caps w:val="false"/>
                  <w:smallCaps w:val="false"/>
                  <w:sz w:val="20"/>
                </w:rPr>
                <w:t>Management Agreement among Alpine Income Property Trust, Inc., Alpine Income Property OP, LP and Alpine Income Property Manager, LLC filed as Exhibit 10.2 to the registrant’s Current Report on Form 8-K filed November 27, 2019,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r>
              <w:rPr/>
              <w:t>​</w:t>
            </w:r>
          </w:p>
        </w:tc>
      </w:tr>
      <w:tr>
        <w:trPr/>
        <w:tc>
          <w:tcPr>
            <w:tcW w:w="765"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0" w:right="0" w:hanging="0"/>
              <w:jc w:val="left"/>
              <w:rPr/>
            </w:pPr>
            <w:hyperlink r:id="rId36">
              <w:r>
                <w:rPr>
                  <w:rStyle w:val="InternetLink"/>
                  <w:rFonts w:ascii="Times New Roman;Times;serif" w:hAnsi="Times New Roman;Times;serif"/>
                  <w:b w:val="false"/>
                  <w:i w:val="false"/>
                  <w:caps w:val="false"/>
                  <w:smallCaps w:val="false"/>
                  <w:sz w:val="20"/>
                </w:rPr>
                <w:t>Exclusivity and Right of First Offer Agreement between Alpine Income Property Trust, Inc. and Consolidated-Tomoka Land Co.( now CTO Realty Growth, Inc.) filed as Exhibit 10.3 to the registrant’s Current Report on Form 8-K filed November 27, 2019, and incorporated herein by reference.</w:t>
              </w:r>
            </w:hyperlink>
          </w:p>
        </w:tc>
      </w:tr>
      <w:tr>
        <w:trPr/>
        <w:tc>
          <w:tcPr>
            <w:tcW w:w="765"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31" w:type="dxa"/>
            <w:tcBorders/>
            <w:vAlign w:val="center"/>
          </w:tcPr>
          <w:p>
            <w:pPr>
              <w:pStyle w:val="TableContents"/>
              <w:bidi w:val="0"/>
              <w:spacing w:lineRule="auto" w:line="283" w:before="0" w:after="0"/>
              <w:ind w:left="75"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7"/>
        <w:gridCol w:w="109"/>
        <w:gridCol w:w="9172"/>
        <w:gridCol w:w="157"/>
      </w:tblGrid>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37">
              <w:r>
                <w:rPr>
                  <w:rStyle w:val="InternetLink"/>
                  <w:rFonts w:ascii="Times New Roman;Times;serif" w:hAnsi="Times New Roman;Times;serif"/>
                  <w:b w:val="false"/>
                  <w:i w:val="false"/>
                  <w:caps w:val="false"/>
                  <w:smallCaps w:val="false"/>
                  <w:sz w:val="20"/>
                </w:rPr>
                <w:t>Form of February 14, 2024 Performance Share Award Agreement, filed as Exhibit 10.28 to the registrant’s Annual Report on Form 10-K for the year ended December 31, 2023, and incorporated herein by reference.</w:t>
              </w:r>
            </w:hyperlink>
            <w:r>
              <w:rPr>
                <w:rFonts w:ascii="Times New Roman;Times;serif" w:hAnsi="Times New Roman;Times;serif"/>
                <w:sz w:val="20"/>
              </w:rPr>
              <w:t xml:space="preserve"> </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38">
              <w:r>
                <w:rPr>
                  <w:rStyle w:val="InternetLink"/>
                  <w:rFonts w:ascii="Times New Roman;Times;serif" w:hAnsi="Times New Roman;Times;serif"/>
                  <w:b w:val="false"/>
                  <w:i w:val="false"/>
                  <w:caps w:val="false"/>
                  <w:smallCaps w:val="false"/>
                  <w:sz w:val="20"/>
                </w:rPr>
                <w:t>Ninth Amendment to Second Amended and Restated Credit Agreement, Release and Joinder Dated December 20, 2023, filed as Exhibit 10.29 to the registrant’s Annual Report on Form 10-K for the year ended December 31, 2023,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39">
              <w:r>
                <w:rPr>
                  <w:rStyle w:val="InternetLink"/>
                  <w:rFonts w:ascii="Times New Roman;Times;serif" w:hAnsi="Times New Roman;Times;serif"/>
                  <w:b w:val="false"/>
                  <w:i w:val="false"/>
                  <w:caps w:val="false"/>
                  <w:smallCaps w:val="false"/>
                  <w:sz w:val="20"/>
                </w:rPr>
                <w:t>Employment Agreement between CTO Realty Growth, Inc. and Philip R. Mays entered into May 29, 2024, filed as Exhibit 10.1 to the registrant’s Current Report on Form 8-K filed May 31, 2024,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40">
              <w:r>
                <w:rPr>
                  <w:rStyle w:val="InternetLink"/>
                  <w:rFonts w:ascii="Times New Roman;Times;serif" w:hAnsi="Times New Roman;Times;serif"/>
                  <w:b w:val="false"/>
                  <w:i w:val="false"/>
                  <w:caps w:val="false"/>
                  <w:smallCaps w:val="false"/>
                  <w:sz w:val="20"/>
                </w:rPr>
                <w:t>Amendment No. 1 to Management Agreement among Alpine Income Property Trust, Inc., Alpine Income Property OP, LP and Alpine Income Property Manager, LLC, dated July 18, 2024, filed as Exhibit 10.1 to the registrant’s Current Report on Form 8-K filed July 19, 2024, and incorporated herein by reference.</w:t>
              </w:r>
            </w:hyperlink>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1">
              <w:r>
                <w:rPr>
                  <w:rStyle w:val="InternetLink"/>
                  <w:rFonts w:ascii="Times New Roman;Times;serif" w:hAnsi="Times New Roman;Times;serif"/>
                  <w:b w:val="false"/>
                  <w:i w:val="false"/>
                  <w:caps w:val="false"/>
                  <w:smallCaps w:val="false"/>
                  <w:sz w:val="20"/>
                </w:rPr>
                <w:t>Credit Agreement between CTO Realty Growth, Inc., the Borrower, the Guarantors party thereto, the Lenders party thereto and KeyBank National Association, as Administrative Agent, dated September 30, 2024, filed as Exhibit 10.2 to the registrant’s Quarterly Report on Form 10-Q filed October 24, 2024, and incorporated herein by reference.</w:t>
              </w:r>
            </w:hyperlink>
            <w:r>
              <w:rPr>
                <w:rFonts w:ascii="Times New Roman;Times;serif" w:hAnsi="Times New Roman;Times;serif"/>
                <w:sz w:val="20"/>
              </w:rPr>
              <w:t xml:space="preserve"> </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2">
              <w:r>
                <w:rPr>
                  <w:rStyle w:val="InternetLink"/>
                  <w:rFonts w:ascii="Times New Roman;Times;serif" w:hAnsi="Times New Roman;Times;serif"/>
                  <w:b w:val="false"/>
                  <w:i w:val="false"/>
                  <w:caps w:val="false"/>
                  <w:smallCaps w:val="false"/>
                  <w:sz w:val="20"/>
                </w:rPr>
                <w:t>Employment Agreement between CTO Realty Growth, Inc. and Lisa M. Vorakoun entered into October 22, 2024, filed as Exhibit 10.3 to the registrant’s Quarterly Report on Form 10-Q filed October 24, 2024,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3">
              <w:r>
                <w:rPr>
                  <w:rStyle w:val="InternetLink"/>
                  <w:rFonts w:ascii="Times New Roman;Times;serif" w:hAnsi="Times New Roman;Times;serif"/>
                  <w:b w:val="false"/>
                  <w:i w:val="false"/>
                  <w:caps w:val="false"/>
                  <w:smallCaps w:val="false"/>
                  <w:sz w:val="20"/>
                </w:rPr>
                <w:t>First Amendment to Second Amended and Restated Employment Agreement between CTO Realty Growth, Inc. and John P. Albright entered into October 22, 2024, filed as Exhibit 10.4 to the registrant’s Quarterly Report on Form 10-Q filed October 24, 2024,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4">
              <w:r>
                <w:rPr>
                  <w:rStyle w:val="InternetLink"/>
                  <w:rFonts w:ascii="Times New Roman;Times;serif" w:hAnsi="Times New Roman;Times;serif"/>
                  <w:b w:val="false"/>
                  <w:i w:val="false"/>
                  <w:caps w:val="false"/>
                  <w:smallCaps w:val="false"/>
                  <w:sz w:val="20"/>
                </w:rPr>
                <w:t>Second Amendment to Employment Agreement between CTO Realty Growth, Inc. and Steven R. Greathouse entered into October 22, 2024, filed as Exhibit 10.5 to the registrant’s Quarterly Report on Form 10-Q filed October 24, 2024,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9" w:type="dxa"/>
            <w:gridSpan w:val="2"/>
            <w:tcBorders/>
            <w:vAlign w:val="center"/>
          </w:tcPr>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5">
              <w:r>
                <w:rPr>
                  <w:rStyle w:val="InternetLink"/>
                  <w:rFonts w:ascii="Times New Roman;Times;serif" w:hAnsi="Times New Roman;Times;serif"/>
                  <w:b w:val="false"/>
                  <w:i w:val="false"/>
                  <w:caps w:val="false"/>
                  <w:smallCaps w:val="false"/>
                  <w:sz w:val="20"/>
                </w:rPr>
                <w:t>Third Amendment to Employment Agreement between CTO Realty Growth, Inc. and Daniel E. Smith entered into October 22, 2024, filed as Exhibit 10.6 to the registrant’s Quarterly Report on Form 10-Q filed October 24, 2024,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6">
              <w:r>
                <w:rPr>
                  <w:rStyle w:val="InternetLink"/>
                  <w:rFonts w:ascii="Times New Roman;Times;serif" w:hAnsi="Times New Roman;Times;serif"/>
                  <w:b w:val="false"/>
                  <w:i w:val="false"/>
                  <w:caps w:val="false"/>
                  <w:smallCaps w:val="false"/>
                  <w:sz w:val="20"/>
                </w:rPr>
                <w:t>Employment Agreement between CTO Realty Growth, Inc. and Steven R. Greathouse entered into February 26, 2016, filed as Exhibit 10.34 to the registrant’s Annual Report on Form 10-K filed February 20, 2025,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lineRule="auto" w:line="280" w:before="0" w:after="0"/>
              <w:ind w:left="0" w:right="0" w:hanging="0"/>
              <w:jc w:val="left"/>
              <w:rPr/>
            </w:pPr>
            <w:r>
              <w:rPr/>
              <w:t>​</w:t>
            </w:r>
          </w:p>
        </w:tc>
        <w:tc>
          <w:tcPr>
            <w:tcW w:w="9172" w:type="dxa"/>
            <w:tcBorders/>
            <w:vAlign w:val="center"/>
          </w:tcPr>
          <w:p>
            <w:pPr>
              <w:pStyle w:val="TableContents"/>
              <w:bidi w:val="0"/>
              <w:spacing w:lineRule="auto" w:line="280" w:before="0" w:after="0"/>
              <w:ind w:left="0" w:right="0" w:hanging="0"/>
              <w:jc w:val="left"/>
              <w:rPr/>
            </w:pPr>
            <w:hyperlink r:id="rId47">
              <w:r>
                <w:rPr>
                  <w:rStyle w:val="InternetLink"/>
                  <w:rFonts w:ascii="Times New Roman;Times;serif" w:hAnsi="Times New Roman;Times;serif"/>
                  <w:b w:val="false"/>
                  <w:i w:val="false"/>
                  <w:caps w:val="false"/>
                  <w:smallCaps w:val="false"/>
                  <w:sz w:val="20"/>
                </w:rPr>
                <w:t>First Amendment to Employment Agreement between CTO Realty Growth, Inc. and Steven R. Greathouse entered into August 4, 2017, filed as Exhibit 10.35 to the registrant’s Annual Report on Form 10-K filed February 20, 2025, and incorporated herein by reference.</w:t>
              </w:r>
            </w:hyperlink>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172" w:type="dxa"/>
            <w:tcBorders/>
            <w:vAlign w:val="center"/>
          </w:tcPr>
          <w:p>
            <w:pPr>
              <w:pStyle w:val="TableContents"/>
              <w:bidi w:val="0"/>
              <w:spacing w:before="0" w:after="283"/>
              <w:ind w:left="0" w:right="0" w:hanging="0"/>
              <w:jc w:val="left"/>
              <w:rPr>
                <w:sz w:val="4"/>
                <w:szCs w:val="4"/>
              </w:rPr>
            </w:pPr>
            <w:r>
              <w:rPr>
                <w:sz w:val="4"/>
                <w:szCs w:val="4"/>
              </w:rPr>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48">
              <w:r>
                <w:rPr>
                  <w:rStyle w:val="InternetLink"/>
                  <w:rFonts w:ascii="Times New Roman;Times;serif" w:hAnsi="Times New Roman;Times;serif"/>
                  <w:b w:val="false"/>
                  <w:i w:val="false"/>
                  <w:caps w:val="false"/>
                  <w:smallCaps w:val="false"/>
                  <w:sz w:val="20"/>
                </w:rPr>
                <w:t>First Amendment to Employment Agreement between CTO Realty Growth, Inc. and Daniel E. Smith entered into February 26, 2016, filed as Exhibit 10.36 to the registrant’s Annual Report on Form 10-K filed February 20, 2025, and incorporated herein by reference</w:t>
              </w:r>
            </w:hyperlink>
            <w:r>
              <w:rPr>
                <w:rFonts w:ascii="Times New Roman;Times;serif" w:hAnsi="Times New Roman;Times;serif"/>
                <w:sz w:val="20"/>
              </w:rPr>
              <w:t>.</w:t>
            </w:r>
          </w:p>
        </w:tc>
      </w:tr>
      <w:tr>
        <w:trPr/>
        <w:tc>
          <w:tcPr>
            <w:tcW w:w="76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172" w:type="dxa"/>
            <w:tcBorders/>
            <w:vAlign w:val="center"/>
          </w:tcPr>
          <w:p>
            <w:pPr>
              <w:pStyle w:val="TableContents"/>
              <w:bidi w:val="0"/>
              <w:spacing w:before="0" w:after="283"/>
              <w:ind w:left="0" w:right="0" w:hanging="0"/>
              <w:jc w:val="left"/>
              <w:rPr>
                <w:sz w:val="4"/>
                <w:szCs w:val="4"/>
              </w:rPr>
            </w:pPr>
            <w:r>
              <w:rPr>
                <w:sz w:val="4"/>
                <w:szCs w:val="4"/>
              </w:rPr>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*(10.36)</w:t>
            </w:r>
          </w:p>
        </w:tc>
        <w:tc>
          <w:tcPr>
            <w:tcW w:w="109" w:type="dxa"/>
            <w:tcBorders/>
            <w:vAlign w:val="center"/>
          </w:tcPr>
          <w:p>
            <w:pPr>
              <w:pStyle w:val="TableContents"/>
              <w:bidi w:val="0"/>
              <w:spacing w:lineRule="auto" w:line="280" w:before="0" w:after="0"/>
              <w:ind w:left="0" w:right="0" w:hanging="0"/>
              <w:jc w:val="left"/>
              <w:rPr/>
            </w:pPr>
            <w:r>
              <w:rPr/>
              <w:t>​</w:t>
            </w:r>
          </w:p>
        </w:tc>
        <w:tc>
          <w:tcPr>
            <w:tcW w:w="9329" w:type="dxa"/>
            <w:gridSpan w:val="2"/>
            <w:tcBorders/>
            <w:vAlign w:val="center"/>
          </w:tcPr>
          <w:p>
            <w:pPr>
              <w:pStyle w:val="TableContents"/>
              <w:bidi w:val="0"/>
              <w:spacing w:lineRule="auto" w:line="273" w:before="0" w:after="0"/>
              <w:ind w:left="0" w:right="0" w:hanging="0"/>
              <w:jc w:val="left"/>
              <w:rPr/>
            </w:pPr>
            <w:hyperlink r:id="rId49">
              <w:r>
                <w:rPr>
                  <w:rStyle w:val="InternetLink"/>
                  <w:rFonts w:ascii="Times New Roman;Times;serif" w:hAnsi="Times New Roman;Times;serif"/>
                  <w:b w:val="false"/>
                  <w:i w:val="false"/>
                  <w:caps w:val="false"/>
                  <w:smallCaps w:val="false"/>
                  <w:sz w:val="20"/>
                </w:rPr>
                <w:t>Second Amendment to Employment Agreement between CTO Realty Growth, Inc. and Daniel E. Smith entered into August 4, 2017, filed as Exhibit 10.37 to the registrant’s Annual Report on Form 10-K filed February 20, 2025, and incorporated herein by reference</w:t>
              </w:r>
            </w:hyperlink>
            <w:r>
              <w:rPr>
                <w:rFonts w:ascii="Times New Roman;Times;serif" w:hAnsi="Times New Roman;Times;serif"/>
                <w:sz w:val="20"/>
              </w:rPr>
              <w:t>.</w:t>
            </w:r>
          </w:p>
          <w:p>
            <w:pPr>
              <w:pStyle w:val="TableContents"/>
              <w:pBdr/>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both"/>
              <w:rPr/>
            </w:pPr>
            <w:r>
              <w:rPr/>
              <w:t>​</w:t>
            </w:r>
          </w:p>
        </w:tc>
        <w:tc>
          <w:tcPr>
            <w:tcW w:w="9329" w:type="dxa"/>
            <w:gridSpan w:val="2"/>
            <w:tcBorders/>
            <w:vAlign w:val="center"/>
          </w:tcPr>
          <w:p>
            <w:pPr>
              <w:pStyle w:val="TableContents"/>
              <w:pBdr/>
              <w:bidi w:val="0"/>
              <w:spacing w:lineRule="auto" w:line="283" w:before="0" w:after="0"/>
              <w:ind w:left="0" w:right="0" w:hanging="0"/>
              <w:jc w:val="both"/>
              <w:rPr/>
            </w:pPr>
            <w:r>
              <w:rPr/>
              <w:t>​</w:t>
            </w:r>
          </w:p>
        </w:tc>
      </w:tr>
      <w:tr>
        <w:trPr/>
        <w:tc>
          <w:tcPr>
            <w:tcW w:w="767"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(10.37)</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hyperlink r:id="rId50">
              <w:r>
                <w:rPr>
                  <w:rStyle w:val="InternetLink"/>
                  <w:rFonts w:ascii="Times New Roman;Times;serif" w:hAnsi="Times New Roman;Times;serif"/>
                  <w:b w:val="false"/>
                  <w:i w:val="false"/>
                  <w:caps w:val="false"/>
                  <w:smallCaps w:val="false"/>
                  <w:sz w:val="20"/>
                </w:rPr>
                <w:t>First Amendment to Credit Agreement between CTO Realty Growth, Inc., the Borrower, the Guarantors party thereto, the Lenders party thereto and Key Bank National Association, as Administrative Agent, dated December 20, 2024, filed as Exhibit 10.38 to the registrant’s Annual Report on Form 10-K filed February 20, 2025, and incorporated herein by reference</w:t>
              </w:r>
            </w:hyperlink>
            <w:r>
              <w:rPr>
                <w:rFonts w:ascii="Times New Roman;Times;serif" w:hAnsi="Times New Roman;Times;serif"/>
                <w:sz w:val="20"/>
              </w:rPr>
              <w:t>.</w:t>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9" w:type="dxa"/>
            <w:gridSpan w:val="2"/>
            <w:tcBorders/>
            <w:vAlign w:val="center"/>
          </w:tcPr>
          <w:p>
            <w:pPr>
              <w:pStyle w:val="TableContents"/>
              <w:bidi w:val="0"/>
              <w:spacing w:lineRule="auto" w:line="283" w:before="0" w:after="0"/>
              <w:ind w:left="0" w:right="0" w:hanging="0"/>
              <w:jc w:val="left"/>
              <w:rPr/>
            </w:pPr>
            <w:r>
              <w:rPr/>
              <w:t>​</w:t>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lineRule="auto" w:line="283" w:before="0" w:after="0"/>
              <w:ind w:left="0" w:right="0" w:hanging="0"/>
              <w:jc w:val="left"/>
              <w:rPr/>
            </w:pPr>
            <w:r>
              <w:rPr/>
              <w:t>​</w:t>
            </w:r>
          </w:p>
        </w:tc>
        <w:tc>
          <w:tcPr>
            <w:tcW w:w="9172" w:type="dxa"/>
            <w:tcBorders/>
            <w:vAlign w:val="center"/>
          </w:tcPr>
          <w:p>
            <w:pPr>
              <w:pStyle w:val="TableContents"/>
              <w:bidi w:val="0"/>
              <w:spacing w:lineRule="auto" w:line="283" w:before="0" w:after="0"/>
              <w:ind w:left="0" w:right="0" w:hanging="0"/>
              <w:jc w:val="left"/>
              <w:rPr/>
            </w:pPr>
            <w:hyperlink r:id="rId51">
              <w:r>
                <w:rPr>
                  <w:rStyle w:val="InternetLink"/>
                  <w:rFonts w:ascii="Times New Roman;Times;serif" w:hAnsi="Times New Roman;Times;serif"/>
                  <w:b w:val="false"/>
                  <w:i w:val="false"/>
                  <w:caps w:val="false"/>
                  <w:smallCaps w:val="false"/>
                  <w:sz w:val="20"/>
                </w:rPr>
                <w:t>Tenth Amendment to Second Amended and Restated Credit Agreement, Release and Joinder Dated December 20, 2024, filed as Exhibit 10.39 to the registrant’s Annual Report on Form 10-K filed February 20, 2025, and incorporated herein by reference</w:t>
              </w:r>
            </w:hyperlink>
            <w:r>
              <w:rPr>
                <w:rFonts w:ascii="Times New Roman;Times;serif" w:hAnsi="Times New Roman;Times;serif"/>
                <w:sz w:val="20"/>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2" w:type="dxa"/>
            <w:tcBorders/>
            <w:vAlign w:val="center"/>
          </w:tcPr>
          <w:p>
            <w:pPr>
              <w:pStyle w:val="TableContents"/>
              <w:bidi w:val="0"/>
              <w:spacing w:lineRule="auto" w:line="283" w:before="0" w:after="0"/>
              <w:ind w:left="0" w:right="0" w:hanging="0"/>
              <w:jc w:val="left"/>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67"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*(10.39)</w:t>
            </w:r>
          </w:p>
        </w:tc>
        <w:tc>
          <w:tcPr>
            <w:tcW w:w="109" w:type="dxa"/>
            <w:tcBorders/>
            <w:vAlign w:val="center"/>
          </w:tcPr>
          <w:p>
            <w:pPr>
              <w:pStyle w:val="TableContents"/>
              <w:bidi w:val="0"/>
              <w:spacing w:lineRule="auto" w:line="283" w:before="0" w:after="0"/>
              <w:ind w:left="0" w:right="0" w:hanging="0"/>
              <w:jc w:val="left"/>
              <w:rPr/>
            </w:pPr>
            <w:r>
              <w:rPr/>
              <w:t>​</w:t>
            </w:r>
          </w:p>
        </w:tc>
        <w:tc>
          <w:tcPr>
            <w:tcW w:w="9172" w:type="dxa"/>
            <w:tcBorders/>
            <w:vAlign w:val="center"/>
          </w:tcPr>
          <w:p>
            <w:pPr>
              <w:pStyle w:val="TableContents"/>
              <w:bidi w:val="0"/>
              <w:spacing w:lineRule="auto" w:line="283" w:before="0" w:after="0"/>
              <w:ind w:left="0" w:right="0" w:hanging="0"/>
              <w:jc w:val="left"/>
              <w:rPr/>
            </w:pPr>
            <w:hyperlink r:id="rId52">
              <w:r>
                <w:rPr>
                  <w:rStyle w:val="InternetLink"/>
                  <w:rFonts w:ascii="Times New Roman;Times;serif" w:hAnsi="Times New Roman;Times;serif"/>
                  <w:b w:val="false"/>
                  <w:i w:val="false"/>
                  <w:caps w:val="false"/>
                  <w:smallCaps w:val="false"/>
                  <w:sz w:val="20"/>
                </w:rPr>
                <w:t>Form of February 12, 2025 Non-Employee Director Stock Award Agreement, filed as Exhibit 10.40 to the registrant’s Annual Report on Form 10-K filed February 20, 2025, and incorporated herein by reference</w:t>
              </w:r>
            </w:hyperlink>
            <w:r>
              <w:rPr>
                <w:rFonts w:ascii="Times New Roman;Times;serif" w:hAnsi="Times New Roman;Times;serif"/>
                <w:sz w:val="20"/>
              </w:rPr>
              <w:t xml:space="preserve">. </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8"/>
        <w:gridCol w:w="109"/>
        <w:gridCol w:w="9173"/>
        <w:gridCol w:w="155"/>
      </w:tblGrid>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hyperlink r:id="rId53">
              <w:r>
                <w:rPr>
                  <w:rStyle w:val="InternetLink"/>
                  <w:rFonts w:ascii="Times New Roman;Times;serif" w:hAnsi="Times New Roman;Times;serif"/>
                  <w:b w:val="false"/>
                  <w:i w:val="false"/>
                  <w:caps w:val="false"/>
                  <w:smallCaps w:val="false"/>
                  <w:sz w:val="20"/>
                </w:rPr>
                <w:t>Form of February 12, 2025 Performance Share Award Agreement, filed as Exhibit 10.41 to the registrant’s Annual Report on Form 10-K filed February 20, 2025, and incorporated herein by reference</w:t>
              </w:r>
            </w:hyperlink>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(10.41)</w:t>
            </w:r>
          </w:p>
        </w:tc>
        <w:tc>
          <w:tcPr>
            <w:tcW w:w="109" w:type="dxa"/>
            <w:tcBorders/>
            <w:vAlign w:val="center"/>
          </w:tcPr>
          <w:p>
            <w:pPr>
              <w:pStyle w:val="TableContents"/>
              <w:bidi w:val="0"/>
              <w:spacing w:lineRule="auto" w:line="280" w:before="0" w:after="0"/>
              <w:ind w:left="0" w:right="0" w:hanging="0"/>
              <w:jc w:val="left"/>
              <w:rPr/>
            </w:pPr>
            <w:r>
              <w:rPr/>
              <w:t>​</w:t>
            </w:r>
          </w:p>
        </w:tc>
        <w:tc>
          <w:tcPr>
            <w:tcW w:w="9173" w:type="dxa"/>
            <w:tcBorders/>
            <w:vAlign w:val="center"/>
          </w:tcPr>
          <w:p>
            <w:pPr>
              <w:pStyle w:val="TableContents"/>
              <w:bidi w:val="0"/>
              <w:spacing w:lineRule="auto" w:line="280" w:before="0" w:after="0"/>
              <w:ind w:left="0" w:right="0" w:hanging="0"/>
              <w:jc w:val="left"/>
              <w:rPr/>
            </w:pPr>
            <w:hyperlink r:id="rId54">
              <w:r>
                <w:rPr>
                  <w:rStyle w:val="InternetLink"/>
                  <w:rFonts w:ascii="Times New Roman;Times;serif" w:hAnsi="Times New Roman;Times;serif"/>
                  <w:b w:val="false"/>
                  <w:i w:val="false"/>
                  <w:caps w:val="false"/>
                  <w:smallCaps w:val="false"/>
                  <w:sz w:val="20"/>
                </w:rPr>
                <w:t>Second Amendment to Credit Agreement among CTO Realty Growth, Inc., the Guarantors party thereto, the Lenders party thereto and KeyBank National Association, as Administrative Agent, dated September 25, 2025, filed as Exhibit 10.1 to the registrant’s Quarterly Report on Form 10-Q filed October 28, 2025, and incorporated herein by reference</w:t>
              </w:r>
            </w:hyperlink>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hyperlink r:id="rId55">
              <w:r>
                <w:rPr>
                  <w:rStyle w:val="InternetLink"/>
                  <w:rFonts w:ascii="Times New Roman;Times;serif" w:hAnsi="Times New Roman;Times;serif"/>
                  <w:b w:val="false"/>
                  <w:i w:val="false"/>
                  <w:caps w:val="false"/>
                  <w:smallCaps w:val="false"/>
                  <w:sz w:val="20"/>
                </w:rPr>
                <w:t>Waiver Letter, dated November 5, 2025, filed as Exhibit 10.1 to the registrant’s Current Report on Form 8-K filed November 10, 2025, and incorporated herein by reference</w:t>
              </w:r>
            </w:hyperlink>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lineRule="auto" w:line="280" w:before="0" w:after="0"/>
              <w:ind w:left="0" w:right="0" w:hanging="0"/>
              <w:jc w:val="left"/>
              <w:rPr/>
            </w:pPr>
            <w:r>
              <w:rPr/>
              <w:t>​</w:t>
            </w:r>
          </w:p>
        </w:tc>
        <w:tc>
          <w:tcPr>
            <w:tcW w:w="9328" w:type="dxa"/>
            <w:gridSpan w:val="2"/>
            <w:tcBorders/>
            <w:vAlign w:val="center"/>
          </w:tcPr>
          <w:p>
            <w:pPr>
              <w:pStyle w:val="TableContents"/>
              <w:bidi w:val="0"/>
              <w:spacing w:lineRule="auto" w:line="280" w:before="0" w:after="0"/>
              <w:ind w:left="0" w:right="0" w:hanging="0"/>
              <w:jc w:val="left"/>
              <w:rPr/>
            </w:pPr>
            <w:hyperlink w:anchor="cto-20251231xex10d43.htm">
              <w:r>
                <w:rPr>
                  <w:rStyle w:val="InternetLink"/>
                  <w:rFonts w:ascii="Times New Roman;Times;serif" w:hAnsi="Times New Roman;Times;serif"/>
                  <w:b w:val="false"/>
                  <w:i w:val="false"/>
                  <w:caps w:val="false"/>
                  <w:smallCaps w:val="false"/>
                  <w:sz w:val="20"/>
                </w:rPr>
                <w:t>Waiver Letter, dated December 5, 2025 (filed herewith).</w:t>
              </w:r>
            </w:hyperlink>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r>
              <w:rPr/>
              <w:t>​</w:t>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hyperlink w:anchor="cto-20251231xex10d44.htm">
              <w:r>
                <w:rPr>
                  <w:rStyle w:val="InternetLink"/>
                  <w:rFonts w:ascii="Times New Roman;Times;serif" w:hAnsi="Times New Roman;Times;serif"/>
                  <w:b w:val="false"/>
                  <w:i w:val="false"/>
                  <w:caps w:val="false"/>
                  <w:smallCaps w:val="false"/>
                  <w:sz w:val="20"/>
                </w:rPr>
                <w:t>Form of February 11, 2026, 2026 Non-Employee Director Stock Award Agreement (filed herewith).</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(10.45)</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hyperlink w:anchor="cto-20251231xex10d45.htm">
              <w:r>
                <w:rPr>
                  <w:rStyle w:val="InternetLink"/>
                  <w:rFonts w:ascii="Times New Roman;Times;serif" w:hAnsi="Times New Roman;Times;serif"/>
                  <w:b w:val="false"/>
                  <w:i w:val="false"/>
                  <w:caps w:val="false"/>
                  <w:smallCaps w:val="false"/>
                  <w:sz w:val="20"/>
                </w:rPr>
                <w:t>Form of February 11, 2026, 2026 Performance Share Award Agreement (filed herewith).</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173" w:type="dxa"/>
            <w:tcBorders/>
            <w:vAlign w:val="center"/>
          </w:tcPr>
          <w:p>
            <w:pPr>
              <w:pStyle w:val="TableContents"/>
              <w:bidi w:val="0"/>
              <w:spacing w:lineRule="auto" w:line="283"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0"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lineRule="auto" w:line="280" w:before="0" w:after="0"/>
              <w:ind w:left="0" w:right="0" w:hanging="0"/>
              <w:jc w:val="left"/>
              <w:rPr/>
            </w:pPr>
            <w:r>
              <w:rPr/>
              <w:t>​</w:t>
            </w:r>
          </w:p>
        </w:tc>
        <w:tc>
          <w:tcPr>
            <w:tcW w:w="9173" w:type="dxa"/>
            <w:tcBorders/>
            <w:vAlign w:val="center"/>
          </w:tcPr>
          <w:p>
            <w:pPr>
              <w:pStyle w:val="TableContents"/>
              <w:bidi w:val="0"/>
              <w:spacing w:lineRule="auto" w:line="280" w:before="0" w:after="0"/>
              <w:ind w:left="0" w:right="0" w:hanging="0"/>
              <w:jc w:val="left"/>
              <w:rPr/>
            </w:pPr>
            <w:hyperlink w:anchor="cto-20251231xex19d1.htm">
              <w:r>
                <w:rPr>
                  <w:rStyle w:val="InternetLink"/>
                  <w:rFonts w:ascii="Times New Roman;Times;serif" w:hAnsi="Times New Roman;Times;serif"/>
                  <w:b w:val="false"/>
                  <w:i w:val="false"/>
                  <w:caps w:val="false"/>
                  <w:smallCaps w:val="false"/>
                  <w:sz w:val="20"/>
                </w:rPr>
                <w:t>Insider Trading Policy (filed herewith).</w:t>
              </w:r>
            </w:hyperlink>
            <w:r>
              <w:rPr>
                <w:rFonts w:ascii="Times New Roman;Times;serif" w:hAnsi="Times New Roman;Times;serif"/>
                <w:sz w:val="20"/>
              </w:rPr>
              <w:t xml:space="preserve">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0" w:before="0" w:after="0"/>
              <w:ind w:left="0" w:right="0" w:hanging="0"/>
              <w:jc w:val="left"/>
              <w:rPr/>
            </w:pPr>
            <w:r>
              <w:rPr/>
              <w:t>​</w:t>
            </w:r>
          </w:p>
        </w:tc>
        <w:tc>
          <w:tcPr>
            <w:tcW w:w="9173"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pBdr/>
              <w:bidi w:val="0"/>
              <w:spacing w:lineRule="auto" w:line="283" w:before="0" w:after="0"/>
              <w:ind w:left="0" w:right="0" w:hanging="0"/>
              <w:jc w:val="left"/>
              <w:rPr/>
            </w:pPr>
            <w:r>
              <w:rPr/>
              <w:t>​</w:t>
            </w:r>
          </w:p>
        </w:tc>
        <w:tc>
          <w:tcPr>
            <w:tcW w:w="9328" w:type="dxa"/>
            <w:gridSpan w:val="2"/>
            <w:tcBorders/>
            <w:vAlign w:val="center"/>
          </w:tcPr>
          <w:p>
            <w:pPr>
              <w:pStyle w:val="TableContents"/>
              <w:pBdr/>
              <w:bidi w:val="0"/>
              <w:spacing w:lineRule="auto" w:line="283" w:before="0" w:after="0"/>
              <w:ind w:left="0" w:right="0" w:hanging="0"/>
              <w:jc w:val="left"/>
              <w:rPr/>
            </w:pPr>
            <w:hyperlink w:anchor="cto-20251231xex21d1.htm">
              <w:r>
                <w:rPr>
                  <w:rStyle w:val="InternetLink"/>
                  <w:rFonts w:ascii="Times New Roman;Times;serif" w:hAnsi="Times New Roman;Times;serif"/>
                  <w:b w:val="false"/>
                  <w:i w:val="false"/>
                  <w:caps w:val="false"/>
                  <w:smallCaps w:val="false"/>
                  <w:sz w:val="20"/>
                </w:rPr>
                <w:t>Subsidiaries of the Registrant (filed herewith).</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0" w:before="0" w:after="0"/>
              <w:ind w:left="0" w:right="0" w:hanging="0"/>
              <w:jc w:val="left"/>
              <w:rPr/>
            </w:pPr>
            <w:r>
              <w:rPr/>
              <w:t>​</w:t>
            </w:r>
          </w:p>
        </w:tc>
        <w:tc>
          <w:tcPr>
            <w:tcW w:w="9173"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pBdr/>
              <w:bidi w:val="0"/>
              <w:spacing w:lineRule="auto" w:line="283" w:before="0" w:after="0"/>
              <w:ind w:left="0" w:right="0" w:hanging="0"/>
              <w:jc w:val="left"/>
              <w:rPr/>
            </w:pPr>
            <w:r>
              <w:rPr/>
              <w:t>​</w:t>
            </w:r>
          </w:p>
        </w:tc>
        <w:tc>
          <w:tcPr>
            <w:tcW w:w="9328" w:type="dxa"/>
            <w:gridSpan w:val="2"/>
            <w:tcBorders/>
            <w:vAlign w:val="center"/>
          </w:tcPr>
          <w:p>
            <w:pPr>
              <w:pStyle w:val="TableContents"/>
              <w:pBdr/>
              <w:bidi w:val="0"/>
              <w:spacing w:lineRule="auto" w:line="283" w:before="0" w:after="0"/>
              <w:ind w:left="0" w:right="0" w:hanging="0"/>
              <w:jc w:val="left"/>
              <w:rPr/>
            </w:pPr>
            <w:hyperlink w:anchor="cto-20251231xex23d1.htm">
              <w:r>
                <w:rPr>
                  <w:rStyle w:val="InternetLink"/>
                  <w:rFonts w:ascii="Times New Roman;Times;serif" w:hAnsi="Times New Roman;Times;serif"/>
                  <w:b w:val="false"/>
                  <w:i w:val="false"/>
                  <w:caps w:val="false"/>
                  <w:smallCaps w:val="false"/>
                  <w:sz w:val="20"/>
                </w:rPr>
                <w:t>Consent of Independent Registered Public Accounting Firm (filed herewith).</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0" w:before="0" w:after="0"/>
              <w:ind w:left="0" w:right="0" w:hanging="0"/>
              <w:jc w:val="left"/>
              <w:rPr/>
            </w:pPr>
            <w:r>
              <w:rPr/>
              <w:t>​</w:t>
            </w:r>
          </w:p>
        </w:tc>
        <w:tc>
          <w:tcPr>
            <w:tcW w:w="9173"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pBdr/>
              <w:bidi w:val="0"/>
              <w:spacing w:lineRule="auto" w:line="283" w:before="0" w:after="0"/>
              <w:ind w:left="0" w:right="0" w:hanging="0"/>
              <w:jc w:val="left"/>
              <w:rPr/>
            </w:pPr>
            <w:r>
              <w:rPr/>
              <w:t>​</w:t>
            </w:r>
          </w:p>
        </w:tc>
        <w:tc>
          <w:tcPr>
            <w:tcW w:w="9328" w:type="dxa"/>
            <w:gridSpan w:val="2"/>
            <w:tcBorders/>
            <w:vAlign w:val="center"/>
          </w:tcPr>
          <w:p>
            <w:pPr>
              <w:pStyle w:val="TableContents"/>
              <w:pBdr/>
              <w:bidi w:val="0"/>
              <w:spacing w:lineRule="auto" w:line="283" w:before="0" w:after="0"/>
              <w:ind w:left="0" w:right="0" w:hanging="0"/>
              <w:jc w:val="left"/>
              <w:rPr/>
            </w:pPr>
            <w:hyperlink w:anchor="cto-20251231xex31d1.htm">
              <w:r>
                <w:rPr>
                  <w:rStyle w:val="InternetLink"/>
                  <w:rFonts w:ascii="Times New Roman;Times;serif" w:hAnsi="Times New Roman;Times;serif"/>
                  <w:b w:val="false"/>
                  <w:i w:val="false"/>
                  <w:caps w:val="false"/>
                  <w:smallCaps w:val="false"/>
                  <w:sz w:val="20"/>
                </w:rPr>
                <w:t>Certification pursuant to Section 302 of Sarbanes-Oxley Act of 2002 (filed herewith).</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pBdr/>
              <w:bidi w:val="0"/>
              <w:spacing w:lineRule="auto" w:line="283" w:before="0" w:after="0"/>
              <w:ind w:left="0" w:right="0" w:hanging="0"/>
              <w:jc w:val="left"/>
              <w:rPr/>
            </w:pPr>
            <w:r>
              <w:rPr/>
              <w:t>​</w:t>
            </w:r>
          </w:p>
        </w:tc>
        <w:tc>
          <w:tcPr>
            <w:tcW w:w="9328" w:type="dxa"/>
            <w:gridSpan w:val="2"/>
            <w:tcBorders/>
            <w:vAlign w:val="center"/>
          </w:tcPr>
          <w:p>
            <w:pPr>
              <w:pStyle w:val="TableContents"/>
              <w:pBdr/>
              <w:bidi w:val="0"/>
              <w:spacing w:lineRule="auto" w:line="283" w:before="0" w:after="0"/>
              <w:ind w:left="0" w:right="0" w:hanging="0"/>
              <w:jc w:val="left"/>
              <w:rPr/>
            </w:pPr>
            <w:hyperlink w:anchor="cto-20251231xex31d2.htm">
              <w:r>
                <w:rPr>
                  <w:rStyle w:val="InternetLink"/>
                  <w:rFonts w:ascii="Times New Roman;Times;serif" w:hAnsi="Times New Roman;Times;serif"/>
                  <w:b w:val="false"/>
                  <w:i w:val="false"/>
                  <w:caps w:val="false"/>
                  <w:smallCaps w:val="false"/>
                  <w:sz w:val="20"/>
                </w:rPr>
                <w:t>Certification pursuant to Section 302 of Sarbanes-Oxley Act of 2002 (filed herewith).</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hyperlink w:anchor="cto-20251231xex32d1.htm">
              <w:r>
                <w:rPr>
                  <w:rStyle w:val="InternetLink"/>
                  <w:rFonts w:ascii="Times New Roman;Times;serif" w:hAnsi="Times New Roman;Times;serif"/>
                  <w:b w:val="false"/>
                  <w:i w:val="false"/>
                  <w:caps w:val="false"/>
                  <w:smallCaps w:val="false"/>
                  <w:sz w:val="20"/>
                </w:rPr>
                <w:t>Certification pursuant to 18 U.S.C. Section 1350, adopted pursuant to Section 906 of the Sarbanes-Oxley Act of 2002.</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hyperlink w:anchor="cto-20251231xex32d2.htm">
              <w:r>
                <w:rPr>
                  <w:rStyle w:val="InternetLink"/>
                  <w:rFonts w:ascii="Times New Roman;Times;serif" w:hAnsi="Times New Roman;Times;serif"/>
                  <w:b w:val="false"/>
                  <w:i w:val="false"/>
                  <w:caps w:val="false"/>
                  <w:smallCaps w:val="false"/>
                  <w:sz w:val="20"/>
                </w:rPr>
                <w:t>Certification pursuant to 18 U.S.C. Section 1350, adopted pursuant to Section 906 of the Sarbanes-Oxley Act of 2002.</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hyperlink r:id="rId56">
              <w:r>
                <w:rPr>
                  <w:rStyle w:val="InternetLink"/>
                  <w:rFonts w:ascii="Times New Roman;Times;serif" w:hAnsi="Times New Roman;Times;serif"/>
                  <w:b w:val="false"/>
                  <w:i w:val="false"/>
                  <w:caps w:val="false"/>
                  <w:smallCaps w:val="false"/>
                  <w:sz w:val="20"/>
                </w:rPr>
                <w:t>Policy Relating to Recovery of Erroneously Awarded Compensation filed as Exhibit 97.1 to the registrant’s Annual Report on Form 10-K for the year ended December 31, 2023, and incorporated herein by reference.</w:t>
              </w:r>
            </w:hyperlink>
          </w:p>
        </w:tc>
      </w:tr>
      <w:tr>
        <w:trPr/>
        <w:tc>
          <w:tcPr>
            <w:tcW w:w="7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Document Set for the consolidated financial statements and accompanying notes beginning on page F-1 of this Annual Report on Form 10-K (filed herewith).</w:t>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r>
              <w:rPr/>
              <w:t>​</w:t>
            </w:r>
          </w:p>
        </w:tc>
      </w:tr>
      <w:tr>
        <w:trPr/>
        <w:tc>
          <w:tcPr>
            <w:tcW w:w="768"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for the cover page of this Annual Report on Form 10-K, included in the Exhibit 101 Inline XBRL Document Set (filed herewith).</w:t>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r>
              <w:rPr/>
              <w:t>​</w:t>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0" w:right="0" w:hanging="0"/>
              <w:jc w:val="left"/>
              <w:rPr/>
            </w:pPr>
            <w:r>
              <w:rPr/>
              <w:t>​</w:t>
            </w:r>
          </w:p>
        </w:tc>
      </w:tr>
      <w:tr>
        <w:trPr/>
        <w:tc>
          <w:tcPr>
            <w:tcW w:w="768"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9328" w:type="dxa"/>
            <w:gridSpan w:val="2"/>
            <w:tcBorders/>
            <w:vAlign w:val="center"/>
          </w:tcPr>
          <w:p>
            <w:pPr>
              <w:pStyle w:val="TableContents"/>
              <w:bidi w:val="0"/>
              <w:spacing w:lineRule="auto" w:line="283" w:before="0" w:after="0"/>
              <w:ind w:left="75" w:right="0" w:hanging="0"/>
              <w:jc w:val="left"/>
              <w:rPr/>
            </w:pPr>
            <w:r>
              <w:rPr/>
              <w:t>​</w:t>
            </w:r>
          </w:p>
        </w:tc>
      </w:tr>
    </w:tbl>
    <w:p>
      <w:pPr>
        <w:pStyle w:val="TextBody"/>
        <w:pBdr/>
        <w:bidi w:val="0"/>
        <w:spacing w:lineRule="auto" w:line="283" w:before="0" w:after="0"/>
        <w:ind w:left="0" w:right="0" w:hanging="490"/>
        <w:jc w:val="left"/>
        <w:rPr/>
      </w:pPr>
      <w:r>
        <w:rPr/>
        <w:t>​</w:t>
      </w:r>
    </w:p>
    <w:tbl>
      <w:tblPr>
        <w:tblW w:w="7998" w:type="dxa"/>
        <w:jc w:val="left"/>
        <w:tblInd w:w="0" w:type="dxa"/>
        <w:tblLayout w:type="fixed"/>
        <w:tblCellMar>
          <w:top w:w="0" w:type="dxa"/>
          <w:left w:w="0" w:type="dxa"/>
          <w:bottom w:w="0" w:type="dxa"/>
          <w:right w:w="0" w:type="dxa"/>
        </w:tblCellMar>
      </w:tblPr>
      <w:tblGrid>
        <w:gridCol w:w="1051"/>
        <w:gridCol w:w="346"/>
        <w:gridCol w:w="660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101.INS</w:t>
            </w:r>
          </w:p>
        </w:tc>
        <w:tc>
          <w:tcPr>
            <w:tcW w:w="346" w:type="dxa"/>
            <w:tcBorders/>
            <w:vAlign w:val="center"/>
          </w:tcPr>
          <w:p>
            <w:pPr>
              <w:pStyle w:val="TableContents"/>
              <w:pBdr/>
              <w:bidi w:val="0"/>
              <w:spacing w:lineRule="auto" w:line="283" w:before="0" w:after="0"/>
              <w:ind w:left="0" w:right="0" w:hanging="0"/>
              <w:jc w:val="left"/>
              <w:rPr/>
            </w:pPr>
            <w:r>
              <w:rPr/>
              <w:t>  ​ ​ ​</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101.SCH</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101.CAL</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101.DEF</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101.LAB</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 ​</w:t>
            </w:r>
            <w:r>
              <w:rPr>
                <w:rFonts w:ascii="Times New Roman;Times;serif" w:hAnsi="Times New Roman;Times;serif"/>
                <w:sz w:val="20"/>
              </w:rPr>
              <w:t>101.PRE</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75"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bidi w:val="0"/>
        <w:spacing w:lineRule="auto" w:line="283" w:before="0" w:after="0"/>
        <w:ind w:left="0" w:right="0" w:hanging="490"/>
        <w:jc w:val="left"/>
        <w:rPr>
          <w:rFonts w:ascii="Times New Roman;Times;serif" w:hAnsi="Times New Roman;Times;serif"/>
          <w:sz w:val="16"/>
        </w:rPr>
      </w:pPr>
      <w:r>
        <w:rPr>
          <w:rFonts w:ascii="Times New Roman;Times;serif" w:hAnsi="Times New Roman;Times;serif"/>
          <w:sz w:val="20"/>
        </w:rPr>
        <w:t xml:space="preserve">*      </w:t>
      </w:r>
      <w:r>
        <w:rPr>
          <w:rFonts w:ascii="Times New Roman;Times;serif" w:hAnsi="Times New Roman;Times;serif"/>
          <w:sz w:val="16"/>
        </w:rPr>
        <w:t>Management Contract or Compensatory Plan or Arrangement</w:t>
      </w:r>
    </w:p>
    <w:p>
      <w:pPr>
        <w:pStyle w:val="TextBody"/>
        <w:pBdr/>
        <w:bidi w:val="0"/>
        <w:spacing w:lineRule="auto" w:line="283" w:before="0" w:after="0"/>
        <w:ind w:left="0" w:right="0" w:hanging="490"/>
        <w:jc w:val="left"/>
        <w:rPr>
          <w:rFonts w:ascii="Times New Roman;Times;serif" w:hAnsi="Times New Roman;Times;serif"/>
          <w:sz w:val="12"/>
        </w:rPr>
      </w:pPr>
      <w:r>
        <w:rPr>
          <w:rFonts w:ascii="Times New Roman;Times;serif" w:hAnsi="Times New Roman;Times;serif"/>
          <w:sz w:val="16"/>
        </w:rPr>
        <w:t>**   </w:t>
      </w:r>
      <w:r>
        <w:rPr>
          <w:rFonts w:ascii="Times New Roman;Times;serif" w:hAnsi="Times New Roman;Times;serif"/>
          <w:sz w:val="12"/>
        </w:rPr>
        <w:t xml:space="preserve">  </w:t>
      </w:r>
      <w:r>
        <w:rPr>
          <w:rFonts w:ascii="Times New Roman;Times;serif" w:hAnsi="Times New Roman;Times;serif"/>
          <w:sz w:val="16"/>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r>
        <w:rPr>
          <w:rFonts w:ascii="Times New Roman;Times;serif" w:hAnsi="Times New Roman;Times;serif"/>
          <w:sz w:val="20"/>
        </w:rPr>
        <w:t>.</w:t>
      </w:r>
    </w:p>
    <w:p>
      <w:pPr>
        <w:pStyle w:val="TextBody"/>
        <w:pBdr/>
        <w:bidi w:val="0"/>
        <w:spacing w:lineRule="auto" w:line="283" w:before="0" w:after="0"/>
        <w:ind w:left="0" w:right="0" w:hanging="490"/>
        <w:jc w:val="left"/>
        <w:rPr>
          <w:rFonts w:ascii="Times New Roman;Times;serif" w:hAnsi="Times New Roman;Times;serif"/>
          <w:sz w:val="16"/>
        </w:rPr>
      </w:pPr>
      <w:r>
        <w:rPr>
          <w:rFonts w:ascii="Times New Roman;Times;serif" w:hAnsi="Times New Roman;Times;serif"/>
          <w:sz w:val="16"/>
        </w:rPr>
        <w:t>*** Portions of this exhibit have been redacted in compliance with Regulation S-K Item 601(b)(2). The omitted information is not material and is the type of information that the registrant customarily and actually treats as private and confidential.</w:t>
      </w:r>
    </w:p>
    <w:p>
      <w:pPr>
        <w:pStyle w:val="TextBody"/>
        <w:pBdr/>
        <w:bidi w:val="0"/>
        <w:spacing w:before="0" w:after="0"/>
        <w:ind w:left="0" w:right="0" w:hanging="49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1" w:name="SIGNATURES_913021"/>
      <w:bookmarkStart w:id="82" w:name="_07432691_b981_4d8b_b7c5_0bc7bd547fd3"/>
      <w:bookmarkEnd w:id="81"/>
      <w:bookmarkEnd w:id="82"/>
      <w:r>
        <w:rPr>
          <w:rFonts w:ascii="Times New Roman;Times;serif" w:hAnsi="Times New Roman;Times;serif"/>
          <w:b/>
          <w:sz w:val="20"/>
        </w:rPr>
        <w:t>SIGNATURES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823" w:type="dxa"/>
        <w:jc w:val="left"/>
        <w:tblInd w:w="0" w:type="dxa"/>
        <w:tblLayout w:type="fixed"/>
        <w:tblCellMar>
          <w:top w:w="0" w:type="dxa"/>
          <w:left w:w="0" w:type="dxa"/>
          <w:bottom w:w="0" w:type="dxa"/>
          <w:right w:w="0" w:type="dxa"/>
        </w:tblCellMar>
      </w:tblPr>
      <w:tblGrid>
        <w:gridCol w:w="2086"/>
        <w:gridCol w:w="406"/>
        <w:gridCol w:w="333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24610" cy="175260"/>
                      <wp:effectExtent l="0" t="0" r="0" b="0"/>
                      <wp:wrapNone/>
                      <wp:docPr id="130" name="Frame12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7810" cy="175260"/>
                      <wp:effectExtent l="0" t="0" r="0" b="0"/>
                      <wp:wrapNone/>
                      <wp:docPr id="131" name="Frame1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15185" cy="175260"/>
                      <wp:effectExtent l="0" t="0" r="0" b="0"/>
                      <wp:wrapNone/>
                      <wp:docPr id="132" name="Frame13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7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 (Registrant)</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        </w:t>
            </w:r>
          </w:p>
        </w:tc>
      </w:tr>
      <w:tr>
        <w:trPr/>
        <w:tc>
          <w:tcPr>
            <w:tcW w:w="2086" w:type="dxa"/>
            <w:tcBorders/>
            <w:vAlign w:val="center"/>
          </w:tcPr>
          <w:p>
            <w:pPr>
              <w:pStyle w:val="TableContents"/>
              <w:bidi w:val="0"/>
              <w:spacing w:lineRule="atLeast" w:line="142"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2086" w:type="dxa"/>
            <w:tcBorders/>
            <w:vAlign w:val="center"/>
          </w:tcPr>
          <w:p>
            <w:pPr>
              <w:pStyle w:val="TableContents"/>
              <w:bidi w:val="0"/>
              <w:spacing w:lineRule="atLeast" w:line="142"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1268"/>
        <w:gridCol w:w="5725"/>
        <w:gridCol w:w="1962"/>
        <w:gridCol w:w="1250"/>
      </w:tblGrid>
      <w:tr>
        <w:trPr/>
        <w:tc>
          <w:tcPr>
            <w:tcW w:w="1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vMerge w:val="restart"/>
            <w:tcBorders/>
            <w:vAlign w:val="center"/>
          </w:tcPr>
          <w:p>
            <w:pPr>
              <w:pStyle w:val="TableContents"/>
              <w:pBdr/>
              <w:bidi w:val="0"/>
              <w:spacing w:before="0" w:after="20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President and Chief Executive Officer (Principal Executive Officer), and Director</w:t>
            </w:r>
          </w:p>
        </w:tc>
        <w:tc>
          <w:tcPr>
            <w:tcW w:w="19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200"/>
              <w:ind w:left="0" w:right="0" w:hanging="0"/>
              <w:jc w:val="left"/>
              <w:rPr/>
            </w:pPr>
            <w:r>
              <w:rPr/>
              <w:t>​</w:t>
            </w:r>
          </w:p>
        </w:tc>
        <w:tc>
          <w:tcPr>
            <w:tcW w:w="5725" w:type="dxa"/>
            <w:vMerge w:val="continue"/>
            <w:tcBorders/>
            <w:vAlign w:val="center"/>
          </w:tcPr>
          <w:p>
            <w:pPr>
              <w:pStyle w:val="Normal"/>
              <w:bidi w:val="0"/>
              <w:jc w:val="left"/>
              <w:rPr/>
            </w:pPr>
            <w:r>
              <w:rPr/>
            </w:r>
          </w:p>
        </w:tc>
        <w:tc>
          <w:tcPr>
            <w:tcW w:w="1962" w:type="dxa"/>
            <w:tcBorders/>
            <w:vAlign w:val="center"/>
          </w:tcPr>
          <w:p>
            <w:pPr>
              <w:pStyle w:val="TableContents"/>
              <w:bidi w:val="0"/>
              <w:spacing w:before="0" w:after="200"/>
              <w:ind w:left="0" w:right="0" w:hanging="0"/>
              <w:jc w:val="left"/>
              <w:rPr/>
            </w:pPr>
            <w:r>
              <w:rPr/>
              <w:t>​</w:t>
            </w:r>
          </w:p>
        </w:tc>
        <w:tc>
          <w:tcPr>
            <w:tcW w:w="1250" w:type="dxa"/>
            <w:tcBorders>
              <w:top w:val="single" w:sz="2" w:space="0" w:color="000000"/>
            </w:tcBorders>
            <w:tcMar>
              <w:top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John P. Albright</w:t>
            </w:r>
          </w:p>
        </w:tc>
      </w:tr>
      <w:tr>
        <w:trPr/>
        <w:tc>
          <w:tcPr>
            <w:tcW w:w="1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vMerge w:val="restart"/>
            <w:tcBorders/>
            <w:vAlign w:val="center"/>
          </w:tcPr>
          <w:p>
            <w:pPr>
              <w:pStyle w:val="TableContents"/>
              <w:pBdr/>
              <w:bidi w:val="0"/>
              <w:spacing w:before="0" w:after="20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Senior Vice President, Chief Financial Officer and Treasurer (Principal Financial Officer)</w:t>
            </w:r>
          </w:p>
        </w:tc>
        <w:tc>
          <w:tcPr>
            <w:tcW w:w="19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lineRule="atLeast" w:line="142" w:before="0" w:after="200"/>
              <w:ind w:left="0" w:right="0" w:hanging="0"/>
              <w:jc w:val="left"/>
              <w:rPr/>
            </w:pPr>
            <w:r>
              <w:rPr/>
              <w:t>​</w:t>
            </w:r>
          </w:p>
        </w:tc>
        <w:tc>
          <w:tcPr>
            <w:tcW w:w="5725" w:type="dxa"/>
            <w:vMerge w:val="continue"/>
            <w:tcBorders/>
            <w:vAlign w:val="center"/>
          </w:tcPr>
          <w:p>
            <w:pPr>
              <w:pStyle w:val="Normal"/>
              <w:bidi w:val="0"/>
              <w:jc w:val="left"/>
              <w:rPr/>
            </w:pPr>
            <w:r>
              <w:rPr/>
            </w:r>
          </w:p>
        </w:tc>
        <w:tc>
          <w:tcPr>
            <w:tcW w:w="1962" w:type="dxa"/>
            <w:tcBorders/>
            <w:vAlign w:val="center"/>
          </w:tcPr>
          <w:p>
            <w:pPr>
              <w:pStyle w:val="TableContents"/>
              <w:bidi w:val="0"/>
              <w:spacing w:before="0" w:after="200"/>
              <w:ind w:left="0" w:right="0" w:hanging="0"/>
              <w:jc w:val="left"/>
              <w:rPr/>
            </w:pPr>
            <w:r>
              <w:rPr/>
              <w:t>​</w:t>
            </w:r>
          </w:p>
        </w:tc>
        <w:tc>
          <w:tcPr>
            <w:tcW w:w="1250" w:type="dxa"/>
            <w:tcBorders>
              <w:top w:val="single" w:sz="2" w:space="0" w:color="000000"/>
            </w:tcBorders>
            <w:tcMar>
              <w:top w:w="28" w:type="dxa"/>
            </w:tcMar>
            <w:vAlign w:val="center"/>
          </w:tcPr>
          <w:p>
            <w:pPr>
              <w:pStyle w:val="TableContents"/>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Philip R. Mays</w:t>
            </w:r>
          </w:p>
        </w:tc>
      </w:tr>
      <w:tr>
        <w:trPr/>
        <w:tc>
          <w:tcPr>
            <w:tcW w:w="1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Accounting Officer</w:t>
            </w:r>
          </w:p>
        </w:tc>
        <w:tc>
          <w:tcPr>
            <w:tcW w:w="19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vAlign w:val="center"/>
          </w:tcPr>
          <w:p>
            <w:pPr>
              <w:pStyle w:val="TableContents"/>
              <w:bidi w:val="0"/>
              <w:spacing w:before="100" w:after="100"/>
              <w:ind w:left="0" w:right="0" w:hanging="0"/>
              <w:jc w:val="left"/>
              <w:rPr/>
            </w:pPr>
            <w:r>
              <w:rPr/>
              <w:t>​</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Director</w:t>
            </w:r>
          </w:p>
        </w:tc>
        <w:tc>
          <w:tcPr>
            <w:tcW w:w="19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LAURA M. FRANKLIN</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Laura M. Franklin</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62"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GEORGE R. BROKAW</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George R. Brokaw</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62"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CHRISTOPHER J. DREW</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Christopher J. Drew</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62"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R. BLAKESLEE GABLE</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 Blakeslee Gable</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5725"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62"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CHRISTOPHER W. HAGA</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0"/>
              <w:ind w:left="0" w:right="0" w:hanging="0"/>
              <w:jc w:val="left"/>
              <w:rPr/>
            </w:pPr>
            <w:r>
              <w:rPr/>
              <w:t>​</w:t>
            </w:r>
          </w:p>
        </w:tc>
        <w:tc>
          <w:tcPr>
            <w:tcW w:w="5725" w:type="dxa"/>
            <w:tcBorders/>
            <w:vAlign w:val="center"/>
          </w:tcPr>
          <w:p>
            <w:pPr>
              <w:pStyle w:val="TableContents"/>
              <w:bidi w:val="0"/>
              <w:spacing w:before="100" w:after="100"/>
              <w:ind w:left="0" w:right="0" w:hanging="0"/>
              <w:jc w:val="left"/>
              <w:rPr/>
            </w:pPr>
            <w:r>
              <w:rPr/>
              <w:t>​</w:t>
            </w:r>
          </w:p>
        </w:tc>
        <w:tc>
          <w:tcPr>
            <w:tcW w:w="19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Christopher W. Haga</w:t>
            </w:r>
          </w:p>
        </w:tc>
        <w:tc>
          <w:tcPr>
            <w:tcW w:w="125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pBdr/>
        <w:bidi w:val="0"/>
        <w:spacing w:before="0" w:after="0"/>
        <w:ind w:left="0" w:right="0" w:hanging="49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 w:name="_8f8fc20a_c2bd_4531_aa2e_f953ed8aaa7a"/>
      <w:bookmarkEnd w:id="83"/>
      <w:r>
        <w:rPr>
          <w:rFonts w:ascii="Times New Roman;Times;serif" w:hAnsi="Times New Roman;Times;serif"/>
          <w:b/>
          <w:sz w:val="20"/>
        </w:rPr>
        <w:t xml:space="preserve">CTO REALTY GROWTH, INC.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tbl>
      <w:tblPr>
        <w:tblW w:w="10205" w:type="dxa"/>
        <w:jc w:val="left"/>
        <w:tblInd w:w="0" w:type="dxa"/>
        <w:tblLayout w:type="fixed"/>
        <w:tblCellMar>
          <w:top w:w="0" w:type="dxa"/>
          <w:left w:w="0" w:type="dxa"/>
          <w:bottom w:w="0" w:type="dxa"/>
          <w:right w:w="0" w:type="dxa"/>
        </w:tblCellMar>
      </w:tblPr>
      <w:tblGrid>
        <w:gridCol w:w="9682"/>
        <w:gridCol w:w="523"/>
      </w:tblGrid>
      <w:tr>
        <w:trPr/>
        <w:tc>
          <w:tcPr>
            <w:tcW w:w="9682" w:type="dxa"/>
            <w:tcBorders/>
            <w:vAlign w:val="center"/>
          </w:tcPr>
          <w:p>
            <w:pPr>
              <w:pStyle w:val="TableContents"/>
              <w:pBdr/>
              <w:bidi w:val="0"/>
              <w:spacing w:before="0" w:after="0"/>
              <w:ind w:left="0" w:right="0" w:hanging="144"/>
              <w:jc w:val="left"/>
              <w:rPr/>
            </w:pPr>
            <w:r>
              <w:rPr/>
              <w:t>​</w:t>
            </w:r>
          </w:p>
          <w:p>
            <w:pPr>
              <w:pStyle w:val="TableContents"/>
              <w:pBdr/>
              <w:bidi w:val="0"/>
              <w:spacing w:before="0" w:after="0"/>
              <w:ind w:left="0" w:right="0" w:hanging="144"/>
              <w:jc w:val="left"/>
              <w:rPr/>
            </w:pPr>
            <w:r>
              <w:rPr/>
              <w:t>​</w:t>
            </w:r>
          </w:p>
          <w:p>
            <w:pPr>
              <w:pStyle w:val="TableContents"/>
              <w:pBdr/>
              <w:bidi w:val="0"/>
              <w:spacing w:before="0" w:after="0"/>
              <w:ind w:left="0" w:right="0" w:hanging="0"/>
              <w:jc w:val="left"/>
              <w:rPr/>
            </w:pPr>
            <w:r>
              <w:rPr/>
              <w:t>​</w: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32105" cy="29210"/>
                      <wp:effectExtent l="0" t="0" r="0" b="0"/>
                      <wp:wrapNone/>
                      <wp:docPr id="133" name="Frame132"/>
                      <a:graphic xmlns:a="http://schemas.openxmlformats.org/drawingml/2006/main">
                        <a:graphicData uri="http://schemas.microsoft.com/office/word/2010/wordprocessingShape">
                          <wps:wsp>
                            <wps:cNvSpPr txBox="1"/>
                            <wps:spPr>
                              <a:xfrm>
                                <a:off x="0" y="0"/>
                                <a:ext cx="3321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82" w:type="dxa"/>
            <w:tcBorders/>
            <w:vAlign w:val="center"/>
          </w:tcPr>
          <w:p>
            <w:pPr>
              <w:pStyle w:val="TableContents"/>
              <w:pBdr/>
              <w:bidi w:val="0"/>
              <w:spacing w:before="0" w:after="0"/>
              <w:ind w:left="0" w:right="0" w:hanging="0"/>
              <w:jc w:val="left"/>
              <w:rPr/>
            </w:pPr>
            <w:hyperlink w:anchor="ReportofIndependentRegisteredPublic_1642">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82" w:type="dxa"/>
            <w:tcBorders/>
            <w:vAlign w:val="center"/>
          </w:tcPr>
          <w:p>
            <w:pPr>
              <w:pStyle w:val="TableContents"/>
              <w:pBdr/>
              <w:bidi w:val="0"/>
              <w:spacing w:before="0" w:after="0"/>
              <w:ind w:left="0" w:right="0" w:hanging="0"/>
              <w:jc w:val="left"/>
              <w:rPr/>
            </w:pPr>
            <w:hyperlink w:anchor="CONSOLIDATEDANDCOMBINEDBALANCESHEETS">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523" w:type="dxa"/>
            <w:tcBorders/>
            <w:vAlign w:val="center"/>
          </w:tcPr>
          <w:p>
            <w:pPr>
              <w:pStyle w:val="TableContents"/>
              <w:bidi w:val="0"/>
              <w:spacing w:before="0" w:after="0"/>
              <w:ind w:left="0" w:right="0" w:hanging="0"/>
              <w:jc w:val="right"/>
              <w:rPr>
                <w:rFonts w:ascii="Helvetica;sans-serif" w:hAnsi="Helvetica;sans-serif"/>
                <w:sz w:val="22"/>
              </w:rPr>
            </w:pPr>
            <w:r>
              <w:rPr>
                <w:rFonts w:ascii="Times New Roman;Times;serif" w:hAnsi="Times New Roman;Times;serif"/>
                <w:sz w:val="20"/>
              </w:rPr>
              <w:t>F-5</w:t>
            </w:r>
            <w:r>
              <w:rPr>
                <w:rFonts w:ascii="Helvetica;sans-serif" w:hAnsi="Helvetica;sans-serif"/>
                <w:sz w:val="22"/>
              </w:rPr>
              <w:t xml:space="preserve"> </w:t>
            </w:r>
          </w:p>
        </w:tc>
      </w:tr>
      <w:tr>
        <w:trPr/>
        <w:tc>
          <w:tcPr>
            <w:tcW w:w="9682" w:type="dxa"/>
            <w:tcBorders/>
            <w:vAlign w:val="center"/>
          </w:tcPr>
          <w:p>
            <w:pPr>
              <w:pStyle w:val="TableContents"/>
              <w:pBdr/>
              <w:bidi w:val="0"/>
              <w:spacing w:before="0" w:after="0"/>
              <w:ind w:left="0" w:right="0" w:hanging="0"/>
              <w:jc w:val="left"/>
              <w:rPr/>
            </w:pPr>
            <w:hyperlink w:anchor="OPERATIONS_158107">
              <w:r>
                <w:rPr>
                  <w:rStyle w:val="InternetLink"/>
                  <w:rFonts w:ascii="Times New Roman;Times;serif" w:hAnsi="Times New Roman;Times;serif"/>
                  <w:b w:val="false"/>
                  <w:i w:val="false"/>
                  <w:caps w:val="false"/>
                  <w:smallCaps w:val="false"/>
                  <w:sz w:val="20"/>
                </w:rPr>
                <w:t>Consolidated Statements of Operations for the three years ended December 31, 2025, 2024, and 2023</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682" w:type="dxa"/>
            <w:tcBorders/>
            <w:vAlign w:val="center"/>
          </w:tcPr>
          <w:p>
            <w:pPr>
              <w:pStyle w:val="TableContents"/>
              <w:pBdr/>
              <w:bidi w:val="0"/>
              <w:spacing w:before="0" w:after="0"/>
              <w:ind w:left="0" w:right="0" w:hanging="0"/>
              <w:jc w:val="left"/>
              <w:rPr/>
            </w:pPr>
            <w:hyperlink w:anchor="COMPREHENSIVEINCOME_741614">
              <w:r>
                <w:rPr>
                  <w:rStyle w:val="InternetLink"/>
                  <w:rFonts w:ascii="Times New Roman;Times;serif" w:hAnsi="Times New Roman;Times;serif"/>
                  <w:b w:val="false"/>
                  <w:i w:val="false"/>
                  <w:caps w:val="false"/>
                  <w:smallCaps w:val="false"/>
                  <w:sz w:val="20"/>
                </w:rPr>
                <w:t>Consolidated Statements of Comprehensive Income (Loss) for the three years ended December 31, 2025, 2024, and 2023</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682"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for the three years ended December 31, 2025, 2024, and 2023</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682" w:type="dxa"/>
            <w:tcBorders/>
            <w:vAlign w:val="center"/>
          </w:tcPr>
          <w:p>
            <w:pPr>
              <w:pStyle w:val="TableContents"/>
              <w:pBdr/>
              <w:bidi w:val="0"/>
              <w:spacing w:before="0" w:after="0"/>
              <w:ind w:left="0" w:right="0" w:hanging="0"/>
              <w:jc w:val="left"/>
              <w:rPr/>
            </w:pPr>
            <w:hyperlink w:anchor="CASHFLOWS_979441">
              <w:r>
                <w:rPr>
                  <w:rStyle w:val="InternetLink"/>
                  <w:rFonts w:ascii="Times New Roman;Times;serif" w:hAnsi="Times New Roman;Times;serif"/>
                  <w:b w:val="false"/>
                  <w:i w:val="false"/>
                  <w:caps w:val="false"/>
                  <w:smallCaps w:val="false"/>
                  <w:sz w:val="20"/>
                </w:rPr>
                <w:t>Consolidated Statements of Cash Flows for the three years ended December 31, 2025, 2024, and 2023</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682" w:type="dxa"/>
            <w:tcBorders/>
            <w:vAlign w:val="center"/>
          </w:tcPr>
          <w:p>
            <w:pPr>
              <w:pStyle w:val="TableContents"/>
              <w:pBdr/>
              <w:bidi w:val="0"/>
              <w:spacing w:before="0" w:after="0"/>
              <w:ind w:left="0" w:right="0" w:hanging="0"/>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 for the three years ended December 31, 2025, 2024, and 2023</w:t>
              </w:r>
            </w:hyperlink>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4" w:name="ReportofIndependentRegisteredPublic_1642"/>
      <w:bookmarkStart w:id="85" w:name="_e1cc31cd_a014_4500_931f_b67b022e8987"/>
      <w:bookmarkEnd w:id="84"/>
      <w:bookmarkEnd w:id="85"/>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CTO Realty Growth, Inc. (a Maryland corporation) and subsidiaries (the “Company”) as of December 31, 2025 and 2024, the related consolidated statements of operations, comprehensive (loss) income, stockholders’ equity, and cash flows for each of the three years in the period ended December 31, 2025, and the related notes and financial statement schedules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and our report dated February 19, 2026 expressed an unqualified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audit matter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of real estate acquired with in-place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described further in Note 3 to the consolidated financial statements, the Company acquired two shopping centers for an aggregate purchase price of $144.9 million or a total acquisition cost of $145.1 million.   As described further in Note 2 to the consolidated financial statements, the acquisition cost of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liabilities of the acquired properties, above-market and below-market in-place lease values are recorded as other assets and liabilities based on the present value. We identified the evaluation of the fair value of real estate acquired with in-place leases as a critical audit matter.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principal consideration for our determination that the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rental rates that can be impacted by expectations about future market or economic conditions.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procedures related to the evaluation of the fair value of real estate acquired with in-place leases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involved internal valuation professionals who assisted in comparing the discount rates, terminal rates and market rental rates to independently developed ranges.</w:t>
            </w:r>
          </w:p>
        </w:tc>
      </w:tr>
    </w:tbl>
    <w:p>
      <w:pPr>
        <w:pStyle w:val="TextBody"/>
        <w:bidi w:val="0"/>
        <w:spacing w:before="0" w:after="120"/>
        <w:ind w:left="720" w:right="0" w:hanging="0"/>
        <w:jc w:val="both"/>
        <w:rPr/>
      </w:pPr>
      <w:r>
        <w:rPr/>
        <w:t>​</w:t>
      </w:r>
    </w:p>
    <w:p>
      <w:pPr>
        <w:pStyle w:val="TextBody"/>
        <w:bidi w:val="0"/>
        <w:spacing w:before="0" w:after="120"/>
        <w:ind w:left="72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/s/ GRANT THORNTON LLP</w:t>
      </w:r>
      <w:r>
        <w:rPr>
          <w:rFonts w:ascii="Times New Roman;Times;serif" w:hAnsi="Times New Roman;Times;serif"/>
          <w:sz w:val="24"/>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Charlotte, North Carolina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February 19, 2026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Opinion on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CTO Realty Growth Inc. (a Maryland corporation) and subsidiaries (the “Company”)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Company as of and for the year ended December 31, 2025, and our report dated February 19, 2026 expressed an unqualified opinion on those financial statements.</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Definition and limitations of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GRANT THORNTON LLP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Charlotte, North Carolina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February 19, 2026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 w:name="_4818bda4_fa13_4e46_9e63_0b0cba5621ac"/>
      <w:bookmarkStart w:id="87" w:name="CONSOLIDATEDANDCOMBINEDBALANCESHEETS"/>
      <w:bookmarkEnd w:id="86"/>
      <w:bookmarkEnd w:id="87"/>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88" w:name="CONSOLIDATEDANDCOMBINEDBALANCESHEETS_133"/>
      <w:bookmarkEnd w:id="88"/>
      <w:r>
        <w:rPr>
          <w:rFonts w:ascii="Times New Roman;Times;serif" w:hAnsi="Times New Roman;Times;serif"/>
          <w:b/>
          <w:sz w:val="20"/>
        </w:rPr>
        <w:t>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20"/>
        <w:ind w:left="0" w:right="0" w:hanging="0"/>
        <w:jc w:val="center"/>
        <w:rPr/>
      </w:pPr>
      <w:r>
        <w:rPr/>
        <w:t>​</w:t>
      </w:r>
    </w:p>
    <w:p>
      <w:pPr>
        <w:pStyle w:val="Normal"/>
        <w:bidi w:val="0"/>
        <w:spacing w:before="0" w:after="0"/>
        <w:jc w:val="left"/>
        <w:rPr>
          <w:sz w:val="4"/>
          <w:szCs w:val="4"/>
        </w:rPr>
      </w:pPr>
      <w:r>
        <w:rPr>
          <w:sz w:val="4"/>
          <w:szCs w:val="4"/>
        </w:rPr>
      </w:r>
      <w:bookmarkStart w:id="89" w:name="Tc_Q11kMvqkG0es0PM0DOEtLA_39_5"/>
      <w:bookmarkStart w:id="90" w:name="Tc_tT0Nm4G02UC3lW3YsB5uTw_39_2"/>
      <w:bookmarkStart w:id="91" w:name="Tc_7fHFkiLSDkOHK65wFMy2zQ_39_0"/>
      <w:bookmarkStart w:id="92" w:name="Tc_fH6NXYgJZUeBP6Y9dgTIAQ_38_0"/>
      <w:bookmarkStart w:id="93" w:name="Tc_PCz63-i7K0abE4vbNO70Yw_37_0"/>
      <w:bookmarkStart w:id="94" w:name="Tc_7iREjQ_pxk6uIRdKS0wPoQ_36_0"/>
      <w:bookmarkStart w:id="95" w:name="Tc_yKbSB5L08EO0zpqfa3PAeQ_35_0"/>
      <w:bookmarkStart w:id="96" w:name="Tc_QBOvNshAeUeIQkA09-Pbww_34_0"/>
      <w:bookmarkStart w:id="97" w:name="Tc_3eF5HX3KpU-wggfZ8A5Bew_33_0"/>
      <w:bookmarkStart w:id="98" w:name="Tc_7Ab7cp1i00yZe4aQkejn-w_32_0"/>
      <w:bookmarkStart w:id="99" w:name="Tc_jJo9UrxZikiIKUa4e9g80A_31_0"/>
      <w:bookmarkStart w:id="100" w:name="Tc_8UviRkZDiUaU8L0q39N1eQ_30_0"/>
      <w:bookmarkStart w:id="101" w:name="Tc_5Q5bC-AIDka35914C95w7Q_29_0"/>
      <w:bookmarkStart w:id="102" w:name="Tc_V4oSeWusakS4ooZDBt47yw_28_6"/>
      <w:bookmarkStart w:id="103" w:name="Tc_mfrpfmZmT0SO4dH2CeAdwQ_28_0"/>
      <w:bookmarkStart w:id="104" w:name="Tc_-SckDZ3F30WLU2wv1-G7oA_27_0"/>
      <w:bookmarkStart w:id="105" w:name="Tc_2HPEYVtX30WpCsD_XiYYhw_26_0"/>
      <w:bookmarkStart w:id="106" w:name="Tc_8ZJshDPqp0SUnn-7WGf99A_25_0"/>
      <w:bookmarkStart w:id="107" w:name="Tc_FR4o9TmP2EWPgg4_9JgXww_24_5"/>
      <w:bookmarkStart w:id="108" w:name="Tc_3vPT_eyzoUaMk7TPtcPGHw_24_2"/>
      <w:bookmarkStart w:id="109" w:name="Tc_McqMJr9iU0qWHsd9t2G2JA_24_0"/>
      <w:bookmarkStart w:id="110" w:name="Tc_eb1TWfAKUkm9jevtUoCbyA_23_0"/>
      <w:bookmarkStart w:id="111" w:name="Tc_2QICgG0QFE-BqVV5awXkIg_22_0"/>
      <w:bookmarkStart w:id="112" w:name="Tc_3wuAvQDbekOgYVKCtEdrLA_21_5"/>
      <w:bookmarkStart w:id="113" w:name="Tc_gzmBTX-WmUuLpmJEfFD-MA_21_2"/>
      <w:bookmarkStart w:id="114" w:name="Tc_wVVY9CHzt0yH_VmFQHoxTA_21_0"/>
      <w:bookmarkStart w:id="115" w:name="Tc_LIT7wMrFMEqOSOYavqTS2g_20_0"/>
      <w:bookmarkStart w:id="116" w:name="Tc_FzEVZ-4s40CQI1QVffgm8w_19_0"/>
      <w:bookmarkStart w:id="117" w:name="Tc_BntkTKx5k0WX3WjQBbuecw_18_3"/>
      <w:bookmarkStart w:id="118" w:name="Tc_zdhaSE4i_UKZnzmwuLkL5g_18_0"/>
      <w:bookmarkStart w:id="119" w:name="Tc_-cmNOrsif0OFA8BcSTtQyg_17_0"/>
      <w:bookmarkStart w:id="120" w:name="Tc_id-AVMYBGEK1lXGOAcxmog_16_0"/>
      <w:bookmarkStart w:id="121" w:name="Tc_7NYAVJT4bUyTHgBOzpaKKA_15_0"/>
      <w:bookmarkStart w:id="122" w:name="Tc_HapKk65K7k2tCGePimWl9A_14_0"/>
      <w:bookmarkStart w:id="123" w:name="Tc_htxgw2pH_0Ccgd9gaMG95A_13_0"/>
      <w:bookmarkStart w:id="124" w:name="Tc_0cXXcX__lUa9RTWBey4oMQ_12_0"/>
      <w:bookmarkStart w:id="125" w:name="Tc_CXBMueAsQEuZir1tLBfWIA_11_0"/>
      <w:bookmarkStart w:id="126" w:name="Tc_VHlE1HfdMU6n--8teXXZnA_10_0"/>
      <w:bookmarkStart w:id="127" w:name="Tc_t6e2V6mHh06JRnke6G_k7w_9_0"/>
      <w:bookmarkStart w:id="128" w:name="Tc_Btc3mEjBM0y2-ZtD4mEVxA_8_0"/>
      <w:bookmarkStart w:id="129" w:name="Tc_1omUQ53lYUOWA3Pax2SgSQ_7_0"/>
      <w:bookmarkStart w:id="130" w:name="Tc_E7t3FCAbgEmTAmFp3Jv4Ow_6_0"/>
      <w:bookmarkStart w:id="131" w:name="Tc_YBtkQImoTU6rpwqVwYp2iQ_5_5"/>
      <w:bookmarkStart w:id="132" w:name="Tc_iLzMhPvOMk-sa3hfU-qgkQ_5_2"/>
      <w:bookmarkStart w:id="133" w:name="Tc_bSyFTjZLsUmtbI75dMsMbw_5_0"/>
      <w:bookmarkStart w:id="134" w:name="Tc_X0cWvoiQh0K3Xuz6PDgoHw_4_0"/>
      <w:bookmarkStart w:id="135" w:name="Tc_ndny7VkaqUKvIHkJE8bgmQ_3_0"/>
      <w:bookmarkStart w:id="136" w:name="Tc_5ETJcoyXxkiKEGucynhFDw_2_5"/>
      <w:bookmarkStart w:id="137" w:name="Tc_yxAPMf14YEi1-uhCGEMW1Q_2_2"/>
      <w:bookmarkStart w:id="138" w:name="Tc_q1MPSutEYkazluzsbB965w_1_2"/>
      <w:bookmarkStart w:id="139" w:name="_f3f81e2b_52ca_457d_be2a_32ab8f76e921"/>
      <w:bookmarkStart w:id="140" w:name="Tc_Q11kMvqkG0es0PM0DOEtLA_39_5"/>
      <w:bookmarkStart w:id="141" w:name="Tc_tT0Nm4G02UC3lW3YsB5uTw_39_2"/>
      <w:bookmarkStart w:id="142" w:name="Tc_7fHFkiLSDkOHK65wFMy2zQ_39_0"/>
      <w:bookmarkStart w:id="143" w:name="Tc_fH6NXYgJZUeBP6Y9dgTIAQ_38_0"/>
      <w:bookmarkStart w:id="144" w:name="Tc_PCz63-i7K0abE4vbNO70Yw_37_0"/>
      <w:bookmarkStart w:id="145" w:name="Tc_7iREjQ_pxk6uIRdKS0wPoQ_36_0"/>
      <w:bookmarkStart w:id="146" w:name="Tc_yKbSB5L08EO0zpqfa3PAeQ_35_0"/>
      <w:bookmarkStart w:id="147" w:name="Tc_QBOvNshAeUeIQkA09-Pbww_34_0"/>
      <w:bookmarkStart w:id="148" w:name="Tc_3eF5HX3KpU-wggfZ8A5Bew_33_0"/>
      <w:bookmarkStart w:id="149" w:name="Tc_7Ab7cp1i00yZe4aQkejn-w_32_0"/>
      <w:bookmarkStart w:id="150" w:name="Tc_jJo9UrxZikiIKUa4e9g80A_31_0"/>
      <w:bookmarkStart w:id="151" w:name="Tc_8UviRkZDiUaU8L0q39N1eQ_30_0"/>
      <w:bookmarkStart w:id="152" w:name="Tc_5Q5bC-AIDka35914C95w7Q_29_0"/>
      <w:bookmarkStart w:id="153" w:name="Tc_V4oSeWusakS4ooZDBt47yw_28_6"/>
      <w:bookmarkStart w:id="154" w:name="Tc_mfrpfmZmT0SO4dH2CeAdwQ_28_0"/>
      <w:bookmarkStart w:id="155" w:name="Tc_-SckDZ3F30WLU2wv1-G7oA_27_0"/>
      <w:bookmarkStart w:id="156" w:name="Tc_2HPEYVtX30WpCsD_XiYYhw_26_0"/>
      <w:bookmarkStart w:id="157" w:name="Tc_8ZJshDPqp0SUnn-7WGf99A_25_0"/>
      <w:bookmarkStart w:id="158" w:name="Tc_FR4o9TmP2EWPgg4_9JgXww_24_5"/>
      <w:bookmarkStart w:id="159" w:name="Tc_3vPT_eyzoUaMk7TPtcPGHw_24_2"/>
      <w:bookmarkStart w:id="160" w:name="Tc_McqMJr9iU0qWHsd9t2G2JA_24_0"/>
      <w:bookmarkStart w:id="161" w:name="Tc_eb1TWfAKUkm9jevtUoCbyA_23_0"/>
      <w:bookmarkStart w:id="162" w:name="Tc_2QICgG0QFE-BqVV5awXkIg_22_0"/>
      <w:bookmarkStart w:id="163" w:name="Tc_3wuAvQDbekOgYVKCtEdrLA_21_5"/>
      <w:bookmarkStart w:id="164" w:name="Tc_gzmBTX-WmUuLpmJEfFD-MA_21_2"/>
      <w:bookmarkStart w:id="165" w:name="Tc_wVVY9CHzt0yH_VmFQHoxTA_21_0"/>
      <w:bookmarkStart w:id="166" w:name="Tc_LIT7wMrFMEqOSOYavqTS2g_20_0"/>
      <w:bookmarkStart w:id="167" w:name="Tc_FzEVZ-4s40CQI1QVffgm8w_19_0"/>
      <w:bookmarkStart w:id="168" w:name="Tc_BntkTKx5k0WX3WjQBbuecw_18_3"/>
      <w:bookmarkStart w:id="169" w:name="Tc_zdhaSE4i_UKZnzmwuLkL5g_18_0"/>
      <w:bookmarkStart w:id="170" w:name="Tc_-cmNOrsif0OFA8BcSTtQyg_17_0"/>
      <w:bookmarkStart w:id="171" w:name="Tc_id-AVMYBGEK1lXGOAcxmog_16_0"/>
      <w:bookmarkStart w:id="172" w:name="Tc_7NYAVJT4bUyTHgBOzpaKKA_15_0"/>
      <w:bookmarkStart w:id="173" w:name="Tc_HapKk65K7k2tCGePimWl9A_14_0"/>
      <w:bookmarkStart w:id="174" w:name="Tc_htxgw2pH_0Ccgd9gaMG95A_13_0"/>
      <w:bookmarkStart w:id="175" w:name="Tc_0cXXcX__lUa9RTWBey4oMQ_12_0"/>
      <w:bookmarkStart w:id="176" w:name="Tc_CXBMueAsQEuZir1tLBfWIA_11_0"/>
      <w:bookmarkStart w:id="177" w:name="Tc_VHlE1HfdMU6n--8teXXZnA_10_0"/>
      <w:bookmarkStart w:id="178" w:name="Tc_t6e2V6mHh06JRnke6G_k7w_9_0"/>
      <w:bookmarkStart w:id="179" w:name="Tc_Btc3mEjBM0y2-ZtD4mEVxA_8_0"/>
      <w:bookmarkStart w:id="180" w:name="Tc_1omUQ53lYUOWA3Pax2SgSQ_7_0"/>
      <w:bookmarkStart w:id="181" w:name="Tc_E7t3FCAbgEmTAmFp3Jv4Ow_6_0"/>
      <w:bookmarkStart w:id="182" w:name="Tc_YBtkQImoTU6rpwqVwYp2iQ_5_5"/>
      <w:bookmarkStart w:id="183" w:name="Tc_iLzMhPvOMk-sa3hfU-qgkQ_5_2"/>
      <w:bookmarkStart w:id="184" w:name="Tc_bSyFTjZLsUmtbI75dMsMbw_5_0"/>
      <w:bookmarkStart w:id="185" w:name="Tc_X0cWvoiQh0K3Xuz6PDgoHw_4_0"/>
      <w:bookmarkStart w:id="186" w:name="Tc_ndny7VkaqUKvIHkJE8bgmQ_3_0"/>
      <w:bookmarkStart w:id="187" w:name="Tc_5ETJcoyXxkiKEGucynhFDw_2_5"/>
      <w:bookmarkStart w:id="188" w:name="Tc_yxAPMf14YEi1-uhCGEMW1Q_2_2"/>
      <w:bookmarkStart w:id="189" w:name="Tc_q1MPSutEYkazluzsbB965w_1_2"/>
      <w:bookmarkStart w:id="190" w:name="_f3f81e2b_52ca_457d_be2a_32ab8f76e921"/>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91185" cy="175260"/>
                      <wp:effectExtent l="0" t="0" r="0" b="0"/>
                      <wp:wrapNone/>
                      <wp:docPr id="136"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9" name="Frame1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w:t>
            </w:r>
          </w:p>
        </w:tc>
      </w:tr>
      <w:tr>
        <w:trPr/>
        <w:tc>
          <w:tcPr>
            <w:tcW w:w="71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1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257,748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766,371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720,480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984,202</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901,338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1,181,644</w:t>
            </w:r>
          </w:p>
        </w:tc>
      </w:tr>
      <w:tr>
        <w:trPr/>
        <w:tc>
          <w:tcPr>
            <w:tcW w:w="71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568,846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6.375% Series A Cumulative Redeemable Preferred Stock, $25.00 Per Share Liquidation Preference, 4,713,069 shares issued and outstanding at December 31, 2025 and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32,372,291 shares issued and outstanding at December 31, 2025 and 31,673,479 shares issued and outstanding at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367,828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232,089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612,798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center"/>
        <w:rPr/>
      </w:pPr>
      <w:bookmarkStart w:id="191" w:name="_d4cdf6e1_b606_4d8e_8a7a_a2b959c40fe6"/>
      <w:bookmarkEnd w:id="19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192" w:name="OPERATIONS_158107"/>
      <w:bookmarkEnd w:id="19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20"/>
        <w:ind w:left="0" w:right="0" w:hanging="0"/>
        <w:jc w:val="left"/>
        <w:rPr/>
      </w:pPr>
      <w:r>
        <w:rPr/>
        <w:t>​</w:t>
      </w:r>
    </w:p>
    <w:p>
      <w:pPr>
        <w:pStyle w:val="Normal"/>
        <w:bidi w:val="0"/>
        <w:spacing w:before="0" w:after="0"/>
        <w:jc w:val="left"/>
        <w:rPr>
          <w:sz w:val="4"/>
          <w:szCs w:val="4"/>
        </w:rPr>
      </w:pPr>
      <w:r>
        <w:rPr>
          <w:sz w:val="4"/>
          <w:szCs w:val="4"/>
        </w:rPr>
      </w:r>
      <w:bookmarkStart w:id="193" w:name="Tc_DjSLGPEWbU2Mp6Ie4GjtNw_35_0"/>
      <w:bookmarkStart w:id="194" w:name="Tc_ccP5h61QAkayvvMf3CiUaA_34_0"/>
      <w:bookmarkStart w:id="195" w:name="Tc_8pmoonZ0wkekHr9fiHadHw_33_0"/>
      <w:bookmarkStart w:id="196" w:name="Tc_cqAmrLw0pEWmk0MkRPz7sA_31_8"/>
      <w:bookmarkStart w:id="197" w:name="Tc_RPpPs79NgUKRWCD028OT5Q_31_5"/>
      <w:bookmarkStart w:id="198" w:name="Tc_w4sYiMnir0aNtsvfZmrAAQ_31_2"/>
      <w:bookmarkStart w:id="199" w:name="Tc_XqurWhCSKUOQ-akhffNoNw_31_0"/>
      <w:bookmarkStart w:id="200" w:name="Tc_ABANQ4cwP0OABVMHMRMxtw_30_0"/>
      <w:bookmarkStart w:id="201" w:name="Tc_SJsm8g7gB0-pxZrrbPmmiQ_28_8"/>
      <w:bookmarkStart w:id="202" w:name="Tc_FP4t5ZiV9kO0diIspLh6eg_28_5"/>
      <w:bookmarkStart w:id="203" w:name="Tc_v7YaX8qs7EOg82JuF1ATpA_28_2"/>
      <w:bookmarkStart w:id="204" w:name="Tc_UoZzb3rbc0ew_fAAqUooZg_28_0"/>
      <w:bookmarkStart w:id="205" w:name="Tc_56kv3_Ct2ka7gE0LsuANaA_27_0"/>
      <w:bookmarkStart w:id="206" w:name="Tc_61McX4pmvkedv3_b0RBvKQ_26_0"/>
      <w:bookmarkStart w:id="207" w:name="Tc_-uXlTUg-SE-pphZpD35-iQ_25_0"/>
      <w:bookmarkStart w:id="208" w:name="Tc_k0jLtHb8ak619ZYMuthL6Q_24_0"/>
      <w:bookmarkStart w:id="209" w:name="Tc_qZU6UxtAxESRy39o4VIKog_23_0"/>
      <w:bookmarkStart w:id="210" w:name="Tc_4kLHbcWNnkCJ-Xad5x8-6w_22_0"/>
      <w:bookmarkStart w:id="211" w:name="Tc_K7cmM6i09EazSeiS0iMzIA_21_0"/>
      <w:bookmarkStart w:id="212" w:name="Tc_QDKzUCNmQEWZW3Z0Pkg42w_20_0"/>
      <w:bookmarkStart w:id="213" w:name="Tc_toXXRcRJ10-36yzNB4vdtw_19_9"/>
      <w:bookmarkStart w:id="214" w:name="Tc_IhPjYsVdb0-qKQRA2GFwng_19_6"/>
      <w:bookmarkStart w:id="215" w:name="Tc_WTFOkgEUDUaD73ROgX44RQ_19_0"/>
      <w:bookmarkStart w:id="216" w:name="Tc_eYaeKEkmME2c1hsdKah0HQ_18_0"/>
      <w:bookmarkStart w:id="217" w:name="Tc_EdwvjfulSkCV6IdnaWOlwQ_17_0"/>
      <w:bookmarkStart w:id="218" w:name="Tc_FLli-GC4rUyAMbq_qkw-yA_16_0"/>
      <w:bookmarkStart w:id="219" w:name="Tc_yGLWERmcEk26Wkr4KlwopA_15_0"/>
      <w:bookmarkStart w:id="220" w:name="Tc_B4y4a3qmdU-nyvq6L039jQ_14_0"/>
      <w:bookmarkStart w:id="221" w:name="Tc_cIlz7cGGw0u3DTmYCVQOfQ_13_0"/>
      <w:bookmarkStart w:id="222" w:name="Tc_r_Qh77VSRUmf977q_J-jeQ_12_3"/>
      <w:bookmarkStart w:id="223" w:name="Tc_brYXg9NuXkaHw1qKhBUmNQ_12_0"/>
      <w:bookmarkStart w:id="224" w:name="Tc_XcEIKHLJWkic30SMq-sxsg_11_0"/>
      <w:bookmarkStart w:id="225" w:name="Tc_Q78G1rcfLUGzuF7VDwJ6GQ_10_0"/>
      <w:bookmarkStart w:id="226" w:name="Tc_gKLPxIrYHUWk4-WrPuJSyQ_9_0"/>
      <w:bookmarkStart w:id="227" w:name="Tc_2809cLgJvEunDgYK7KnWww_8_3"/>
      <w:bookmarkStart w:id="228" w:name="Tc_m5YczsBF7USQUyhiGd6_9w_8_0"/>
      <w:bookmarkStart w:id="229" w:name="Tc_I3_z_t26iEiXQvzH8Xb9fw_7_0"/>
      <w:bookmarkStart w:id="230" w:name="Tc_uQMjFECpykaOT4j81Ux-0A_6_0"/>
      <w:bookmarkStart w:id="231" w:name="Tc_lC0JSdPS4UuZKOOFn3gWTA_5_8"/>
      <w:bookmarkStart w:id="232" w:name="Tc_QGI0oF-dIkK4m0W9kP50Bw_5_5"/>
      <w:bookmarkStart w:id="233" w:name="Tc_i-MT2BSYwkug-rqrMN3XBA_5_2"/>
      <w:bookmarkStart w:id="234" w:name="Tc_WPLaHkEXU0ykALbpoyx8lw_5_0"/>
      <w:bookmarkStart w:id="235" w:name="Tc_tn4Rsc_wbE6EdbEAf7zv1w_4_0"/>
      <w:bookmarkStart w:id="236" w:name="Tc_4IXGUrZMyU-IsrDE1AzQPA_3_8"/>
      <w:bookmarkStart w:id="237" w:name="Tc_-_DFCrV5t0CqAcb7QlPaxw_3_5"/>
      <w:bookmarkStart w:id="238" w:name="Tc_lzyMrxewfE-sJ7H-yNPJ7A_3_2"/>
      <w:bookmarkStart w:id="239" w:name="Tc_jRypVR-Xk0y3UmcIujjnvw_2_8"/>
      <w:bookmarkStart w:id="240" w:name="Tc_t3Xi5gr_bkaMXJ3o20OvnA_2_5"/>
      <w:bookmarkStart w:id="241" w:name="Tc_oA6yCVWP0k-y0cwPN2BUWQ_2_2"/>
      <w:bookmarkStart w:id="242" w:name="Tc_ygOYhwF8Y0CHEbThvRJt7Q_1_2"/>
      <w:bookmarkStart w:id="243" w:name="_e9876783_64e3_4c56_be53_fd59c700a247"/>
      <w:bookmarkStart w:id="244" w:name="_9959f80f_e94a_450a_8eb9_d13c27279e43"/>
      <w:bookmarkStart w:id="245" w:name="Tc_DjSLGPEWbU2Mp6Ie4GjtNw_35_0"/>
      <w:bookmarkStart w:id="246" w:name="Tc_ccP5h61QAkayvvMf3CiUaA_34_0"/>
      <w:bookmarkStart w:id="247" w:name="Tc_8pmoonZ0wkekHr9fiHadHw_33_0"/>
      <w:bookmarkStart w:id="248" w:name="Tc_cqAmrLw0pEWmk0MkRPz7sA_31_8"/>
      <w:bookmarkStart w:id="249" w:name="Tc_RPpPs79NgUKRWCD028OT5Q_31_5"/>
      <w:bookmarkStart w:id="250" w:name="Tc_w4sYiMnir0aNtsvfZmrAAQ_31_2"/>
      <w:bookmarkStart w:id="251" w:name="Tc_XqurWhCSKUOQ-akhffNoNw_31_0"/>
      <w:bookmarkStart w:id="252" w:name="Tc_ABANQ4cwP0OABVMHMRMxtw_30_0"/>
      <w:bookmarkStart w:id="253" w:name="Tc_SJsm8g7gB0-pxZrrbPmmiQ_28_8"/>
      <w:bookmarkStart w:id="254" w:name="Tc_FP4t5ZiV9kO0diIspLh6eg_28_5"/>
      <w:bookmarkStart w:id="255" w:name="Tc_v7YaX8qs7EOg82JuF1ATpA_28_2"/>
      <w:bookmarkStart w:id="256" w:name="Tc_UoZzb3rbc0ew_fAAqUooZg_28_0"/>
      <w:bookmarkStart w:id="257" w:name="Tc_56kv3_Ct2ka7gE0LsuANaA_27_0"/>
      <w:bookmarkStart w:id="258" w:name="Tc_61McX4pmvkedv3_b0RBvKQ_26_0"/>
      <w:bookmarkStart w:id="259" w:name="Tc_-uXlTUg-SE-pphZpD35-iQ_25_0"/>
      <w:bookmarkStart w:id="260" w:name="Tc_k0jLtHb8ak619ZYMuthL6Q_24_0"/>
      <w:bookmarkStart w:id="261" w:name="Tc_qZU6UxtAxESRy39o4VIKog_23_0"/>
      <w:bookmarkStart w:id="262" w:name="Tc_4kLHbcWNnkCJ-Xad5x8-6w_22_0"/>
      <w:bookmarkStart w:id="263" w:name="Tc_K7cmM6i09EazSeiS0iMzIA_21_0"/>
      <w:bookmarkStart w:id="264" w:name="Tc_QDKzUCNmQEWZW3Z0Pkg42w_20_0"/>
      <w:bookmarkStart w:id="265" w:name="Tc_toXXRcRJ10-36yzNB4vdtw_19_9"/>
      <w:bookmarkStart w:id="266" w:name="Tc_IhPjYsVdb0-qKQRA2GFwng_19_6"/>
      <w:bookmarkStart w:id="267" w:name="Tc_WTFOkgEUDUaD73ROgX44RQ_19_0"/>
      <w:bookmarkStart w:id="268" w:name="Tc_eYaeKEkmME2c1hsdKah0HQ_18_0"/>
      <w:bookmarkStart w:id="269" w:name="Tc_EdwvjfulSkCV6IdnaWOlwQ_17_0"/>
      <w:bookmarkStart w:id="270" w:name="Tc_FLli-GC4rUyAMbq_qkw-yA_16_0"/>
      <w:bookmarkStart w:id="271" w:name="Tc_yGLWERmcEk26Wkr4KlwopA_15_0"/>
      <w:bookmarkStart w:id="272" w:name="Tc_B4y4a3qmdU-nyvq6L039jQ_14_0"/>
      <w:bookmarkStart w:id="273" w:name="Tc_cIlz7cGGw0u3DTmYCVQOfQ_13_0"/>
      <w:bookmarkStart w:id="274" w:name="Tc_r_Qh77VSRUmf977q_J-jeQ_12_3"/>
      <w:bookmarkStart w:id="275" w:name="Tc_brYXg9NuXkaHw1qKhBUmNQ_12_0"/>
      <w:bookmarkStart w:id="276" w:name="Tc_XcEIKHLJWkic30SMq-sxsg_11_0"/>
      <w:bookmarkStart w:id="277" w:name="Tc_Q78G1rcfLUGzuF7VDwJ6GQ_10_0"/>
      <w:bookmarkStart w:id="278" w:name="Tc_gKLPxIrYHUWk4-WrPuJSyQ_9_0"/>
      <w:bookmarkStart w:id="279" w:name="Tc_2809cLgJvEunDgYK7KnWww_8_3"/>
      <w:bookmarkStart w:id="280" w:name="Tc_m5YczsBF7USQUyhiGd6_9w_8_0"/>
      <w:bookmarkStart w:id="281" w:name="Tc_I3_z_t26iEiXQvzH8Xb9fw_7_0"/>
      <w:bookmarkStart w:id="282" w:name="Tc_uQMjFECpykaOT4j81Ux-0A_6_0"/>
      <w:bookmarkStart w:id="283" w:name="Tc_lC0JSdPS4UuZKOOFn3gWTA_5_8"/>
      <w:bookmarkStart w:id="284" w:name="Tc_QGI0oF-dIkK4m0W9kP50Bw_5_5"/>
      <w:bookmarkStart w:id="285" w:name="Tc_i-MT2BSYwkug-rqrMN3XBA_5_2"/>
      <w:bookmarkStart w:id="286" w:name="Tc_WPLaHkEXU0ykALbpoyx8lw_5_0"/>
      <w:bookmarkStart w:id="287" w:name="Tc_tn4Rsc_wbE6EdbEAf7zv1w_4_0"/>
      <w:bookmarkStart w:id="288" w:name="Tc_4IXGUrZMyU-IsrDE1AzQPA_3_8"/>
      <w:bookmarkStart w:id="289" w:name="Tc_-_DFCrV5t0CqAcb7QlPaxw_3_5"/>
      <w:bookmarkStart w:id="290" w:name="Tc_lzyMrxewfE-sJ7H-yNPJ7A_3_2"/>
      <w:bookmarkStart w:id="291" w:name="Tc_jRypVR-Xk0y3UmcIujjnvw_2_8"/>
      <w:bookmarkStart w:id="292" w:name="Tc_t3Xi5gr_bkaMXJ3o20OvnA_2_5"/>
      <w:bookmarkStart w:id="293" w:name="Tc_oA6yCVWP0k-y0cwPN2BUWQ_2_2"/>
      <w:bookmarkStart w:id="294" w:name="Tc_ygOYhwF8Y0CHEbThvRJt7Q_1_2"/>
      <w:bookmarkStart w:id="295" w:name="_e9876783_64e3_4c56_be53_fd59c700a247"/>
      <w:bookmarkStart w:id="296" w:name="_9959f80f_e94a_450a_8eb9_d13c27279e43"/>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tbl>
      <w:tblPr>
        <w:tblW w:w="10205" w:type="dxa"/>
        <w:jc w:val="left"/>
        <w:tblInd w:w="0" w:type="dxa"/>
        <w:tblLayout w:type="fixed"/>
        <w:tblCellMar>
          <w:top w:w="0" w:type="dxa"/>
          <w:left w:w="0" w:type="dxa"/>
          <w:bottom w:w="0" w:type="dxa"/>
          <w:right w:w="0" w:type="dxa"/>
        </w:tblCellMar>
      </w:tblPr>
      <w:tblGrid>
        <w:gridCol w:w="5300"/>
        <w:gridCol w:w="346"/>
        <w:gridCol w:w="212"/>
        <w:gridCol w:w="1044"/>
        <w:gridCol w:w="346"/>
        <w:gridCol w:w="212"/>
        <w:gridCol w:w="1044"/>
        <w:gridCol w:w="346"/>
        <w:gridCol w:w="211"/>
        <w:gridCol w:w="1144"/>
      </w:tblGrid>
      <w:tr>
        <w:trPr/>
        <w:tc>
          <w:tcPr>
            <w:tcW w:w="5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4620" cy="175260"/>
                      <wp:effectExtent l="0" t="0" r="0" b="0"/>
                      <wp:wrapNone/>
                      <wp:docPr id="141" name="Frame14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2940" cy="175260"/>
                      <wp:effectExtent l="0" t="0" r="0" b="0"/>
                      <wp:wrapNone/>
                      <wp:docPr id="142" name="Frame141"/>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4620" cy="175260"/>
                      <wp:effectExtent l="0" t="0" r="0" b="0"/>
                      <wp:wrapNone/>
                      <wp:docPr id="144" name="Frame14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2940" cy="175260"/>
                      <wp:effectExtent l="0" t="0" r="0" b="0"/>
                      <wp:wrapNone/>
                      <wp:docPr id="145" name="Frame14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26440" cy="175260"/>
                      <wp:effectExtent l="0" t="0" r="0" b="0"/>
                      <wp:wrapNone/>
                      <wp:docPr id="148" name="Frame14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5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3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46" w:type="dxa"/>
            <w:tcBorders/>
            <w:vAlign w:val="center"/>
          </w:tcPr>
          <w:p>
            <w:pPr>
              <w:pStyle w:val="TableContents"/>
              <w:bidi w:val="0"/>
              <w:spacing w:before="0" w:after="0"/>
              <w:ind w:left="0" w:right="0" w:hanging="0"/>
              <w:jc w:val="center"/>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46" w:type="dxa"/>
            <w:tcBorders/>
            <w:vAlign w:val="center"/>
          </w:tcPr>
          <w:p>
            <w:pPr>
              <w:pStyle w:val="TableContents"/>
              <w:bidi w:val="0"/>
              <w:spacing w:before="0" w:after="0"/>
              <w:ind w:left="0" w:right="0" w:hanging="0"/>
              <w:jc w:val="center"/>
              <w:rPr/>
            </w:pPr>
            <w:r>
              <w:rPr/>
              <w:t>​</w:t>
            </w:r>
          </w:p>
        </w:tc>
        <w:tc>
          <w:tcPr>
            <w:tcW w:w="13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53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3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(28,455)</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(30,178)</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(18,527)</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(44,173)</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(116,533)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(90,156)</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(22,359)</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10,092</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5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53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32,267,365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25,361,379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22,529,703</w:t>
            </w:r>
          </w:p>
        </w:tc>
      </w:tr>
      <w:tr>
        <w:trPr/>
        <w:tc>
          <w:tcPr>
            <w:tcW w:w="5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32,292,812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25,401,176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22,529,703</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97" w:name="_5740f613_20e7_4c08_8c95_7fdae80f87bc"/>
      <w:bookmarkEnd w:id="297"/>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298" w:name="COMPREHENSIVEINCOME_741614"/>
      <w:bookmarkEnd w:id="298"/>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20"/>
        <w:ind w:left="0" w:right="0" w:hanging="0"/>
        <w:jc w:val="left"/>
        <w:rPr/>
      </w:pPr>
      <w:r>
        <w:rPr/>
        <w:t>​</w:t>
      </w:r>
    </w:p>
    <w:p>
      <w:pPr>
        <w:pStyle w:val="Normal"/>
        <w:bidi w:val="0"/>
        <w:spacing w:before="0" w:after="0"/>
        <w:jc w:val="left"/>
        <w:rPr>
          <w:sz w:val="4"/>
          <w:szCs w:val="4"/>
        </w:rPr>
      </w:pPr>
      <w:r>
        <w:rPr>
          <w:sz w:val="4"/>
          <w:szCs w:val="4"/>
        </w:rPr>
      </w:r>
      <w:bookmarkStart w:id="299" w:name="Tc_vhljM3pYuUShkrOEgpcjmQ_7_8"/>
      <w:bookmarkStart w:id="300" w:name="Tc_isX1-T2wckyhem7AGbYtTw_7_5"/>
      <w:bookmarkStart w:id="301" w:name="Tc_VJWTX2x8vE2kbeaUhJhPVw_7_2"/>
      <w:bookmarkStart w:id="302" w:name="Tc_XtxG-AMfy0WZ2MuUrn_HfQ_7_0"/>
      <w:bookmarkStart w:id="303" w:name="Tc_TJhh1lBXzkizPDpA7GEGvA_6_0"/>
      <w:bookmarkStart w:id="304" w:name="Tc_ovznACMz4UOEL8auOgMpgQ_5_0"/>
      <w:bookmarkStart w:id="305" w:name="Tc_snqq8M3NT0aOchsrIDCArw_4_0"/>
      <w:bookmarkStart w:id="306" w:name="Tc_wtOzaBk46USvgOnleuCr_Q_3_8"/>
      <w:bookmarkStart w:id="307" w:name="Tc_C0c2JFcuLEyjZ6OR9BaeGw_3_5"/>
      <w:bookmarkStart w:id="308" w:name="Tc_23o4YJSq2kiH9iy7yXz57Q_3_2"/>
      <w:bookmarkStart w:id="309" w:name="Tc_387eXXs3kEG2wiJ2pBxZaw_3_0"/>
      <w:bookmarkStart w:id="310" w:name="Tc_k3U7l6YT9EqLqyBeN7qf5Q_2_8"/>
      <w:bookmarkStart w:id="311" w:name="Tc_4TlfkfH85U68Uj9uxt1hbg_2_5"/>
      <w:bookmarkStart w:id="312" w:name="Tc__xatfRgMSEKHE3llJ2vuzg_2_2"/>
      <w:bookmarkStart w:id="313" w:name="Tc_wh8UijbkwEOa292OdzsGdQ_1_2"/>
      <w:bookmarkStart w:id="314" w:name="_6a07c651_b6bf_4332_a957_023968ad062a"/>
      <w:bookmarkStart w:id="315" w:name="Tc_vhljM3pYuUShkrOEgpcjmQ_7_8"/>
      <w:bookmarkStart w:id="316" w:name="Tc_isX1-T2wckyhem7AGbYtTw_7_5"/>
      <w:bookmarkStart w:id="317" w:name="Tc_VJWTX2x8vE2kbeaUhJhPVw_7_2"/>
      <w:bookmarkStart w:id="318" w:name="Tc_XtxG-AMfy0WZ2MuUrn_HfQ_7_0"/>
      <w:bookmarkStart w:id="319" w:name="Tc_TJhh1lBXzkizPDpA7GEGvA_6_0"/>
      <w:bookmarkStart w:id="320" w:name="Tc_ovznACMz4UOEL8auOgMpgQ_5_0"/>
      <w:bookmarkStart w:id="321" w:name="Tc_snqq8M3NT0aOchsrIDCArw_4_0"/>
      <w:bookmarkStart w:id="322" w:name="Tc_wtOzaBk46USvgOnleuCr_Q_3_8"/>
      <w:bookmarkStart w:id="323" w:name="Tc_C0c2JFcuLEyjZ6OR9BaeGw_3_5"/>
      <w:bookmarkStart w:id="324" w:name="Tc_23o4YJSq2kiH9iy7yXz57Q_3_2"/>
      <w:bookmarkStart w:id="325" w:name="Tc_387eXXs3kEG2wiJ2pBxZaw_3_0"/>
      <w:bookmarkStart w:id="326" w:name="Tc_k3U7l6YT9EqLqyBeN7qf5Q_2_8"/>
      <w:bookmarkStart w:id="327" w:name="Tc_4TlfkfH85U68Uj9uxt1hbg_2_5"/>
      <w:bookmarkStart w:id="328" w:name="Tc__xatfRgMSEKHE3llJ2vuzg_2_2"/>
      <w:bookmarkStart w:id="329" w:name="Tc_wh8UijbkwEOa292OdzsGdQ_1_2"/>
      <w:bookmarkStart w:id="330" w:name="_6a07c651_b6bf_4332_a957_023968ad062a"/>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9898" w:type="dxa"/>
        <w:jc w:val="left"/>
        <w:tblInd w:w="0" w:type="dxa"/>
        <w:tblLayout w:type="fixed"/>
        <w:tblCellMar>
          <w:top w:w="0" w:type="dxa"/>
          <w:left w:w="0" w:type="dxa"/>
          <w:bottom w:w="0" w:type="dxa"/>
          <w:right w:w="0" w:type="dxa"/>
        </w:tblCellMar>
      </w:tblPr>
      <w:tblGrid>
        <w:gridCol w:w="4351"/>
        <w:gridCol w:w="109"/>
        <w:gridCol w:w="383"/>
        <w:gridCol w:w="1342"/>
        <w:gridCol w:w="109"/>
        <w:gridCol w:w="431"/>
        <w:gridCol w:w="1294"/>
        <w:gridCol w:w="109"/>
        <w:gridCol w:w="420"/>
        <w:gridCol w:w="1350"/>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762885" cy="175260"/>
                      <wp:effectExtent l="0" t="0" r="0" b="0"/>
                      <wp:wrapNone/>
                      <wp:docPr id="149" name="Frame148"/>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43205" cy="175260"/>
                      <wp:effectExtent l="0" t="0" r="0" b="0"/>
                      <wp:wrapNone/>
                      <wp:docPr id="151" name="Frame15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52170" cy="175260"/>
                      <wp:effectExtent l="0" t="0" r="0" b="0"/>
                      <wp:wrapNone/>
                      <wp:docPr id="152" name="Frame151"/>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73685" cy="175260"/>
                      <wp:effectExtent l="0" t="0" r="0" b="0"/>
                      <wp:wrapNone/>
                      <wp:docPr id="154" name="Frame15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21690" cy="175260"/>
                      <wp:effectExtent l="0" t="0" r="0" b="0"/>
                      <wp:wrapNone/>
                      <wp:docPr id="155" name="Frame154"/>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6700" cy="175260"/>
                      <wp:effectExtent l="0" t="0" r="0" b="0"/>
                      <wp:wrapNone/>
                      <wp:docPr id="157" name="Frame15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57250" cy="175260"/>
                      <wp:effectExtent l="0" t="0" r="0" b="0"/>
                      <wp:wrapNone/>
                      <wp:docPr id="158" name="Frame15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10,092</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(12,922)</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(12,922)</w:t>
            </w:r>
          </w:p>
        </w:tc>
        <w:tc>
          <w:tcPr>
            <w:tcW w:w="109" w:type="dxa"/>
            <w:tcBorders/>
            <w:vAlign w:val="center"/>
          </w:tcPr>
          <w:p>
            <w:pPr>
              <w:pStyle w:val="TableContents"/>
              <w:bidi w:val="0"/>
              <w:spacing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1" w:name="_ec3b11a6_04f7_4c16_ac28_308397b7032d"/>
      <w:bookmarkEnd w:id="331"/>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332" w:name="CONSOLIDATEDSTATEMENTSOFSHAREHOLDERSEQUI"/>
      <w:bookmarkEnd w:id="332"/>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Impact" w:hAnsi="Impact"/>
          <w:b/>
          <w:sz w:val="16"/>
        </w:rPr>
      </w:pPr>
      <w:r>
        <w:rPr>
          <w:rFonts w:ascii="Times New Roman;Times;serif" w:hAnsi="Times New Roman;Times;serif"/>
          <w:b/>
          <w:sz w:val="20"/>
        </w:rPr>
        <w:t>(In thousands</w:t>
      </w:r>
      <w:r>
        <w:rPr>
          <w:rFonts w:ascii="Times New Roman;Times;serif" w:hAnsi="Times New Roman;Times;serif"/>
          <w:b/>
          <w:sz w:val="16"/>
        </w:rPr>
        <w:t>)</w:t>
      </w:r>
    </w:p>
    <w:p>
      <w:pPr>
        <w:pStyle w:val="Normal"/>
        <w:bidi w:val="0"/>
        <w:spacing w:before="0" w:after="0"/>
        <w:jc w:val="left"/>
        <w:rPr>
          <w:sz w:val="4"/>
          <w:szCs w:val="4"/>
        </w:rPr>
      </w:pPr>
      <w:r>
        <w:rPr>
          <w:sz w:val="4"/>
          <w:szCs w:val="4"/>
        </w:rPr>
      </w:r>
      <w:bookmarkStart w:id="333" w:name="Tc_s-nnGJcXxEOceQPFnZ69Yw_34_17"/>
      <w:bookmarkStart w:id="334" w:name="Tc_DKBxbLTtRkWETVQs143qTA_34_14"/>
      <w:bookmarkStart w:id="335" w:name="Tc_-AI2AUJHVUih9aVBA18zLA_34_11"/>
      <w:bookmarkStart w:id="336" w:name="Tc_8yBO7tviQEitlwH8Me8piA_34_8"/>
      <w:bookmarkStart w:id="337" w:name="Tc_KHNAG_4l0k-Td7pc-VtCnQ_34_5"/>
      <w:bookmarkStart w:id="338" w:name="Tc_5LQzIu3IQECb2K1YXDNjdA_34_2"/>
      <w:bookmarkStart w:id="339" w:name="Tc_rSY1jYZXG0G8fIXitqiR5w_34_0"/>
      <w:bookmarkStart w:id="340" w:name="Tc_yiw4eMNsT0CeQ9s0PVKRXA_33_12"/>
      <w:bookmarkStart w:id="341" w:name="Tc_m0WUX9qiJ0S-9jlqrvlNFQ_33_9"/>
      <w:bookmarkStart w:id="342" w:name="Tc_QIO-NKtpNUCQTPQqJ75Hdw_33_6"/>
      <w:bookmarkStart w:id="343" w:name="Tc_o7YfIYuHUkOszDRTDkEyvg_33_3"/>
      <w:bookmarkStart w:id="344" w:name="Tc_C9NsXJDAb0yEXvSS4czBCw_33_0"/>
      <w:bookmarkStart w:id="345" w:name="Tc_7cgH3llwakirJ2Tv9I1y1w_32_15"/>
      <w:bookmarkStart w:id="346" w:name="Tc_Kb5DtnpgY0O13ghQeFRjTA_32_9"/>
      <w:bookmarkStart w:id="347" w:name="Tc_v8_LATDVg0izZwI8cgJ8xA_32_6"/>
      <w:bookmarkStart w:id="348" w:name="Tc_Gy7jUjwYd0i3ahfMX10mqg_32_3"/>
      <w:bookmarkStart w:id="349" w:name="Tc_hheS8KS_Xk-rZL8BAZmBrQ_32_0"/>
      <w:bookmarkStart w:id="350" w:name="Tc_MyVaYIC19kuFiQtuDherwg_31_15"/>
      <w:bookmarkStart w:id="351" w:name="Tc_fjT9rhemLEaagNc_AiSysA_31_9"/>
      <w:bookmarkStart w:id="352" w:name="Tc_psVmIzIq8EGG6FZmGN2b9g_31_6"/>
      <w:bookmarkStart w:id="353" w:name="Tc_CeJn5EnBhUKhdlyvQPjSLA_31_3"/>
      <w:bookmarkStart w:id="354" w:name="Tc_aKB3FkGLp0-lvVj9baQW9Q_31_0"/>
      <w:bookmarkStart w:id="355" w:name="Tc_uDnbk1zIyUuBu61hUdUVQQ_30_15"/>
      <w:bookmarkStart w:id="356" w:name="Tc_mQDZniC5VUaTGY_6s22whg_30_12"/>
      <w:bookmarkStart w:id="357" w:name="Tc_Xtjrhe1wBUiOwn3dqlRwpg_30_6"/>
      <w:bookmarkStart w:id="358" w:name="Tc_LJMO9Wj7d0S-Lvub0mHvZQ_30_3"/>
      <w:bookmarkStart w:id="359" w:name="Tc_4Z2xtrOQ8UqZFlx71-xNEg_30_0"/>
      <w:bookmarkStart w:id="360" w:name="Tc_3vSYNkU00kaOGtC40r21ng_29_15"/>
      <w:bookmarkStart w:id="361" w:name="Tc_m3QtwKG_506p2tSTYgS6lQ_29_12"/>
      <w:bookmarkStart w:id="362" w:name="Tc_gmt34rP78kSav8P8XIJbqg_29_3"/>
      <w:bookmarkStart w:id="363" w:name="Tc_gNvMzwf4vUmnU9ZZdrWhrw_29_0"/>
      <w:bookmarkStart w:id="364" w:name="Tc_GC6WL0PJuU64ek4xXhVxMw_28_15"/>
      <w:bookmarkStart w:id="365" w:name="Tc_IIn4ytROmU2T09uwxafBmA_28_12"/>
      <w:bookmarkStart w:id="366" w:name="Tc_v49TOrbn8keF6sVoIts4HQ_28_6"/>
      <w:bookmarkStart w:id="367" w:name="Tc_8nAECThF00mmK2JWvxbRfg_28_3"/>
      <w:bookmarkStart w:id="368" w:name="Tc_9fd4_GiFU0qhEQN_M2Nqqg_28_0"/>
      <w:bookmarkStart w:id="369" w:name="Tc_rDas_a9iLUKvtHJDYWWqPQ_27_15"/>
      <w:bookmarkStart w:id="370" w:name="Tc_16p26yAW50mtkuXjwaVDhQ_27_12"/>
      <w:bookmarkStart w:id="371" w:name="Tc_q5Ow-0I6CkyaRdDD27LexQ_27_3"/>
      <w:bookmarkStart w:id="372" w:name="Tc_CySAovuChEKDhqI4x6pvcQ_27_0"/>
      <w:bookmarkStart w:id="373" w:name="Tc_Uxys8998PEGAYN5_mKKs4A_26_15"/>
      <w:bookmarkStart w:id="374" w:name="Tc_3SIb5M6nykGfMj7yaIfifA_26_12"/>
      <w:bookmarkStart w:id="375" w:name="Tc_a1FxSdLX806BVMjQk_KMEg_26_3"/>
      <w:bookmarkStart w:id="376" w:name="Tc_eg8LQO_6r0CU6TDjnlGItw_26_0"/>
      <w:bookmarkStart w:id="377" w:name="Tc_rIZr8mS62kGdCXtwJFZoQQ_25_15"/>
      <w:bookmarkStart w:id="378" w:name="Tc_IA3fYKfMaE6T6m9YeKhUOw_25_12"/>
      <w:bookmarkStart w:id="379" w:name="Tc_sL5OSPKslkuwHJy2XyHbFw_25_3"/>
      <w:bookmarkStart w:id="380" w:name="Tc_47yvKRaBFkOVjP0fwOTYGQ_25_0"/>
      <w:bookmarkStart w:id="381" w:name="Tc_-nV9l9_wLku3eZIq2jxHww_24_15"/>
      <w:bookmarkStart w:id="382" w:name="Tc_cnz7-WlZCk-WAny0rkrrzA_24_9"/>
      <w:bookmarkStart w:id="383" w:name="Tc_5cLSO9Ey2k6IFCPS5zeIHg_24_6"/>
      <w:bookmarkStart w:id="384" w:name="Tc_pwjGvHeAuEu6ELqYvYLrFQ_24_3"/>
      <w:bookmarkStart w:id="385" w:name="Tc_2fpi83FLNEGsk0fBPqIBmg_24_0"/>
      <w:bookmarkStart w:id="386" w:name="Tc_eMDzYSjBx0eCF1uhzeFQcw_23_0"/>
      <w:bookmarkStart w:id="387" w:name="Tc_Wqt0-fkOU0C0wP2aHMbOog_22_12"/>
      <w:bookmarkStart w:id="388" w:name="Tc_Mo2rYQNH4ECFevFFMLStTQ_22_9"/>
      <w:bookmarkStart w:id="389" w:name="Tc_TpWdd2P3ZkOpmytEgsLxIg_22_6"/>
      <w:bookmarkStart w:id="390" w:name="Tc_kiANH7fAF06IECWcegzh7w_22_3"/>
      <w:bookmarkStart w:id="391" w:name="Tc_a1e571DPukupYYlMQCqq3Q_22_0"/>
      <w:bookmarkStart w:id="392" w:name="Tc_E2EKXWU9Ok6dg7NxaEJwPA_21_15"/>
      <w:bookmarkStart w:id="393" w:name="Tc_3fAb2m1ByU6NaA1IUsX7Mw_21_9"/>
      <w:bookmarkStart w:id="394" w:name="Tc_72G-LevvRECQFb8xkE9LFg_21_6"/>
      <w:bookmarkStart w:id="395" w:name="Tc_L23p2yABUE2_XCf_azDm2w_21_3"/>
      <w:bookmarkStart w:id="396" w:name="Tc_sfoTLBmsyUa_AmWJJvQFug_21_0"/>
      <w:bookmarkStart w:id="397" w:name="Tc_vFYoNA7HiEeIttOvKjjeOw_20_15"/>
      <w:bookmarkStart w:id="398" w:name="Tc_LAgneJzkNEyApsUPyQv1Ig_20_9"/>
      <w:bookmarkStart w:id="399" w:name="Tc_G-rDXLP_r0qxety8bNxWZw_20_6"/>
      <w:bookmarkStart w:id="400" w:name="Tc_US55zKfIVUaaxA7L0-QYHw_20_3"/>
      <w:bookmarkStart w:id="401" w:name="Tc_thr3e381yUePCSWRvYtcUg_20_0"/>
      <w:bookmarkStart w:id="402" w:name="Tc_RtTghrF6IkiOhKut2t0Zyw_19_15"/>
      <w:bookmarkStart w:id="403" w:name="Tc_EvAvKFYYfkK_tggCKhG2Rw_19_12"/>
      <w:bookmarkStart w:id="404" w:name="Tc_rCPJnHQGL02jhyyK92ONwQ_19_6"/>
      <w:bookmarkStart w:id="405" w:name="Tc_H8Gu8gxmrESUh6DHVuw3yw_19_3"/>
      <w:bookmarkStart w:id="406" w:name="Tc_1LSTfHWO4kC_GSrkhVh6rQ_19_0"/>
      <w:bookmarkStart w:id="407" w:name="Tc_-L990teQdkiTk34wMX20HQ_18_15"/>
      <w:bookmarkStart w:id="408" w:name="Tc_ccX5H2F_m0yai6LKe3sCRg_18_12"/>
      <w:bookmarkStart w:id="409" w:name="Tc_jY6dpcDhe0eomzL_9rSWfQ_18_3"/>
      <w:bookmarkStart w:id="410" w:name="Tc_3rqTrX-32EKMrxUwfAAy4g_18_0"/>
      <w:bookmarkStart w:id="411" w:name="Tc_Fgik3jtUsE6sWgfBMZH40Q_17_15"/>
      <w:bookmarkStart w:id="412" w:name="Tc_tox3gj2YA0Sp_Ew0EcBNlw_17_12"/>
      <w:bookmarkStart w:id="413" w:name="Tc_FXRUJGQyRkWjCfELu6PLfQ_17_6"/>
      <w:bookmarkStart w:id="414" w:name="Tc_SyBdg3Cca0eEFfNk4zyjag_17_0"/>
      <w:bookmarkStart w:id="415" w:name="Tc_TtBEuBg2S02CgZV3Q7vtiQ_16_15"/>
      <w:bookmarkStart w:id="416" w:name="Tc_B_PVJYuweUaRNM16M_7x5w_16_12"/>
      <w:bookmarkStart w:id="417" w:name="Tc_C5X_woEnykKzS8drCAYpSA_16_6"/>
      <w:bookmarkStart w:id="418" w:name="Tc_D15NP_YRVUex14ps3dAqNQ_16_3"/>
      <w:bookmarkStart w:id="419" w:name="Tc_Ire1LTu0GUC-pCPrFWH9cA_16_0"/>
      <w:bookmarkStart w:id="420" w:name="Tc_j1Wf7MsdwkivhtLpny0b1w_15_15"/>
      <w:bookmarkStart w:id="421" w:name="Tc_0kmblz2KXUiIbT-5VAZznQ_15_12"/>
      <w:bookmarkStart w:id="422" w:name="Tc_OgDiHj8gT0SmRNSZHgUygg_15_3"/>
      <w:bookmarkStart w:id="423" w:name="Tc_aE1F7_a71UCACkskXA_Yfw_15_0"/>
      <w:bookmarkStart w:id="424" w:name="Tc_tdak2X2-0EWHueVGa4xydQ_14_15"/>
      <w:bookmarkStart w:id="425" w:name="Tc_jU7gsl4uVEOrvya_UITuOQ_14_12"/>
      <w:bookmarkStart w:id="426" w:name="Tc_IXQ1T5oLNkO01QqwV1p0_A_14_6"/>
      <w:bookmarkStart w:id="427" w:name="Tc_rkHsnjzcP0S5bg-LaDfBGA_14_3"/>
      <w:bookmarkStart w:id="428" w:name="Tc_n6XLhIXMz0-Iv2pB9r5hZQ_14_0"/>
      <w:bookmarkStart w:id="429" w:name="Tc_xehcbF2BY0W2plx_0usfoQ_13_15"/>
      <w:bookmarkStart w:id="430" w:name="Tc_RSfNL3N9GEiq0HShEwSGxw_13_9"/>
      <w:bookmarkStart w:id="431" w:name="Tc_ibc_aM3ZdU-rhgkSU22B8w_13_6"/>
      <w:bookmarkStart w:id="432" w:name="Tc_4sHLqHxshkSmqMNxMmo2hQ_13_3"/>
      <w:bookmarkStart w:id="433" w:name="Tc_fCraWjuDW0iRpbYO6EHHNg_13_0"/>
      <w:bookmarkStart w:id="434" w:name="Tc_21t6VKTVgk2x7dWdRvAr1Q_12_0"/>
      <w:bookmarkStart w:id="435" w:name="Tc_gbUcu92120C7kF7df2VVWw_11_12"/>
      <w:bookmarkStart w:id="436" w:name="Tc_zSAniY58r0SQefeqAqyxQQ_11_9"/>
      <w:bookmarkStart w:id="437" w:name="Tc_-Pkbahd2502chdU8gjeOQw_11_6"/>
      <w:bookmarkStart w:id="438" w:name="Tc_bIPo6V-MRkKb0UTRE9Qbcw_11_3"/>
      <w:bookmarkStart w:id="439" w:name="Tc_AyRvvT2zGkiLKAKVDgZ-_w_11_0"/>
      <w:bookmarkStart w:id="440" w:name="Tc_2aFppAam1kGzLVZ8ipgUPQ_10_15"/>
      <w:bookmarkStart w:id="441" w:name="Tc_1Iu2ZJA39kKHY1FrFwD5zg_10_9"/>
      <w:bookmarkStart w:id="442" w:name="Tc_nbZg7qBLBE2gxuDw_7vrtA_10_6"/>
      <w:bookmarkStart w:id="443" w:name="Tc_nK7fOxASJ06n9zQJZEdZ0Q_10_3"/>
      <w:bookmarkStart w:id="444" w:name="Tc__L_O8WWs5Eu_mmHfoiz5yA_10_0"/>
      <w:bookmarkStart w:id="445" w:name="Tc_0i7Pl363sEO1lxQ5ne3JpQ_9_15"/>
      <w:bookmarkStart w:id="446" w:name="Tc_Xj941C5Ia0mt0lNI63vB_Q_9_9"/>
      <w:bookmarkStart w:id="447" w:name="Tc_Qt58zh7R4U-p5DElw0fCzA_9_6"/>
      <w:bookmarkStart w:id="448" w:name="Tc_MT-m2_HTS0Sc4ZwORtqvqw_9_3"/>
      <w:bookmarkStart w:id="449" w:name="Tc_vsqbI83js02TXPuSmZ3XAw_9_0"/>
      <w:bookmarkStart w:id="450" w:name="Tc_MSLAgy0DDU-5Q53vT6TBZA_8_15"/>
      <w:bookmarkStart w:id="451" w:name="Tc_qzNAx-HDWESK4QZwcY0e-A_8_12"/>
      <w:bookmarkStart w:id="452" w:name="Tc_RGsavjfuMUufyFsokVNw6A_8_6"/>
      <w:bookmarkStart w:id="453" w:name="Tc_cMZ-f1ldd0O9zQ9jYNV7pA_8_3"/>
      <w:bookmarkStart w:id="454" w:name="Tc_saDcNG66eUmT0-SkIollmA_8_0"/>
      <w:bookmarkStart w:id="455" w:name="Tc_VJfPqDe56026_S-ndH_ZOg_7_15"/>
      <w:bookmarkStart w:id="456" w:name="Tc_ndFywEIkSkahqZ6NhwROlw_7_12"/>
      <w:bookmarkStart w:id="457" w:name="Tc_NyYxY2EowkaZypU0kwTz-Q_7_6"/>
      <w:bookmarkStart w:id="458" w:name="Tc_W4UVM3_vck6l8312Fk1LRA_7_3"/>
      <w:bookmarkStart w:id="459" w:name="Tc_ykwX674obkG8m7UMA8jwSQ_7_0"/>
      <w:bookmarkStart w:id="460" w:name="Tc_DR-Azrm9rUKTYpp6ZrLfMQ_6_15"/>
      <w:bookmarkStart w:id="461" w:name="Tc_sWhKN7P8zEi9R8GEOJvrzg_6_12"/>
      <w:bookmarkStart w:id="462" w:name="Tc_PbGJIy7KQky0lPIyoD1MLQ_6_6"/>
      <w:bookmarkStart w:id="463" w:name="Tc_XXkXrmKgQku_oR97E9JE3A_6_3"/>
      <w:bookmarkStart w:id="464" w:name="Tc_joktelx84EW7wDgS666oaw_6_0"/>
      <w:bookmarkStart w:id="465" w:name="Tc_L-zPdKP16EuoE6nHIIZLGw_5_15"/>
      <w:bookmarkStart w:id="466" w:name="Tc_5OluDpcSiUa-IjQxcEGedQ_5_12"/>
      <w:bookmarkStart w:id="467" w:name="Tc_uvbav5fk7kOhgqt-AQS9Fg_5_3"/>
      <w:bookmarkStart w:id="468" w:name="Tc_T_iQiUVU1k2OC-v0_p9CeA_5_0"/>
      <w:bookmarkStart w:id="469" w:name="Tc_cE6e0oYyXkeSyOcoWLShhA_4_15"/>
      <w:bookmarkStart w:id="470" w:name="Tc_xgq0MgFOiEKP4jywg1yoxw_4_12"/>
      <w:bookmarkStart w:id="471" w:name="Tc_bZaUqVkHikeyYLOrliv75Q_4_3"/>
      <w:bookmarkStart w:id="472" w:name="Tc_n2goA3Y61EO0T1T96UPLsg_4_0"/>
      <w:bookmarkStart w:id="473" w:name="Tc_CUfjl74ffEK9vXii5we4RA_3_15"/>
      <w:bookmarkStart w:id="474" w:name="Tc_4UyS6AnT00C0Qly-hMzFrQ_3_9"/>
      <w:bookmarkStart w:id="475" w:name="Tc_qbBqT3mw_0ONWyqGawS2zA_3_6"/>
      <w:bookmarkStart w:id="476" w:name="Tc_9L5QUMskgUqg-LF8XBnfSg_3_3"/>
      <w:bookmarkStart w:id="477" w:name="Tc_cLAN6m5FR0ylR-5dmDfKXQ_3_0"/>
      <w:bookmarkStart w:id="478" w:name="Tc_hVOU9Yam9USRQ7Lm5wjKTw_2_2"/>
      <w:bookmarkStart w:id="479" w:name="Tc_zK1caKedukyA9BoQT2_25w_2_0"/>
      <w:bookmarkStart w:id="480" w:name="Tc_jrj7rU8GmkSd0U5z5pw4SQ_1_17"/>
      <w:bookmarkStart w:id="481" w:name="Tc_bR1Nr-nS9E22gJ4Jy6bK7A_1_14"/>
      <w:bookmarkStart w:id="482" w:name="Tc_voE3epnPzUyTH6UVYnYDGw_1_11"/>
      <w:bookmarkStart w:id="483" w:name="Tc_vPbnEB5u-EqLf_UBWj6uBA_1_8"/>
      <w:bookmarkStart w:id="484" w:name="Tc_yzsE-pFKXkuk7GLrKh-__w_1_5"/>
      <w:bookmarkStart w:id="485" w:name="Tc_nemJ45bdlkKxBWpSHUxBRg_1_2"/>
      <w:bookmarkStart w:id="486" w:name="_56006cae_7d63_4b5b_ab84_bc565962c339"/>
      <w:bookmarkStart w:id="487" w:name="Tc_s-nnGJcXxEOceQPFnZ69Yw_34_17"/>
      <w:bookmarkStart w:id="488" w:name="Tc_DKBxbLTtRkWETVQs143qTA_34_14"/>
      <w:bookmarkStart w:id="489" w:name="Tc_-AI2AUJHVUih9aVBA18zLA_34_11"/>
      <w:bookmarkStart w:id="490" w:name="Tc_8yBO7tviQEitlwH8Me8piA_34_8"/>
      <w:bookmarkStart w:id="491" w:name="Tc_KHNAG_4l0k-Td7pc-VtCnQ_34_5"/>
      <w:bookmarkStart w:id="492" w:name="Tc_5LQzIu3IQECb2K1YXDNjdA_34_2"/>
      <w:bookmarkStart w:id="493" w:name="Tc_rSY1jYZXG0G8fIXitqiR5w_34_0"/>
      <w:bookmarkStart w:id="494" w:name="Tc_yiw4eMNsT0CeQ9s0PVKRXA_33_12"/>
      <w:bookmarkStart w:id="495" w:name="Tc_m0WUX9qiJ0S-9jlqrvlNFQ_33_9"/>
      <w:bookmarkStart w:id="496" w:name="Tc_QIO-NKtpNUCQTPQqJ75Hdw_33_6"/>
      <w:bookmarkStart w:id="497" w:name="Tc_o7YfIYuHUkOszDRTDkEyvg_33_3"/>
      <w:bookmarkStart w:id="498" w:name="Tc_C9NsXJDAb0yEXvSS4czBCw_33_0"/>
      <w:bookmarkStart w:id="499" w:name="Tc_7cgH3llwakirJ2Tv9I1y1w_32_15"/>
      <w:bookmarkStart w:id="500" w:name="Tc_Kb5DtnpgY0O13ghQeFRjTA_32_9"/>
      <w:bookmarkStart w:id="501" w:name="Tc_v8_LATDVg0izZwI8cgJ8xA_32_6"/>
      <w:bookmarkStart w:id="502" w:name="Tc_Gy7jUjwYd0i3ahfMX10mqg_32_3"/>
      <w:bookmarkStart w:id="503" w:name="Tc_hheS8KS_Xk-rZL8BAZmBrQ_32_0"/>
      <w:bookmarkStart w:id="504" w:name="Tc_MyVaYIC19kuFiQtuDherwg_31_15"/>
      <w:bookmarkStart w:id="505" w:name="Tc_fjT9rhemLEaagNc_AiSysA_31_9"/>
      <w:bookmarkStart w:id="506" w:name="Tc_psVmIzIq8EGG6FZmGN2b9g_31_6"/>
      <w:bookmarkStart w:id="507" w:name="Tc_CeJn5EnBhUKhdlyvQPjSLA_31_3"/>
      <w:bookmarkStart w:id="508" w:name="Tc_aKB3FkGLp0-lvVj9baQW9Q_31_0"/>
      <w:bookmarkStart w:id="509" w:name="Tc_uDnbk1zIyUuBu61hUdUVQQ_30_15"/>
      <w:bookmarkStart w:id="510" w:name="Tc_mQDZniC5VUaTGY_6s22whg_30_12"/>
      <w:bookmarkStart w:id="511" w:name="Tc_Xtjrhe1wBUiOwn3dqlRwpg_30_6"/>
      <w:bookmarkStart w:id="512" w:name="Tc_LJMO9Wj7d0S-Lvub0mHvZQ_30_3"/>
      <w:bookmarkStart w:id="513" w:name="Tc_4Z2xtrOQ8UqZFlx71-xNEg_30_0"/>
      <w:bookmarkStart w:id="514" w:name="Tc_3vSYNkU00kaOGtC40r21ng_29_15"/>
      <w:bookmarkStart w:id="515" w:name="Tc_m3QtwKG_506p2tSTYgS6lQ_29_12"/>
      <w:bookmarkStart w:id="516" w:name="Tc_gmt34rP78kSav8P8XIJbqg_29_3"/>
      <w:bookmarkStart w:id="517" w:name="Tc_gNvMzwf4vUmnU9ZZdrWhrw_29_0"/>
      <w:bookmarkStart w:id="518" w:name="Tc_GC6WL0PJuU64ek4xXhVxMw_28_15"/>
      <w:bookmarkStart w:id="519" w:name="Tc_IIn4ytROmU2T09uwxafBmA_28_12"/>
      <w:bookmarkStart w:id="520" w:name="Tc_v49TOrbn8keF6sVoIts4HQ_28_6"/>
      <w:bookmarkStart w:id="521" w:name="Tc_8nAECThF00mmK2JWvxbRfg_28_3"/>
      <w:bookmarkStart w:id="522" w:name="Tc_9fd4_GiFU0qhEQN_M2Nqqg_28_0"/>
      <w:bookmarkStart w:id="523" w:name="Tc_rDas_a9iLUKvtHJDYWWqPQ_27_15"/>
      <w:bookmarkStart w:id="524" w:name="Tc_16p26yAW50mtkuXjwaVDhQ_27_12"/>
      <w:bookmarkStart w:id="525" w:name="Tc_q5Ow-0I6CkyaRdDD27LexQ_27_3"/>
      <w:bookmarkStart w:id="526" w:name="Tc_CySAovuChEKDhqI4x6pvcQ_27_0"/>
      <w:bookmarkStart w:id="527" w:name="Tc_Uxys8998PEGAYN5_mKKs4A_26_15"/>
      <w:bookmarkStart w:id="528" w:name="Tc_3SIb5M6nykGfMj7yaIfifA_26_12"/>
      <w:bookmarkStart w:id="529" w:name="Tc_a1FxSdLX806BVMjQk_KMEg_26_3"/>
      <w:bookmarkStart w:id="530" w:name="Tc_eg8LQO_6r0CU6TDjnlGItw_26_0"/>
      <w:bookmarkStart w:id="531" w:name="Tc_rIZr8mS62kGdCXtwJFZoQQ_25_15"/>
      <w:bookmarkStart w:id="532" w:name="Tc_IA3fYKfMaE6T6m9YeKhUOw_25_12"/>
      <w:bookmarkStart w:id="533" w:name="Tc_sL5OSPKslkuwHJy2XyHbFw_25_3"/>
      <w:bookmarkStart w:id="534" w:name="Tc_47yvKRaBFkOVjP0fwOTYGQ_25_0"/>
      <w:bookmarkStart w:id="535" w:name="Tc_-nV9l9_wLku3eZIq2jxHww_24_15"/>
      <w:bookmarkStart w:id="536" w:name="Tc_cnz7-WlZCk-WAny0rkrrzA_24_9"/>
      <w:bookmarkStart w:id="537" w:name="Tc_5cLSO9Ey2k6IFCPS5zeIHg_24_6"/>
      <w:bookmarkStart w:id="538" w:name="Tc_pwjGvHeAuEu6ELqYvYLrFQ_24_3"/>
      <w:bookmarkStart w:id="539" w:name="Tc_2fpi83FLNEGsk0fBPqIBmg_24_0"/>
      <w:bookmarkStart w:id="540" w:name="Tc_eMDzYSjBx0eCF1uhzeFQcw_23_0"/>
      <w:bookmarkStart w:id="541" w:name="Tc_Wqt0-fkOU0C0wP2aHMbOog_22_12"/>
      <w:bookmarkStart w:id="542" w:name="Tc_Mo2rYQNH4ECFevFFMLStTQ_22_9"/>
      <w:bookmarkStart w:id="543" w:name="Tc_TpWdd2P3ZkOpmytEgsLxIg_22_6"/>
      <w:bookmarkStart w:id="544" w:name="Tc_kiANH7fAF06IECWcegzh7w_22_3"/>
      <w:bookmarkStart w:id="545" w:name="Tc_a1e571DPukupYYlMQCqq3Q_22_0"/>
      <w:bookmarkStart w:id="546" w:name="Tc_E2EKXWU9Ok6dg7NxaEJwPA_21_15"/>
      <w:bookmarkStart w:id="547" w:name="Tc_3fAb2m1ByU6NaA1IUsX7Mw_21_9"/>
      <w:bookmarkStart w:id="548" w:name="Tc_72G-LevvRECQFb8xkE9LFg_21_6"/>
      <w:bookmarkStart w:id="549" w:name="Tc_L23p2yABUE2_XCf_azDm2w_21_3"/>
      <w:bookmarkStart w:id="550" w:name="Tc_sfoTLBmsyUa_AmWJJvQFug_21_0"/>
      <w:bookmarkStart w:id="551" w:name="Tc_vFYoNA7HiEeIttOvKjjeOw_20_15"/>
      <w:bookmarkStart w:id="552" w:name="Tc_LAgneJzkNEyApsUPyQv1Ig_20_9"/>
      <w:bookmarkStart w:id="553" w:name="Tc_G-rDXLP_r0qxety8bNxWZw_20_6"/>
      <w:bookmarkStart w:id="554" w:name="Tc_US55zKfIVUaaxA7L0-QYHw_20_3"/>
      <w:bookmarkStart w:id="555" w:name="Tc_thr3e381yUePCSWRvYtcUg_20_0"/>
      <w:bookmarkStart w:id="556" w:name="Tc_RtTghrF6IkiOhKut2t0Zyw_19_15"/>
      <w:bookmarkStart w:id="557" w:name="Tc_EvAvKFYYfkK_tggCKhG2Rw_19_12"/>
      <w:bookmarkStart w:id="558" w:name="Tc_rCPJnHQGL02jhyyK92ONwQ_19_6"/>
      <w:bookmarkStart w:id="559" w:name="Tc_H8Gu8gxmrESUh6DHVuw3yw_19_3"/>
      <w:bookmarkStart w:id="560" w:name="Tc_1LSTfHWO4kC_GSrkhVh6rQ_19_0"/>
      <w:bookmarkStart w:id="561" w:name="Tc_-L990teQdkiTk34wMX20HQ_18_15"/>
      <w:bookmarkStart w:id="562" w:name="Tc_ccX5H2F_m0yai6LKe3sCRg_18_12"/>
      <w:bookmarkStart w:id="563" w:name="Tc_jY6dpcDhe0eomzL_9rSWfQ_18_3"/>
      <w:bookmarkStart w:id="564" w:name="Tc_3rqTrX-32EKMrxUwfAAy4g_18_0"/>
      <w:bookmarkStart w:id="565" w:name="Tc_Fgik3jtUsE6sWgfBMZH40Q_17_15"/>
      <w:bookmarkStart w:id="566" w:name="Tc_tox3gj2YA0Sp_Ew0EcBNlw_17_12"/>
      <w:bookmarkStart w:id="567" w:name="Tc_FXRUJGQyRkWjCfELu6PLfQ_17_6"/>
      <w:bookmarkStart w:id="568" w:name="Tc_SyBdg3Cca0eEFfNk4zyjag_17_0"/>
      <w:bookmarkStart w:id="569" w:name="Tc_TtBEuBg2S02CgZV3Q7vtiQ_16_15"/>
      <w:bookmarkStart w:id="570" w:name="Tc_B_PVJYuweUaRNM16M_7x5w_16_12"/>
      <w:bookmarkStart w:id="571" w:name="Tc_C5X_woEnykKzS8drCAYpSA_16_6"/>
      <w:bookmarkStart w:id="572" w:name="Tc_D15NP_YRVUex14ps3dAqNQ_16_3"/>
      <w:bookmarkStart w:id="573" w:name="Tc_Ire1LTu0GUC-pCPrFWH9cA_16_0"/>
      <w:bookmarkStart w:id="574" w:name="Tc_j1Wf7MsdwkivhtLpny0b1w_15_15"/>
      <w:bookmarkStart w:id="575" w:name="Tc_0kmblz2KXUiIbT-5VAZznQ_15_12"/>
      <w:bookmarkStart w:id="576" w:name="Tc_OgDiHj8gT0SmRNSZHgUygg_15_3"/>
      <w:bookmarkStart w:id="577" w:name="Tc_aE1F7_a71UCACkskXA_Yfw_15_0"/>
      <w:bookmarkStart w:id="578" w:name="Tc_tdak2X2-0EWHueVGa4xydQ_14_15"/>
      <w:bookmarkStart w:id="579" w:name="Tc_jU7gsl4uVEOrvya_UITuOQ_14_12"/>
      <w:bookmarkStart w:id="580" w:name="Tc_IXQ1T5oLNkO01QqwV1p0_A_14_6"/>
      <w:bookmarkStart w:id="581" w:name="Tc_rkHsnjzcP0S5bg-LaDfBGA_14_3"/>
      <w:bookmarkStart w:id="582" w:name="Tc_n6XLhIXMz0-Iv2pB9r5hZQ_14_0"/>
      <w:bookmarkStart w:id="583" w:name="Tc_xehcbF2BY0W2plx_0usfoQ_13_15"/>
      <w:bookmarkStart w:id="584" w:name="Tc_RSfNL3N9GEiq0HShEwSGxw_13_9"/>
      <w:bookmarkStart w:id="585" w:name="Tc_ibc_aM3ZdU-rhgkSU22B8w_13_6"/>
      <w:bookmarkStart w:id="586" w:name="Tc_4sHLqHxshkSmqMNxMmo2hQ_13_3"/>
      <w:bookmarkStart w:id="587" w:name="Tc_fCraWjuDW0iRpbYO6EHHNg_13_0"/>
      <w:bookmarkStart w:id="588" w:name="Tc_21t6VKTVgk2x7dWdRvAr1Q_12_0"/>
      <w:bookmarkStart w:id="589" w:name="Tc_gbUcu92120C7kF7df2VVWw_11_12"/>
      <w:bookmarkStart w:id="590" w:name="Tc_zSAniY58r0SQefeqAqyxQQ_11_9"/>
      <w:bookmarkStart w:id="591" w:name="Tc_-Pkbahd2502chdU8gjeOQw_11_6"/>
      <w:bookmarkStart w:id="592" w:name="Tc_bIPo6V-MRkKb0UTRE9Qbcw_11_3"/>
      <w:bookmarkStart w:id="593" w:name="Tc_AyRvvT2zGkiLKAKVDgZ-_w_11_0"/>
      <w:bookmarkStart w:id="594" w:name="Tc_2aFppAam1kGzLVZ8ipgUPQ_10_15"/>
      <w:bookmarkStart w:id="595" w:name="Tc_1Iu2ZJA39kKHY1FrFwD5zg_10_9"/>
      <w:bookmarkStart w:id="596" w:name="Tc_nbZg7qBLBE2gxuDw_7vrtA_10_6"/>
      <w:bookmarkStart w:id="597" w:name="Tc_nK7fOxASJ06n9zQJZEdZ0Q_10_3"/>
      <w:bookmarkStart w:id="598" w:name="Tc__L_O8WWs5Eu_mmHfoiz5yA_10_0"/>
      <w:bookmarkStart w:id="599" w:name="Tc_0i7Pl363sEO1lxQ5ne3JpQ_9_15"/>
      <w:bookmarkStart w:id="600" w:name="Tc_Xj941C5Ia0mt0lNI63vB_Q_9_9"/>
      <w:bookmarkStart w:id="601" w:name="Tc_Qt58zh7R4U-p5DElw0fCzA_9_6"/>
      <w:bookmarkStart w:id="602" w:name="Tc_MT-m2_HTS0Sc4ZwORtqvqw_9_3"/>
      <w:bookmarkStart w:id="603" w:name="Tc_vsqbI83js02TXPuSmZ3XAw_9_0"/>
      <w:bookmarkStart w:id="604" w:name="Tc_MSLAgy0DDU-5Q53vT6TBZA_8_15"/>
      <w:bookmarkStart w:id="605" w:name="Tc_qzNAx-HDWESK4QZwcY0e-A_8_12"/>
      <w:bookmarkStart w:id="606" w:name="Tc_RGsavjfuMUufyFsokVNw6A_8_6"/>
      <w:bookmarkStart w:id="607" w:name="Tc_cMZ-f1ldd0O9zQ9jYNV7pA_8_3"/>
      <w:bookmarkStart w:id="608" w:name="Tc_saDcNG66eUmT0-SkIollmA_8_0"/>
      <w:bookmarkStart w:id="609" w:name="Tc_VJfPqDe56026_S-ndH_ZOg_7_15"/>
      <w:bookmarkStart w:id="610" w:name="Tc_ndFywEIkSkahqZ6NhwROlw_7_12"/>
      <w:bookmarkStart w:id="611" w:name="Tc_NyYxY2EowkaZypU0kwTz-Q_7_6"/>
      <w:bookmarkStart w:id="612" w:name="Tc_W4UVM3_vck6l8312Fk1LRA_7_3"/>
      <w:bookmarkStart w:id="613" w:name="Tc_ykwX674obkG8m7UMA8jwSQ_7_0"/>
      <w:bookmarkStart w:id="614" w:name="Tc_DR-Azrm9rUKTYpp6ZrLfMQ_6_15"/>
      <w:bookmarkStart w:id="615" w:name="Tc_sWhKN7P8zEi9R8GEOJvrzg_6_12"/>
      <w:bookmarkStart w:id="616" w:name="Tc_PbGJIy7KQky0lPIyoD1MLQ_6_6"/>
      <w:bookmarkStart w:id="617" w:name="Tc_XXkXrmKgQku_oR97E9JE3A_6_3"/>
      <w:bookmarkStart w:id="618" w:name="Tc_joktelx84EW7wDgS666oaw_6_0"/>
      <w:bookmarkStart w:id="619" w:name="Tc_L-zPdKP16EuoE6nHIIZLGw_5_15"/>
      <w:bookmarkStart w:id="620" w:name="Tc_5OluDpcSiUa-IjQxcEGedQ_5_12"/>
      <w:bookmarkStart w:id="621" w:name="Tc_uvbav5fk7kOhgqt-AQS9Fg_5_3"/>
      <w:bookmarkStart w:id="622" w:name="Tc_T_iQiUVU1k2OC-v0_p9CeA_5_0"/>
      <w:bookmarkStart w:id="623" w:name="Tc_cE6e0oYyXkeSyOcoWLShhA_4_15"/>
      <w:bookmarkStart w:id="624" w:name="Tc_xgq0MgFOiEKP4jywg1yoxw_4_12"/>
      <w:bookmarkStart w:id="625" w:name="Tc_bZaUqVkHikeyYLOrliv75Q_4_3"/>
      <w:bookmarkStart w:id="626" w:name="Tc_n2goA3Y61EO0T1T96UPLsg_4_0"/>
      <w:bookmarkStart w:id="627" w:name="Tc_CUfjl74ffEK9vXii5we4RA_3_15"/>
      <w:bookmarkStart w:id="628" w:name="Tc_4UyS6AnT00C0Qly-hMzFrQ_3_9"/>
      <w:bookmarkStart w:id="629" w:name="Tc_qbBqT3mw_0ONWyqGawS2zA_3_6"/>
      <w:bookmarkStart w:id="630" w:name="Tc_9L5QUMskgUqg-LF8XBnfSg_3_3"/>
      <w:bookmarkStart w:id="631" w:name="Tc_cLAN6m5FR0ylR-5dmDfKXQ_3_0"/>
      <w:bookmarkStart w:id="632" w:name="Tc_hVOU9Yam9USRQ7Lm5wjKTw_2_2"/>
      <w:bookmarkStart w:id="633" w:name="Tc_zK1caKedukyA9BoQT2_25w_2_0"/>
      <w:bookmarkStart w:id="634" w:name="Tc_jrj7rU8GmkSd0U5z5pw4SQ_1_17"/>
      <w:bookmarkStart w:id="635" w:name="Tc_bR1Nr-nS9E22gJ4Jy6bK7A_1_14"/>
      <w:bookmarkStart w:id="636" w:name="Tc_voE3epnPzUyTH6UVYnYDGw_1_11"/>
      <w:bookmarkStart w:id="637" w:name="Tc_vPbnEB5u-EqLf_UBWj6uBA_1_8"/>
      <w:bookmarkStart w:id="638" w:name="Tc_yzsE-pFKXkuk7GLrKh-__w_1_5"/>
      <w:bookmarkStart w:id="639" w:name="Tc_nemJ45bdlkKxBWpSHUxBRg_1_2"/>
      <w:bookmarkStart w:id="640" w:name="_56006cae_7d63_4b5b_ab84_bc565962c339"/>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10205" w:type="dxa"/>
        <w:jc w:val="left"/>
        <w:tblInd w:w="0" w:type="dxa"/>
        <w:tblLayout w:type="fixed"/>
        <w:tblCellMar>
          <w:top w:w="0" w:type="dxa"/>
          <w:left w:w="0" w:type="dxa"/>
          <w:bottom w:w="0" w:type="dxa"/>
          <w:right w:w="0" w:type="dxa"/>
        </w:tblCellMar>
      </w:tblPr>
      <w:tblGrid>
        <w:gridCol w:w="2293"/>
        <w:gridCol w:w="109"/>
        <w:gridCol w:w="337"/>
        <w:gridCol w:w="596"/>
        <w:gridCol w:w="109"/>
        <w:gridCol w:w="304"/>
        <w:gridCol w:w="585"/>
        <w:gridCol w:w="109"/>
        <w:gridCol w:w="268"/>
        <w:gridCol w:w="947"/>
        <w:gridCol w:w="109"/>
        <w:gridCol w:w="226"/>
        <w:gridCol w:w="812"/>
        <w:gridCol w:w="109"/>
        <w:gridCol w:w="436"/>
        <w:gridCol w:w="1471"/>
        <w:gridCol w:w="109"/>
        <w:gridCol w:w="250"/>
        <w:gridCol w:w="1026"/>
      </w:tblGrid>
      <w:tr>
        <w:trPr/>
        <w:tc>
          <w:tcPr>
            <w:tcW w:w="2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56055" cy="175260"/>
                      <wp:effectExtent l="0" t="0" r="0" b="0"/>
                      <wp:wrapNone/>
                      <wp:docPr id="159" name="Frame158"/>
                      <a:graphic xmlns:a="http://schemas.openxmlformats.org/drawingml/2006/main">
                        <a:graphicData uri="http://schemas.microsoft.com/office/word/2010/wordprocessingShape">
                          <wps:wsp>
                            <wps:cNvSpPr txBox="1"/>
                            <wps:spPr>
                              <a:xfrm>
                                <a:off x="0" y="0"/>
                                <a:ext cx="145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3995" cy="175260"/>
                      <wp:effectExtent l="0" t="0" r="0" b="0"/>
                      <wp:wrapNone/>
                      <wp:docPr id="161" name="Frame16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8460" cy="175260"/>
                      <wp:effectExtent l="0" t="0" r="0" b="0"/>
                      <wp:wrapNone/>
                      <wp:docPr id="162" name="Frame161"/>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3040" cy="175260"/>
                      <wp:effectExtent l="0" t="0" r="0" b="0"/>
                      <wp:wrapNone/>
                      <wp:docPr id="164" name="Frame16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1475" cy="175260"/>
                      <wp:effectExtent l="0" t="0" r="0" b="0"/>
                      <wp:wrapNone/>
                      <wp:docPr id="165" name="Frame164"/>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0180" cy="175260"/>
                      <wp:effectExtent l="0" t="0" r="0" b="0"/>
                      <wp:wrapNone/>
                      <wp:docPr id="167" name="Frame16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01345" cy="175260"/>
                      <wp:effectExtent l="0" t="0" r="0" b="0"/>
                      <wp:wrapNone/>
                      <wp:docPr id="168" name="Frame167"/>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3510" cy="175260"/>
                      <wp:effectExtent l="0" t="0" r="0" b="0"/>
                      <wp:wrapNone/>
                      <wp:docPr id="170"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15620" cy="175260"/>
                      <wp:effectExtent l="0" t="0" r="0" b="0"/>
                      <wp:wrapNone/>
                      <wp:docPr id="171" name="Frame17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76860" cy="175260"/>
                      <wp:effectExtent l="0" t="0" r="0" b="0"/>
                      <wp:wrapNone/>
                      <wp:docPr id="173" name="Frame17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34085" cy="175260"/>
                      <wp:effectExtent l="0" t="0" r="0" b="0"/>
                      <wp:wrapNone/>
                      <wp:docPr id="174" name="Frame17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8750" cy="175260"/>
                      <wp:effectExtent l="0" t="0" r="0" b="0"/>
                      <wp:wrapNone/>
                      <wp:docPr id="176" name="Frame17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51510" cy="175260"/>
                      <wp:effectExtent l="0" t="0" r="0" b="0"/>
                      <wp:wrapNone/>
                      <wp:docPr id="177" name="Frame176"/>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center"/>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172,471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316,279</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504,770</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5,530</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5,530</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(6,439)</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(4,772)</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(4,772)</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(35,093)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(35,093)</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(8,870)</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(8,870)</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168,435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281,944</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457,526</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32,979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164,738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164,828</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2,968</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(41,076)</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(41,076)</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5,626</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5,626</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December 31, 2024</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367,828</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232,089</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12,517</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612,798</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10,092</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10,092</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(9,355)</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Settlement of 2025 Notes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21,048</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3,490</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(7,512)</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(7,512)</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(49,783)</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(12,922)</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(12,922)</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382,494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184,886</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567,346</w:t>
            </w:r>
          </w:p>
        </w:tc>
      </w:tr>
    </w:tbl>
    <w:p>
      <w:pPr>
        <w:pStyle w:val="TextBody"/>
        <w:bidi w:val="0"/>
        <w:spacing w:before="240" w:after="0"/>
        <w:ind w:left="0" w:right="0" w:hanging="0"/>
        <w:jc w:val="both"/>
        <w:rPr>
          <w:rFonts w:ascii="Times New Roman;Times;serif" w:hAnsi="Times New Roman;Times;serif"/>
          <w:sz w:val="16"/>
        </w:rPr>
      </w:pPr>
      <w:r>
        <w:rPr>
          <w:rFonts w:ascii="Times New Roman;Times;serif" w:hAnsi="Times New Roman;Times;serif"/>
          <w:sz w:val="20"/>
        </w:rPr>
        <w:t>The accompanying notes are an integral part of these consolidated financial statements</w:t>
      </w:r>
      <w:r>
        <w:rPr>
          <w:rFonts w:ascii="Times New Roman;Times;serif" w:hAnsi="Times New Roman;Times;serif"/>
          <w:sz w:val="16"/>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1" w:name="_7763b9be_81ab_4c58_b772_7071d442206f"/>
      <w:bookmarkEnd w:id="641"/>
      <w:r>
        <w:rPr>
          <w:rFonts w:ascii="Times New Roman;Times;serif" w:hAnsi="Times New Roman;Times;serif"/>
          <w:b/>
          <w:sz w:val="20"/>
        </w:rPr>
        <w:t xml:space="preserve">CTO REALTY GROWTH, INC. </w:t>
      </w:r>
    </w:p>
    <w:p>
      <w:pPr>
        <w:pStyle w:val="TextBody"/>
        <w:bidi w:val="0"/>
        <w:spacing w:before="0" w:after="0"/>
        <w:ind w:left="0" w:right="0" w:hanging="0"/>
        <w:jc w:val="center"/>
        <w:rPr>
          <w:rFonts w:ascii="Times New Roman;Times;serif" w:hAnsi="Times New Roman;Times;serif"/>
          <w:sz w:val="20"/>
        </w:rPr>
      </w:pPr>
      <w:bookmarkStart w:id="642" w:name="CASHFLOWS_979441"/>
      <w:bookmarkEnd w:id="642"/>
      <w:r>
        <w:rPr>
          <w:rFonts w:ascii="Times New Roman;Times;serif" w:hAnsi="Times New Roman;Times;serif"/>
          <w:b/>
          <w:sz w:val="20"/>
        </w:rPr>
        <w:t>CONSOLIDATED STATEMENTS OF CASH FLOWS</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643" w:name="Tc_Tm66eD6kvUG54yqJPNtigA_62_8"/>
      <w:bookmarkStart w:id="644" w:name="Tc_4LAx6EWV9024Nm1_BbsXbQ_62_5"/>
      <w:bookmarkStart w:id="645" w:name="Tc_L4aPEyXIokyhP94ExIPlnw_62_2"/>
      <w:bookmarkStart w:id="646" w:name="Tc_pHN2VcoLx0G459fAYerAYw_62_0"/>
      <w:bookmarkStart w:id="647" w:name="Tc_8b4ULEmpH0KffFkeJN1HUQ_61_0"/>
      <w:bookmarkStart w:id="648" w:name="Tc_wD8JGfULH0a6wnuPAZatPw_60_8"/>
      <w:bookmarkStart w:id="649" w:name="Tc_qhMQuZcixUm4d0aL9ccQyA_60_5"/>
      <w:bookmarkStart w:id="650" w:name="Tc_yQCdxta84k6wT_MLzJrfvg_60_2"/>
      <w:bookmarkStart w:id="651" w:name="Tc_0VWaxfGyRkmzooGeXK3ugw_60_0"/>
      <w:bookmarkStart w:id="652" w:name="Tc_ap6VNa2-XEyMKkdN3x-Vug_59_0"/>
      <w:bookmarkStart w:id="653" w:name="Tc_dzn9a0mdUkmIesDj3XExaA_57_8"/>
      <w:bookmarkStart w:id="654" w:name="Tc_QbiGD8vFNEaxx0cjNdvSqw_57_5"/>
      <w:bookmarkStart w:id="655" w:name="Tc_vbIpZgrtlEmyw-67Vmcf5A_57_2"/>
      <w:bookmarkStart w:id="656" w:name="Tc_G-bE5j4OAEuCAGDY_3Jffg_57_0"/>
      <w:bookmarkStart w:id="657" w:name="Tc_vyCJkWN_oU-mULpQWNaUvw_56_0"/>
      <w:bookmarkStart w:id="658" w:name="Tc_vjT67G1XYEiYEVH-Cqr-8g_55_0"/>
      <w:bookmarkStart w:id="659" w:name="Tc_jraalQD9c0qeJqMar9TWjg_54_0"/>
      <w:bookmarkStart w:id="660" w:name="Tc_bjOG-2yNaUmagUWGE5Tljw_53_0"/>
      <w:bookmarkStart w:id="661" w:name="Tc_OJRyvUdhLEKaviNQkpS7gA_52_0"/>
      <w:bookmarkStart w:id="662" w:name="Tc_ZiYU0PCtUUKc9v02vFz-IQ_51_9"/>
      <w:bookmarkStart w:id="663" w:name="Tc_AzhLfT-lkUyqOMH6ghCYxg_51_6"/>
      <w:bookmarkStart w:id="664" w:name="Tc_6aNOEvm6MESP25nGkihIZQ_51_0"/>
      <w:bookmarkStart w:id="665" w:name="Tc_0mHa7oaZ5kyBecWy_VskcQ_50_0"/>
      <w:bookmarkStart w:id="666" w:name="Tc_6MARN6_Gh0-iuiKCGb14vg_49_0"/>
      <w:bookmarkStart w:id="667" w:name="Tc_BfPLGAi8O0uKU8szOL3o8A_48_0"/>
      <w:bookmarkStart w:id="668" w:name="Tc__2CSadWst02_UmvOS97t7Q_47_9"/>
      <w:bookmarkStart w:id="669" w:name="Tc_Wsv3GraoREGbGwym8azglw_47_3"/>
      <w:bookmarkStart w:id="670" w:name="Tc_J5itWdOtRkG58G38U10RqA_47_0"/>
      <w:bookmarkStart w:id="671" w:name="Tc_31NdD_4BM063IAT1uWx4Pg_46_0"/>
      <w:bookmarkStart w:id="672" w:name="Tc_Pd_6mRaWvkuXSLk5VTO7zg_45_0"/>
      <w:bookmarkStart w:id="673" w:name="Tc_6XfOzckrXUGrVV3Bqu3D9w_44_0"/>
      <w:bookmarkStart w:id="674" w:name="Tc_WW5aguPzEUSbO91GPwcTmg_43_0"/>
      <w:bookmarkStart w:id="675" w:name="Tc_I8JYEQGyl0696zIIEUTJJw_42_0"/>
      <w:bookmarkStart w:id="676" w:name="Tc_1ZW4G6u4F0-OrXlqec-4zg_41_0"/>
      <w:bookmarkStart w:id="677" w:name="Tc_d7jANxTKGUmDUamqjYXeaQ_40_0"/>
      <w:bookmarkStart w:id="678" w:name="Tc_mnU-afvA6UCpPJWonyLYfA_39_0"/>
      <w:bookmarkStart w:id="679" w:name="Tc_BdVqpCw_VkK3HW33PWXvxw_38_0"/>
      <w:bookmarkStart w:id="680" w:name="Tc_S_m97u0aOkylxfpL7GKOgA_37_0"/>
      <w:bookmarkStart w:id="681" w:name="Tc_EF_L25diL0ucrRl8ZLBH1A_36_9"/>
      <w:bookmarkStart w:id="682" w:name="Tc_W9HSTPdEUk-I9AN9qO9M5g_36_3"/>
      <w:bookmarkStart w:id="683" w:name="Tc_eE465NW35EO3CnyQuBAy-w_36_0"/>
      <w:bookmarkStart w:id="684" w:name="Tc_eC2QnvkvckeZ4LFN21HSCA_35_0"/>
      <w:bookmarkStart w:id="685" w:name="Tc_RRigXDu5AkaoGObZpDzrGw_34_0"/>
      <w:bookmarkStart w:id="686" w:name="Tc_tQCUuQg06Eeq4rNQAjqBwA_33_0"/>
      <w:bookmarkStart w:id="687" w:name="Tc_Fmln7IlsZUaUigiDqrYAnw_32_0"/>
      <w:bookmarkStart w:id="688" w:name="Tc_tP6oGi0EpU6_-ejxYH3uog_31_0"/>
      <w:bookmarkStart w:id="689" w:name="Tc_jGuTG1vAUUKRgy7YtDt1Uw_30_0"/>
      <w:bookmarkStart w:id="690" w:name="Tc_gtBZjj2yoUK7qPVhMn7IBQ_29_9"/>
      <w:bookmarkStart w:id="691" w:name="Tc_8MuJ5yYmn06tEkQN8C7yBw_29_6"/>
      <w:bookmarkStart w:id="692" w:name="Tc_7irpwyaFd0SYANj4rie2dw_29_0"/>
      <w:bookmarkStart w:id="693" w:name="Tc_u0KHQCEN_kS7FITzhFi-Sw_28_0"/>
      <w:bookmarkStart w:id="694" w:name="Tc_bML9rGZ_HUyJUJCNariTsw_27_0"/>
      <w:bookmarkStart w:id="695" w:name="Tc_CuNT5WbZoUqqLxLM59YaUw_26_0"/>
      <w:bookmarkStart w:id="696" w:name="Tc_vTohxrEB10OWxIGvJuLR9A_25_0"/>
      <w:bookmarkStart w:id="697" w:name="Tc_lbpiXE_lLUK4chOx3V4hWQ_24_0"/>
      <w:bookmarkStart w:id="698" w:name="Tc_WKui1iu9IUutduyjiMaUBA_23_3"/>
      <w:bookmarkStart w:id="699" w:name="Tc_rU0udlcopU2s1afozV2TvQ_23_0"/>
      <w:bookmarkStart w:id="700" w:name="Tc_u0_bvgcFm0OB5Bebij0MTQ_22_3"/>
      <w:bookmarkStart w:id="701" w:name="Tc_Y3qI47iyKUSb0xAqsopn_A_22_0"/>
      <w:bookmarkStart w:id="702" w:name="Tc_lNUdnt2JhUikv7mcF7ULRg_21_0"/>
      <w:bookmarkStart w:id="703" w:name="Tc_1lCxXIWM1UGFs1FuF_vZRw_20_0"/>
      <w:bookmarkStart w:id="704" w:name="Tc_jkjKHbiRa06_70daYhqkeA_19_0"/>
      <w:bookmarkStart w:id="705" w:name="Tc_pgiEt2YfVUOEcPxc6fYFgw_18_6"/>
      <w:bookmarkStart w:id="706" w:name="Tc_F8RGgcpwe0yb3RGt2Wsh3A_18_3"/>
      <w:bookmarkStart w:id="707" w:name="Tc_q6WMV7FW4UGuysWNA8cemg_18_0"/>
      <w:bookmarkStart w:id="708" w:name="Tc_m35fu6e96Ua6Ovm8dby7Hg_17_0"/>
      <w:bookmarkStart w:id="709" w:name="Tc_NNrYhrIOCkiMNi7gaZ0p6w_16_0"/>
      <w:bookmarkStart w:id="710" w:name="Tc_und-cRh9XkWCMzQPKtQUHw_15_0"/>
      <w:bookmarkStart w:id="711" w:name="Tc_HoXz-Glr7EyNS34oo5hLMA_14_0"/>
      <w:bookmarkStart w:id="712" w:name="Tc_DNscorQ8ZkGXWOyXS0UhEw_13_0"/>
      <w:bookmarkStart w:id="713" w:name="Tc_dC5jDooAXEu15Pg5gRhz8A_12_6"/>
      <w:bookmarkStart w:id="714" w:name="Tc_6zpO9t_vNE2eYNNECtbG3Q_12_0"/>
      <w:bookmarkStart w:id="715" w:name="Tc_07A26NNl30aQ-_Bv35o7fA_11_9"/>
      <w:bookmarkStart w:id="716" w:name="Tc_pTKbSeTlz06nscT5qqne-g_11_3"/>
      <w:bookmarkStart w:id="717" w:name="Tc_dbPsuhKySUWKT7DhxyEMdw_11_0"/>
      <w:bookmarkStart w:id="718" w:name="Tc_r1-exjTlEUWsgPzxoZIa0g_10_0"/>
      <w:bookmarkStart w:id="719" w:name="Tc_-9wdLHDNgke5ldpUKxjnqg_9_0"/>
      <w:bookmarkStart w:id="720" w:name="Tc_MuB_Jrv-GEeSmg-yDN10Ag_8_0"/>
      <w:bookmarkStart w:id="721" w:name="Tc_va1cpZDIR0SpJUkZ1YpJUQ_7_0"/>
      <w:bookmarkStart w:id="722" w:name="Tc_Qt1hpyeZfUyiNkxm9zUPag_6_0"/>
      <w:bookmarkStart w:id="723" w:name="Tc_Srep6zzX0UWfKnIKqkotdQ_5_0"/>
      <w:bookmarkStart w:id="724" w:name="Tc_mAzParf9KUSKisCCbAx0_A_4_8"/>
      <w:bookmarkStart w:id="725" w:name="Tc_KtqHB8TY4UuHRuUFFb4qcg_4_5"/>
      <w:bookmarkStart w:id="726" w:name="Tc_Zc3Nk1AZPk21Hcj0X4napg_4_2"/>
      <w:bookmarkStart w:id="727" w:name="Tc_IvvL3XvXTk6Q2Pik3-aPmQ_4_0"/>
      <w:bookmarkStart w:id="728" w:name="Tc_cUpUOYA1bki63-zuLGpzkw_3_0"/>
      <w:bookmarkStart w:id="729" w:name="Tc_wMXJUw-MQUeKZ227LPnlXA_2_8"/>
      <w:bookmarkStart w:id="730" w:name="Tc_1eEyTn0850WbMJOOF3icGQ_2_5"/>
      <w:bookmarkStart w:id="731" w:name="Tc_m150ghHKHUKkyG8waLAg-A_2_2"/>
      <w:bookmarkStart w:id="732" w:name="Tc_H3q5CvtnME2GsY6Pm4QyKg_1_2"/>
      <w:bookmarkStart w:id="733" w:name="_d420409e_3cc0_46a5_a3d4_cb251fe82377"/>
      <w:bookmarkStart w:id="734" w:name="Tc_Tm66eD6kvUG54yqJPNtigA_62_8"/>
      <w:bookmarkStart w:id="735" w:name="Tc_4LAx6EWV9024Nm1_BbsXbQ_62_5"/>
      <w:bookmarkStart w:id="736" w:name="Tc_L4aPEyXIokyhP94ExIPlnw_62_2"/>
      <w:bookmarkStart w:id="737" w:name="Tc_pHN2VcoLx0G459fAYerAYw_62_0"/>
      <w:bookmarkStart w:id="738" w:name="Tc_8b4ULEmpH0KffFkeJN1HUQ_61_0"/>
      <w:bookmarkStart w:id="739" w:name="Tc_wD8JGfULH0a6wnuPAZatPw_60_8"/>
      <w:bookmarkStart w:id="740" w:name="Tc_qhMQuZcixUm4d0aL9ccQyA_60_5"/>
      <w:bookmarkStart w:id="741" w:name="Tc_yQCdxta84k6wT_MLzJrfvg_60_2"/>
      <w:bookmarkStart w:id="742" w:name="Tc_0VWaxfGyRkmzooGeXK3ugw_60_0"/>
      <w:bookmarkStart w:id="743" w:name="Tc_ap6VNa2-XEyMKkdN3x-Vug_59_0"/>
      <w:bookmarkStart w:id="744" w:name="Tc_dzn9a0mdUkmIesDj3XExaA_57_8"/>
      <w:bookmarkStart w:id="745" w:name="Tc_QbiGD8vFNEaxx0cjNdvSqw_57_5"/>
      <w:bookmarkStart w:id="746" w:name="Tc_vbIpZgrtlEmyw-67Vmcf5A_57_2"/>
      <w:bookmarkStart w:id="747" w:name="Tc_G-bE5j4OAEuCAGDY_3Jffg_57_0"/>
      <w:bookmarkStart w:id="748" w:name="Tc_vyCJkWN_oU-mULpQWNaUvw_56_0"/>
      <w:bookmarkStart w:id="749" w:name="Tc_vjT67G1XYEiYEVH-Cqr-8g_55_0"/>
      <w:bookmarkStart w:id="750" w:name="Tc_jraalQD9c0qeJqMar9TWjg_54_0"/>
      <w:bookmarkStart w:id="751" w:name="Tc_bjOG-2yNaUmagUWGE5Tljw_53_0"/>
      <w:bookmarkStart w:id="752" w:name="Tc_OJRyvUdhLEKaviNQkpS7gA_52_0"/>
      <w:bookmarkStart w:id="753" w:name="Tc_ZiYU0PCtUUKc9v02vFz-IQ_51_9"/>
      <w:bookmarkStart w:id="754" w:name="Tc_AzhLfT-lkUyqOMH6ghCYxg_51_6"/>
      <w:bookmarkStart w:id="755" w:name="Tc_6aNOEvm6MESP25nGkihIZQ_51_0"/>
      <w:bookmarkStart w:id="756" w:name="Tc_0mHa7oaZ5kyBecWy_VskcQ_50_0"/>
      <w:bookmarkStart w:id="757" w:name="Tc_6MARN6_Gh0-iuiKCGb14vg_49_0"/>
      <w:bookmarkStart w:id="758" w:name="Tc_BfPLGAi8O0uKU8szOL3o8A_48_0"/>
      <w:bookmarkStart w:id="759" w:name="Tc__2CSadWst02_UmvOS97t7Q_47_9"/>
      <w:bookmarkStart w:id="760" w:name="Tc_Wsv3GraoREGbGwym8azglw_47_3"/>
      <w:bookmarkStart w:id="761" w:name="Tc_J5itWdOtRkG58G38U10RqA_47_0"/>
      <w:bookmarkStart w:id="762" w:name="Tc_31NdD_4BM063IAT1uWx4Pg_46_0"/>
      <w:bookmarkStart w:id="763" w:name="Tc_Pd_6mRaWvkuXSLk5VTO7zg_45_0"/>
      <w:bookmarkStart w:id="764" w:name="Tc_6XfOzckrXUGrVV3Bqu3D9w_44_0"/>
      <w:bookmarkStart w:id="765" w:name="Tc_WW5aguPzEUSbO91GPwcTmg_43_0"/>
      <w:bookmarkStart w:id="766" w:name="Tc_I8JYEQGyl0696zIIEUTJJw_42_0"/>
      <w:bookmarkStart w:id="767" w:name="Tc_1ZW4G6u4F0-OrXlqec-4zg_41_0"/>
      <w:bookmarkStart w:id="768" w:name="Tc_d7jANxTKGUmDUamqjYXeaQ_40_0"/>
      <w:bookmarkStart w:id="769" w:name="Tc_mnU-afvA6UCpPJWonyLYfA_39_0"/>
      <w:bookmarkStart w:id="770" w:name="Tc_BdVqpCw_VkK3HW33PWXvxw_38_0"/>
      <w:bookmarkStart w:id="771" w:name="Tc_S_m97u0aOkylxfpL7GKOgA_37_0"/>
      <w:bookmarkStart w:id="772" w:name="Tc_EF_L25diL0ucrRl8ZLBH1A_36_9"/>
      <w:bookmarkStart w:id="773" w:name="Tc_W9HSTPdEUk-I9AN9qO9M5g_36_3"/>
      <w:bookmarkStart w:id="774" w:name="Tc_eE465NW35EO3CnyQuBAy-w_36_0"/>
      <w:bookmarkStart w:id="775" w:name="Tc_eC2QnvkvckeZ4LFN21HSCA_35_0"/>
      <w:bookmarkStart w:id="776" w:name="Tc_RRigXDu5AkaoGObZpDzrGw_34_0"/>
      <w:bookmarkStart w:id="777" w:name="Tc_tQCUuQg06Eeq4rNQAjqBwA_33_0"/>
      <w:bookmarkStart w:id="778" w:name="Tc_Fmln7IlsZUaUigiDqrYAnw_32_0"/>
      <w:bookmarkStart w:id="779" w:name="Tc_tP6oGi0EpU6_-ejxYH3uog_31_0"/>
      <w:bookmarkStart w:id="780" w:name="Tc_jGuTG1vAUUKRgy7YtDt1Uw_30_0"/>
      <w:bookmarkStart w:id="781" w:name="Tc_gtBZjj2yoUK7qPVhMn7IBQ_29_9"/>
      <w:bookmarkStart w:id="782" w:name="Tc_8MuJ5yYmn06tEkQN8C7yBw_29_6"/>
      <w:bookmarkStart w:id="783" w:name="Tc_7irpwyaFd0SYANj4rie2dw_29_0"/>
      <w:bookmarkStart w:id="784" w:name="Tc_u0KHQCEN_kS7FITzhFi-Sw_28_0"/>
      <w:bookmarkStart w:id="785" w:name="Tc_bML9rGZ_HUyJUJCNariTsw_27_0"/>
      <w:bookmarkStart w:id="786" w:name="Tc_CuNT5WbZoUqqLxLM59YaUw_26_0"/>
      <w:bookmarkStart w:id="787" w:name="Tc_vTohxrEB10OWxIGvJuLR9A_25_0"/>
      <w:bookmarkStart w:id="788" w:name="Tc_lbpiXE_lLUK4chOx3V4hWQ_24_0"/>
      <w:bookmarkStart w:id="789" w:name="Tc_WKui1iu9IUutduyjiMaUBA_23_3"/>
      <w:bookmarkStart w:id="790" w:name="Tc_rU0udlcopU2s1afozV2TvQ_23_0"/>
      <w:bookmarkStart w:id="791" w:name="Tc_u0_bvgcFm0OB5Bebij0MTQ_22_3"/>
      <w:bookmarkStart w:id="792" w:name="Tc_Y3qI47iyKUSb0xAqsopn_A_22_0"/>
      <w:bookmarkStart w:id="793" w:name="Tc_lNUdnt2JhUikv7mcF7ULRg_21_0"/>
      <w:bookmarkStart w:id="794" w:name="Tc_1lCxXIWM1UGFs1FuF_vZRw_20_0"/>
      <w:bookmarkStart w:id="795" w:name="Tc_jkjKHbiRa06_70daYhqkeA_19_0"/>
      <w:bookmarkStart w:id="796" w:name="Tc_pgiEt2YfVUOEcPxc6fYFgw_18_6"/>
      <w:bookmarkStart w:id="797" w:name="Tc_F8RGgcpwe0yb3RGt2Wsh3A_18_3"/>
      <w:bookmarkStart w:id="798" w:name="Tc_q6WMV7FW4UGuysWNA8cemg_18_0"/>
      <w:bookmarkStart w:id="799" w:name="Tc_m35fu6e96Ua6Ovm8dby7Hg_17_0"/>
      <w:bookmarkStart w:id="800" w:name="Tc_NNrYhrIOCkiMNi7gaZ0p6w_16_0"/>
      <w:bookmarkStart w:id="801" w:name="Tc_und-cRh9XkWCMzQPKtQUHw_15_0"/>
      <w:bookmarkStart w:id="802" w:name="Tc_HoXz-Glr7EyNS34oo5hLMA_14_0"/>
      <w:bookmarkStart w:id="803" w:name="Tc_DNscorQ8ZkGXWOyXS0UhEw_13_0"/>
      <w:bookmarkStart w:id="804" w:name="Tc_dC5jDooAXEu15Pg5gRhz8A_12_6"/>
      <w:bookmarkStart w:id="805" w:name="Tc_6zpO9t_vNE2eYNNECtbG3Q_12_0"/>
      <w:bookmarkStart w:id="806" w:name="Tc_07A26NNl30aQ-_Bv35o7fA_11_9"/>
      <w:bookmarkStart w:id="807" w:name="Tc_pTKbSeTlz06nscT5qqne-g_11_3"/>
      <w:bookmarkStart w:id="808" w:name="Tc_dbPsuhKySUWKT7DhxyEMdw_11_0"/>
      <w:bookmarkStart w:id="809" w:name="Tc_r1-exjTlEUWsgPzxoZIa0g_10_0"/>
      <w:bookmarkStart w:id="810" w:name="Tc_-9wdLHDNgke5ldpUKxjnqg_9_0"/>
      <w:bookmarkStart w:id="811" w:name="Tc_MuB_Jrv-GEeSmg-yDN10Ag_8_0"/>
      <w:bookmarkStart w:id="812" w:name="Tc_va1cpZDIR0SpJUkZ1YpJUQ_7_0"/>
      <w:bookmarkStart w:id="813" w:name="Tc_Qt1hpyeZfUyiNkxm9zUPag_6_0"/>
      <w:bookmarkStart w:id="814" w:name="Tc_Srep6zzX0UWfKnIKqkotdQ_5_0"/>
      <w:bookmarkStart w:id="815" w:name="Tc_mAzParf9KUSKisCCbAx0_A_4_8"/>
      <w:bookmarkStart w:id="816" w:name="Tc_KtqHB8TY4UuHRuUFFb4qcg_4_5"/>
      <w:bookmarkStart w:id="817" w:name="Tc_Zc3Nk1AZPk21Hcj0X4napg_4_2"/>
      <w:bookmarkStart w:id="818" w:name="Tc_IvvL3XvXTk6Q2Pik3-aPmQ_4_0"/>
      <w:bookmarkStart w:id="819" w:name="Tc_cUpUOYA1bki63-zuLGpzkw_3_0"/>
      <w:bookmarkStart w:id="820" w:name="Tc_wMXJUw-MQUeKZ227LPnlXA_2_8"/>
      <w:bookmarkStart w:id="821" w:name="Tc_1eEyTn0850WbMJOOF3icGQ_2_5"/>
      <w:bookmarkStart w:id="822" w:name="Tc_m150ghHKHUKkyG8waLAg-A_2_2"/>
      <w:bookmarkStart w:id="823" w:name="Tc_H3q5CvtnME2GsY6Pm4QyKg_1_2"/>
      <w:bookmarkStart w:id="824" w:name="_d420409e_3cc0_46a5_a3d4_cb251fe82377"/>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tbl>
      <w:tblPr>
        <w:tblW w:w="10205" w:type="dxa"/>
        <w:jc w:val="left"/>
        <w:tblInd w:w="0" w:type="dxa"/>
        <w:tblLayout w:type="fixed"/>
        <w:tblCellMar>
          <w:top w:w="0" w:type="dxa"/>
          <w:left w:w="0" w:type="dxa"/>
          <w:bottom w:w="0" w:type="dxa"/>
          <w:right w:w="0" w:type="dxa"/>
        </w:tblCellMar>
      </w:tblPr>
      <w:tblGrid>
        <w:gridCol w:w="5779"/>
        <w:gridCol w:w="109"/>
        <w:gridCol w:w="278"/>
        <w:gridCol w:w="1072"/>
        <w:gridCol w:w="109"/>
        <w:gridCol w:w="278"/>
        <w:gridCol w:w="1072"/>
        <w:gridCol w:w="109"/>
        <w:gridCol w:w="292"/>
        <w:gridCol w:w="1107"/>
      </w:tblGrid>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6530" cy="175260"/>
                      <wp:effectExtent l="0" t="0" r="0" b="0"/>
                      <wp:wrapNone/>
                      <wp:docPr id="179" name="Frame17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80720" cy="175260"/>
                      <wp:effectExtent l="0" t="0" r="0" b="0"/>
                      <wp:wrapNone/>
                      <wp:docPr id="180" name="Frame179"/>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6530" cy="175260"/>
                      <wp:effectExtent l="0" t="0" r="0" b="0"/>
                      <wp:wrapNone/>
                      <wp:docPr id="182" name="Frame18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80720" cy="175260"/>
                      <wp:effectExtent l="0" t="0" r="0" b="0"/>
                      <wp:wrapNone/>
                      <wp:docPr id="183" name="Frame182"/>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5420" cy="175260"/>
                      <wp:effectExtent l="0" t="0" r="0" b="0"/>
                      <wp:wrapNone/>
                      <wp:docPr id="185" name="Frame18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02945" cy="175260"/>
                      <wp:effectExtent l="0" t="0" r="0" b="0"/>
                      <wp:wrapNone/>
                      <wp:docPr id="186" name="Frame185"/>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10,092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5,530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60,015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65,049 </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44,173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 and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2,303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1,280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1,047 </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970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159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159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(7,543)</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(4,545)</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676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1,556</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158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521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(Gain) on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1,081</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3,902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Extinguishment of Contingent Obligation</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(2,815)</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4,158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3,637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3,673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and Development Costs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1,537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(4,047)</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(4,617)</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522 </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214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1,438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4,032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(2,597)</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(2,221)</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64,600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59,867 </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46,314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(145,062)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(224,406)</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(80,279)</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(15,165)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(17,492)</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(22,670)</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(63,930)</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(32,869)</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84,275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37,157</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84,336</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Subsurface Interests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4,974</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15,242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20,335</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for Commercial Loan Reserves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10,101</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9,483</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2,472</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1,174</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(232,671)</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(52,454)</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405,000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366,000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148,850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(292,272)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(342,000)</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(99,600)</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Proceeds from Common Stock Issuance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Preferred Stock, Net of Underwriting Discount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Stock</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(6,439)</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and Preferred Stock, Net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164,828</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Premium Related to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(4,772)</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(49,046)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(40,280)</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(34,266)</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30,660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172,346 </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2,765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23,758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(3,375)</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41,119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6,467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9,017 </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10,214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34,652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8,344 </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7,605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41,119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17,819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CTO REALTY GROWTH,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CASH FLOWS</w:t>
      </w:r>
      <w:r>
        <w:rPr>
          <w:rFonts w:ascii="Times New Roman;Times;serif" w:hAnsi="Times New Roman;Times;serif"/>
          <w:sz w:val="20"/>
        </w:rPr>
        <w:t> </w:t>
      </w:r>
      <w:r>
        <w:rPr>
          <w:rFonts w:ascii="Times New Roman;Times;serif" w:hAnsi="Times New Roman;Times;serif"/>
          <w:b/>
          <w:sz w:val="20"/>
        </w:rPr>
        <w:t>(Continued)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25" w:name="Tc_ppUYxVIxjk2Moh3LzbyuHg_11_9"/>
      <w:bookmarkStart w:id="826" w:name="Tc_9tXLHykPi0OKxvjnF5Jeng_11_8"/>
      <w:bookmarkStart w:id="827" w:name="Tc_-mrlM33xFEqBqe3TGMJwEg_11_6"/>
      <w:bookmarkStart w:id="828" w:name="Tc_Paje2RPV4ECpl1t1HBjHRg_11_5"/>
      <w:bookmarkStart w:id="829" w:name="Tc_iZTgQVOQ-0ioX2EVOz8UNw_11_2"/>
      <w:bookmarkStart w:id="830" w:name="Tc_pLya6zKOk0mevLXYyksevw_11_0"/>
      <w:bookmarkStart w:id="831" w:name="Tc_Uuoqe7vnpk2044hM5Y4IQQ_10_9"/>
      <w:bookmarkStart w:id="832" w:name="Tc__dWTNggl60mDUUhUl5BsyA_10_8"/>
      <w:bookmarkStart w:id="833" w:name="Tc_ICzJ1HHpHEqUtgE5hNyWcw_10_6"/>
      <w:bookmarkStart w:id="834" w:name="Tc_t2RhMlY3rUehJqYa7uxR1w_10_5"/>
      <w:bookmarkStart w:id="835" w:name="Tc_HKL2L9jT4kqlMyT8tSqyGw_10_2"/>
      <w:bookmarkStart w:id="836" w:name="Tc__gA4D_wa5UyoriMpso6WWg_10_0"/>
      <w:bookmarkStart w:id="837" w:name="Tc_ikvvR0Rh6UiAEB9xPcyH3A_9_8"/>
      <w:bookmarkStart w:id="838" w:name="Tc__rLoXMw6mEuiuYVQeitjfg_9_5"/>
      <w:bookmarkStart w:id="839" w:name="Tc_s-aeJTHc20O12eR8VqTCug_9_2"/>
      <w:bookmarkStart w:id="840" w:name="Tc_fVWDqeLAz0W7vNslmO68IQ_9_0"/>
      <w:bookmarkStart w:id="841" w:name="Tc_g_QeF5EzfUuXxg74HsyhSQ_8_8"/>
      <w:bookmarkStart w:id="842" w:name="Tc_opFGiMz05kaeitJiXm-4UA_8_5"/>
      <w:bookmarkStart w:id="843" w:name="Tc_NXLlkjs9Ek-RhVOp8xVIrg_8_2"/>
      <w:bookmarkStart w:id="844" w:name="Tc_5B5chT66ckq3ayrUXN1OkA_8_0"/>
      <w:bookmarkStart w:id="845" w:name="Tc_rTb2d7PUj0GW0Co-tkpDaw_7_0"/>
      <w:bookmarkStart w:id="846" w:name="Tc_f1pV7NIOtUWOTkGbUxuvpA_5_8"/>
      <w:bookmarkStart w:id="847" w:name="Tc_UbnSE6ifkkqjbUg-1485Rg_5_5"/>
      <w:bookmarkStart w:id="848" w:name="Tc_RdvPOaDYCkCGORwBzn8p1A_5_2"/>
      <w:bookmarkStart w:id="849" w:name="Tc_afzoytOLREGbiWoxmMUynw_5_0"/>
      <w:bookmarkStart w:id="850" w:name="Tc_zE2s6_o__kC7SvbyhzWXpA_4_8"/>
      <w:bookmarkStart w:id="851" w:name="Tc_qGJt4Ed8sUyPzxmf9EzOFw_4_5"/>
      <w:bookmarkStart w:id="852" w:name="Tc_xGMht1tiF0CHgV8JPzoEcg_4_2"/>
      <w:bookmarkStart w:id="853" w:name="Tc_GvZSlBXSeEetz5M2hnYtyQ_4_0"/>
      <w:bookmarkStart w:id="854" w:name="Tc_cf0Fsf2t_06hnnrRdVphYw_3_0"/>
      <w:bookmarkStart w:id="855" w:name="Tc__7x2O4jN1UC7b8CBAtRR1Q_2_8"/>
      <w:bookmarkStart w:id="856" w:name="Tc_2a5KSnYMIkue-cCCbUkYsQ_2_5"/>
      <w:bookmarkStart w:id="857" w:name="Tc_aVw3ZQj3Tk-xgcxnTNX0rg_2_2"/>
      <w:bookmarkStart w:id="858" w:name="Tc_LWuGwtKyrkODq3b0tnsOkw_1_2"/>
      <w:bookmarkStart w:id="859" w:name="_4a415e80_35b5_4d3a_9894_de2315666b4b"/>
      <w:bookmarkStart w:id="860" w:name="Tc_ppUYxVIxjk2Moh3LzbyuHg_11_9"/>
      <w:bookmarkStart w:id="861" w:name="Tc_9tXLHykPi0OKxvjnF5Jeng_11_8"/>
      <w:bookmarkStart w:id="862" w:name="Tc_-mrlM33xFEqBqe3TGMJwEg_11_6"/>
      <w:bookmarkStart w:id="863" w:name="Tc_Paje2RPV4ECpl1t1HBjHRg_11_5"/>
      <w:bookmarkStart w:id="864" w:name="Tc_iZTgQVOQ-0ioX2EVOz8UNw_11_2"/>
      <w:bookmarkStart w:id="865" w:name="Tc_pLya6zKOk0mevLXYyksevw_11_0"/>
      <w:bookmarkStart w:id="866" w:name="Tc_Uuoqe7vnpk2044hM5Y4IQQ_10_9"/>
      <w:bookmarkStart w:id="867" w:name="Tc__dWTNggl60mDUUhUl5BsyA_10_8"/>
      <w:bookmarkStart w:id="868" w:name="Tc_ICzJ1HHpHEqUtgE5hNyWcw_10_6"/>
      <w:bookmarkStart w:id="869" w:name="Tc_t2RhMlY3rUehJqYa7uxR1w_10_5"/>
      <w:bookmarkStart w:id="870" w:name="Tc_HKL2L9jT4kqlMyT8tSqyGw_10_2"/>
      <w:bookmarkStart w:id="871" w:name="Tc__gA4D_wa5UyoriMpso6WWg_10_0"/>
      <w:bookmarkStart w:id="872" w:name="Tc_ikvvR0Rh6UiAEB9xPcyH3A_9_8"/>
      <w:bookmarkStart w:id="873" w:name="Tc__rLoXMw6mEuiuYVQeitjfg_9_5"/>
      <w:bookmarkStart w:id="874" w:name="Tc_s-aeJTHc20O12eR8VqTCug_9_2"/>
      <w:bookmarkStart w:id="875" w:name="Tc_fVWDqeLAz0W7vNslmO68IQ_9_0"/>
      <w:bookmarkStart w:id="876" w:name="Tc_g_QeF5EzfUuXxg74HsyhSQ_8_8"/>
      <w:bookmarkStart w:id="877" w:name="Tc_opFGiMz05kaeitJiXm-4UA_8_5"/>
      <w:bookmarkStart w:id="878" w:name="Tc_NXLlkjs9Ek-RhVOp8xVIrg_8_2"/>
      <w:bookmarkStart w:id="879" w:name="Tc_5B5chT66ckq3ayrUXN1OkA_8_0"/>
      <w:bookmarkStart w:id="880" w:name="Tc_rTb2d7PUj0GW0Co-tkpDaw_7_0"/>
      <w:bookmarkStart w:id="881" w:name="Tc_f1pV7NIOtUWOTkGbUxuvpA_5_8"/>
      <w:bookmarkStart w:id="882" w:name="Tc_UbnSE6ifkkqjbUg-1485Rg_5_5"/>
      <w:bookmarkStart w:id="883" w:name="Tc_RdvPOaDYCkCGORwBzn8p1A_5_2"/>
      <w:bookmarkStart w:id="884" w:name="Tc_afzoytOLREGbiWoxmMUynw_5_0"/>
      <w:bookmarkStart w:id="885" w:name="Tc_zE2s6_o__kC7SvbyhzWXpA_4_8"/>
      <w:bookmarkStart w:id="886" w:name="Tc_qGJt4Ed8sUyPzxmf9EzOFw_4_5"/>
      <w:bookmarkStart w:id="887" w:name="Tc_xGMht1tiF0CHgV8JPzoEcg_4_2"/>
      <w:bookmarkStart w:id="888" w:name="Tc_GvZSlBXSeEetz5M2hnYtyQ_4_0"/>
      <w:bookmarkStart w:id="889" w:name="Tc_cf0Fsf2t_06hnnrRdVphYw_3_0"/>
      <w:bookmarkStart w:id="890" w:name="Tc__7x2O4jN1UC7b8CBAtRR1Q_2_8"/>
      <w:bookmarkStart w:id="891" w:name="Tc_2a5KSnYMIkue-cCCbUkYsQ_2_5"/>
      <w:bookmarkStart w:id="892" w:name="Tc_aVw3ZQj3Tk-xgcxnTNX0rg_2_2"/>
      <w:bookmarkStart w:id="893" w:name="Tc_LWuGwtKyrkODq3b0tnsOkw_1_2"/>
      <w:bookmarkStart w:id="894" w:name="_4a415e80_35b5_4d3a_9894_de2315666b4b"/>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tbl>
      <w:tblPr>
        <w:tblW w:w="10093" w:type="dxa"/>
        <w:jc w:val="left"/>
        <w:tblInd w:w="0" w:type="dxa"/>
        <w:tblLayout w:type="fixed"/>
        <w:tblCellMar>
          <w:top w:w="0" w:type="dxa"/>
          <w:left w:w="0" w:type="dxa"/>
          <w:bottom w:w="0" w:type="dxa"/>
          <w:right w:w="0" w:type="dxa"/>
        </w:tblCellMar>
      </w:tblPr>
      <w:tblGrid>
        <w:gridCol w:w="5221"/>
        <w:gridCol w:w="109"/>
        <w:gridCol w:w="342"/>
        <w:gridCol w:w="1158"/>
        <w:gridCol w:w="109"/>
        <w:gridCol w:w="368"/>
        <w:gridCol w:w="1132"/>
        <w:gridCol w:w="109"/>
        <w:gridCol w:w="359"/>
        <w:gridCol w:w="118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315335" cy="175260"/>
                      <wp:effectExtent l="0" t="0" r="0" b="0"/>
                      <wp:wrapNone/>
                      <wp:docPr id="187" name="Frame186"/>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7170" cy="175260"/>
                      <wp:effectExtent l="0" t="0" r="0" b="0"/>
                      <wp:wrapNone/>
                      <wp:docPr id="189" name="Frame18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35330" cy="175260"/>
                      <wp:effectExtent l="0" t="0" r="0" b="0"/>
                      <wp:wrapNone/>
                      <wp:docPr id="190" name="Frame189"/>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33680" cy="175260"/>
                      <wp:effectExtent l="0" t="0" r="0" b="0"/>
                      <wp:wrapNone/>
                      <wp:docPr id="192" name="Frame19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18820" cy="175260"/>
                      <wp:effectExtent l="0" t="0" r="0" b="0"/>
                      <wp:wrapNone/>
                      <wp:docPr id="193" name="Frame192"/>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7965" cy="175260"/>
                      <wp:effectExtent l="0" t="0" r="0" b="0"/>
                      <wp:wrapNone/>
                      <wp:docPr id="195" name="Frame19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53110" cy="175260"/>
                      <wp:effectExtent l="0" t="0" r="0" b="0"/>
                      <wp:wrapNone/>
                      <wp:docPr id="196" name="Frame19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109"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r>
      <w:tr>
        <w:trPr/>
        <w:tc>
          <w:tcPr>
            <w:tcW w:w="52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26,303</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21,206</w:t>
            </w:r>
          </w:p>
        </w:tc>
        <w:tc>
          <w:tcPr>
            <w:tcW w:w="109"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21,636 </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11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1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Cash Flow Hedges</w:t>
            </w:r>
          </w:p>
        </w:tc>
        <w:tc>
          <w:tcPr>
            <w:tcW w:w="109"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(12,922)</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5,626</w:t>
            </w:r>
          </w:p>
        </w:tc>
        <w:tc>
          <w:tcPr>
            <w:tcW w:w="109"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(8,870)</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w:t>
            </w:r>
          </w:p>
        </w:tc>
        <w:tc>
          <w:tcPr>
            <w:tcW w:w="109"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Related to Settlement of 2025 Notes, Paid in Common Stock</w:t>
            </w:r>
          </w:p>
        </w:tc>
        <w:tc>
          <w:tcPr>
            <w:tcW w:w="109"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14,762</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Premium Related to Settlement of 2025 Notes, Paid in Common Stock</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6,286</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86" w:type="dxa"/>
            <w:tcBorders/>
            <w:shd w:fill="CCEEFF" w:val="clear"/>
            <w:vAlign w:val="center"/>
          </w:tcPr>
          <w:p>
            <w:pPr>
              <w:pStyle w:val="TableContents"/>
              <w:bidi w:val="0"/>
              <w:spacing w:before="0" w:after="0"/>
              <w:ind w:left="0" w:right="60" w:hanging="0"/>
              <w:jc w:val="right"/>
              <w:rPr/>
            </w:pPr>
            <w:r>
              <w:rPr/>
              <w:t>—</w:t>
            </w:r>
          </w:p>
        </w:tc>
      </w:tr>
    </w:tbl>
    <w:tbl>
      <w:tblPr>
        <w:tblW w:w="8612" w:type="dxa"/>
        <w:jc w:val="left"/>
        <w:tblInd w:w="0" w:type="dxa"/>
        <w:tblLayout w:type="fixed"/>
        <w:tblCellMar>
          <w:top w:w="0" w:type="dxa"/>
          <w:left w:w="0" w:type="dxa"/>
          <w:bottom w:w="0" w:type="dxa"/>
          <w:right w:w="0" w:type="dxa"/>
        </w:tblCellMar>
      </w:tblPr>
      <w:tblGrid>
        <w:gridCol w:w="286"/>
        <w:gridCol w:w="832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Includes $0.3</w:t>
            </w:r>
            <w:r>
              <w:rPr>
                <w:rFonts w:ascii="Times New Roman;Times;serif" w:hAnsi="Times New Roman;Times;serif"/>
                <w:sz w:val="20"/>
              </w:rPr>
              <w:t xml:space="preserve"> </w:t>
            </w:r>
            <w:r>
              <w:rPr>
                <w:rFonts w:ascii="Times New Roman;Times;serif" w:hAnsi="Times New Roman;Times;serif"/>
                <w:sz w:val="16"/>
              </w:rPr>
              <w:t>million of capitalized interest during the years ended December 31, 2025, 2024 and 2023, respectively.</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95" w:name="NOTESTOCONSOLIDATEDFINANCIALSTATEMENTS_7"/>
      <w:bookmarkStart w:id="896" w:name="_ad6f268c_f11e_4a9c_b6c6_1ae7e444f280"/>
      <w:bookmarkEnd w:id="895"/>
      <w:bookmarkEnd w:id="896"/>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 2024, and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NATURE OF OPERATIONS</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terms “us,” “we,” “our,” and “the Company” as used in this report refer to CTO Realty Growth, Inc. together with our consolidated subsidiaries.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2025, we own and manage, sometimes utilizing third-party property management companies, 21 commercial real estate properties in seven states in the United States, comprising 5.5 million square feet of gross leasable space. In addition to our income property portfolio, as of December 31, 2025, our business included the following:</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Real Estate Operations: There were no significant real estate operations transactions during the year ended December 31, 2025. During the year ended December 31, 2024, the Company sold its remaining mitigation credits, which were produced by the Company’s formerly owned mitigation bank, and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Investment in PINE: Our business also includes our investment in PINE. As of December 31, 2025, the fair value of our investment totaled $41.3 million, or 15.4%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pStyle w:val="TextBody"/>
        <w:bidi w:val="0"/>
        <w:spacing w:before="0" w:after="0"/>
        <w:ind w:left="0" w:right="0" w:hanging="0"/>
        <w:jc w:val="both"/>
        <w:rPr/>
      </w:pPr>
      <w:r>
        <w:rPr/>
        <w:t> </w:t>
      </w:r>
    </w:p>
    <w:p>
      <w:pPr>
        <w:pStyle w:val="TextBody"/>
        <w:pBdr/>
        <w:bidi w:val="0"/>
        <w:spacing w:before="0" w:after="240"/>
        <w:ind w:left="0" w:right="0" w:hanging="490"/>
        <w:jc w:val="both"/>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pBdr/>
        <w:bidi w:val="0"/>
        <w:spacing w:before="280" w:after="0"/>
        <w:ind w:left="0" w:right="0" w:hanging="49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December 31, 2025, the Company has an equity investment in PINE.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490"/>
        <w:jc w:val="both"/>
        <w:rPr>
          <w:rFonts w:ascii="Times New Roman;Times;serif" w:hAnsi="Times New Roman;Times;serif"/>
          <w:b/>
          <w:i/>
          <w:sz w:val="20"/>
        </w:rPr>
      </w:pPr>
      <w:bookmarkStart w:id="897" w:name="_c2a21a0b_02e4_46ee_8279_aaed84fa8a8a_4"/>
      <w:bookmarkStart w:id="898" w:name="_c2a21a0b_02e4_46ee_8279_aaed84fa8a8a_3"/>
      <w:bookmarkStart w:id="899" w:name="_c2a21a0b_02e4_46ee_8279_aaed84fa8a8a_2"/>
      <w:bookmarkStart w:id="900" w:name="_c2a21a0b_02e4_46ee_8279_aaed84fa8a8a"/>
      <w:bookmarkEnd w:id="897"/>
      <w:bookmarkEnd w:id="898"/>
      <w:bookmarkEnd w:id="899"/>
      <w:bookmarkEnd w:id="900"/>
      <w:r>
        <w:rPr>
          <w:rFonts w:ascii="Times New Roman;Times;serif" w:hAnsi="Times New Roman;Times;serif"/>
          <w:b/>
          <w:i/>
          <w:sz w:val="20"/>
        </w:rPr>
        <w:t>SEGMENT REPORTING</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23, “Business Segment Data”.  The Company has no other reportable segments. The Company’s chief executive officer, who is the chief operating decision maker (“CODM”), reviews financial information on a disaggregated basis for purposes of allocating and evaluating financial performance.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(“ASU 2023-09”) ASU 2023-09 requires annual disclosure of specific categories in the rate reconciliation and the provision of additional information for reconciling items that meet a quantitative threshold within the rate reconciliation. In addition, ASU 2023-09 requires annual disclosure of income taxes paid disaggregated by federal, state and foreign jurisdictions as well as individual jurisdictions in which income taxes paid is equal to or greater than 5 percent of total income taxes paid. ASU 2023-09 is effective for annual periods beginning after December 15, 2024 on a prospective basis, however early adoption and retrospective application is permitted. The Company determined that the adoption of ASU 2023-09 did not have a material impact on the consolidated financial statements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Interim Reporting.</w:t>
      </w:r>
      <w:r>
        <w:rPr>
          <w:rFonts w:ascii="Times New Roman;Times;serif" w:hAnsi="Times New Roman;Times;serif"/>
          <w:sz w:val="20"/>
        </w:rPr>
        <w:t xml:space="preserve"> In December 2025, the FASB issued ASU 2025-11 to provide clarity and enhance the navigability of interim reporting disclosures in accordance with FASB ASC 270, Interim Reporting. The update focuses on improving the guidance for disclosure requirements for interim reporting periods by (i) listing interim disclosures required under ASC 270 as well as all other ASC topics and (ii) requiring disclosure of events or transactions since the prior annual reporting period that are expected to have a material impact on the reporting entity. The update is effective for interim reporting periods within annual reporting periods beginning after December 15, 2027.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Financial Instruments-Credit Losses. </w:t>
      </w:r>
      <w:r>
        <w:rPr>
          <w:rFonts w:ascii="Times New Roman;Times;serif" w:hAnsi="Times New Roman;Times;serif"/>
          <w:sz w:val="20"/>
        </w:rPr>
        <w:t>In July 2025, the FASB issued ASU 2025-05, Financial Instruments-Credit Losses (Topic 326): Measurement of Credit Losses for Accounts Receivable and Contract Assets (“ASU 2025-05”). ASU 2025-05 allows for a practical expedient as it relates to assuming that current conditions as of the balance sheet date do not change for the remaining life of the asset. ASU 2025-05 is effective for annual periods beginning after December 15, 2025, on a prospective basis, however early adoption is permitted. Although the Company is still evaluating the impact of ASU 2025-05, the Company does not expect the implementation of the practical expedient to have a significant impact on our CECL reserve.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RECLASSIFICATIONS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Beginning on January 1, 2025 the Company classifies cash received for commercial loan reserves as a separate line item within net cash provided by investing activities on the accompanying consolidated statements of cash flows. Accordingly, $9.5 million and $0.1 million of cash received for commercial loan reserves were reclassified from net cash provided by operating activities to net cash provided by investing activities on the accompanying consolidated statements of cash flows, for the years ended December 31, 2024 and 2023, to conform to the current presentation.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These reclassifications did not impact the Company's consolidated balance sheets, consolidated statements of operations, or total net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December 31, 2025 and 2024 include certain amounts over the Federal Deposit Insurance Corporation limits.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Restricted cash totaled $34.7 million at December 31, 2025, consisting of (i) $11.6 million held in escrow to be reinvested through a like-kind exchange structure, (ii) $22.1 million held in one escrow account and four reserve accounts related to the Company’s commercial loans and investments, including amounts held for a principal paydown in transit, interest, real estate taxes and/or construction costs, and (iii) $1.0 million held in escrow to fund certain construction commitments.</w:t>
      </w:r>
    </w:p>
    <w:p>
      <w:pPr>
        <w:pStyle w:val="TextBody"/>
        <w:pBdr/>
        <w:bidi w:val="0"/>
        <w:spacing w:before="0" w:after="240"/>
        <w:ind w:left="0" w:right="0" w:hanging="1094"/>
        <w:jc w:val="both"/>
        <w:rPr>
          <w:rFonts w:ascii="Times New Roman;Times;serif" w:hAnsi="Times New Roman;Times;serif"/>
          <w:b/>
          <w:i/>
          <w:sz w:val="20"/>
        </w:rPr>
      </w:pPr>
      <w:r>
        <w:rPr>
          <w:rFonts w:ascii="Times New Roman;Times;serif" w:hAnsi="Times New Roman;Times;serif"/>
          <w:b/>
          <w:i/>
          <w:sz w:val="20"/>
        </w:rPr>
        <w:t>INVESTMENT SECURITIES</w:t>
      </w:r>
    </w:p>
    <w:p>
      <w:pPr>
        <w:pStyle w:val="TextBody"/>
        <w:bidi w:val="0"/>
        <w:spacing w:before="0" w:after="240"/>
        <w:ind w:left="0" w:right="0" w:firstLine="446"/>
        <w:jc w:val="both"/>
        <w:rPr>
          <w:rFonts w:ascii="Times New Roman;Times;serif" w:hAnsi="Times New Roman;Times;serif"/>
          <w:sz w:val="20"/>
        </w:rPr>
      </w:pPr>
      <w:r>
        <w:rPr>
          <w:rFonts w:ascii="Times New Roman;Times;serif" w:hAnsi="Times New Roman;Times;serif"/>
          <w:sz w:val="20"/>
        </w:rPr>
        <w:t xml:space="preserve">In accordance with FASB ASC Topic 320, </w:t>
      </w:r>
      <w:r>
        <w:rPr>
          <w:rFonts w:ascii="Times New Roman;Times;serif" w:hAnsi="Times New Roman;Times;serif"/>
          <w:i/>
          <w:sz w:val="20"/>
        </w:rPr>
        <w:t>Investments – Debt and Equity Securities</w:t>
      </w:r>
      <w:r>
        <w:rPr>
          <w:rFonts w:ascii="Times New Roman;Times;serif" w:hAnsi="Times New Roman;Times;serif"/>
          <w:sz w:val="20"/>
        </w:rPr>
        <w:t xml:space="preserve"> and pursuant to ASU 2016-01,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The cost of Investment Securities sold, if any, is based on the specific identification method. Interest and dividends on Investment Securities are included in investment and other income in the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pStyle w:val="TextBody"/>
        <w:pBdr/>
        <w:bidi w:val="0"/>
        <w:spacing w:lineRule="auto" w:line="283"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December 31, 2025 and 2024, approximate fair value because of the short maturity of these instruments. The carrying value of the Company’s Credit Facility (hereinafter defined) as of December 31, 2025 and 2024,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the 2030 Term Loan (hereinafter defined), mortgage note, and convertible debt held as of December 31, 2025 and 2024 are measured at fair value based on current market rates for financial instruments with similar risks and maturities (see Note 9, “Fair Value of Financial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3"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in commercial loans and investments held for investment are recorded at historical cost, net of unaccreted origination costs and current expected credit losses (“CECL”) reserve.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Accounts receivable related to income properties, which are classified in other assets on the consolidated balance sheets, primarily consist of accrued tenant reimbursable expenses and other tenant receivables. Receivables related to income property tenants totaled $3.9 million and $3.7 million as of December 31, 2025 and 2024, respectively. The $0.2 million increase is primarily attributable to a increase in estimated accrued receivables for variable lease payments including common area maintenance, insurance, real estate taxes and other operating expenses.</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The Company continually assesses the collectability of receivables related to our income property tenants and real estate operations. In evaluating collectability, we consider the tenant's payment history, the financial condition of the tenant, current macroeconomic trends, and other factors as deemed necessary. The collectability of the aforementioned receivables shall be adjusted through an allowance for doubtful accounts which is included in income property revenue on the consolidated statements of operations. As of December 31, 2025 and 2024, the Company’s allowance for doubtful accounts totaled $2.6 million and $1.9 million, respectively, which is included within other assets on the Company’s consolidated balance sheets.</w:t>
      </w:r>
    </w:p>
    <w:p>
      <w:pPr>
        <w:pStyle w:val="TextBody"/>
        <w:pBdr/>
        <w:bidi w:val="0"/>
        <w:spacing w:before="0" w:after="120"/>
        <w:ind w:left="0" w:right="0" w:hanging="1109"/>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0" w:after="0"/>
        <w:ind w:left="0" w:right="0" w:firstLine="562"/>
        <w:jc w:val="both"/>
        <w:rPr>
          <w:rFonts w:ascii="Times New Roman;Times;serif" w:hAnsi="Times New Roman;Times;serif"/>
          <w:sz w:val="20"/>
        </w:rPr>
      </w:pPr>
      <w:r>
        <w:rPr>
          <w:rFonts w:ascii="Times New Roman;Times;serif" w:hAnsi="Times New Roman;Times;serif"/>
          <w:sz w:val="20"/>
        </w:rPr>
        <w:t xml:space="preserve">Investments in real estate are carried at cost less accumulated depreciation and impairment losses, if any. The cost of investments in real estate reflects their purchase price or development cost. We evaluate each acquisition transaction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determine whether the acquired asset meets the definition of a business. Under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40"/>
        <w:ind w:left="0" w:right="0" w:firstLine="562"/>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0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20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PLANT, AND EQUIPMENT</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disposed of, and the related accumulated depreciation or amortization, are removed from the accounts, and any resulting gain or loss is recorded in the consolidated statement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Depreciation expense related to property, plant and equipment, exclusive of amortization related to intangible assets, was $35.2 million, $33.5 million, and $25.7 million for the years ended December 31, 2025, 2024, and 2023, respectively. For each of the years ended December 31, 2025, 2024, and 2023, the Company capitalized $0.3 million of interest.</w:t>
      </w:r>
    </w:p>
    <w:p>
      <w:pPr>
        <w:pStyle w:val="TextBody"/>
        <w:bidi w:val="0"/>
        <w:spacing w:before="0" w:after="0"/>
        <w:ind w:left="0" w:right="0" w:hanging="0"/>
        <w:jc w:val="left"/>
        <w:rPr/>
      </w:pPr>
      <w:r>
        <w:rPr/>
        <w:t>​</w:t>
      </w:r>
    </w:p>
    <w:tbl>
      <w:tblPr>
        <w:tblW w:w="5208" w:type="dxa"/>
        <w:jc w:val="left"/>
        <w:tblInd w:w="0" w:type="dxa"/>
        <w:tblLayout w:type="fixed"/>
        <w:tblCellMar>
          <w:top w:w="0" w:type="dxa"/>
          <w:left w:w="0" w:type="dxa"/>
          <w:bottom w:w="0" w:type="dxa"/>
          <w:right w:w="0" w:type="dxa"/>
        </w:tblCellMar>
      </w:tblPr>
      <w:tblGrid>
        <w:gridCol w:w="3976"/>
        <w:gridCol w:w="571"/>
        <w:gridCol w:w="66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524760" cy="175895"/>
                      <wp:effectExtent l="0" t="0" r="0" b="0"/>
                      <wp:wrapNone/>
                      <wp:docPr id="197" name="Frame196"/>
                      <a:graphic xmlns:a="http://schemas.openxmlformats.org/drawingml/2006/main">
                        <a:graphicData uri="http://schemas.microsoft.com/office/word/2010/wordprocessingShape">
                          <wps:wsp>
                            <wps:cNvSpPr txBox="1"/>
                            <wps:spPr>
                              <a:xfrm>
                                <a:off x="0" y="0"/>
                                <a:ext cx="2524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895"/>
                      <wp:effectExtent l="0" t="0" r="0" b="0"/>
                      <wp:wrapNone/>
                      <wp:docPr id="198" name="Frame19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19735" cy="175895"/>
                      <wp:effectExtent l="0" t="0" r="0" b="0"/>
                      <wp:wrapNone/>
                      <wp:docPr id="199" name="Frame198"/>
                      <a:graphic xmlns:a="http://schemas.openxmlformats.org/drawingml/2006/main">
                        <a:graphicData uri="http://schemas.microsoft.com/office/word/2010/wordprocessingShape">
                          <wps:wsp>
                            <wps:cNvSpPr txBox="1"/>
                            <wps:spPr>
                              <a:xfrm>
                                <a:off x="0" y="0"/>
                                <a:ext cx="419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9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Properties Buildings and Improvements</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3 - 48</w:t>
            </w:r>
          </w:p>
        </w:tc>
        <w:tc>
          <w:tcPr>
            <w:tcW w:w="6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Years</w:t>
            </w:r>
          </w:p>
        </w:tc>
      </w:tr>
      <w:tr>
        <w:trPr/>
        <w:tc>
          <w:tcPr>
            <w:tcW w:w="39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Furnishings and Equipment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3 - 20</w:t>
            </w:r>
          </w:p>
        </w:tc>
        <w:tc>
          <w:tcPr>
            <w:tcW w:w="661" w:type="dxa"/>
            <w:tcBorders/>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80"/>
        <w:ind w:left="0" w:right="0" w:hanging="0"/>
        <w:jc w:val="both"/>
        <w:rPr/>
      </w:pPr>
      <w:r>
        <w:rPr/>
        <w: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PROPERTY LEASES</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 xml:space="preserve">The rental of the Company’s income properties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Company recognizes lease income on these properties on a straight-line basis over the term of the lease. The periodic difference between lease income recognized under this method and contractual lease payment terms (i.e., straight-line rent) is recorded as a deferred operating lease receivable and is included in straight-line rent adjustment within other assets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LEASE EXPENSE</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The Company leases property and equipment, which are classified as operating leases. The Company recognizes lease expense on a straight-line basis over the term of the lease.</w:t>
      </w:r>
    </w:p>
    <w:p>
      <w:pPr>
        <w:pStyle w:val="TextBody"/>
        <w:bidi w:val="0"/>
        <w:spacing w:lineRule="auto" w:line="271"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Effective on January 1, 2024 and through December 31, 2025, the Company owns one TRS, which is subject to federal and applicable state income taxation. The TRS is required to file a separate corporate income tax return.</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uses the asset and liability method to account for income taxes for the Company’s TRS. Deferred income taxes result primarily from the net tax effect of temporary differences between the carrying amounts of assets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0" w:hanging="0"/>
        <w:jc w:val="both"/>
        <w:rPr>
          <w:rFonts w:ascii="Times New Roman;Times;serif" w:hAnsi="Times New Roman;Times;serif"/>
          <w:sz w:val="20"/>
        </w:rPr>
      </w:pPr>
      <w:r>
        <w:rPr>
          <w:rFonts w:ascii="Times New Roman;Times;serif" w:hAnsi="Times New Roman;Times;serif"/>
          <w:sz w:val="20"/>
        </w:rPr>
        <w:t>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EARNINGS PER COMMON SHARE</w:t>
      </w:r>
    </w:p>
    <w:p>
      <w:pPr>
        <w:pStyle w:val="TextBody"/>
        <w:bidi w:val="0"/>
        <w:spacing w:before="0" w:after="240"/>
        <w:ind w:left="0" w:right="0" w:firstLine="475"/>
        <w:jc w:val="both"/>
        <w:rPr>
          <w:rFonts w:ascii="Times New Roman;Times;serif" w:hAnsi="Times New Roman;Times;serif"/>
          <w:sz w:val="20"/>
        </w:rPr>
      </w:pPr>
      <w:r>
        <w:rPr>
          <w:rFonts w:ascii="Times New Roman;Times;serif" w:hAnsi="Times New Roman;Times;serif"/>
          <w:sz w:val="20"/>
        </w:rPr>
        <w:t>Basic earnings per common share is computed by dividing net income attributable to common stockholders for the period by the weighted average number of shares outstanding for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(hereinafter defined) on an if-converted basis, see Note 14, “Common Stock and Earnings Per Share.”</w:t>
      </w:r>
    </w:p>
    <w:p>
      <w:pPr>
        <w:pStyle w:val="TextBody"/>
        <w:bidi w:val="0"/>
        <w:spacing w:lineRule="auto" w:line="271"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concentrations of credit risk consist principally of cash and cash equivalents.</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also has certain concentrations that make up more than 10% of our income property portfolio, as described below: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Square Footage Concentrations.</w:t>
            </w:r>
            <w:r>
              <w:rPr>
                <w:caps w:val="false"/>
                <w:smallCaps w:val="false"/>
              </w:rPr>
              <w:t xml:space="preserve"> </w:t>
            </w:r>
            <w:r>
              <w:rPr>
                <w:rFonts w:ascii="Times New Roman;Times;serif" w:hAnsi="Times New Roman;Times;serif"/>
                <w:b w:val="false"/>
                <w:i w:val="false"/>
                <w:caps w:val="false"/>
                <w:smallCaps w:val="false"/>
                <w:sz w:val="20"/>
              </w:rPr>
              <w:t>As of December 31, 2025, a total of 30%, 25%, 18%</w:t>
            </w:r>
            <w:r>
              <w:rPr>
                <w:caps w:val="false"/>
                <w:smallCaps w:val="false"/>
              </w:rPr>
              <w:t xml:space="preserve"> </w:t>
            </w:r>
            <w:r>
              <w:rPr>
                <w:rFonts w:ascii="Times New Roman;Times;serif" w:hAnsi="Times New Roman;Times;serif"/>
                <w:b w:val="false"/>
                <w:i w:val="false"/>
                <w:caps w:val="false"/>
                <w:smallCaps w:val="false"/>
                <w:sz w:val="20"/>
              </w:rPr>
              <w:t>and 12%</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Florida, North Carolina, and Texas, respectively. As of December 31, 2024, a total of 23%, 22%, 19%, and 19%</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North Carolina, Texas, and Florida,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Tenant Concentrations.</w:t>
            </w:r>
            <w:r>
              <w:rPr>
                <w:caps w:val="false"/>
                <w:smallCaps w:val="false"/>
              </w:rPr>
              <w:t xml:space="preserve"> </w:t>
            </w:r>
            <w:r>
              <w:rPr>
                <w:rFonts w:ascii="Times New Roman;Times;serif" w:hAnsi="Times New Roman;Times;serif"/>
                <w:b w:val="false"/>
                <w:i w:val="false"/>
                <w:caps w:val="false"/>
                <w:smallCaps w:val="false"/>
                <w:sz w:val="20"/>
              </w:rPr>
              <w:t>We did not have any tenants that accounted for more than 10% of total revenues during the years ended December 31, 2025, 2024, or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Rent Concentrations.</w:t>
            </w:r>
            <w:r>
              <w:rPr>
                <w:caps w:val="false"/>
                <w:smallCaps w:val="false"/>
              </w:rPr>
              <w:t xml:space="preserve"> </w:t>
            </w:r>
            <w:r>
              <w:rPr>
                <w:rFonts w:ascii="Times New Roman;Times;serif" w:hAnsi="Times New Roman;Times;serif"/>
                <w:b w:val="false"/>
                <w:i w:val="false"/>
                <w:caps w:val="false"/>
                <w:smallCaps w:val="false"/>
                <w:sz w:val="20"/>
              </w:rPr>
              <w:t>A total of 36%, 25%, and 15%</w:t>
            </w:r>
            <w:r>
              <w:rPr>
                <w:caps w:val="false"/>
                <w:smallCaps w:val="false"/>
              </w:rPr>
              <w:t xml:space="preserve"> </w:t>
            </w:r>
            <w:r>
              <w:rPr>
                <w:rFonts w:ascii="Times New Roman;Times;serif" w:hAnsi="Times New Roman;Times;serif"/>
                <w:b w:val="false"/>
                <w:i w:val="false"/>
                <w:caps w:val="false"/>
                <w:smallCaps w:val="false"/>
                <w:sz w:val="20"/>
              </w:rPr>
              <w:t>of our base rent revenue during the year ended December 31, 2025 was generated from tenants located in Georgia, Florida, and North Carolina, respectively.</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720" w:right="0" w:hanging="0"/>
        <w:jc w:val="both"/>
        <w:rPr/>
      </w:pPr>
      <w:r>
        <w:rPr/>
        <w:t> </w:t>
      </w:r>
    </w:p>
    <w:p>
      <w:pPr>
        <w:pStyle w:val="TextBody"/>
        <w:pBdr/>
        <w:bidi w:val="0"/>
        <w:spacing w:before="0" w:after="240"/>
        <w:ind w:left="0" w:right="0" w:hanging="490"/>
        <w:jc w:val="both"/>
        <w:rPr>
          <w:rFonts w:ascii="Times New Roman;Times;serif" w:hAnsi="Times New Roman;Times;serif"/>
          <w:b/>
          <w:sz w:val="20"/>
        </w:rPr>
      </w:pPr>
      <w:bookmarkStart w:id="901" w:name="Tc_whG0Y_UyZ0uydTbGSkGNbg_6_8"/>
      <w:bookmarkStart w:id="902" w:name="Tc_YZaAfEVZz06vPF7NUNYkcQ_6_5"/>
      <w:bookmarkStart w:id="903" w:name="Tc_aav4e729d0aeGJ-7xz20bg_6_2"/>
      <w:bookmarkStart w:id="904" w:name="Tc_9V195qdmb0-KjkytXoHZ0Q_5_0"/>
      <w:bookmarkStart w:id="905" w:name="Tc_lbptjwNFT0uismpxz-SGPQ_4_8"/>
      <w:bookmarkStart w:id="906" w:name="Tc_Awsrts8yCE-7OACDzuWnKg_4_5"/>
      <w:bookmarkStart w:id="907" w:name="Tc_2PyYV9_qOUmIzf0Bhp71Ag_4_2"/>
      <w:bookmarkStart w:id="908" w:name="Tc_lFHraRRr80O5zQoyCGg7BA_4_0"/>
      <w:bookmarkStart w:id="909" w:name="Tc_Pzi61Gk-kkqvQnflq5JaYw_3_0"/>
      <w:bookmarkStart w:id="910" w:name="Tc_Rj4BJe8DYkCjouOqISFeGg_2_8"/>
      <w:bookmarkStart w:id="911" w:name="Tc_ANqvRdMOXUW-zCyXKBVj8w_2_5"/>
      <w:bookmarkStart w:id="912" w:name="Tc_RivXwFThR0SPqx2tRcGxXw_2_2"/>
      <w:bookmarkStart w:id="913" w:name="Tc_LSoNXQimM0qzBztnKP7FzQ_1_2"/>
      <w:bookmarkStart w:id="914" w:name="_ac328221_280d_422e_8e37_14d1df9be2fe"/>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Times New Roman;Times;serif" w:hAnsi="Times New Roman;Times;serif"/>
          <w:b/>
          <w:sz w:val="20"/>
        </w:rPr>
        <w:t>NOTE 3.       INCOME PROPERTIES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 xml:space="preserve">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 </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tbl>
      <w:tblPr>
        <w:tblW w:w="5686" w:type="dxa"/>
        <w:jc w:val="left"/>
        <w:tblInd w:w="0" w:type="dxa"/>
        <w:tblLayout w:type="fixed"/>
        <w:tblCellMar>
          <w:top w:w="0" w:type="dxa"/>
          <w:left w:w="0" w:type="dxa"/>
          <w:bottom w:w="0" w:type="dxa"/>
          <w:right w:w="0" w:type="dxa"/>
        </w:tblCellMar>
      </w:tblPr>
      <w:tblGrid>
        <w:gridCol w:w="2146"/>
        <w:gridCol w:w="109"/>
        <w:gridCol w:w="211"/>
        <w:gridCol w:w="781"/>
        <w:gridCol w:w="346"/>
        <w:gridCol w:w="211"/>
        <w:gridCol w:w="781"/>
        <w:gridCol w:w="109"/>
        <w:gridCol w:w="211"/>
        <w:gridCol w:w="7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62710" cy="175260"/>
                      <wp:effectExtent l="0" t="0" r="0" b="0"/>
                      <wp:wrapNone/>
                      <wp:docPr id="200" name="Frame19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95935" cy="175260"/>
                      <wp:effectExtent l="0" t="0" r="0" b="0"/>
                      <wp:wrapNone/>
                      <wp:docPr id="203"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95935" cy="175260"/>
                      <wp:effectExtent l="0" t="0" r="0" b="0"/>
                      <wp:wrapNone/>
                      <wp:docPr id="206" name="Frame2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5935" cy="175260"/>
                      <wp:effectExtent l="0" t="0" r="0" b="0"/>
                      <wp:wrapNone/>
                      <wp:docPr id="209" name="Frame2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83,302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21,942</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96,663</w:t>
            </w:r>
          </w:p>
        </w:tc>
      </w:tr>
    </w:tbl>
    <w:p>
      <w:pPr>
        <w:pStyle w:val="TextBody"/>
        <w:bidi w:val="0"/>
        <w:spacing w:before="0" w:after="12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915" w:name="Tc_YIwbOJ8PUUu_Ch4HAJkd5A_8_2"/>
      <w:bookmarkStart w:id="916" w:name="Tc_0jVxZGE9REuxL7-RqCIXXg_8_0"/>
      <w:bookmarkStart w:id="917" w:name="Tc_AM47N9QpFUuzHA91Rb9DtQ_7_0"/>
      <w:bookmarkStart w:id="918" w:name="Tc_kOvhNV-6iUyjR1HX81zAww_6_0"/>
      <w:bookmarkStart w:id="919" w:name="Tc_JibPg1DmjUqJSRCW4pq6Nw_5_0"/>
      <w:bookmarkStart w:id="920" w:name="Tc_velflpvvgEWc_DzUHvhsgA_4_0"/>
      <w:bookmarkStart w:id="921" w:name="Tc_ScSRKLdGJUWYBh3tveVSiQ_3_0"/>
      <w:bookmarkStart w:id="922" w:name="Tc_kK1MCtN5KUKs0WGC-Zdlqw_2_2"/>
      <w:bookmarkStart w:id="923" w:name="Tc_UZNdjBHQ5Eek-RtsnJPhQQ_2_0"/>
      <w:bookmarkStart w:id="924" w:name="Tc_4OXFaTpIY06uHlUnNex5Xw_1_2"/>
      <w:bookmarkStart w:id="925" w:name="Tc_EHPRebKeCUeaM3Ts0Hz3UQ_1_0"/>
      <w:bookmarkStart w:id="926" w:name="_ae6ab035_eb8f_4e60_9910_3be4ba067ac0"/>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sz w:val="20"/>
        </w:rPr>
        <w:t>Minimum future base rental revenue on non-cancelable leases subsequent to December 31, 2025, for the next five years ended December 31 are summarized as follows (in thousands). Certain of our tenant leases include tenant renewal options which could be exercised at the tenant’s election and are not included in the amounts in the table below.</w:t>
      </w:r>
    </w:p>
    <w:p>
      <w:pPr>
        <w:pStyle w:val="TextBody"/>
        <w:bidi w:val="0"/>
        <w:spacing w:before="0" w:after="0"/>
        <w:ind w:left="0" w:right="0" w:hanging="0"/>
        <w:jc w:val="left"/>
        <w:rPr/>
      </w:pPr>
      <w:r>
        <w:rPr/>
        <w:t>​</w:t>
      </w:r>
    </w:p>
    <w:tbl>
      <w:tblPr>
        <w:tblW w:w="4324" w:type="dxa"/>
        <w:jc w:val="left"/>
        <w:tblInd w:w="0" w:type="dxa"/>
        <w:tblLayout w:type="fixed"/>
        <w:tblCellMar>
          <w:top w:w="0" w:type="dxa"/>
          <w:left w:w="0" w:type="dxa"/>
          <w:bottom w:w="0" w:type="dxa"/>
          <w:right w:w="0" w:type="dxa"/>
        </w:tblCellMar>
      </w:tblPr>
      <w:tblGrid>
        <w:gridCol w:w="2881"/>
        <w:gridCol w:w="34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62610" cy="175260"/>
                      <wp:effectExtent l="0" t="0" r="0" b="0"/>
                      <wp:wrapNone/>
                      <wp:docPr id="211" name="Frame2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101,437</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89,996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76,329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 (Cumulative)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143,923</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525,944</w:t>
            </w:r>
          </w:p>
        </w:tc>
      </w:tr>
    </w:tbl>
    <w:p>
      <w:pPr>
        <w:pStyle w:val="TextBody"/>
        <w:bidi w:val="0"/>
        <w:spacing w:lineRule="auto" w:line="256" w:before="0" w:after="0"/>
        <w:ind w:left="0" w:right="0" w:firstLine="360"/>
        <w:jc w:val="both"/>
        <w:rPr/>
      </w:pPr>
      <w:r>
        <w:rPr/>
        <w:t>​</w:t>
      </w:r>
    </w:p>
    <w:p>
      <w:pPr>
        <w:pStyle w:val="TextBody"/>
        <w:bidi w:val="0"/>
        <w:spacing w:lineRule="auto" w:line="280" w:before="0" w:after="120"/>
        <w:ind w:left="0" w:right="0" w:firstLine="490"/>
        <w:jc w:val="both"/>
        <w:rPr>
          <w:rFonts w:ascii="Times New Roman;Times;serif" w:hAnsi="Times New Roman;Times;serif"/>
          <w:sz w:val="20"/>
        </w:rPr>
      </w:pPr>
      <w:r>
        <w:rPr>
          <w:rFonts w:ascii="Times New Roman;Times;serif" w:hAnsi="Times New Roman;Times;serif"/>
          <w:i/>
          <w:sz w:val="20"/>
        </w:rPr>
        <w:t xml:space="preserve">2025 Acquisitions. </w:t>
      </w:r>
      <w:r>
        <w:rPr>
          <w:rFonts w:ascii="Times New Roman;Times;serif" w:hAnsi="Times New Roman;Times;serif"/>
          <w:sz w:val="20"/>
        </w:rPr>
        <w:t>During the year ended December 31, 2025, the Company two shopping centers for an aggregate purchase price of $144.9 million or a total acquisition cost of $145.1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Ashley Park, a lifestyle center located in Newnan, GA, for a purchase price of $79.8</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$80.0</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Ashley Park comprises approximately 559,000</w:t>
            </w:r>
            <w:r>
              <w:rPr>
                <w:caps w:val="false"/>
                <w:smallCaps w:val="false"/>
              </w:rPr>
              <w:t xml:space="preserve"> </w:t>
            </w:r>
            <w:r>
              <w:rPr>
                <w:rFonts w:ascii="Times New Roman;Times;serif" w:hAnsi="Times New Roman;Times;serif"/>
                <w:b w:val="false"/>
                <w:i w:val="false"/>
                <w:caps w:val="false"/>
                <w:smallCaps w:val="false"/>
                <w:sz w:val="20"/>
              </w:rPr>
              <w:t>square feet, was 92%</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4.1</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Pompano Citi Centre, an open-air retail center located in Pompano Beach, FL, for a purchase price of $65.1</w:t>
            </w:r>
            <w:r>
              <w:rPr>
                <w:caps w:val="false"/>
                <w:smallCaps w:val="false"/>
              </w:rPr>
              <w:t xml:space="preserve"> </w:t>
            </w:r>
            <w:r>
              <w:rPr>
                <w:rFonts w:ascii="Times New Roman;Times;serif" w:hAnsi="Times New Roman;Times;serif"/>
                <w:b w:val="false"/>
                <w:i w:val="false"/>
                <w:caps w:val="false"/>
                <w:smallCaps w:val="false"/>
                <w:sz w:val="20"/>
              </w:rPr>
              <w:t>million, less certain purchase credits, for a total acquisition cost of $65.1</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Pompano Citi Center comprises approximately 509,000</w:t>
            </w:r>
            <w:r>
              <w:rPr>
                <w:caps w:val="false"/>
                <w:smallCaps w:val="false"/>
              </w:rPr>
              <w:t xml:space="preserve"> </w:t>
            </w:r>
            <w:r>
              <w:rPr>
                <w:rFonts w:ascii="Times New Roman;Times;serif" w:hAnsi="Times New Roman;Times;serif"/>
                <w:b w:val="false"/>
                <w:i w:val="false"/>
                <w:caps w:val="false"/>
                <w:smallCaps w:val="false"/>
                <w:sz w:val="20"/>
              </w:rPr>
              <w:t>square feet, was 92%</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6.5</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p>
      <w:pPr>
        <w:pStyle w:val="TextBody"/>
        <w:bidi w:val="0"/>
        <w:spacing w:lineRule="auto" w:line="280" w:before="0" w:after="240"/>
        <w:ind w:left="0" w:right="0" w:firstLine="490"/>
        <w:jc w:val="both"/>
        <w:rPr>
          <w:rFonts w:ascii="Times New Roman;Times;serif" w:hAnsi="Times New Roman;Times;serif"/>
          <w:sz w:val="24"/>
        </w:rPr>
      </w:pPr>
      <w:r>
        <w:rPr>
          <w:rFonts w:ascii="Times New Roman;Times;serif" w:hAnsi="Times New Roman;Times;serif"/>
          <w:sz w:val="20"/>
        </w:rPr>
        <w:t>Of the aggregate $145.1</w:t>
      </w:r>
      <w:r>
        <w:rPr>
          <w:rFonts w:ascii="Times New Roman;Times;serif" w:hAnsi="Times New Roman;Times;serif"/>
          <w:sz w:val="24"/>
        </w:rPr>
        <w:t xml:space="preserve"> </w:t>
      </w:r>
      <w:r>
        <w:rPr>
          <w:rFonts w:ascii="Times New Roman;Times;serif" w:hAnsi="Times New Roman;Times;serif"/>
          <w:sz w:val="20"/>
        </w:rPr>
        <w:t>million acquisition cost, $56.9</w:t>
      </w:r>
      <w:r>
        <w:rPr>
          <w:rFonts w:ascii="Times New Roman;Times;serif" w:hAnsi="Times New Roman;Times;serif"/>
          <w:sz w:val="24"/>
        </w:rPr>
        <w:t xml:space="preserve"> </w:t>
      </w:r>
      <w:r>
        <w:rPr>
          <w:rFonts w:ascii="Times New Roman;Times;serif" w:hAnsi="Times New Roman;Times;serif"/>
          <w:sz w:val="20"/>
        </w:rPr>
        <w:t>million was allocated to land, $73.3</w:t>
      </w:r>
      <w:r>
        <w:rPr>
          <w:rFonts w:ascii="Times New Roman;Times;serif" w:hAnsi="Times New Roman;Times;serif"/>
          <w:sz w:val="24"/>
        </w:rPr>
        <w:t xml:space="preserve"> </w:t>
      </w:r>
      <w:r>
        <w:rPr>
          <w:rFonts w:ascii="Times New Roman;Times;serif" w:hAnsi="Times New Roman;Times;serif"/>
          <w:sz w:val="20"/>
        </w:rPr>
        <w:t>million was allocated to buildings and improvements, $36.6</w:t>
      </w:r>
      <w:r>
        <w:rPr>
          <w:rFonts w:ascii="Times New Roman;Times;serif" w:hAnsi="Times New Roman;Times;serif"/>
          <w:sz w:val="24"/>
        </w:rPr>
        <w:t xml:space="preserve"> </w:t>
      </w:r>
      <w:r>
        <w:rPr>
          <w:rFonts w:ascii="Times New Roman;Times;serif" w:hAnsi="Times New Roman;Times;serif"/>
          <w:sz w:val="20"/>
        </w:rPr>
        <w:t>million was allocated to intangible assets pertaining to the in-place lease value, leasing costs, and above market lease value and $21.7</w:t>
      </w:r>
      <w:r>
        <w:rPr>
          <w:rFonts w:ascii="Times New Roman;Times;serif" w:hAnsi="Times New Roman;Times;serif"/>
          <w:sz w:val="24"/>
        </w:rPr>
        <w:t xml:space="preserve"> </w:t>
      </w:r>
      <w:r>
        <w:rPr>
          <w:rFonts w:ascii="Times New Roman;Times;serif" w:hAnsi="Times New Roman;Times;serif"/>
          <w:sz w:val="20"/>
        </w:rPr>
        <w:t>million was allocated to intangible liabilities for the below market lease value. The weighted average amortization period for the intangible assets and liabilities was 4.6</w:t>
      </w:r>
      <w:r>
        <w:rPr>
          <w:rFonts w:ascii="Times New Roman;Times;serif" w:hAnsi="Times New Roman;Times;serif"/>
          <w:sz w:val="24"/>
        </w:rPr>
        <w:t xml:space="preserve"> </w:t>
      </w:r>
      <w:r>
        <w:rPr>
          <w:rFonts w:ascii="Times New Roman;Times;serif" w:hAnsi="Times New Roman;Times;serif"/>
          <w:sz w:val="20"/>
        </w:rPr>
        <w:t>years at acquisition.</w:t>
      </w:r>
    </w:p>
    <w:p>
      <w:pPr>
        <w:pStyle w:val="TextBody"/>
        <w:bidi w:val="0"/>
        <w:spacing w:lineRule="auto" w:line="280" w:before="0" w:after="240"/>
        <w:ind w:left="0" w:right="0" w:firstLine="490"/>
        <w:jc w:val="both"/>
        <w:rPr>
          <w:rFonts w:ascii="Times New Roman;Times;serif" w:hAnsi="Times New Roman;Times;serif"/>
          <w:sz w:val="24"/>
        </w:rPr>
      </w:pPr>
      <w:r>
        <w:rPr>
          <w:rFonts w:ascii="Times New Roman;Times;serif" w:hAnsi="Times New Roman;Times;serif"/>
          <w:i/>
          <w:sz w:val="20"/>
        </w:rPr>
        <w:t>2025 Dispositions.</w:t>
      </w:r>
      <w:r>
        <w:rPr>
          <w:rFonts w:ascii="Times New Roman;Times;serif" w:hAnsi="Times New Roman;Times;serif"/>
          <w:sz w:val="24"/>
        </w:rPr>
        <w:t xml:space="preserve"> </w:t>
      </w:r>
      <w:r>
        <w:rPr>
          <w:rFonts w:ascii="Times New Roman;Times;serif" w:hAnsi="Times New Roman;Times;serif"/>
          <w:sz w:val="20"/>
        </w:rPr>
        <w:t>During the year ended December 31, 2025, the Company sold four</w:t>
      </w:r>
      <w:r>
        <w:rPr>
          <w:rFonts w:ascii="Times New Roman;Times;serif" w:hAnsi="Times New Roman;Times;serif"/>
          <w:sz w:val="24"/>
        </w:rPr>
        <w:t xml:space="preserve"> </w:t>
      </w:r>
      <w:r>
        <w:rPr>
          <w:rFonts w:ascii="Times New Roman;Times;serif" w:hAnsi="Times New Roman;Times;serif"/>
          <w:sz w:val="20"/>
        </w:rPr>
        <w:t>income properties for an aggregate sales price of $85.1</w:t>
      </w:r>
      <w:r>
        <w:rPr>
          <w:rFonts w:ascii="Times New Roman;Times;serif" w:hAnsi="Times New Roman;Times;serif"/>
          <w:sz w:val="24"/>
        </w:rPr>
        <w:t xml:space="preserve"> </w:t>
      </w:r>
      <w:r>
        <w:rPr>
          <w:rFonts w:ascii="Times New Roman;Times;serif" w:hAnsi="Times New Roman;Times;serif"/>
          <w:sz w:val="20"/>
        </w:rPr>
        <w:t xml:space="preserve">million and aggregate </w:t>
      </w:r>
      <w:r>
        <w:rPr>
          <w:rFonts w:ascii="Times New Roman;Times;serif" w:hAnsi="Times New Roman;Times;serif"/>
          <w:b w:val="false"/>
          <w:i w:val="false"/>
          <w:caps w:val="false"/>
          <w:smallCaps w:val="false"/>
          <w:sz w:val="20"/>
        </w:rPr>
        <w:t>gains</w:t>
      </w:r>
      <w:r>
        <w:rPr>
          <w:rFonts w:ascii="Times New Roman;Times;serif" w:hAnsi="Times New Roman;Times;serif"/>
          <w:sz w:val="24"/>
        </w:rPr>
        <w:t xml:space="preserve"> </w:t>
      </w:r>
      <w:r>
        <w:rPr>
          <w:rFonts w:ascii="Times New Roman;Times;serif" w:hAnsi="Times New Roman;Times;serif"/>
          <w:sz w:val="20"/>
        </w:rPr>
        <w:t>of sales of $21.0</w:t>
      </w:r>
      <w:r>
        <w:rPr>
          <w:rFonts w:ascii="Times New Roman;Times;serif" w:hAnsi="Times New Roman;Times;serif"/>
          <w:sz w:val="24"/>
        </w:rPr>
        <w:t xml:space="preserve"> </w:t>
      </w:r>
      <w:r>
        <w:rPr>
          <w:rFonts w:ascii="Times New Roman;Times;serif" w:hAnsi="Times New Roman;Times;serif"/>
          <w:sz w:val="20"/>
        </w:rPr>
        <w:t>million. The sales consisted of (i) three</w:t>
      </w:r>
      <w:r>
        <w:rPr>
          <w:rFonts w:ascii="Times New Roman;Times;serif" w:hAnsi="Times New Roman;Times;serif"/>
          <w:sz w:val="24"/>
        </w:rPr>
        <w:t xml:space="preserve"> </w:t>
      </w:r>
      <w:r>
        <w:rPr>
          <w:rFonts w:ascii="Times New Roman;Times;serif" w:hAnsi="Times New Roman;Times;serif"/>
          <w:sz w:val="20"/>
        </w:rPr>
        <w:t>single-tenant Main Street properties in Daytona Beach, Florida for $7.1</w:t>
      </w:r>
      <w:r>
        <w:rPr>
          <w:rFonts w:ascii="Times New Roman;Times;serif" w:hAnsi="Times New Roman;Times;serif"/>
          <w:sz w:val="24"/>
        </w:rPr>
        <w:t xml:space="preserve"> </w:t>
      </w:r>
      <w:r>
        <w:rPr>
          <w:rFonts w:ascii="Times New Roman;Times;serif" w:hAnsi="Times New Roman;Times;serif"/>
          <w:sz w:val="20"/>
        </w:rPr>
        <w:t>million, generating gains totaling $1.2</w:t>
      </w:r>
      <w:r>
        <w:rPr>
          <w:rFonts w:ascii="Times New Roman;Times;serif" w:hAnsi="Times New Roman;Times;serif"/>
          <w:sz w:val="24"/>
        </w:rPr>
        <w:t xml:space="preserve"> </w:t>
      </w:r>
      <w:r>
        <w:rPr>
          <w:rFonts w:ascii="Times New Roman;Times;serif" w:hAnsi="Times New Roman;Times;serif"/>
          <w:sz w:val="20"/>
        </w:rPr>
        <w:t>million, and (ii) one</w:t>
      </w:r>
      <w:r>
        <w:rPr>
          <w:rFonts w:ascii="Times New Roman;Times;serif" w:hAnsi="Times New Roman;Times;serif"/>
          <w:sz w:val="24"/>
        </w:rPr>
        <w:t xml:space="preserve"> </w:t>
      </w:r>
      <w:r>
        <w:rPr>
          <w:rFonts w:ascii="Times New Roman;Times;serif" w:hAnsi="Times New Roman;Times;serif"/>
          <w:sz w:val="20"/>
        </w:rPr>
        <w:t>shopping center located in Plano, Texas for $78.0</w:t>
      </w:r>
      <w:r>
        <w:rPr>
          <w:rFonts w:ascii="Times New Roman;Times;serif" w:hAnsi="Times New Roman;Times;serif"/>
          <w:sz w:val="24"/>
        </w:rPr>
        <w:t xml:space="preserve"> </w:t>
      </w:r>
      <w:r>
        <w:rPr>
          <w:rFonts w:ascii="Times New Roman;Times;serif" w:hAnsi="Times New Roman;Times;serif"/>
          <w:sz w:val="20"/>
        </w:rPr>
        <w:t>million, resulting in a gain on sale of $19.8</w:t>
      </w:r>
      <w:r>
        <w:rPr>
          <w:rFonts w:ascii="Times New Roman;Times;serif" w:hAnsi="Times New Roman;Times;serif"/>
          <w:sz w:val="24"/>
        </w:rPr>
        <w:t xml:space="preserve"> </w:t>
      </w:r>
      <w:r>
        <w:rPr>
          <w:rFonts w:ascii="Times New Roman;Times;serif" w:hAnsi="Times New Roman;Times;serif"/>
          <w:sz w:val="20"/>
        </w:rPr>
        <w:t>million.</w:t>
      </w:r>
    </w:p>
    <w:p>
      <w:pPr>
        <w:pStyle w:val="TextBody"/>
        <w:bidi w:val="0"/>
        <w:spacing w:lineRule="auto" w:line="280"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2024 Acquisitions. </w:t>
      </w:r>
      <w:r>
        <w:rPr>
          <w:rFonts w:ascii="Times New Roman;Times;serif" w:hAnsi="Times New Roman;Times;serif"/>
          <w:sz w:val="20"/>
        </w:rPr>
        <w:t>During the year ended December 31, 2024, the Company acquired five shopping centers, one building within an existing shopping center owned by the Company, and one vacant land parcel within an existing shopping center owned by the Company, for an aggregate purchase price of $226.8 million, or a total acquisition cost of $224.4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Granada Plaza, a shopping center located in Dunedin, Florida, for a purchase price of $16.8</w:t>
            </w:r>
            <w:r>
              <w:rPr>
                <w:caps w:val="false"/>
                <w:smallCaps w:val="false"/>
              </w:rPr>
              <w:t xml:space="preserve"> </w:t>
            </w:r>
            <w:r>
              <w:rPr>
                <w:rFonts w:ascii="Times New Roman;Times;serif" w:hAnsi="Times New Roman;Times;serif"/>
                <w:b w:val="false"/>
                <w:i w:val="false"/>
                <w:caps w:val="false"/>
                <w:smallCaps w:val="false"/>
                <w:sz w:val="20"/>
              </w:rPr>
              <w:t>million, less certain purchase credits, for a total acquisition cost of $16.7</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Granada Plaza is a 74,000</w:t>
            </w:r>
            <w:r>
              <w:rPr>
                <w:caps w:val="false"/>
                <w:smallCaps w:val="false"/>
              </w:rPr>
              <w:t xml:space="preserve"> </w:t>
            </w:r>
            <w:r>
              <w:rPr>
                <w:rFonts w:ascii="Times New Roman;Times;serif" w:hAnsi="Times New Roman;Times;serif"/>
                <w:b w:val="false"/>
                <w:i w:val="false"/>
                <w:caps w:val="false"/>
                <w:smallCaps w:val="false"/>
                <w:sz w:val="20"/>
              </w:rPr>
              <w:t>square-foot shopping center, was 95%</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4.2</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portfolio of three</w:t>
            </w:r>
            <w:r>
              <w:rPr>
                <w:caps w:val="false"/>
                <w:smallCaps w:val="false"/>
              </w:rPr>
              <w:t xml:space="preserve"> </w:t>
            </w:r>
            <w:r>
              <w:rPr>
                <w:rFonts w:ascii="Times New Roman;Times;serif" w:hAnsi="Times New Roman;Times;serif"/>
                <w:b w:val="false"/>
                <w:i w:val="false"/>
                <w:caps w:val="false"/>
                <w:smallCaps w:val="false"/>
                <w:sz w:val="20"/>
              </w:rPr>
              <w:t>open-air shopping centers (the “Three Property Portfolio”) for a gross purchase price of $137.5</w:t>
            </w:r>
            <w:r>
              <w:rPr>
                <w:caps w:val="false"/>
                <w:smallCaps w:val="false"/>
              </w:rPr>
              <w:t xml:space="preserve"> </w:t>
            </w:r>
            <w:r>
              <w:rPr>
                <w:rFonts w:ascii="Times New Roman;Times;serif" w:hAnsi="Times New Roman;Times;serif"/>
                <w:b w:val="false"/>
                <w:i w:val="false"/>
                <w:caps w:val="false"/>
                <w:smallCaps w:val="false"/>
                <w:sz w:val="20"/>
              </w:rPr>
              <w:t>million, less certain purchase credits, for a total acquisition cost of $135.1</w:t>
            </w:r>
            <w:r>
              <w:rPr>
                <w:caps w:val="false"/>
                <w:smallCaps w:val="false"/>
              </w:rPr>
              <w:t xml:space="preserve"> </w:t>
            </w:r>
            <w:r>
              <w:rPr>
                <w:rFonts w:ascii="Times New Roman;Times;serif" w:hAnsi="Times New Roman;Times;serif"/>
                <w:b w:val="false"/>
                <w:i w:val="false"/>
                <w:caps w:val="false"/>
                <w:smallCaps w:val="false"/>
                <w:sz w:val="20"/>
              </w:rPr>
              <w:t>million. The Three Property Portfolio consists of Carolina Pavilion in Charlotte, North Carolina; Millenia Crossing in Orlando, Florida; and Lake Brandon Village in Tampa, Florida. Carolina Pavilion comprises approximately 686,000</w:t>
            </w:r>
            <w:r>
              <w:rPr>
                <w:caps w:val="false"/>
                <w:smallCaps w:val="false"/>
              </w:rPr>
              <w:t xml:space="preserve"> </w:t>
            </w:r>
            <w:r>
              <w:rPr>
                <w:rFonts w:ascii="Times New Roman;Times;serif" w:hAnsi="Times New Roman;Times;serif"/>
                <w:b w:val="false"/>
                <w:i w:val="false"/>
                <w:caps w:val="false"/>
                <w:smallCaps w:val="false"/>
                <w:sz w:val="20"/>
              </w:rPr>
              <w:t>square feet, was 93%</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5.9</w:t>
            </w:r>
            <w:r>
              <w:rPr>
                <w:caps w:val="false"/>
                <w:smallCaps w:val="false"/>
              </w:rPr>
              <w:t xml:space="preserve"> </w:t>
            </w:r>
            <w:r>
              <w:rPr>
                <w:rFonts w:ascii="Times New Roman;Times;serif" w:hAnsi="Times New Roman;Times;serif"/>
                <w:b w:val="false"/>
                <w:i w:val="false"/>
                <w:caps w:val="false"/>
                <w:smallCaps w:val="false"/>
                <w:sz w:val="20"/>
              </w:rPr>
              <w:t>years at acquisition. Millenia Crossing comprises approximately 100,000</w:t>
            </w:r>
            <w:r>
              <w:rPr>
                <w:caps w:val="false"/>
                <w:smallCaps w:val="false"/>
              </w:rPr>
              <w:t xml:space="preserve"> </w:t>
            </w:r>
            <w:r>
              <w:rPr>
                <w:rFonts w:ascii="Times New Roman;Times;serif" w:hAnsi="Times New Roman;Times;serif"/>
                <w:b w:val="false"/>
                <w:i w:val="false"/>
                <w:caps w:val="false"/>
                <w:smallCaps w:val="false"/>
                <w:sz w:val="20"/>
              </w:rPr>
              <w:t>square feet, was 96%</w:t>
            </w:r>
            <w:r>
              <w:rPr>
                <w:caps w:val="false"/>
                <w:smallCaps w:val="false"/>
              </w:rPr>
              <w:t xml:space="preserve"> </w:t>
            </w:r>
            <w:r>
              <w:rPr>
                <w:rFonts w:ascii="Times New Roman;Times;serif" w:hAnsi="Times New Roman;Times;serif"/>
                <w:b w:val="false"/>
                <w:i w:val="false"/>
                <w:caps w:val="false"/>
                <w:smallCaps w:val="false"/>
                <w:sz w:val="20"/>
              </w:rPr>
              <w:t>occupied at acquisition, and had a remaining lease term of 6.1</w:t>
            </w:r>
            <w:r>
              <w:rPr>
                <w:caps w:val="false"/>
                <w:smallCaps w:val="false"/>
              </w:rPr>
              <w:t xml:space="preserve"> </w:t>
            </w:r>
            <w:r>
              <w:rPr>
                <w:rFonts w:ascii="Times New Roman;Times;serif" w:hAnsi="Times New Roman;Times;serif"/>
                <w:b w:val="false"/>
                <w:i w:val="false"/>
                <w:caps w:val="false"/>
                <w:smallCaps w:val="false"/>
                <w:sz w:val="20"/>
              </w:rPr>
              <w:t>years at acquisition. Lake Brandon Village comprises approximately 102,000</w:t>
            </w:r>
            <w:r>
              <w:rPr>
                <w:caps w:val="false"/>
                <w:smallCaps w:val="false"/>
              </w:rPr>
              <w:t xml:space="preserve"> </w:t>
            </w:r>
            <w:r>
              <w:rPr>
                <w:rFonts w:ascii="Times New Roman;Times;serif" w:hAnsi="Times New Roman;Times;serif"/>
                <w:b w:val="false"/>
                <w:i w:val="false"/>
                <w:caps w:val="false"/>
                <w:smallCaps w:val="false"/>
                <w:sz w:val="20"/>
              </w:rPr>
              <w:t>square feet, was 100%</w:t>
            </w:r>
            <w:r>
              <w:rPr>
                <w:caps w:val="false"/>
                <w:smallCaps w:val="false"/>
              </w:rPr>
              <w:t xml:space="preserve"> </w:t>
            </w:r>
            <w:r>
              <w:rPr>
                <w:rFonts w:ascii="Times New Roman;Times;serif" w:hAnsi="Times New Roman;Times;serif"/>
                <w:b w:val="false"/>
                <w:i w:val="false"/>
                <w:caps w:val="false"/>
                <w:smallCaps w:val="false"/>
                <w:sz w:val="20"/>
              </w:rPr>
              <w:t>occupied at acquisition, and had a remaining lease term of 7.4</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Marketplace at Seminole Towne Center, a shopping center located in Sanford, Florida, for a purchase price of $68.7</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$68.8</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Marketplace at Seminole Towne Center comprises 315,066</w:t>
            </w:r>
            <w:r>
              <w:rPr>
                <w:caps w:val="false"/>
                <w:smallCaps w:val="false"/>
              </w:rPr>
              <w:t xml:space="preserve"> </w:t>
            </w:r>
            <w:r>
              <w:rPr>
                <w:rFonts w:ascii="Times New Roman;Times;serif" w:hAnsi="Times New Roman;Times;serif"/>
                <w:b w:val="false"/>
                <w:i w:val="false"/>
                <w:caps w:val="false"/>
                <w:smallCaps w:val="false"/>
                <w:sz w:val="20"/>
              </w:rPr>
              <w:t>square feet, was 98%</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4.7</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One</w:t>
            </w:r>
            <w:r>
              <w:rPr>
                <w:caps w:val="false"/>
                <w:smallCaps w:val="false"/>
              </w:rPr>
              <w:t xml:space="preserve"> </w:t>
            </w:r>
            <w:r>
              <w:rPr>
                <w:rFonts w:ascii="Times New Roman;Times;serif" w:hAnsi="Times New Roman;Times;serif"/>
                <w:b w:val="false"/>
                <w:i w:val="false"/>
                <w:caps w:val="false"/>
                <w:smallCaps w:val="false"/>
                <w:sz w:val="20"/>
              </w:rPr>
              <w:t>property, totaling 4,000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$2.3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weighted average remaining lease term at acquisition is 10.0</w:t>
            </w:r>
            <w:r>
              <w:rPr>
                <w:caps w:val="false"/>
                <w:smallCaps w:val="false"/>
              </w:rPr>
              <w:t xml:space="preserve"> </w:t>
            </w:r>
            <w:r>
              <w:rPr>
                <w:rFonts w:ascii="Times New Roman;Times;serif" w:hAnsi="Times New Roman;Times;serif"/>
                <w:b w:val="false"/>
                <w:i w:val="false"/>
                <w:caps w:val="false"/>
                <w:smallCaps w:val="false"/>
                <w:sz w:val="20"/>
              </w:rPr>
              <w:t>years. As a result of this acquisition, the Company has acquired the entire retail portion of Phase II of the Exchange at Gwinnett. The Company previously purchased the Sprouts-anchored Phase I portion of The Exchange at Gwinnett in December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vacant land parcel, for future development, within the previously acquired West Broad Village property, located in the Short Pump submarket of Richmond, Virginia, for a purchase price of $1.5</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w:t>
            </w:r>
          </w:p>
        </w:tc>
      </w:tr>
    </w:tbl>
    <w:p>
      <w:pPr>
        <w:pStyle w:val="TextBody"/>
        <w:pBdr/>
        <w:shd w:fill="FFFFFF" w:val="clear"/>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Of the aggregate $224.4</w:t>
      </w:r>
      <w:r>
        <w:rPr>
          <w:rFonts w:ascii="Times New Roman;Times;serif" w:hAnsi="Times New Roman;Times;serif"/>
          <w:sz w:val="24"/>
        </w:rPr>
        <w:t xml:space="preserve"> </w:t>
      </w:r>
      <w:r>
        <w:rPr>
          <w:rFonts w:ascii="Times New Roman;Times;serif" w:hAnsi="Times New Roman;Times;serif"/>
          <w:sz w:val="20"/>
        </w:rPr>
        <w:t>million total acquisition cost, $46.5</w:t>
      </w:r>
      <w:r>
        <w:rPr>
          <w:rFonts w:ascii="Times New Roman;Times;serif" w:hAnsi="Times New Roman;Times;serif"/>
          <w:sz w:val="24"/>
        </w:rPr>
        <w:t xml:space="preserve"> </w:t>
      </w:r>
      <w:r>
        <w:rPr>
          <w:rFonts w:ascii="Times New Roman;Times;serif" w:hAnsi="Times New Roman;Times;serif"/>
          <w:sz w:val="20"/>
        </w:rPr>
        <w:t>million was allocated to land, $156.7</w:t>
      </w:r>
      <w:r>
        <w:rPr>
          <w:rFonts w:ascii="Times New Roman;Times;serif" w:hAnsi="Times New Roman;Times;serif"/>
          <w:sz w:val="24"/>
        </w:rPr>
        <w:t xml:space="preserve"> </w:t>
      </w:r>
      <w:r>
        <w:rPr>
          <w:rFonts w:ascii="Times New Roman;Times;serif" w:hAnsi="Times New Roman;Times;serif"/>
          <w:sz w:val="20"/>
        </w:rPr>
        <w:t>million was allocated to buildings and improvements, and $32.4</w:t>
      </w:r>
      <w:r>
        <w:rPr>
          <w:rFonts w:ascii="Times New Roman;Times;serif" w:hAnsi="Times New Roman;Times;serif"/>
          <w:sz w:val="24"/>
        </w:rPr>
        <w:t xml:space="preserve"> </w:t>
      </w:r>
      <w:r>
        <w:rPr>
          <w:rFonts w:ascii="Times New Roman;Times;serif" w:hAnsi="Times New Roman;Times;serif"/>
          <w:sz w:val="20"/>
        </w:rPr>
        <w:t>million was allocated to intangible assets pertaining to the in-place lease value, leasing costs, and above market lease value and $11.2</w:t>
      </w:r>
      <w:r>
        <w:rPr>
          <w:rFonts w:ascii="Times New Roman;Times;serif" w:hAnsi="Times New Roman;Times;serif"/>
          <w:sz w:val="24"/>
        </w:rPr>
        <w:t xml:space="preserve"> </w:t>
      </w:r>
      <w:r>
        <w:rPr>
          <w:rFonts w:ascii="Times New Roman;Times;serif" w:hAnsi="Times New Roman;Times;serif"/>
          <w:sz w:val="20"/>
        </w:rPr>
        <w:t>million was allocated to intangible liabilities for the below market lease value. The weighted average amortization period for the intangible assets and liabilities was 5.7</w:t>
      </w:r>
      <w:r>
        <w:rPr>
          <w:rFonts w:ascii="Times New Roman;Times;serif" w:hAnsi="Times New Roman;Times;serif"/>
          <w:sz w:val="24"/>
        </w:rPr>
        <w:t xml:space="preserve"> </w:t>
      </w:r>
      <w:r>
        <w:rPr>
          <w:rFonts w:ascii="Times New Roman;Times;serif" w:hAnsi="Times New Roman;Times;serif"/>
          <w:sz w:val="20"/>
        </w:rPr>
        <w:t>years at acquisition.</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2024 Dispositions.</w:t>
      </w:r>
      <w:r>
        <w:rPr>
          <w:rFonts w:ascii="Times New Roman;Times;serif" w:hAnsi="Times New Roman;Times;serif"/>
          <w:sz w:val="20"/>
        </w:rPr>
        <w:t xml:space="preserve"> During the year ended December 31,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shopping center located in West Jordan, Utah for $18.0 million resulting in a loss on sale of $0.8 million.</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i/>
          <w:sz w:val="20"/>
        </w:rPr>
        <w:t xml:space="preserve">2023 Acquisitions. </w:t>
      </w:r>
      <w:r>
        <w:rPr>
          <w:rFonts w:ascii="Times New Roman;Times;serif" w:hAnsi="Times New Roman;Times;serif"/>
          <w:sz w:val="20"/>
        </w:rPr>
        <w:t>During the year ended December 31, 2023, the Company acquired four additional buildings within an existing shopping center owned by the Company, one shopping center, and one vacant land parcel adjacent to an existing shopping center owned by the Company for an aggregate purchase price of $80.0 million, or a total acquisition cost of $80.3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Four</w:t>
            </w:r>
            <w:r>
              <w:rPr>
                <w:caps w:val="false"/>
                <w:smallCaps w:val="false"/>
              </w:rPr>
              <w:t xml:space="preserve"> </w:t>
            </w:r>
            <w:r>
              <w:rPr>
                <w:rFonts w:ascii="Times New Roman;Times;serif" w:hAnsi="Times New Roman;Times;serif"/>
                <w:b w:val="false"/>
                <w:i w:val="false"/>
                <w:caps w:val="false"/>
                <w:smallCaps w:val="false"/>
                <w:sz w:val="20"/>
              </w:rPr>
              <w:t>properties, totaling 24,100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$14.6</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$14.7</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four</w:t>
            </w:r>
            <w:r>
              <w:rPr>
                <w:caps w:val="false"/>
                <w:smallCaps w:val="false"/>
              </w:rPr>
              <w:t xml:space="preserve"> </w:t>
            </w:r>
            <w:r>
              <w:rPr>
                <w:rFonts w:ascii="Times New Roman;Times;serif" w:hAnsi="Times New Roman;Times;serif"/>
                <w:b w:val="false"/>
                <w:i w:val="false"/>
                <w:caps w:val="false"/>
                <w:smallCaps w:val="false"/>
                <w:sz w:val="20"/>
              </w:rPr>
              <w:t>properties are leased to six</w:t>
            </w:r>
            <w:r>
              <w:rPr>
                <w:caps w:val="false"/>
                <w:smallCaps w:val="false"/>
              </w:rPr>
              <w:t xml:space="preserve"> </w:t>
            </w:r>
            <w:r>
              <w:rPr>
                <w:rFonts w:ascii="Times New Roman;Times;serif" w:hAnsi="Times New Roman;Times;serif"/>
                <w:b w:val="false"/>
                <w:i w:val="false"/>
                <w:caps w:val="false"/>
                <w:smallCaps w:val="false"/>
                <w:sz w:val="20"/>
              </w:rPr>
              <w:t>different tenants with a weighted average remaining lease term of 9.9</w:t>
            </w:r>
            <w:r>
              <w:rPr>
                <w:caps w:val="false"/>
                <w:smallCaps w:val="false"/>
              </w:rPr>
              <w:t xml:space="preserve"> </w:t>
            </w:r>
            <w:r>
              <w:rPr>
                <w:rFonts w:ascii="Times New Roman;Times;serif" w:hAnsi="Times New Roman;Times;serif"/>
                <w:b w:val="false"/>
                <w:i w:val="false"/>
                <w:caps w:val="false"/>
                <w:smallCaps w:val="false"/>
                <w:sz w:val="20"/>
              </w:rPr>
              <w:t>years at acquisition. The Company is under contract to acquire the remaining 4,000</w:t>
            </w:r>
            <w:r>
              <w:rPr>
                <w:caps w:val="false"/>
                <w:smallCaps w:val="false"/>
              </w:rPr>
              <w:t xml:space="preserve"> </w:t>
            </w:r>
            <w:r>
              <w:rPr>
                <w:rFonts w:ascii="Times New Roman;Times;serif" w:hAnsi="Times New Roman;Times;serif"/>
                <w:b w:val="false"/>
                <w:i w:val="false"/>
                <w:caps w:val="false"/>
                <w:smallCaps w:val="false"/>
                <w:sz w:val="20"/>
              </w:rPr>
              <w:t>square-foot property that makes up the remaining retail portion of Phase II of The Exchange at Gwinnett for a purchase price of $2.3</w:t>
            </w:r>
            <w:r>
              <w:rPr>
                <w:caps w:val="false"/>
                <w:smallCaps w:val="false"/>
              </w:rPr>
              <w:t xml:space="preserve"> </w:t>
            </w:r>
            <w:r>
              <w:rPr>
                <w:rFonts w:ascii="Times New Roman;Times;serif" w:hAnsi="Times New Roman;Times;serif"/>
                <w:b w:val="false"/>
                <w:i w:val="false"/>
                <w:caps w:val="false"/>
                <w:smallCaps w:val="false"/>
                <w:sz w:val="20"/>
              </w:rPr>
              <w:t>million. The Company previously purchased the Sprouts-anchored Phase I portion of The Exchange at Gwinnett in December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Plaza at Rockwall, a shopping center located in Rockwall, Texas for a purchase price of $61.2</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$61.3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Plaza at Rockwall comprises approximately 446,500</w:t>
            </w:r>
            <w:r>
              <w:rPr>
                <w:caps w:val="false"/>
                <w:smallCaps w:val="false"/>
              </w:rPr>
              <w:t xml:space="preserve"> </w:t>
            </w:r>
            <w:r>
              <w:rPr>
                <w:rFonts w:ascii="Times New Roman;Times;serif" w:hAnsi="Times New Roman;Times;serif"/>
                <w:b w:val="false"/>
                <w:i w:val="false"/>
                <w:caps w:val="false"/>
                <w:smallCaps w:val="false"/>
                <w:sz w:val="20"/>
              </w:rPr>
              <w:t>square feet, was 95%</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4.2</w:t>
            </w:r>
            <w:r>
              <w:rPr>
                <w:caps w:val="false"/>
                <w:smallCaps w:val="false"/>
              </w:rPr>
              <w:t xml:space="preserve"> </w:t>
            </w:r>
            <w:r>
              <w:rPr>
                <w:rFonts w:ascii="Times New Roman;Times;serif" w:hAnsi="Times New Roman;Times;serif"/>
                <w:b w:val="false"/>
                <w:i w:val="false"/>
                <w:caps w:val="false"/>
                <w:smallCaps w:val="false"/>
                <w:sz w:val="20"/>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vacant land parcel adjacent to the previously acquired Collection at Forsyth property, located in the Forsyth County submarket of Atlanta, Georgia, for a purchase price of $4.3</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shd w:fill="FFFFFF" w:val="clear"/>
        <w:bidi w:val="0"/>
        <w:spacing w:before="0" w:after="240"/>
        <w:ind w:left="0" w:right="0" w:firstLine="490"/>
        <w:jc w:val="both"/>
        <w:rPr>
          <w:rFonts w:ascii="Times New Roman;Times;serif" w:hAnsi="Times New Roman;Times;serif"/>
          <w:sz w:val="24"/>
        </w:rPr>
      </w:pPr>
      <w:r>
        <w:rPr>
          <w:rFonts w:ascii="Times New Roman;Times;serif" w:hAnsi="Times New Roman;Times;serif"/>
          <w:sz w:val="20"/>
        </w:rPr>
        <w:t>Of the aggregate $80.3</w:t>
      </w:r>
      <w:r>
        <w:rPr>
          <w:rFonts w:ascii="Times New Roman;Times;serif" w:hAnsi="Times New Roman;Times;serif"/>
          <w:sz w:val="24"/>
        </w:rPr>
        <w:t xml:space="preserve"> </w:t>
      </w:r>
      <w:r>
        <w:rPr>
          <w:rFonts w:ascii="Times New Roman;Times;serif" w:hAnsi="Times New Roman;Times;serif"/>
          <w:sz w:val="20"/>
        </w:rPr>
        <w:t>million acquisition cost, $21.2</w:t>
      </w:r>
      <w:r>
        <w:rPr>
          <w:rFonts w:ascii="Times New Roman;Times;serif" w:hAnsi="Times New Roman;Times;serif"/>
          <w:sz w:val="24"/>
        </w:rPr>
        <w:t xml:space="preserve"> </w:t>
      </w:r>
      <w:r>
        <w:rPr>
          <w:rFonts w:ascii="Times New Roman;Times;serif" w:hAnsi="Times New Roman;Times;serif"/>
          <w:sz w:val="20"/>
        </w:rPr>
        <w:t>million was allocated to land, $53.6</w:t>
      </w:r>
      <w:r>
        <w:rPr>
          <w:rFonts w:ascii="Times New Roman;Times;serif" w:hAnsi="Times New Roman;Times;serif"/>
          <w:sz w:val="24"/>
        </w:rPr>
        <w:t xml:space="preserve"> </w:t>
      </w:r>
      <w:r>
        <w:rPr>
          <w:rFonts w:ascii="Times New Roman;Times;serif" w:hAnsi="Times New Roman;Times;serif"/>
          <w:sz w:val="20"/>
        </w:rPr>
        <w:t>million was allocated to buildings and improvements, and $8.7</w:t>
      </w:r>
      <w:r>
        <w:rPr>
          <w:rFonts w:ascii="Times New Roman;Times;serif" w:hAnsi="Times New Roman;Times;serif"/>
          <w:sz w:val="24"/>
        </w:rPr>
        <w:t xml:space="preserve"> </w:t>
      </w:r>
      <w:r>
        <w:rPr>
          <w:rFonts w:ascii="Times New Roman;Times;serif" w:hAnsi="Times New Roman;Times;serif"/>
          <w:sz w:val="20"/>
        </w:rPr>
        <w:t>million was allocated to intangible assets pertaining to the in-place lease value, leasing costs, and above market lease value and $3.2</w:t>
      </w:r>
      <w:r>
        <w:rPr>
          <w:rFonts w:ascii="Times New Roman;Times;serif" w:hAnsi="Times New Roman;Times;serif"/>
          <w:sz w:val="24"/>
        </w:rPr>
        <w:t xml:space="preserve"> </w:t>
      </w:r>
      <w:r>
        <w:rPr>
          <w:rFonts w:ascii="Times New Roman;Times;serif" w:hAnsi="Times New Roman;Times;serif"/>
          <w:sz w:val="20"/>
        </w:rPr>
        <w:t>million was allocated to intangible liabilities for the below market lease value. The amortization period for the intangible assets and liabilities was 5.6</w:t>
      </w:r>
      <w:r>
        <w:rPr>
          <w:rFonts w:ascii="Times New Roman;Times;serif" w:hAnsi="Times New Roman;Times;serif"/>
          <w:sz w:val="24"/>
        </w:rPr>
        <w:t xml:space="preserve"> </w:t>
      </w:r>
      <w:r>
        <w:rPr>
          <w:rFonts w:ascii="Times New Roman;Times;serif" w:hAnsi="Times New Roman;Times;serif"/>
          <w:sz w:val="20"/>
        </w:rPr>
        <w:t>years at acquisition.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2023 Dispositions. </w:t>
      </w:r>
      <w:r>
        <w:rPr>
          <w:rFonts w:ascii="Times New Roman;Times;serif" w:hAnsi="Times New Roman;Times;serif"/>
          <w:sz w:val="20"/>
        </w:rPr>
        <w:t>During the year ended December 31, 2023, the Company sold nine income properties, including (i) an outparcel of the property known as Eastern Commons, located in Henderson, Nevada, for $2.1 million, (ii) four outparcels of the property known as Crossroads Towne Center, located in Chandler, Arizona, for an aggregate sales price of $11.5 million, (iii) a single tenant office property located in Reston, Virginia leased to a subsidiary of General Dynamics for $18.5 million, (iv) a shopping center known as Westcliff, located in Fort Worth, Texas, for $14.8 million, (v) a shopping center known as Eastern Commons, located in Henderson, Nevada, for $18.2 million, (vi) a single tenant office property known as Sabal Pavilion located in Tampa, Florida for $22.0 million. The sale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490"/>
        <w:jc w:val="both"/>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spacing w:val="-2"/>
          <w:sz w:val="20"/>
        </w:rPr>
        <w:t>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w:t>
      </w:r>
      <w:r>
        <w:rPr>
          <w:rFonts w:ascii="Times New Roman;Times;serif" w:hAnsi="Times New Roman;Times;serif"/>
          <w:sz w:val="20"/>
          <w:shd w:fill="FFFFFF" w:val="clear"/>
        </w:rPr>
        <w:t>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2025 Activity. </w:t>
      </w:r>
      <w:r>
        <w:rPr>
          <w:rFonts w:ascii="Times New Roman;Times;serif" w:hAnsi="Times New Roman;Times;serif"/>
          <w:sz w:val="20"/>
        </w:rPr>
        <w:t>During the year ended December 31, 2025, the Company originated $21.0 million of commercial loans and investments, including an amendment and $16.0 million upsize of an existing loan, of which none was funded, and a $5.0 million mortgage note, for a weighted average interest rate of 10.7% (including paid-in-kind interest). The Company earned $0.3 million of origination fees from these investments, or 1.3%. During the same period, the Company funded $9.3 million under existing construction loan commitments, net of origination fees received, and received principal repayments totaling $15.2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w:t>
      </w:r>
      <w:r>
        <w:rPr>
          <w:rFonts w:ascii="Times New Roman;Times;serif" w:hAnsi="Times New Roman;Times;serif"/>
          <w:sz w:val="20"/>
          <w:shd w:fill="FFFFFF" w:val="clear"/>
        </w:rPr>
        <w:t>During the year ended December 31, 2024, the Company originated four commercial loan investments totaling $</w:t>
      </w:r>
      <w:r>
        <w:rPr>
          <w:rFonts w:ascii="Times New Roman;Times;serif" w:hAnsi="Times New Roman;Times;serif"/>
          <w:sz w:val="20"/>
        </w:rPr>
        <w:t>104.0</w:t>
      </w:r>
      <w:r>
        <w:rPr>
          <w:rFonts w:ascii="Times New Roman;Times;serif" w:hAnsi="Times New Roman;Times;serif"/>
          <w:sz w:val="20"/>
          <w:shd w:fill="FFFFFF" w:val="clear"/>
        </w:rPr>
        <w:t> million at a weighted average initial cash yield of </w:t>
      </w:r>
      <w:r>
        <w:rPr>
          <w:rFonts w:ascii="Times New Roman;Times;serif" w:hAnsi="Times New Roman;Times;serif"/>
          <w:sz w:val="20"/>
        </w:rPr>
        <w:t>11.7%</w:t>
      </w:r>
      <w:r>
        <w:rPr>
          <w:rFonts w:ascii="Times New Roman;Times;serif" w:hAnsi="Times New Roman;Times;serif"/>
          <w:sz w:val="20"/>
          <w:shd w:fill="FFFFFF" w:val="clear"/>
        </w:rPr>
        <w:t>, of which $63.9 million had been funded as of December 31, 2024. One of these investments, totaling $10.0 million, was structured as preferred equity and is further described below. During the year ended December 31, 2024, the Company received principal repayments totaling $20.3 million.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During the year ended December 31, 2023, the Company originated two loans for a total investment of $30.4 million and received cash repayments of principal totaling $1.0 million. Including the two originations and fundings on our construction loans, $32.9 million was funded during the year ended December 31, 2023.</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Certain commercial loans and investments outstanding as of December 31, 2025 required determinations, at origination, related to variable interest entity matters as described herein: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Series A Preferred Investment. </w:t>
            </w:r>
            <w:r>
              <w:rPr>
                <w:rFonts w:ascii="Times New Roman;Times;serif" w:hAnsi="Times New Roman;Times;serif"/>
                <w:b w:val="false"/>
                <w:i w:val="false"/>
                <w:caps w:val="false"/>
                <w:smallCaps w:val="false"/>
                <w:sz w:val="20"/>
              </w:rPr>
              <w:t>On July 11, 2024, the Company funded $10.0</w:t>
            </w:r>
            <w:r>
              <w:rPr>
                <w:caps w:val="false"/>
                <w:smallCaps w:val="false"/>
              </w:rPr>
              <w:t xml:space="preserve"> </w:t>
            </w:r>
            <w:r>
              <w:rPr>
                <w:rFonts w:ascii="Times New Roman;Times;serif" w:hAnsi="Times New Roman;Times;serif"/>
                <w:b w:val="false"/>
                <w:i w:val="false"/>
                <w:caps w:val="false"/>
                <w:smallCaps w:val="false"/>
                <w:sz w:val="20"/>
              </w:rPr>
              <w:t>million into an escrow account, which escrow closed on August 1, 2024 in exchange for 10,000</w:t>
            </w:r>
            <w:r>
              <w:rPr>
                <w:caps w:val="false"/>
                <w:smallCaps w:val="false"/>
              </w:rPr>
              <w:t xml:space="preserve"> </w:t>
            </w:r>
            <w:r>
              <w:rPr>
                <w:rFonts w:ascii="Times New Roman;Times;serif" w:hAnsi="Times New Roman;Times;serif"/>
                <w:b w:val="false"/>
                <w:i w:val="false"/>
                <w:caps w:val="false"/>
                <w:smallCaps w:val="false"/>
                <w:sz w:val="20"/>
              </w:rPr>
              <w:t>shares of 14.000%</w:t>
            </w:r>
            <w:r>
              <w:rPr>
                <w:caps w:val="false"/>
                <w:smallCaps w:val="false"/>
              </w:rPr>
              <w:t xml:space="preserve"> </w:t>
            </w:r>
            <w:r>
              <w:rPr>
                <w:rFonts w:ascii="Times New Roman;Times;serif" w:hAnsi="Times New Roman;Times;serif"/>
                <w:b w:val="false"/>
                <w:i w:val="false"/>
                <w:caps w:val="false"/>
                <w:smallCaps w:val="false"/>
                <w:sz w:val="20"/>
              </w:rPr>
              <w:t>Series A preferred stock, with a $0.01</w:t>
            </w:r>
            <w:r>
              <w:rPr>
                <w:caps w:val="false"/>
                <w:smallCaps w:val="false"/>
              </w:rPr>
              <w:t xml:space="preserve"> </w:t>
            </w:r>
            <w:r>
              <w:rPr>
                <w:rFonts w:ascii="Times New Roman;Times;serif" w:hAnsi="Times New Roman;Times;serif"/>
                <w:b w:val="false"/>
                <w:i w:val="false"/>
                <w:caps w:val="false"/>
                <w:smallCaps w:val="false"/>
                <w:sz w:val="20"/>
              </w:rPr>
              <w:t>par value per share, of a subsidiary of a publicly-traded hospitality, entertainment and real-estate company (the “Series A Preferred Investment”). In connection with the investment, the Company received an origination fee of 1.0%</w:t>
            </w:r>
            <w:r>
              <w:rPr>
                <w:caps w:val="false"/>
                <w:smallCaps w:val="false"/>
              </w:rPr>
              <w:t xml:space="preserve"> </w:t>
            </w:r>
            <w:r>
              <w:rPr>
                <w:rFonts w:ascii="Times New Roman;Times;serif" w:hAnsi="Times New Roman;Times;serif"/>
                <w:b w:val="false"/>
                <w:i w:val="false"/>
                <w:caps w:val="false"/>
                <w:smallCaps w:val="false"/>
                <w:sz w:val="20"/>
              </w:rPr>
              <w:t>or $0.1</w:t>
            </w:r>
            <w:r>
              <w:rPr>
                <w:caps w:val="false"/>
                <w:smallCaps w:val="false"/>
              </w:rPr>
              <w:t xml:space="preserve"> </w:t>
            </w:r>
            <w:r>
              <w:rPr>
                <w:rFonts w:ascii="Times New Roman;Times;serif" w:hAnsi="Times New Roman;Times;serif"/>
                <w:b w:val="false"/>
                <w:i w:val="false"/>
                <w:caps w:val="false"/>
                <w:smallCaps w:val="false"/>
                <w:sz w:val="20"/>
              </w:rPr>
              <w:t xml:space="preserve">million. The investment is not redeemable prior to July 11, 2029, except upon the occurrence of certain specified events. The Company determined,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xml:space="preserve">, that we do not have a variable interest in the entity underlying the Series A Preferred Investment; accordingly, FASB Topic ASC 320, </w:t>
            </w:r>
            <w:r>
              <w:rPr>
                <w:rFonts w:ascii="Times New Roman;Times;serif" w:hAnsi="Times New Roman;Times;serif"/>
                <w:b w:val="false"/>
                <w:i/>
                <w:sz w:val="20"/>
              </w:rPr>
              <w:t>Investments-Debt Securities</w:t>
            </w:r>
            <w:r>
              <w:rPr>
                <w:rFonts w:ascii="Times New Roman;Times;serif" w:hAnsi="Times New Roman;Times;serif"/>
                <w:b w:val="false"/>
                <w:i w:val="false"/>
                <w:caps w:val="false"/>
                <w:smallCaps w:val="false"/>
                <w:sz w:val="20"/>
              </w:rPr>
              <w:t>, was applied and the investment was recorded in the consolidated balance sheets as a commercial loan investment at the time of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Watters Creek Investment. </w:t>
            </w:r>
            <w:r>
              <w:rPr>
                <w:rFonts w:ascii="Times New Roman;Times;serif" w:hAnsi="Times New Roman;Times;serif"/>
                <w:b w:val="false"/>
                <w:i w:val="false"/>
                <w:caps w:val="false"/>
                <w:smallCaps w:val="false"/>
                <w:sz w:val="20"/>
              </w:rPr>
              <w:t>On April 7, 2022, the Company entered into a preferred equity agreement to provide $30.0</w:t>
            </w:r>
            <w:r>
              <w:rPr>
                <w:caps w:val="false"/>
                <w:smallCaps w:val="false"/>
              </w:rPr>
              <w:t xml:space="preserve"> </w:t>
            </w:r>
            <w:r>
              <w:rPr>
                <w:rFonts w:ascii="Times New Roman;Times;serif" w:hAnsi="Times New Roman;Times;serif"/>
                <w:b w:val="false"/>
                <w:i w:val="false"/>
                <w:caps w:val="false"/>
                <w:smallCaps w:val="false"/>
                <w:sz w:val="20"/>
              </w:rPr>
              <w:t>million of funding towards the total investment in Watters Creek at Montgomery Farm, a grocery-anchored, mixed-use property located in Allen, Texas (the “Watters Creek Investment”). Pursuant to FASB ASC Topic 810, Consolidation, the Company determined it is not the primary beneficiary of the entity underlying the Watters Creek Investment; accordingly, the $30.0</w:t>
            </w:r>
            <w:r>
              <w:rPr>
                <w:caps w:val="false"/>
                <w:smallCaps w:val="false"/>
              </w:rPr>
              <w:t xml:space="preserve"> </w:t>
            </w:r>
            <w:r>
              <w:rPr>
                <w:rFonts w:ascii="Times New Roman;Times;serif" w:hAnsi="Times New Roman;Times;serif"/>
                <w:b w:val="false"/>
                <w:i w:val="false"/>
                <w:caps w:val="false"/>
                <w:smallCaps w:val="false"/>
                <w:sz w:val="20"/>
              </w:rPr>
              <w:t>million was recorded on the consolidated balance sheets as a commercial loan investment at the time of acquisition. The initial maturity date for the Watters Creek Investment was April 6, 2025; however, during the year ended December 31, 2025, the borrower exercised the first of two</w:t>
            </w:r>
            <w:r>
              <w:rPr>
                <w:caps w:val="false"/>
                <w:smallCaps w:val="false"/>
              </w:rPr>
              <w:t xml:space="preserve"> </w:t>
            </w:r>
            <w:r>
              <w:rPr>
                <w:rFonts w:ascii="Times New Roman;Times;serif" w:hAnsi="Times New Roman;Times;serif"/>
                <w:b w:val="false"/>
                <w:i w:val="false"/>
                <w:caps w:val="false"/>
                <w:smallCaps w:val="false"/>
                <w:sz w:val="20"/>
              </w:rPr>
              <w:t>one-year</w:t>
            </w:r>
            <w:r>
              <w:rPr>
                <w:caps w:val="false"/>
                <w:smallCaps w:val="false"/>
              </w:rPr>
              <w:t xml:space="preserve"> </w:t>
            </w:r>
            <w:r>
              <w:rPr>
                <w:rFonts w:ascii="Times New Roman;Times;serif" w:hAnsi="Times New Roman;Times;serif"/>
                <w:b w:val="false"/>
                <w:i w:val="false"/>
                <w:caps w:val="false"/>
                <w:smallCaps w:val="false"/>
                <w:sz w:val="20"/>
              </w:rPr>
              <w:t>extension options thereby extending the maturity date to April 6, 2026. The Watters Creek Investment bears a fixed interest rate of 8.50%</w:t>
            </w:r>
            <w:r>
              <w:rPr>
                <w:caps w:val="false"/>
                <w:smallCaps w:val="false"/>
              </w:rPr>
              <w:t xml:space="preserve"> </w:t>
            </w:r>
            <w:r>
              <w:rPr>
                <w:rFonts w:ascii="Times New Roman;Times;serif" w:hAnsi="Times New Roman;Times;serif"/>
                <w:b w:val="false"/>
                <w:i w:val="false"/>
                <w:caps w:val="false"/>
                <w:smallCaps w:val="false"/>
                <w:sz w:val="20"/>
              </w:rPr>
              <w:t>at time of acquisition with increases during the initial term as well as the option terms, and requires payments of interest only prior to maturity. At closing, an origination fee of $0.15</w:t>
            </w:r>
            <w:r>
              <w:rPr>
                <w:caps w:val="false"/>
                <w:smallCaps w:val="false"/>
              </w:rPr>
              <w:t xml:space="preserve"> </w:t>
            </w:r>
            <w:r>
              <w:rPr>
                <w:rFonts w:ascii="Times New Roman;Times;serif" w:hAnsi="Times New Roman;Times;serif"/>
                <w:b w:val="false"/>
                <w:i w:val="false"/>
                <w:caps w:val="false"/>
                <w:smallCaps w:val="false"/>
                <w:sz w:val="20"/>
              </w:rPr>
              <w:t>million was received by the Company. The Watters Creek Investment represents $30.0</w:t>
            </w:r>
            <w:r>
              <w:rPr>
                <w:caps w:val="false"/>
                <w:smallCaps w:val="false"/>
              </w:rPr>
              <w:t xml:space="preserve"> </w:t>
            </w:r>
            <w:r>
              <w:rPr>
                <w:rFonts w:ascii="Times New Roman;Times;serif" w:hAnsi="Times New Roman;Times;serif"/>
                <w:b w:val="false"/>
                <w:i w:val="false"/>
                <w:caps w:val="false"/>
                <w:smallCaps w:val="false"/>
                <w:sz w:val="20"/>
              </w:rPr>
              <w:t>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27" w:name="Tc_fgmVr_oRrkqX_OfpQb7_HA_7_5"/>
      <w:bookmarkStart w:id="928" w:name="Tc_DtI1EfgIiE-2_vdCG6LqmA_7_2"/>
      <w:bookmarkStart w:id="929" w:name="Tc_OJ8UqV6ywU-WwuPxvMyR7g_7_0"/>
      <w:bookmarkStart w:id="930" w:name="Tc_YTvTA6NnFEGWsvgNAGfXQg_6_0"/>
      <w:bookmarkStart w:id="931" w:name="Tc__qdwEulsa0qFw-As__UZWg_5_6"/>
      <w:bookmarkStart w:id="932" w:name="Tc_MhkwHUMjO0Cn__X_k2LAww_5_0"/>
      <w:bookmarkStart w:id="933" w:name="Tc_yLQv5t5izUOmLn-KbgKjww_4_0"/>
      <w:bookmarkStart w:id="934" w:name="Tc_Tz5H9xSBXkumQkv1tCJzDA_3_5"/>
      <w:bookmarkStart w:id="935" w:name="Tc_7kCcv6iackSk0G_ChwVpfg_3_2"/>
      <w:bookmarkStart w:id="936" w:name="Tc_wVwvBpK9lk-juhkFbIIEPw_3_0"/>
      <w:bookmarkStart w:id="937" w:name="Tc_kToYnxTuNECGmvmVin3cXA_2_5"/>
      <w:bookmarkStart w:id="938" w:name="Tc_C_orHKBhpkW67bMxXKsd9A_2_2"/>
      <w:bookmarkStart w:id="939" w:name="Tc_P65WAOneFkKc_itMkYRwYg_1_2"/>
      <w:bookmarkStart w:id="940" w:name="_bf605d1c_ffc7_4205_b781_e990269dfaeb"/>
      <w:bookmarkStart w:id="941" w:name="Tc_hMbFZepEoU62vb_KM4wHaQ_11_12"/>
      <w:bookmarkStart w:id="942" w:name="Tc_bhqp5jYvtUKo9_8jLkRfUw_11_0"/>
      <w:bookmarkStart w:id="943" w:name="Tc_AhwgI9Vh8UaxXX8J87xmvA_10_0"/>
      <w:bookmarkStart w:id="944" w:name="Tc_iyVrq9du6E22fY4ILbBWxw_9_12"/>
      <w:bookmarkStart w:id="945" w:name="Tc_Mr_k-0iIY0Krk0OuGj2mig_9_9"/>
      <w:bookmarkStart w:id="946" w:name="Tc_opUrsrbl20ecIUbvaqEu9w_9_6"/>
      <w:bookmarkStart w:id="947" w:name="Tc_rmvHrRp6qE6JTCh9XUeIhg_8_4"/>
      <w:bookmarkStart w:id="948" w:name="Tc_sjhpvoTGFkqBwts9pJw7qw_8_2"/>
      <w:bookmarkStart w:id="949" w:name="Tc_0ukY1ZqPtUuN0Eb4w4dJuw_8_0"/>
      <w:bookmarkStart w:id="950" w:name="Tc_sl11QbzQKUGwgen5bAZAKg_7_4"/>
      <w:bookmarkStart w:id="951" w:name="Tc_i7NeTNn7x0GeoV9fXRnd5g_7_2"/>
      <w:bookmarkStart w:id="952" w:name="Tc_yGsOlGHVQkeonFV-CVnGSA_7_0"/>
      <w:bookmarkStart w:id="953" w:name="Tc_H0nbCKjYb0uO6ED1OKIkkQ_6_4"/>
      <w:bookmarkStart w:id="954" w:name="Tc_PZI-EIfiZEql5_0if2syjw_6_2"/>
      <w:bookmarkStart w:id="955" w:name="Tc_SXr15THe5ECVuxcXjz2Gpg_6_0"/>
      <w:bookmarkStart w:id="956" w:name="Tc_hAY5bdNt3UaKYL7jgC9q4w_5_4"/>
      <w:bookmarkStart w:id="957" w:name="Tc_RULU7n27hk-h_UKMMd4o1g_5_2"/>
      <w:bookmarkStart w:id="958" w:name="Tc_UxsA4iKqEkyt0s3mEMaNJw_5_0"/>
      <w:bookmarkStart w:id="959" w:name="Tc_RAYK-6ABYEKA7xzH9bNGTw_4_4"/>
      <w:bookmarkStart w:id="960" w:name="Tc_Dm2TOEkxQk6klQeVPPEepw_4_2"/>
      <w:bookmarkStart w:id="961" w:name="Tc_2yFBbbF6hEawXA69EwUTXw_4_0"/>
      <w:bookmarkStart w:id="962" w:name="Tc_uVYjvDAUGEm1DnopGTiDfg_3_4"/>
      <w:bookmarkStart w:id="963" w:name="Tc_PkoGr6PlskC2ealt2TZ5sg_3_2"/>
      <w:bookmarkStart w:id="964" w:name="Tc_p6Rp9R6H8UqTeegZpy5RZw_3_0"/>
      <w:bookmarkStart w:id="965" w:name="Tc_blAXIW335UKCQX5O_3C8Fw_2_12"/>
      <w:bookmarkStart w:id="966" w:name="Tc_ErQxyEgkv0iW5anMKvmgkg_2_9"/>
      <w:bookmarkStart w:id="967" w:name="Tc_2lxBfu11jUuWATrh_9M7PA_2_6"/>
      <w:bookmarkStart w:id="968" w:name="Tc_kdY1ohbVQ0CpzIbAStoTJA_2_4"/>
      <w:bookmarkStart w:id="969" w:name="Tc_GPLYCLNXNEq_hUJ_PtevkQ_2_2"/>
      <w:bookmarkStart w:id="970" w:name="Tc_61mef7dOKkKa1nG_KSVfTA_2_0"/>
      <w:bookmarkStart w:id="971" w:name="Tc_VdOiw4oYGkiidZ9Kj6lCFw_1_15"/>
      <w:bookmarkStart w:id="972" w:name="Tc_9sxf9dzrVUSYz1JktEWU9w_1_12"/>
      <w:bookmarkStart w:id="973" w:name="Tc_7fGUBv_gJkSeuoV_VRKQUA_1_9"/>
      <w:bookmarkStart w:id="974" w:name="Tc_hZou4Vg9wk-_nAZbAx5OHA_1_6"/>
      <w:bookmarkStart w:id="975" w:name="Tc_kjnTpRGjjUeevFA7XhclCA_1_4"/>
      <w:bookmarkStart w:id="976" w:name="Tc_HaWc3sovkkmU7kmQruJ6sQ_1_2"/>
      <w:bookmarkStart w:id="977" w:name="Tc_mJUXpxkh5UqqASw-LwFGQA_1_0"/>
      <w:bookmarkStart w:id="978" w:name="_0925d9f4_b5f5_4c49_87d5_8498d58e2b3f"/>
      <w:bookmarkStart w:id="979" w:name="Tc_uEdLRxWmbku2m1VbbfpoBg_10_12"/>
      <w:bookmarkStart w:id="980" w:name="Tc_eJzzp4-VkUCtsmtZqQFbag_10_0"/>
      <w:bookmarkStart w:id="981" w:name="Tc_CQR4strsEUyyJn_JFNAQjg_9_0"/>
      <w:bookmarkStart w:id="982" w:name="Tc_5csXIBLPekSRlHV0r7wu-w_8_12"/>
      <w:bookmarkStart w:id="983" w:name="Tc_DjKIcMYRhEGrYjkzGxcm0w_8_9"/>
      <w:bookmarkStart w:id="984" w:name="Tc_yL-HzWj43Ua_wapUHWKIpg_8_6"/>
      <w:bookmarkStart w:id="985" w:name="Tc_f4HxZwAzkU-8VURAlEzWVw_7_4"/>
      <w:bookmarkStart w:id="986" w:name="Tc_L-iYSW61kUm5zSJXd06p9g_7_2"/>
      <w:bookmarkStart w:id="987" w:name="Tc_LjPzYsajaEWaW6AcCdJEqg_7_0"/>
      <w:bookmarkStart w:id="988" w:name="Tc_JNM740dMck25-heiDRfnXA_6_4"/>
      <w:bookmarkStart w:id="989" w:name="Tc_0SLqvcNkFUaxhqrPgsLoZw_6_2"/>
      <w:bookmarkStart w:id="990" w:name="Tc_CmQIFB6c4EmTms_wWuc9cA_6_0"/>
      <w:bookmarkStart w:id="991" w:name="Tc_z-ab8ZgEcUOronQ2Mfy7rw_5_4"/>
      <w:bookmarkStart w:id="992" w:name="Tc_IvPZjN47SkmrlhfmWyHJoQ_5_2"/>
      <w:bookmarkStart w:id="993" w:name="Tc_2FtagAZ2S0OaUYtuu4S_zQ_5_0"/>
      <w:bookmarkStart w:id="994" w:name="Tc_7EK-U8c900aTHug35VijMg_4_4"/>
      <w:bookmarkStart w:id="995" w:name="Tc_w7w_nSpR5EeK7P6LO6NXyg_4_2"/>
      <w:bookmarkStart w:id="996" w:name="Tc_aRyTu8AgcU6pBKq1BR2mfg_4_0"/>
      <w:bookmarkStart w:id="997" w:name="Tc_XCHH2-vsDUerkJaT4cCr3Q_3_4"/>
      <w:bookmarkStart w:id="998" w:name="Tc_2U3AHSfFDU2bAlRjNsOksQ_3_2"/>
      <w:bookmarkStart w:id="999" w:name="Tc_jklHZWLztkGimj3QoszTvQ_3_0"/>
      <w:bookmarkStart w:id="1000" w:name="Tc_zxGaGFv70U6HvCz5VRYleA_2_12"/>
      <w:bookmarkStart w:id="1001" w:name="Tc_Cu-SMlcicEq9Gw3pTwFFXA_2_9"/>
      <w:bookmarkStart w:id="1002" w:name="Tc_MZkMOBcJmEeBWTBvTQteFQ_2_6"/>
      <w:bookmarkStart w:id="1003" w:name="Tc_TCmu7pKVHkiLb4ZrBdxe5Q_2_4"/>
      <w:bookmarkStart w:id="1004" w:name="Tc_L3Yp45KFCUSSSAtKwJYfmA_2_2"/>
      <w:bookmarkStart w:id="1005" w:name="Tc_aajdJVKSt0iHeciW5zajVA_2_0"/>
      <w:bookmarkStart w:id="1006" w:name="Tc_qeoIjZTzFUOySUzHPfUnkg_1_15"/>
      <w:bookmarkStart w:id="1007" w:name="Tc_Cu2W_Wq2iEKsEre7jls9hA_1_12"/>
      <w:bookmarkStart w:id="1008" w:name="Tc_hXq973BgUkSYZTkozWa8eA_1_9"/>
      <w:bookmarkStart w:id="1009" w:name="Tc_MDlrorXneU-7wkcRW2YJGw_1_6"/>
      <w:bookmarkStart w:id="1010" w:name="Tc_3B5HWGUxe0qEZEsTb4MOPA_1_4"/>
      <w:bookmarkStart w:id="1011" w:name="Tc_aHy9uY9flEqmQK-YP5RrDg_1_2"/>
      <w:bookmarkStart w:id="1012" w:name="Tc_CcyxeIP9o0qsPQv7aR2UGA_1_0"/>
      <w:bookmarkStart w:id="1013" w:name="_ff4db695_ae5c_45f4_b09a_01c9c266b158"/>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sz w:val="20"/>
        </w:rPr>
        <w:t>The Company’s commercial loans and investments were comprised of the following at December 31, 2025 (in thousands):</w:t>
      </w:r>
    </w:p>
    <w:tbl>
      <w:tblPr>
        <w:tblW w:w="10205" w:type="dxa"/>
        <w:jc w:val="left"/>
        <w:tblInd w:w="0" w:type="dxa"/>
        <w:tblLayout w:type="fixed"/>
        <w:tblCellMar>
          <w:top w:w="0" w:type="dxa"/>
          <w:left w:w="0" w:type="dxa"/>
          <w:bottom w:w="0" w:type="dxa"/>
          <w:right w:w="0" w:type="dxa"/>
        </w:tblCellMar>
      </w:tblPr>
      <w:tblGrid>
        <w:gridCol w:w="1874"/>
        <w:gridCol w:w="346"/>
        <w:gridCol w:w="1094"/>
        <w:gridCol w:w="346"/>
        <w:gridCol w:w="975"/>
        <w:gridCol w:w="346"/>
        <w:gridCol w:w="258"/>
        <w:gridCol w:w="911"/>
        <w:gridCol w:w="346"/>
        <w:gridCol w:w="256"/>
        <w:gridCol w:w="903"/>
        <w:gridCol w:w="346"/>
        <w:gridCol w:w="222"/>
        <w:gridCol w:w="783"/>
        <w:gridCol w:w="346"/>
        <w:gridCol w:w="853"/>
      </w:tblGrid>
      <w:tr>
        <w:trPr/>
        <w:tc>
          <w:tcPr>
            <w:tcW w:w="1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89990" cy="175260"/>
                      <wp:effectExtent l="0" t="0" r="0" b="0"/>
                      <wp:wrapNone/>
                      <wp:docPr id="212" name="Frame211"/>
                      <a:graphic xmlns:a="http://schemas.openxmlformats.org/drawingml/2006/main">
                        <a:graphicData uri="http://schemas.microsoft.com/office/word/2010/wordprocessingShape">
                          <wps:wsp>
                            <wps:cNvSpPr txBox="1"/>
                            <wps:spPr>
                              <a:xfrm>
                                <a:off x="0" y="0"/>
                                <a:ext cx="118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4690" cy="175260"/>
                      <wp:effectExtent l="0" t="0" r="0" b="0"/>
                      <wp:wrapNone/>
                      <wp:docPr id="214" name="Frame213"/>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19125" cy="175260"/>
                      <wp:effectExtent l="0" t="0" r="0" b="0"/>
                      <wp:wrapNone/>
                      <wp:docPr id="216" name="Frame215"/>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3830" cy="175260"/>
                      <wp:effectExtent l="0" t="0" r="0" b="0"/>
                      <wp:wrapNone/>
                      <wp:docPr id="218" name="Frame21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78485" cy="175260"/>
                      <wp:effectExtent l="0" t="0" r="0" b="0"/>
                      <wp:wrapNone/>
                      <wp:docPr id="219" name="Frame218"/>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2560" cy="175260"/>
                      <wp:effectExtent l="0" t="0" r="0" b="0"/>
                      <wp:wrapNone/>
                      <wp:docPr id="221" name="Frame2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73405" cy="175260"/>
                      <wp:effectExtent l="0" t="0" r="0" b="0"/>
                      <wp:wrapNone/>
                      <wp:docPr id="222" name="Frame221"/>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0970" cy="175260"/>
                      <wp:effectExtent l="0" t="0" r="0" b="0"/>
                      <wp:wrapNone/>
                      <wp:docPr id="224" name="Frame22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7205" cy="175260"/>
                      <wp:effectExtent l="0" t="0" r="0" b="0"/>
                      <wp:wrapNone/>
                      <wp:docPr id="225" name="Frame22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41655" cy="175260"/>
                      <wp:effectExtent l="0" t="0" r="0" b="0"/>
                      <wp:wrapNone/>
                      <wp:docPr id="227" name="Frame226"/>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2026</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29,980</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18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Mortgage Note – Founders Square – Dallas, TX</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14,992</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9,929</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8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Construction Loan - Rivana - Herndon, VA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59,450</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34,246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32,478</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13,804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13,588</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87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Mortgage Note - Mainstreet - Daytona Beach, FL </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2030</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4,977</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6.50%</w:t>
            </w:r>
          </w:p>
        </w:tc>
      </w:tr>
      <w:tr>
        <w:trPr/>
        <w:tc>
          <w:tcPr>
            <w:tcW w:w="18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159,650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108,050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105,944</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center"/>
              <w:rPr/>
            </w:pPr>
            <w:r>
              <w:rPr/>
              <w:t>​</w:t>
            </w:r>
          </w:p>
        </w:tc>
      </w:tr>
      <w:tr>
        <w:trPr/>
        <w:tc>
          <w:tcPr>
            <w:tcW w:w="187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w:t>
            </w:r>
          </w:p>
        </w:tc>
        <w:tc>
          <w:tcPr>
            <w:tcW w:w="346"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pPr>
            <w:r>
              <w:rPr/>
              <w:t>​</w:t>
            </w:r>
          </w:p>
        </w:tc>
      </w:tr>
      <w:tr>
        <w:trPr/>
        <w:tc>
          <w:tcPr>
            <w:tcW w:w="187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41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Coupon rate increases to 9.5%</w:t>
            </w:r>
            <w:r>
              <w:rPr>
                <w:caps w:val="false"/>
                <w:smallCaps w:val="false"/>
              </w:rPr>
              <w:t xml:space="preserve"> </w:t>
            </w:r>
            <w:r>
              <w:rPr>
                <w:rFonts w:ascii="Times New Roman;Times;serif" w:hAnsi="Times New Roman;Times;serif"/>
                <w:b w:val="false"/>
                <w:i w:val="false"/>
                <w:caps w:val="false"/>
                <w:smallCaps w:val="false"/>
                <w:sz w:val="16"/>
              </w:rPr>
              <w:t>effective January 1, 2026.</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79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Future draws funded will have a 12.0%</w:t>
            </w:r>
            <w:r>
              <w:rPr>
                <w:caps w:val="false"/>
                <w:smallCaps w:val="false"/>
              </w:rPr>
              <w:t xml:space="preserve"> </w:t>
            </w:r>
            <w:r>
              <w:rPr>
                <w:rFonts w:ascii="Times New Roman;Times;serif" w:hAnsi="Times New Roman;Times;serif"/>
                <w:b w:val="false"/>
                <w:i w:val="false"/>
                <w:caps w:val="false"/>
                <w:smallCaps w:val="false"/>
                <w:sz w:val="16"/>
              </w:rPr>
              <w:t>coupon rate including 10%</w:t>
            </w:r>
            <w:r>
              <w:rPr>
                <w:caps w:val="false"/>
                <w:smallCaps w:val="false"/>
              </w:rPr>
              <w:t xml:space="preserve"> </w:t>
            </w:r>
            <w:r>
              <w:rPr>
                <w:rFonts w:ascii="Times New Roman;Times;serif" w:hAnsi="Times New Roman;Times;serif"/>
                <w:b w:val="false"/>
                <w:i w:val="false"/>
                <w:caps w:val="false"/>
                <w:smallCaps w:val="false"/>
                <w:sz w:val="16"/>
              </w:rPr>
              <w:t>cash and 2.0%</w:t>
            </w:r>
            <w:r>
              <w:rPr>
                <w:caps w:val="false"/>
                <w:smallCaps w:val="false"/>
              </w:rPr>
              <w:t xml:space="preserve"> </w:t>
            </w:r>
            <w:r>
              <w:rPr>
                <w:rFonts w:ascii="Times New Roman;Times;serif" w:hAnsi="Times New Roman;Times;serif"/>
                <w:b w:val="false"/>
                <w:i w:val="false"/>
                <w:caps w:val="false"/>
                <w:smallCaps w:val="false"/>
                <w:sz w:val="16"/>
              </w:rPr>
              <w:t>accrued paid-in-kind interest</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490"/>
        <w:jc w:val="both"/>
        <w:rPr/>
      </w:pPr>
      <w:r>
        <w:rPr/>
        <w:t>​</w:t>
      </w:r>
    </w:p>
    <w:p>
      <w:pPr>
        <w:pStyle w:val="TextBody"/>
        <w:bidi w:val="0"/>
        <w:spacing w:lineRule="auto" w:line="261"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2025, the Company's $5.6 million Construction Loan secured by the Hypoluxo property in Lake Worth, Florida and the $0.4 million Promissory Note secured by the Main Street property in Daytona Beach, Florida were both repaid in full.</w:t>
      </w:r>
    </w:p>
    <w:p>
      <w:pPr>
        <w:pStyle w:val="TextBody"/>
        <w:bidi w:val="0"/>
        <w:spacing w:lineRule="auto" w:line="261" w:before="0" w:after="0"/>
        <w:ind w:left="0" w:right="0" w:firstLine="490"/>
        <w:jc w:val="both"/>
        <w:rPr/>
      </w:pPr>
      <w:r>
        <w:rPr/>
        <w:t>​</w:t>
      </w:r>
    </w:p>
    <w:p>
      <w:pPr>
        <w:pStyle w:val="TextBody"/>
        <w:bidi w:val="0"/>
        <w:spacing w:lineRule="auto" w:line="261" w:before="0" w:after="0"/>
        <w:ind w:left="0" w:right="0" w:firstLine="490"/>
        <w:jc w:val="both"/>
        <w:rPr>
          <w:rFonts w:ascii="Times New Roman;Times;serif" w:hAnsi="Times New Roman;Times;serif"/>
          <w:sz w:val="20"/>
        </w:rPr>
      </w:pPr>
      <w:r>
        <w:rPr>
          <w:rFonts w:ascii="Times New Roman;Times;serif" w:hAnsi="Times New Roman;Times;serif"/>
          <w:sz w:val="20"/>
        </w:rPr>
        <w:t>The Company has unfunded loan commitments under two construction loans totaling $51.6 million as of December 31, 2025.</w:t>
      </w:r>
    </w:p>
    <w:p>
      <w:pPr>
        <w:pStyle w:val="TextBody"/>
        <w:bidi w:val="0"/>
        <w:spacing w:before="0" w:after="0"/>
        <w:ind w:left="0" w:right="0" w:firstLine="72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2024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1899"/>
        <w:gridCol w:w="346"/>
        <w:gridCol w:w="1090"/>
        <w:gridCol w:w="346"/>
        <w:gridCol w:w="972"/>
        <w:gridCol w:w="346"/>
        <w:gridCol w:w="256"/>
        <w:gridCol w:w="906"/>
        <w:gridCol w:w="346"/>
        <w:gridCol w:w="254"/>
        <w:gridCol w:w="898"/>
        <w:gridCol w:w="346"/>
        <w:gridCol w:w="221"/>
        <w:gridCol w:w="781"/>
        <w:gridCol w:w="346"/>
        <w:gridCol w:w="852"/>
      </w:tblGrid>
      <w:tr>
        <w:trPr/>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05865" cy="175260"/>
                      <wp:effectExtent l="0" t="0" r="0" b="0"/>
                      <wp:wrapNone/>
                      <wp:docPr id="228" name="Frame227"/>
                      <a:graphic xmlns:a="http://schemas.openxmlformats.org/drawingml/2006/main">
                        <a:graphicData uri="http://schemas.microsoft.com/office/word/2010/wordprocessingShape">
                          <wps:wsp>
                            <wps:cNvSpPr txBox="1"/>
                            <wps:spPr>
                              <a:xfrm>
                                <a:off x="0" y="0"/>
                                <a:ext cx="1205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0" cy="175260"/>
                      <wp:effectExtent l="0" t="0" r="0" b="0"/>
                      <wp:wrapNone/>
                      <wp:docPr id="230" name="Frame229"/>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17220" cy="175260"/>
                      <wp:effectExtent l="0" t="0" r="0" b="0"/>
                      <wp:wrapNone/>
                      <wp:docPr id="232" name="Frame231"/>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2560" cy="175260"/>
                      <wp:effectExtent l="0" t="0" r="0" b="0"/>
                      <wp:wrapNone/>
                      <wp:docPr id="234" name="Frame23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75310" cy="175260"/>
                      <wp:effectExtent l="0" t="0" r="0" b="0"/>
                      <wp:wrapNone/>
                      <wp:docPr id="235" name="Frame23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1290" cy="175260"/>
                      <wp:effectExtent l="0" t="0" r="0" b="0"/>
                      <wp:wrapNone/>
                      <wp:docPr id="237" name="Frame23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70230" cy="175260"/>
                      <wp:effectExtent l="0" t="0" r="0" b="0"/>
                      <wp:wrapNone/>
                      <wp:docPr id="238" name="Frame23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0335" cy="175260"/>
                      <wp:effectExtent l="0" t="0" r="0" b="0"/>
                      <wp:wrapNone/>
                      <wp:docPr id="240" name="Frame2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241"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41020" cy="175260"/>
                      <wp:effectExtent l="0" t="0" r="0" b="0"/>
                      <wp:wrapNone/>
                      <wp:docPr id="243" name="Frame242"/>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89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29,987</w:t>
            </w:r>
          </w:p>
        </w:tc>
        <w:tc>
          <w:tcPr>
            <w:tcW w:w="346"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9.00%</w:t>
            </w:r>
          </w:p>
        </w:tc>
      </w:tr>
      <w:tr>
        <w:trPr/>
        <w:tc>
          <w:tcPr>
            <w:tcW w:w="18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14,942</w:t>
            </w:r>
          </w:p>
        </w:tc>
        <w:tc>
          <w:tcPr>
            <w:tcW w:w="34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89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18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Construction Loan - Hypoluxo - Lake Worth, FL </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2024</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5,598</w:t>
            </w:r>
          </w:p>
        </w:tc>
        <w:tc>
          <w:tcPr>
            <w:tcW w:w="34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89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9,910</w:t>
            </w:r>
          </w:p>
        </w:tc>
        <w:tc>
          <w:tcPr>
            <w:tcW w:w="346"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8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Rivana - Herndon, VA</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41,530</w:t>
            </w:r>
          </w:p>
        </w:tc>
        <w:tc>
          <w:tcPr>
            <w:tcW w:w="34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89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4,125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3,748</w:t>
            </w:r>
          </w:p>
        </w:tc>
        <w:tc>
          <w:tcPr>
            <w:tcW w:w="346"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143,238</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107,163</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106,115</w:t>
            </w:r>
          </w:p>
        </w:tc>
        <w:tc>
          <w:tcPr>
            <w:tcW w:w="34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center"/>
              <w:rPr/>
            </w:pPr>
            <w:r>
              <w:rPr/>
              <w:t>​</w:t>
            </w:r>
          </w:p>
        </w:tc>
      </w:tr>
      <w:tr>
        <w:trPr/>
        <w:tc>
          <w:tcPr>
            <w:tcW w:w="189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w:t>
            </w:r>
          </w:p>
        </w:tc>
        <w:tc>
          <w:tcPr>
            <w:tcW w:w="346"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left"/>
              <w:rPr/>
            </w:pPr>
            <w:r>
              <w:rPr/>
              <w:t>​</w:t>
            </w:r>
          </w:p>
        </w:tc>
      </w:tr>
      <w:tr>
        <w:trPr/>
        <w:tc>
          <w:tcPr>
            <w:tcW w:w="189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105,043</w:t>
            </w:r>
          </w:p>
        </w:tc>
        <w:tc>
          <w:tcPr>
            <w:tcW w:w="346"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 portfolio at December 31, 2025 and 2024 consisted of the following (in thousands):</w:t>
      </w:r>
    </w:p>
    <w:tbl>
      <w:tblPr>
        <w:tblW w:w="7683" w:type="dxa"/>
        <w:jc w:val="left"/>
        <w:tblInd w:w="0" w:type="dxa"/>
        <w:tblLayout w:type="fixed"/>
        <w:tblCellMar>
          <w:top w:w="0" w:type="dxa"/>
          <w:left w:w="0" w:type="dxa"/>
          <w:bottom w:w="0" w:type="dxa"/>
          <w:right w:w="0" w:type="dxa"/>
        </w:tblCellMar>
      </w:tblPr>
      <w:tblGrid>
        <w:gridCol w:w="3496"/>
        <w:gridCol w:w="346"/>
        <w:gridCol w:w="366"/>
        <w:gridCol w:w="1359"/>
        <w:gridCol w:w="346"/>
        <w:gridCol w:w="340"/>
        <w:gridCol w:w="1430"/>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32410" cy="175260"/>
                      <wp:effectExtent l="0" t="0" r="0" b="0"/>
                      <wp:wrapNone/>
                      <wp:docPr id="245" name="Frame244"/>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862965" cy="175260"/>
                      <wp:effectExtent l="0" t="0" r="0" b="0"/>
                      <wp:wrapNone/>
                      <wp:docPr id="246" name="Frame245"/>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5900" cy="175260"/>
                      <wp:effectExtent l="0" t="0" r="0" b="0"/>
                      <wp:wrapNone/>
                      <wp:docPr id="248" name="Frame24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08050" cy="175260"/>
                      <wp:effectExtent l="0" t="0" r="0" b="0"/>
                      <wp:wrapNone/>
                      <wp:docPr id="249" name="Frame248"/>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108,050</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4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Exit Fees</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46" w:type="dxa"/>
            <w:tcBorders/>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105,043</w:t>
            </w:r>
          </w:p>
        </w:tc>
      </w:tr>
    </w:tbl>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490"/>
        <w:jc w:val="both"/>
        <w:rPr>
          <w:rFonts w:ascii="Times New Roman;Times;serif" w:hAnsi="Times New Roman;Times;serif"/>
          <w:b/>
          <w:sz w:val="20"/>
        </w:rPr>
      </w:pPr>
      <w:bookmarkStart w:id="1014" w:name="Tc_3g8xbjqUWUKGMVyvZIihxg_6_5"/>
      <w:bookmarkStart w:id="1015" w:name="Tc_nEt0yvTPQEKy034OXg55XA_6_2"/>
      <w:bookmarkStart w:id="1016" w:name="Tc_Q2bgqgGAHk2QZMmTjuqNOw_6_0"/>
      <w:bookmarkStart w:id="1017" w:name="Tc_d8NqiZ3_nkib_MGTkAXquA_5_0"/>
      <w:bookmarkStart w:id="1018" w:name="Tc_FQYiqe85J02TQeOeL4OOXg_4_0"/>
      <w:bookmarkStart w:id="1019" w:name="Tc_3aRbjLURlku5oaEo24WCKg_3_5"/>
      <w:bookmarkStart w:id="1020" w:name="Tc_pnHUxPBuuEOQCWRjesuHjA_3_2"/>
      <w:bookmarkStart w:id="1021" w:name="Tc_geTeEsnzR0esO35idYG7lA_3_0"/>
      <w:bookmarkStart w:id="1022" w:name="Tc_40rnC0Wv-kaU0pvGZZVSPQ_2_5"/>
      <w:bookmarkStart w:id="1023" w:name="Tc_BJt1Xt2l7Uagbl9_Z6HR4A_2_2"/>
      <w:bookmarkStart w:id="1024" w:name="Tc_F654iQD01UOuHv0gvm0A-w_2_0"/>
      <w:bookmarkStart w:id="1025" w:name="Tc_n-n4aSAffkCDbaZzcLMVrA_1_2"/>
      <w:bookmarkStart w:id="1026" w:name="_6c250c34_10ad_4568_82d6_939daf61e368"/>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b/>
          <w:sz w:val="20"/>
        </w:rPr>
        <w:t>NOTE 5.        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and totaled $4.8 million, $4.6 million, and $4.4 million during the years ended December 31, 2025, 2024, and 2023, respectively. Management fee income is recognized as revenue over time, over the period the services are performed.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Related Party Management of 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On December 5, 2025, the Company waived a portion of the base management fee attributable to the inclusion of the net cash proceeds from the issuance of PINE’s Series A Preferred Stock in PINE’s “total equity” (the “Incremental Equity Base”), such that the base management fee rate on the Incremental Equity Base is equal to 0.75% per annum (0.1875% per fiscal quarter), instead of 1.50% per annum (0.375% per fiscal quarter), as provided in the management agreement.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years ended December 31, 2025, 2024, or 2023.</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years ended December 31, 2025, 2024, and 2023, the Company earned management fee revenue from PINE totaling $4.4 million, $4.2 million, and $4.3 million, respectively. Dividend income for the years ended December 31, 2025, 2024, and 2023 totaled $2.8 million, $2.6 million, and $2.5 million, respectively. </w:t>
      </w:r>
      <w:r>
        <w:rPr>
          <w:rFonts w:ascii="Times New Roman;Times;serif" w:hAnsi="Times New Roman;Times;serif"/>
          <w:sz w:val="20"/>
          <w:shd w:fill="FFFFFF" w:val="clear"/>
        </w:rPr>
        <w:t>Management fee revenue from PINE, included in management services, and dividend income, included in investment and other income (loss), are reflected in the accompanying consolidated statements of operations.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represents amounts due from PINE to the Company as of December 31, 2025 and 2024 which are included in other assets on the consolidated balance sheets (in thousands): </w:t>
      </w:r>
    </w:p>
    <w:tbl>
      <w:tblPr>
        <w:tblW w:w="7491" w:type="dxa"/>
        <w:jc w:val="left"/>
        <w:tblInd w:w="0" w:type="dxa"/>
        <w:tblLayout w:type="fixed"/>
        <w:tblCellMar>
          <w:top w:w="0" w:type="dxa"/>
          <w:left w:w="0" w:type="dxa"/>
          <w:bottom w:w="0" w:type="dxa"/>
          <w:right w:w="0" w:type="dxa"/>
        </w:tblCellMar>
      </w:tblPr>
      <w:tblGrid>
        <w:gridCol w:w="3541"/>
        <w:gridCol w:w="346"/>
        <w:gridCol w:w="465"/>
        <w:gridCol w:w="1260"/>
        <w:gridCol w:w="109"/>
        <w:gridCol w:w="420"/>
        <w:gridCol w:w="1350"/>
      </w:tblGrid>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00100" cy="175260"/>
                      <wp:effectExtent l="0" t="0" r="0" b="0"/>
                      <wp:wrapNone/>
                      <wp:docPr id="250" name="Frame249"/>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57250" cy="175260"/>
                      <wp:effectExtent l="0" t="0" r="0" b="0"/>
                      <wp:wrapNone/>
                      <wp:docPr id="252" name="Frame25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4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1,468</w:t>
            </w:r>
          </w:p>
        </w:tc>
      </w:tr>
    </w:tbl>
    <w:p>
      <w:pPr>
        <w:pStyle w:val="TextBody"/>
        <w:bidi w:val="0"/>
        <w:spacing w:before="0" w:after="0"/>
        <w:ind w:left="0" w:right="0" w:hanging="0"/>
        <w:jc w:val="left"/>
        <w:rPr/>
      </w:pPr>
      <w:r>
        <w:rPr/>
        <w:t>​</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Company’s Board of Directors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cancelled the Prior PINE Share Purchase Authorization and authorized the purchase by the Company of up to $2.1 million in shares of common stock of PINE (the “2023 PINE Share Purchase Authorization”). Pursuant to the 2023 PINE Share Purchase Authorization, during the year ended December 31, 2023, the Company purchased 129,271 shares of PINE common stock on the open market for a total of $2.1 million, or an average price of $16.21 per share.</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Board authorized the purchase by the Company of up to $2.0 million in shares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common stock of PINE (the “December 2023 PINE Share Purchase Authorization”). No purchases of PINE common stock were made pursuant to the December 2023 PINE Share Purchase Authorization during the three months ended December 31, 2023. Pursuant to the December 2023 PINE Share Purchase Authorization, during the year ended December 31, 2024, the Company purchased 29,807 shares of PINE common stock on the open market for a total of $0.4 million, or an average price of $14.97 per share. During the year ended December 31, 2025, the Company purchased 109,081 shares of PINE common stock on the open market for a total of $1.6 million, or an average price of $14.24 per share, which completed the December 2023 PINE Share Purchase Authorization.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21, 2025, the Company’s Board of Directors authorized the purchase by the Company of up to $3.0 million in shares of common stock of PINE (the “October 2025 PINE Share Purchase Authorization”). No purchases of PINE common stock were made pursuant to the October 2025 PINE Share Purchase Authorization during the year ended December 31, 2025.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2025, CTO owns, in the aggregate, 1,223,854 OP Units and 1,247,702 shares of PINE common stock, representing an investment totaling $41.3 million, or 15.4% of PINE’s outstanding common equity.</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each of the years ended December 31, 2025 and 2024, the Company recognized $0.3 million of revenue pursuant to the Portfolio Management Agreement. During the year ended December 31, 2023, the Company recognized less than $0.1 million of such revenue, which is included in management fee income on the Company’s consolidated statements of operations.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Asset Management Agreement. </w:t>
      </w:r>
      <w:r>
        <w:rPr>
          <w:rFonts w:ascii="Times New Roman;Times;serif" w:hAnsi="Times New Roman;Times;serif"/>
          <w:sz w:val="20"/>
        </w:rPr>
        <w:t>On February 16, 2024, the Company entered into the Subsurface Management Agreement with a third party in conjunction with the sale of the Company’s remaining Subsurface Interests, as further described in Note 6, “Real Estate Operations” below. Pursuant to the Subsurface Management Agreement, the Company receives management and other fees. During each of the years ended December 31, 2025 and 2024, the Company recognized $0.1 million of revenue pursuant to the Subsurface Management Agreement, which is included in management fee income on the Company’s consolidated statement of operations.</w:t>
      </w:r>
    </w:p>
    <w:p>
      <w:pPr>
        <w:pStyle w:val="TextBody"/>
        <w:bidi w:val="0"/>
        <w:spacing w:before="0" w:after="0"/>
        <w:ind w:left="0" w:right="0" w:firstLine="49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490"/>
        <w:jc w:val="both"/>
        <w:rPr>
          <w:rFonts w:ascii="Times New Roman;Times;serif" w:hAnsi="Times New Roman;Times;serif"/>
          <w:b/>
          <w:sz w:val="20"/>
        </w:rPr>
      </w:pPr>
      <w:r>
        <w:rPr>
          <w:rFonts w:ascii="Times New Roman;Times;serif" w:hAnsi="Times New Roman;Times;serif"/>
          <w:b/>
          <w:sz w:val="20"/>
        </w:rPr>
        <w:t>NOTE 6.       REAL ESTATE OPERATIONS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real estate operations revenue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 summarized below. Revenue from real estate operations is recognized at the point in time the underlying assets are transferred. </w:t>
      </w:r>
    </w:p>
    <w:p>
      <w:pPr>
        <w:pStyle w:val="TextBody"/>
        <w:bidi w:val="0"/>
        <w:spacing w:before="240" w:after="240"/>
        <w:ind w:left="0" w:right="0" w:firstLine="490"/>
        <w:jc w:val="both"/>
        <w:rPr>
          <w:shd w:fill="FFFFFF" w:val="clear"/>
        </w:rPr>
      </w:pPr>
      <w:r>
        <w:rPr>
          <w:shd w:fill="FFFFFF" w:val="clear"/>
        </w:rPr>
        <w:t>​</w:t>
      </w:r>
    </w:p>
    <w:p>
      <w:pPr>
        <w:pStyle w:val="TextBody"/>
        <w:bidi w:val="0"/>
        <w:spacing w:before="240" w:after="240"/>
        <w:ind w:left="0" w:right="0" w:firstLine="490"/>
        <w:jc w:val="both"/>
        <w:rPr>
          <w:shd w:fill="FFFFFF" w:val="clear"/>
        </w:rPr>
      </w:pPr>
      <w:r>
        <w:rPr>
          <w:shd w:fill="FFFFFF" w:val="clear"/>
        </w:rPr>
        <w:t>​</w:t>
      </w:r>
    </w:p>
    <w:p>
      <w:pPr>
        <w:pStyle w:val="TextBody"/>
        <w:bidi w:val="0"/>
        <w:spacing w:before="240" w:after="240"/>
        <w:ind w:left="0" w:right="0" w:firstLine="49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shd w:fill="FFFFFF" w:val="clear"/>
        </w:rPr>
      </w:pPr>
      <w:bookmarkStart w:id="1027" w:name="Tc_QYMUNqskbUCZBpBSgG2Eaw_6_8"/>
      <w:bookmarkStart w:id="1028" w:name="Tc_GCDX60A60k-VdhZ9IKTsXw_6_5"/>
      <w:bookmarkStart w:id="1029" w:name="Tc_wC1c5cNv4Eyzb3J7W1LkdA_6_3"/>
      <w:bookmarkStart w:id="1030" w:name="Tc_EQ_Fz4Sr6kSWpR-0lq54fA_6_2"/>
      <w:bookmarkStart w:id="1031" w:name="Tc_wsXmxJh7wkSoND1efzz0rA_6_0"/>
      <w:bookmarkStart w:id="1032" w:name="Tc_r5gz9nLhcE-IQ361o5zmDA_5_9"/>
      <w:bookmarkStart w:id="1033" w:name="Tc_qOYLVoZY60Kh1z1Jx_ibgw_5_6"/>
      <w:bookmarkStart w:id="1034" w:name="Tc_NfXIqkWb2Ey2dRTzThau_g_5_3"/>
      <w:bookmarkStart w:id="1035" w:name="Tc_wtdJHSEvp0yKVmJCqsMErQ_5_0"/>
      <w:bookmarkStart w:id="1036" w:name="Tc_-oXlZelnSEmE2i8GJQpeSg_4_3"/>
      <w:bookmarkStart w:id="1037" w:name="Tc_peoPwgqaNU66qbLwC75RJw_4_0"/>
      <w:bookmarkStart w:id="1038" w:name="Tc_hxd1wVMMGk6qHVkHvYPN2Q_3_8"/>
      <w:bookmarkStart w:id="1039" w:name="Tc_CC4UBw6M20-Pv8e0-mwT1A_3_5"/>
      <w:bookmarkStart w:id="1040" w:name="Tc_qjwTa9JayUe6ki7L4mRP8w_3_3"/>
      <w:bookmarkStart w:id="1041" w:name="Tc_j-8MMrwQEkC9WVU7ti2eGw_3_2"/>
      <w:bookmarkStart w:id="1042" w:name="Tc_y7Ga8B4f5UK2gyANq7LZNg_3_0"/>
      <w:bookmarkStart w:id="1043" w:name="Tc_0EXOsKWKOU6vLF-w6r9vSA_2_8"/>
      <w:bookmarkStart w:id="1044" w:name="Tc_AMyRu5w15k6r0RYapSXBng_2_5"/>
      <w:bookmarkStart w:id="1045" w:name="Tc_yBUr7s-yYkW5lR9f1aTjSg_2_2"/>
      <w:bookmarkStart w:id="1046" w:name="Tc_9_8-wasjmEi1wlOHgkVOvg_1_2"/>
      <w:bookmarkStart w:id="1047" w:name="_fdb5f09c_7a8b_4668_9280_651e27ead7b9"/>
      <w:bookmarkStart w:id="1048" w:name="_dd9144e6_bd76_4cf6_aed7_07fa0f0bdadc"/>
      <w:bookmarkStart w:id="1049" w:name="Tc_MsEHdxv5pE-bS2HcKN-7ZQ_0_0"/>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sz w:val="20"/>
          <w:shd w:fill="FFFFFF" w:val="clear"/>
        </w:rPr>
        <w:t>Revenue from real estate operations consisted of the following for the years ended December 31, 2025, 2024, and 2023 (in thousands):</w:t>
      </w:r>
    </w:p>
    <w:tbl>
      <w:tblPr>
        <w:tblW w:w="10205" w:type="dxa"/>
        <w:jc w:val="left"/>
        <w:tblInd w:w="0" w:type="dxa"/>
        <w:tblLayout w:type="fixed"/>
        <w:tblCellMar>
          <w:top w:w="0" w:type="dxa"/>
          <w:left w:w="0" w:type="dxa"/>
          <w:bottom w:w="0" w:type="dxa"/>
          <w:right w:w="0" w:type="dxa"/>
        </w:tblCellMar>
      </w:tblPr>
      <w:tblGrid>
        <w:gridCol w:w="7415"/>
        <w:gridCol w:w="346"/>
        <w:gridCol w:w="211"/>
        <w:gridCol w:w="346"/>
        <w:gridCol w:w="109"/>
        <w:gridCol w:w="211"/>
        <w:gridCol w:w="571"/>
        <w:gridCol w:w="109"/>
        <w:gridCol w:w="211"/>
        <w:gridCol w:w="676"/>
      </w:tblGrid>
      <w:tr>
        <w:trPr/>
        <w:tc>
          <w:tcPr>
            <w:tcW w:w="7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Revenue from real estate operations consisted of the following for the years ended December 31, 2024, 2023, and 2022 (in thousands):Revenue from real estate operations consisted of the following for the years ended December 31, 2024, 2023, and 2022 (in thousands):</w:t>
            </w:r>
            <w:r>
              <w:rPr>
                <w:rFonts w:ascii="Times New Roman;Times;serif" w:hAnsi="Times New Roman;Times;serif"/>
                <w:sz w:val="20"/>
              </w:rPr>
              <w:t xml:space="preserve">Revenue from real estate operations consisted of the following for the years ended December 31, 2025, 2023, and 2022 (in thousands): </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2585" cy="175260"/>
                      <wp:effectExtent l="0" t="0" r="0" b="0"/>
                      <wp:wrapNone/>
                      <wp:docPr id="258" name="Frame2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r>
      <w:tr>
        <w:trPr/>
        <w:tc>
          <w:tcPr>
            <w:tcW w:w="7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Credit Sales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7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Subsurface Revenue -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r>
      <w:tr>
        <w:trPr/>
        <w:tc>
          <w:tcPr>
            <w:tcW w:w="7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Sales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Operations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3,984</w:t>
            </w:r>
          </w:p>
        </w:tc>
      </w:tr>
    </w:tbl>
    <w:p>
      <w:pPr>
        <w:pStyle w:val="TextBody"/>
        <w:bidi w:val="0"/>
        <w:spacing w:before="0" w:after="0"/>
        <w:ind w:left="0" w:right="0" w:hanging="0"/>
        <w:jc w:val="left"/>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w:t>
      </w:r>
      <w:r>
        <w:rPr>
          <w:rFonts w:ascii="Times New Roman;Times;serif" w:hAnsi="Times New Roman;Times;serif"/>
          <w:sz w:val="20"/>
        </w:rPr>
        <w:t>Revenues and the cost of sales of mitigation credit sales are reported as revenues from, and direct costs of, real estate operations, respectively, in the consolidated statements of operations. During the year ended December 31, 2024, the Company sold its remaining 14.99 mitigation credits for $1.8 million with a cost basis of $1.3 million. During the year ended December 31, 2023, the Company sold 20 mitigation credits for proceeds of $2.3 million with a cost basis of $1.5 million.</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bidi w:val="0"/>
        <w:spacing w:before="0" w:after="16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 xml:space="preserve">The Company sold its remaining acres of Subsurface Interests during the year ended December 31, 2024 for $5.0 million, or a gain on sale of $4.5 million.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The Company historically leased certain of the Subsurface Interests to mineral exploration firms for exploration. The Company’s subsurface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w:t>
      </w:r>
      <w:r>
        <w:rPr>
          <w:rFonts w:ascii="Times New Roman;Times;serif" w:hAnsi="Times New Roman;Times;serif"/>
          <w:sz w:val="20"/>
        </w:rPr>
        <w:t xml:space="preserve"> There were no sales of subsurface oil, gas, and mineral rights during the year ended December 31, 2024. During the year ended December 31, 2023, the Company sold 3,481 acres of Subsurface Interests for a sales price of $1.0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 </w:t>
      </w:r>
      <w:r>
        <w:rPr>
          <w:rFonts w:ascii="Times New Roman;Times;serif" w:hAnsi="Times New Roman;Times;serif"/>
          <w:sz w:val="20"/>
        </w:rPr>
        <w:t xml:space="preserve">historically </w:t>
      </w:r>
      <w:r>
        <w:rPr>
          <w:rFonts w:ascii="Times New Roman;Times;serif" w:hAnsi="Times New Roman;Times;serif"/>
          <w:sz w:val="20"/>
          <w:shd w:fill="FFFFFF" w:val="clear"/>
        </w:rPr>
        <w:t>released surface entry rights or other rights upon request of a surface owner for a negotiated release fee typically based on a percentage of the surface value.</w:t>
      </w:r>
      <w:r>
        <w:rPr>
          <w:rFonts w:ascii="Times New Roman;Times;serif" w:hAnsi="Times New Roman;Times;serif"/>
          <w:sz w:val="20"/>
        </w:rPr>
        <w:t xml:space="preserve"> No cash payments were received for the release of surface entry rights for the year ended December 31, 2025. Cash payments for the release of surface entry rights totaled $0.1 million and $0.7 million during the years ended December 31, 2024 and 2023, respectively.</w:t>
      </w:r>
    </w:p>
    <w:p>
      <w:pPr>
        <w:pStyle w:val="TextBody"/>
        <w:bidi w:val="0"/>
        <w:spacing w:lineRule="auto" w:line="256" w:before="240" w:after="120"/>
        <w:ind w:left="0" w:right="0" w:hanging="0"/>
        <w:jc w:val="left"/>
        <w:rPr>
          <w:rFonts w:ascii="Times New Roman;Times;serif" w:hAnsi="Times New Roman;Times;serif"/>
          <w:b/>
          <w:sz w:val="20"/>
        </w:rPr>
      </w:pPr>
      <w:r>
        <w:rPr>
          <w:rFonts w:ascii="Times New Roman;Times;serif" w:hAnsi="Times New Roman;Times;serif"/>
          <w:b/>
          <w:sz w:val="20"/>
        </w:rPr>
        <w:t>NOTE 7. INVESTMENT IN JOINT VENTURES</w:t>
      </w:r>
    </w:p>
    <w:p>
      <w:pPr>
        <w:pStyle w:val="TextBody"/>
        <w:bidi w:val="0"/>
        <w:spacing w:lineRule="auto" w:line="256"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has no investments in joint ventures as of December 31, 2025 or 2024.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Watters Creek Investment. </w:t>
      </w:r>
      <w:r>
        <w:rPr>
          <w:rFonts w:ascii="Times New Roman;Times;serif" w:hAnsi="Times New Roman;Times;serif"/>
          <w:sz w:val="20"/>
          <w:shd w:fill="FFFFFF" w:val="clear"/>
        </w:rPr>
        <w:t xml:space="preserve">As described in Note 4, “Commercial Loans and Investments,” on April 7, 2022, the Company entered into the Watters Creek Investment.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Times;serif" w:hAnsi="Times New Roman;Times;serif"/>
          <w:i/>
          <w:sz w:val="20"/>
          <w:shd w:fill="FFFFFF" w:val="clear"/>
        </w:rPr>
        <w:t>Consolidation</w:t>
      </w:r>
      <w:r>
        <w:rPr>
          <w:rFonts w:ascii="Times New Roman;Times;serif" w:hAnsi="Times New Roman;Times;serif"/>
          <w:sz w:val="20"/>
          <w:shd w:fill="FFFFFF" w:val="clear"/>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r>
        <w:rPr>
          <w:rFonts w:ascii="Times New Roman;Times;serif" w:hAnsi="Times New Roman;Times;serif"/>
          <w:sz w:val="20"/>
        </w:rPr>
        <w:t>.</w:t>
      </w:r>
    </w:p>
    <w:p>
      <w:pPr>
        <w:pStyle w:val="TextBody"/>
        <w:pBdr/>
        <w:bidi w:val="0"/>
        <w:spacing w:lineRule="auto" w:line="256" w:before="0" w:after="120"/>
        <w:ind w:left="0" w:right="0" w:hanging="490"/>
        <w:jc w:val="both"/>
        <w:rPr>
          <w:rFonts w:ascii="Times New Roman;Times;serif" w:hAnsi="Times New Roman;Times;serif"/>
          <w:sz w:val="20"/>
        </w:rPr>
      </w:pPr>
      <w:r>
        <w:rPr>
          <w:rFonts w:ascii="Times New Roman;Times;serif" w:hAnsi="Times New Roman;Times;serif"/>
          <w:b/>
          <w:spacing w:val="-2"/>
          <w:sz w:val="20"/>
        </w:rPr>
        <w:t>NOTE 8.</w:t>
      </w:r>
      <w:r>
        <w:rPr>
          <w:rFonts w:ascii="Times New Roman;Times;serif" w:hAnsi="Times New Roman;Times;serif"/>
          <w:sz w:val="20"/>
        </w:rPr>
        <w:t>       </w:t>
      </w:r>
      <w:r>
        <w:rPr>
          <w:rFonts w:ascii="Times New Roman;Times;serif" w:hAnsi="Times New Roman;Times;serif"/>
          <w:b/>
          <w:spacing w:val="-2"/>
          <w:sz w:val="20"/>
        </w:rPr>
        <w:t xml:space="preserve">INVESTMENT SECURITIES </w:t>
      </w:r>
    </w:p>
    <w:p>
      <w:pPr>
        <w:pStyle w:val="TextBody"/>
        <w:bidi w:val="0"/>
        <w:spacing w:lineRule="auto" w:line="256"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2025, the Company owns, in the aggregate and on a fully diluted basis, 2.47 million common shares of PINE, or 15.4% of PINE’s total common shares outstanding for an investment value of $41.3 million, which total includes 1.2 million OP Units, or 7.6%, which the Company received in exchange for the contribution of certain income properties to the PINE Operating Partnership, in addition to 1,247,702 shares of common stock owned by the Company, or 7.8%. The Company has elected the fair value option related to the aggregate investment in securities of PINE pursuant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50" w:name="Tc_p0H4wywCDU-3eT3e2W3bzg_10_11"/>
      <w:bookmarkStart w:id="1051" w:name="Tc_VKh-uTeK6EGi57S2n6bayw_10_8"/>
      <w:bookmarkStart w:id="1052" w:name="Tc_PR9MAothI0isRF1xsv_vCA_10_6"/>
      <w:bookmarkStart w:id="1053" w:name="Tc_zAZYUtGhsk6qqyAiGQeWlA_10_5"/>
      <w:bookmarkStart w:id="1054" w:name="Tc_p6ujGKJy2EaQUzF2MQVFyQ_10_2"/>
      <w:bookmarkStart w:id="1055" w:name="Tc_cz7eD4Yj3UqDYk-bgn8LJA_10_0"/>
      <w:bookmarkStart w:id="1056" w:name="Tc_xq6wJArSOkWQpbWSppRw2g_9_6"/>
      <w:bookmarkStart w:id="1057" w:name="Tc_AAEjEseDAkqYvICefYHKoA_9_0"/>
      <w:bookmarkStart w:id="1058" w:name="Tc_VAhJskDstU-ewqzg6XAxhQ_8_11"/>
      <w:bookmarkStart w:id="1059" w:name="Tc_slRSjgaITkie1HGOSqYAgQ_8_8"/>
      <w:bookmarkStart w:id="1060" w:name="Tc_E5tPtWCK9E2M9nRrb8Z1pA_8_6"/>
      <w:bookmarkStart w:id="1061" w:name="Tc_VJn9W4NbTECBlhiB-EOaXw_8_5"/>
      <w:bookmarkStart w:id="1062" w:name="Tc_UDYjTfwuNUG7bO3UivMkZQ_8_2"/>
      <w:bookmarkStart w:id="1063" w:name="Tc_zgLBu4igA0ix7IR6Ml67KA_8_0"/>
      <w:bookmarkStart w:id="1064" w:name="Tc_qfKLCL4FvEmmwgZnzCKJxw_7_0"/>
      <w:bookmarkStart w:id="1065" w:name="Tc__KPHLsKrc0ysYwlkPHp-bQ_5_11"/>
      <w:bookmarkStart w:id="1066" w:name="Tc_QXAHA-9B2UqvPoXyXTsXJg_5_8"/>
      <w:bookmarkStart w:id="1067" w:name="Tc_o086eS-fME-1fKyeXwexag_5_6"/>
      <w:bookmarkStart w:id="1068" w:name="Tc_68vI8yb7Z02P9OPVnDkGkA_5_5"/>
      <w:bookmarkStart w:id="1069" w:name="Tc_mCMDJUtgaU6XWykbgFJUwQ_5_2"/>
      <w:bookmarkStart w:id="1070" w:name="Tc_SffdW_RhLUSyZOTJw7BpNw_5_0"/>
      <w:bookmarkStart w:id="1071" w:name="Tc_a9ANWCJhLk2KQzBSXBNS7w_4_6"/>
      <w:bookmarkStart w:id="1072" w:name="Tc_giR5HhKN-kyXK3gxO2kWww_4_0"/>
      <w:bookmarkStart w:id="1073" w:name="Tc_1omYgUD10UeY9Rke-MoWmA_3_11"/>
      <w:bookmarkStart w:id="1074" w:name="Tc_nOJOt-7bhUinl3yNfqJAQg_3_8"/>
      <w:bookmarkStart w:id="1075" w:name="Tc_JajVqJ6t806GFz4jBXpnIw_3_6"/>
      <w:bookmarkStart w:id="1076" w:name="Tc_bAVLcuZuJ0mUBQ_ZJXvmRQ_3_5"/>
      <w:bookmarkStart w:id="1077" w:name="Tc_YTTWUdkljk2JCZLIYqDddg_3_2"/>
      <w:bookmarkStart w:id="1078" w:name="Tc_EisQEeG7UUapGEJY5EA4lA_3_0"/>
      <w:bookmarkStart w:id="1079" w:name="Tc_n9f-dJL_fUiMG0dQTQjZ5A_2_0"/>
      <w:bookmarkStart w:id="1080" w:name="Tc_1pboaTWeGEudj1X98U4c5A_1_11"/>
      <w:bookmarkStart w:id="1081" w:name="Tc_unW_3ex1j0-PRed9mwYjdw_1_8"/>
      <w:bookmarkStart w:id="1082" w:name="Tc_RuBo-tp3fkmFjs8zJu05Cg_1_5"/>
      <w:bookmarkStart w:id="1083" w:name="Tc_MMxgGvqFPEKPCcFPknhJZQ_1_2"/>
      <w:bookmarkStart w:id="1084" w:name="_599bc013_6e73_49ae_83b6_8843c4d16863"/>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rFonts w:ascii="Times New Roman;Times;serif" w:hAnsi="Times New Roman;Times;serif"/>
          <w:sz w:val="20"/>
        </w:rPr>
        <w:t>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calculates the unrealized gain or loss based on the closing stock price of PINE at each respective balance sheet date. The unrealized, non-cash gains and losses resulting from the changes in the closing stock price of PINE are included in investment and other income in the consolidated statements of operations for years ended December 31, 2025, 2024, and 2023.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securities as of December 31, 2025 and 2024 are summarized below (in thousands):</w:t>
      </w:r>
    </w:p>
    <w:p>
      <w:pPr>
        <w:pStyle w:val="TextBody"/>
        <w:bidi w:val="0"/>
        <w:spacing w:before="0" w:after="0"/>
        <w:ind w:left="0" w:right="0" w:firstLine="490"/>
        <w:jc w:val="both"/>
        <w:rPr/>
      </w:pPr>
      <w:r>
        <w:rPr/>
        <w:t>​</w:t>
      </w:r>
    </w:p>
    <w:tbl>
      <w:tblPr>
        <w:tblW w:w="9232" w:type="dxa"/>
        <w:jc w:val="left"/>
        <w:tblInd w:w="0" w:type="dxa"/>
        <w:tblLayout w:type="fixed"/>
        <w:tblCellMar>
          <w:top w:w="0" w:type="dxa"/>
          <w:left w:w="0" w:type="dxa"/>
          <w:bottom w:w="0" w:type="dxa"/>
          <w:right w:w="0" w:type="dxa"/>
        </w:tblCellMar>
      </w:tblPr>
      <w:tblGrid>
        <w:gridCol w:w="1996"/>
        <w:gridCol w:w="346"/>
        <w:gridCol w:w="211"/>
        <w:gridCol w:w="676"/>
        <w:gridCol w:w="346"/>
        <w:gridCol w:w="675"/>
        <w:gridCol w:w="1110"/>
        <w:gridCol w:w="346"/>
        <w:gridCol w:w="427"/>
        <w:gridCol w:w="1283"/>
        <w:gridCol w:w="346"/>
        <w:gridCol w:w="311"/>
        <w:gridCol w:w="115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67460" cy="175260"/>
                      <wp:effectExtent l="0" t="0" r="0" b="0"/>
                      <wp:wrapNone/>
                      <wp:docPr id="262" name="Frame261"/>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5" name="Frame2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8625" cy="175260"/>
                      <wp:effectExtent l="0" t="0" r="0" b="0"/>
                      <wp:wrapNone/>
                      <wp:docPr id="267" name="Frame266"/>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04850" cy="175260"/>
                      <wp:effectExtent l="0" t="0" r="0" b="0"/>
                      <wp:wrapNone/>
                      <wp:docPr id="268" name="Frame267"/>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71145" cy="175260"/>
                      <wp:effectExtent l="0" t="0" r="0" b="0"/>
                      <wp:wrapNone/>
                      <wp:docPr id="270" name="Frame269"/>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14705" cy="175260"/>
                      <wp:effectExtent l="0" t="0" r="0" b="0"/>
                      <wp:wrapNone/>
                      <wp:docPr id="271" name="Frame270"/>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97485" cy="175260"/>
                      <wp:effectExtent l="0" t="0" r="0" b="0"/>
                      <wp:wrapNone/>
                      <wp:docPr id="273" name="Frame27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35965" cy="175260"/>
                      <wp:effectExtent l="0" t="0" r="0" b="0"/>
                      <wp:wrapNone/>
                      <wp:docPr id="274" name="Frame273"/>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46" w:type="dxa"/>
            <w:tcBorders/>
            <w:vAlign w:val="center"/>
          </w:tcPr>
          <w:p>
            <w:pPr>
              <w:pStyle w:val="TableContents"/>
              <w:bidi w:val="0"/>
              <w:spacing w:before="0" w:after="0"/>
              <w:ind w:left="0" w:right="0" w:hanging="0"/>
              <w:jc w:val="left"/>
              <w:rPr/>
            </w:pPr>
            <w:r>
              <w:rPr/>
              <w:t>  ​ ​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46" w:type="dxa"/>
            <w:tcBorders/>
            <w:vAlign w:val="center"/>
          </w:tcPr>
          <w:p>
            <w:pPr>
              <w:pStyle w:val="TableContents"/>
              <w:bidi w:val="0"/>
              <w:spacing w:before="0" w:after="0"/>
              <w:ind w:left="0" w:right="0" w:hanging="0"/>
              <w:jc w:val="left"/>
              <w:rPr/>
            </w:pPr>
            <w:r>
              <w:rPr/>
              <w:t>  ​ ​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46" w:type="dxa"/>
            <w:tcBorders/>
            <w:vAlign w:val="center"/>
          </w:tcPr>
          <w:p>
            <w:pPr>
              <w:pStyle w:val="TableContents"/>
              <w:bidi w:val="0"/>
              <w:spacing w:before="0" w:after="0"/>
              <w:ind w:left="0" w:right="0" w:hanging="0"/>
              <w:jc w:val="left"/>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center"/>
              <w:rPr/>
            </w:pPr>
            <w:r>
              <w:rPr/>
              <w:t>​</w:t>
            </w:r>
          </w:p>
        </w:tc>
        <w:tc>
          <w:tcPr>
            <w:tcW w:w="11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9" w:type="dxa"/>
            <w:tcBorders/>
            <w:shd w:fill="CCEEFF" w:val="clear"/>
            <w:vAlign w:val="center"/>
          </w:tcPr>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22,486</w:t>
            </w:r>
          </w:p>
        </w:tc>
        <w:tc>
          <w:tcPr>
            <w:tcW w:w="34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20,861</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46" w:type="dxa"/>
            <w:tcBorders/>
            <w:shd w:fill="CCEEFF" w:val="cle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20,463</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45,739</w:t>
            </w:r>
          </w:p>
        </w:tc>
        <w:tc>
          <w:tcPr>
            <w:tcW w:w="346" w:type="dxa"/>
            <w:tcBorders/>
            <w:vAlign w:val="center"/>
          </w:tcPr>
          <w:p>
            <w:pPr>
              <w:pStyle w:val="TableContents"/>
              <w:bidi w:val="0"/>
              <w:spacing w:before="0" w:after="0"/>
              <w:ind w:left="0" w:right="0" w:hanging="0"/>
              <w:jc w:val="left"/>
              <w:rPr/>
            </w:pPr>
            <w:r>
              <w:rPr/>
              <w:t>​</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c>
          <w:tcPr>
            <w:tcW w:w="34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4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44,182</w:t>
            </w:r>
          </w:p>
        </w:tc>
        <w:tc>
          <w:tcPr>
            <w:tcW w:w="346" w:type="dxa"/>
            <w:tcBorders/>
            <w:shd w:fill="CCEEFF" w:val="clear"/>
            <w:vAlign w:val="center"/>
          </w:tcPr>
          <w:p>
            <w:pPr>
              <w:pStyle w:val="TableContents"/>
              <w:bidi w:val="0"/>
              <w:spacing w:before="0" w:after="0"/>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39,666</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pBdr/>
        <w:bidi w:val="0"/>
        <w:spacing w:before="0" w:after="0"/>
        <w:ind w:left="0" w:right="0" w:hanging="490"/>
        <w:jc w:val="both"/>
        <w:rPr/>
      </w:pPr>
      <w:r>
        <w:rPr/>
        <w:t>​</w:t>
      </w:r>
    </w:p>
    <w:p>
      <w:pPr>
        <w:pStyle w:val="TextBody"/>
        <w:pBdr/>
        <w:bidi w:val="0"/>
        <w:spacing w:before="120" w:after="120"/>
        <w:ind w:left="0" w:right="0" w:hanging="490"/>
        <w:jc w:val="both"/>
        <w:rPr>
          <w:rFonts w:ascii="Times New Roman;Times;serif" w:hAnsi="Times New Roman;Times;serif"/>
          <w:b/>
          <w:sz w:val="20"/>
        </w:rPr>
      </w:pPr>
      <w:bookmarkStart w:id="1085" w:name="Tc_5aerdx3ERk20VwoeVOjmCQ_6_11"/>
      <w:bookmarkStart w:id="1086" w:name="Tc_bbU_HoNnpEOigo1ZuVyo2w_6_8"/>
      <w:bookmarkStart w:id="1087" w:name="Tc_tsHGAk1OpUOXLuOfh4evZQ_6_5"/>
      <w:bookmarkStart w:id="1088" w:name="Tc_ZIkPfwyzkUq1yBwkZCM4OQ_6_2"/>
      <w:bookmarkStart w:id="1089" w:name="Tc_U4PZFnCY8UWXDcfbLI9bag_6_0"/>
      <w:bookmarkStart w:id="1090" w:name="Tc_NQ4OQqyVz0mTOp-raLEveQ_5_11"/>
      <w:bookmarkStart w:id="1091" w:name="Tc_XFzv9Nnzxk-1gjJwkmtLBw_5_8"/>
      <w:bookmarkStart w:id="1092" w:name="Tc_JSaF7PLEgU64r0stmBbEsA_5_5"/>
      <w:bookmarkStart w:id="1093" w:name="Tc_Pd5OmRz2TU-SZeGJE9ULaA_5_2"/>
      <w:bookmarkStart w:id="1094" w:name="Tc_7DF1JzQPm0C84iNcLP1e5Q_5_0"/>
      <w:bookmarkStart w:id="1095" w:name="Tc_VR_gbPX-cEifMoJd44lcEg_4_11"/>
      <w:bookmarkStart w:id="1096" w:name="Tc_ymvzp_v1xkef0nwrHL8QfA_4_8"/>
      <w:bookmarkStart w:id="1097" w:name="Tc_3dAz2L0L8Em-nNqE74Q8uA_4_5"/>
      <w:bookmarkStart w:id="1098" w:name="Tc_Ye6-4lRPZkGgSARFtaar0Q_4_2"/>
      <w:bookmarkStart w:id="1099" w:name="Tc_M_OuWFoRVUCNZDJetUjPcQ_4_0"/>
      <w:bookmarkStart w:id="1100" w:name="Tc_JF6-rcivr0-GdmDliNtPaw_3_11"/>
      <w:bookmarkStart w:id="1101" w:name="Tc__e8-2EwcOkWS6qhHRSSvJA_3_8"/>
      <w:bookmarkStart w:id="1102" w:name="Tc_aoIoPugrmkKGp8vB3JuCbw_3_5"/>
      <w:bookmarkStart w:id="1103" w:name="Tc_4SONqGOuXEqHkUQ4uCYW-Q_3_2"/>
      <w:bookmarkStart w:id="1104" w:name="Tc_oleicY7uXkyYSA5jZWaXNQ_3_0"/>
      <w:bookmarkStart w:id="1105" w:name="Tc_5KatL9DdUkeXKGj4Xm8SNQ_2_11"/>
      <w:bookmarkStart w:id="1106" w:name="Tc_rKfCvKMhxUul7Ym3kOHEvA_2_8"/>
      <w:bookmarkStart w:id="1107" w:name="Tc_FcwquVtWUEiiMShvKwZVDw_2_5"/>
      <w:bookmarkStart w:id="1108" w:name="Tc_pQyVa17zrkakcFB2V5QAXg_2_2"/>
      <w:bookmarkStart w:id="1109" w:name="Tc_aw8bLme6K0ekh8nRFnjicQ_1_8"/>
      <w:bookmarkStart w:id="1110" w:name="Tc_eOwYTkFx5UGn9Jl0_CUxNQ_1_2"/>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b/>
          <w:sz w:val="20"/>
        </w:rPr>
        <w:t xml:space="preserve">NOTE 9.       FAIR VALUE OF FINANCIAL INSTRUMENTS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December 31, 2025 and 2024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17"/>
        <w:gridCol w:w="346"/>
        <w:gridCol w:w="275"/>
        <w:gridCol w:w="1019"/>
        <w:gridCol w:w="346"/>
        <w:gridCol w:w="346"/>
        <w:gridCol w:w="1282"/>
        <w:gridCol w:w="346"/>
        <w:gridCol w:w="275"/>
        <w:gridCol w:w="1019"/>
        <w:gridCol w:w="346"/>
        <w:gridCol w:w="323"/>
        <w:gridCol w:w="1365"/>
      </w:tblGrid>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74625" cy="175260"/>
                      <wp:effectExtent l="0" t="0" r="0" b="0"/>
                      <wp:wrapNone/>
                      <wp:docPr id="276" name="Frame27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7065" cy="175260"/>
                      <wp:effectExtent l="0" t="0" r="0" b="0"/>
                      <wp:wrapNone/>
                      <wp:docPr id="277" name="Frame276"/>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814070" cy="175260"/>
                      <wp:effectExtent l="0" t="0" r="0" b="0"/>
                      <wp:wrapNone/>
                      <wp:docPr id="280" name="Frame279"/>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4625" cy="175260"/>
                      <wp:effectExtent l="0" t="0" r="0" b="0"/>
                      <wp:wrapNone/>
                      <wp:docPr id="282" name="Frame28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7065" cy="175260"/>
                      <wp:effectExtent l="0" t="0" r="0" b="0"/>
                      <wp:wrapNone/>
                      <wp:docPr id="283" name="Frame282"/>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5105" cy="175260"/>
                      <wp:effectExtent l="0" t="0" r="0" b="0"/>
                      <wp:wrapNone/>
                      <wp:docPr id="285" name="Frame28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66775" cy="175260"/>
                      <wp:effectExtent l="0" t="0" r="0" b="0"/>
                      <wp:wrapNone/>
                      <wp:docPr id="286" name="Frame285"/>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3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left"/>
              <w:rPr/>
            </w:pPr>
            <w:r>
              <w:rPr/>
              <w:t>  ​ ​ ​</w:t>
            </w:r>
          </w:p>
        </w:tc>
        <w:tc>
          <w:tcPr>
            <w:tcW w:w="16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46" w:type="dxa"/>
            <w:tcBorders/>
            <w:vAlign w:val="center"/>
          </w:tcPr>
          <w:p>
            <w:pPr>
              <w:pStyle w:val="TableContents"/>
              <w:bidi w:val="0"/>
              <w:spacing w:before="0" w:after="0"/>
              <w:ind w:left="0" w:right="0" w:hanging="0"/>
              <w:jc w:val="left"/>
              <w:rPr/>
            </w:pPr>
            <w:r>
              <w:rPr/>
              <w:t>  ​ ​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left"/>
              <w:rPr/>
            </w:pPr>
            <w:r>
              <w:rPr/>
              <w:t>  ​ ​ ​</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6,467</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109,828</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110,665</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608,419</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508,309</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111" w:name="Tc_AkxiPgko9EqorMZl2HJJnQ_16_12"/>
      <w:bookmarkStart w:id="1112" w:name="Tc_LgwZuiaeQk6bOM7Pi7vxkg_16_11"/>
      <w:bookmarkStart w:id="1113" w:name="Tc_1oWm-oHB20Ss1LyZwN1-jA_16_9"/>
      <w:bookmarkStart w:id="1114" w:name="Tc_zzBwvlpPTUCq6nHIKjw2ng_16_8"/>
      <w:bookmarkStart w:id="1115" w:name="Tc_Z9oO65EnB0iP37YMZNO8dg_16_5"/>
      <w:bookmarkStart w:id="1116" w:name="Tc_F8HDjMAXDUyxYUlBNTunBw_16_2"/>
      <w:bookmarkStart w:id="1117" w:name="Tc_MliSR42pvEyuPD6FqgNUQQ_16_0"/>
      <w:bookmarkStart w:id="1118" w:name="Tc_iwv1lgisrk2RdzTEo1zkLg_15_12"/>
      <w:bookmarkStart w:id="1119" w:name="Tc_CG456AZurUmSm50ZZKIdvw_15_11"/>
      <w:bookmarkStart w:id="1120" w:name="Tc_HK-Vox7FHkqDBRLG7SRN-w_15_8"/>
      <w:bookmarkStart w:id="1121" w:name="Tc_qkiOCmcI4kqJHXYx8WGVDw_15_6"/>
      <w:bookmarkStart w:id="1122" w:name="Tc_zVMmm4NuCUCt-bAoe1FqwQ_15_5"/>
      <w:bookmarkStart w:id="1123" w:name="Tc_VnbYA-vpKEudE7YOu_6rxg_15_2"/>
      <w:bookmarkStart w:id="1124" w:name="Tc_6VRgJn3bWkm9Nnhs7x16bw_15_0"/>
      <w:bookmarkStart w:id="1125" w:name="Tc_i90pKf02kEqhk2QT234Kig_14_12"/>
      <w:bookmarkStart w:id="1126" w:name="Tc_6cjxH7PYLU-WxqWCoVX8Og_14_11"/>
      <w:bookmarkStart w:id="1127" w:name="Tc_pEc-cssjlUqXGy0pUEowwg_14_8"/>
      <w:bookmarkStart w:id="1128" w:name="Tc_BMcMRsa7UEGALpO7UBkJ-w_14_6"/>
      <w:bookmarkStart w:id="1129" w:name="Tc_uo8xsb-Ai0GzPF1v0945Iw_14_5"/>
      <w:bookmarkStart w:id="1130" w:name="Tc_O8ztqMy7iU6QI1xAtOl4lg_14_2"/>
      <w:bookmarkStart w:id="1131" w:name="Tc_l0OJVYr0EkiesdjfEp327w_14_0"/>
      <w:bookmarkStart w:id="1132" w:name="Tc_vtpv24Y6kECqx6kaKvpSXQ_13_12"/>
      <w:bookmarkStart w:id="1133" w:name="Tc__UOVXsLmAEGb_bLm_QmMlQ_13_11"/>
      <w:bookmarkStart w:id="1134" w:name="Tc_0s1B-blYv0eyB7IB3UrMoA_13_8"/>
      <w:bookmarkStart w:id="1135" w:name="Tc_yZ8NY351q0qccmd_G67Rdw_13_6"/>
      <w:bookmarkStart w:id="1136" w:name="Tc_uFxeAIOdS0ioQnE5PpGNVQ_13_5"/>
      <w:bookmarkStart w:id="1137" w:name="Tc_5HkvayMaf0mlcC-d56JE9w_13_2"/>
      <w:bookmarkStart w:id="1138" w:name="Tc_huZ0aUcLpUekPYUn5L9f3Q_13_0"/>
      <w:bookmarkStart w:id="1139" w:name="Tc_lH07y2P68k2u3LBmedpD6w_12_12"/>
      <w:bookmarkStart w:id="1140" w:name="Tc_sOwuCkQ1v02-FkFjAWzD0Q_12_11"/>
      <w:bookmarkStart w:id="1141" w:name="Tc_vkGKn2WbMkOvL3A32JmBdw_12_8"/>
      <w:bookmarkStart w:id="1142" w:name="Tc_Rkp_BU0YU0CO-yvzW98Bwg_12_6"/>
      <w:bookmarkStart w:id="1143" w:name="Tc_bzs1nBLvrUKQz9PqQPpFfg_12_5"/>
      <w:bookmarkStart w:id="1144" w:name="Tc_yzHVA-K4SkqB8MHB_FqD4g_12_2"/>
      <w:bookmarkStart w:id="1145" w:name="Tc_0pN8oJO3EUKsurRPjyYLjA_12_0"/>
      <w:bookmarkStart w:id="1146" w:name="Tc_gpZCbIAdN0WtGHxJ-kFf2w_11_12"/>
      <w:bookmarkStart w:id="1147" w:name="Tc_vGRSQ0ciBUuAnxYLBP5n6g_11_11"/>
      <w:bookmarkStart w:id="1148" w:name="Tc_iKGQzcR9w0aCJDQqBND0WQ_11_8"/>
      <w:bookmarkStart w:id="1149" w:name="Tc_Nqt2mPQtY0Kc9h2Gt8P3Lg_11_6"/>
      <w:bookmarkStart w:id="1150" w:name="Tc_Jn0UH9ewfEqU61F1CYs1eg_11_5"/>
      <w:bookmarkStart w:id="1151" w:name="Tc_E7aPrLJmhUS_OBRVrB_rgw_11_2"/>
      <w:bookmarkStart w:id="1152" w:name="Tc_u3mKic2OiUCq2XvXxiaGxw_11_0"/>
      <w:bookmarkStart w:id="1153" w:name="Tc_lOUG4624ekO95oVHNJu_lw_10_0"/>
      <w:bookmarkStart w:id="1154" w:name="Tc_yHmGW2akJEShv83YsNgW7w_9_12"/>
      <w:bookmarkStart w:id="1155" w:name="Tc__1JxIEKtVU2dVyV6V8C9Jg_9_11"/>
      <w:bookmarkStart w:id="1156" w:name="Tc_FI7s_bikrUWeDFNBLFHfnw_9_9"/>
      <w:bookmarkStart w:id="1157" w:name="Tc_Y2sVmeHyPECGlPuprABYIA_9_8"/>
      <w:bookmarkStart w:id="1158" w:name="Tc_KX5DIpHHxkuOAqO3qXsdzg_9_5"/>
      <w:bookmarkStart w:id="1159" w:name="Tc__aTXxbAFCEmH47ebbIjl7A_9_2"/>
      <w:bookmarkStart w:id="1160" w:name="Tc__pRDpN02EEmLB_yZPQMFKQ_9_0"/>
      <w:bookmarkStart w:id="1161" w:name="Tc_qu_xHQdnBEeglN6WjUlr6A_8_12"/>
      <w:bookmarkStart w:id="1162" w:name="Tc_2QTHQ9R2Fk6mOTAlhL0P-w_8_11"/>
      <w:bookmarkStart w:id="1163" w:name="Tc_ZZ3VnKjjXUqeHgk4OEcKrQ_8_8"/>
      <w:bookmarkStart w:id="1164" w:name="Tc_afitQckkQEGPiv9JgcO9vw_8_6"/>
      <w:bookmarkStart w:id="1165" w:name="Tc_FQFQFzMJekWzARiHydv6mA_8_5"/>
      <w:bookmarkStart w:id="1166" w:name="Tc_V8CpLSu-LUylA-3tPElGxw_8_2"/>
      <w:bookmarkStart w:id="1167" w:name="Tc_7V9tiC2yp0KHY1fXuWsoPA_8_0"/>
      <w:bookmarkStart w:id="1168" w:name="Tc_ZkMuf0O0E0u7c0EpyQf1qA_7_12"/>
      <w:bookmarkStart w:id="1169" w:name="Tc_2y3-hvxQWUu2bhRQ6IVWLw_7_11"/>
      <w:bookmarkStart w:id="1170" w:name="Tc_4E3XRDvZbkqb-84C6roPmg_7_8"/>
      <w:bookmarkStart w:id="1171" w:name="Tc_yMsmiLt7j0qtu_Gs5G48aQ_7_6"/>
      <w:bookmarkStart w:id="1172" w:name="Tc_l6tWgfUylEaIbF_35ymRxA_7_5"/>
      <w:bookmarkStart w:id="1173" w:name="Tc_z4mAAzc2lkmMvYIiDRXYEQ_7_2"/>
      <w:bookmarkStart w:id="1174" w:name="Tc_gl3zTpqzC06SGyKF2tfvhQ_7_0"/>
      <w:bookmarkStart w:id="1175" w:name="Tc_VeMrvm8UhkmuYGWdEXz2eQ_6_12"/>
      <w:bookmarkStart w:id="1176" w:name="Tc_ehbWIfrDH0i5AqgGwFtWmw_6_11"/>
      <w:bookmarkStart w:id="1177" w:name="Tc_a6mHahyJIUikwC0l93WU-A_6_8"/>
      <w:bookmarkStart w:id="1178" w:name="Tc_4WT5imqnV0yAc0MN6xBK-A_6_6"/>
      <w:bookmarkStart w:id="1179" w:name="Tc_Q0MRFdACNkahfsbIobMnNg_6_5"/>
      <w:bookmarkStart w:id="1180" w:name="Tc_TGf-x048rEyRpB8r0wwYzg_6_2"/>
      <w:bookmarkStart w:id="1181" w:name="Tc_9cg6LfQw5UORzjQRl8bxWQ_6_0"/>
      <w:bookmarkStart w:id="1182" w:name="Tc_3KO-de1rrU6rT3Rx6FHRPg_5_12"/>
      <w:bookmarkStart w:id="1183" w:name="Tc_9wdi2kqeaEqLs2rp6a8mQQ_5_11"/>
      <w:bookmarkStart w:id="1184" w:name="Tc_WXSzXzalTUOA3hJn1nNi8g_5_8"/>
      <w:bookmarkStart w:id="1185" w:name="Tc_vj3cnc54EUKdLDBocAZsKw_5_6"/>
      <w:bookmarkStart w:id="1186" w:name="Tc_yPMgCZJ0qUWidoEAhkmmxw_5_5"/>
      <w:bookmarkStart w:id="1187" w:name="Tc_Drt-6J9RBEmGz-sFp7YuMw_5_2"/>
      <w:bookmarkStart w:id="1188" w:name="Tc_BRCc1b15rU2DhpoD6K9XXw_5_0"/>
      <w:bookmarkStart w:id="1189" w:name="Tc_56ONtIPh4kG2lHxemPR4AQ_4_12"/>
      <w:bookmarkStart w:id="1190" w:name="Tc_2ek9KWTZmkuC_zpFVAgwuA_4_11"/>
      <w:bookmarkStart w:id="1191" w:name="Tc_LnMDNDPuBUCqbX2zXPU_Lg_4_8"/>
      <w:bookmarkStart w:id="1192" w:name="Tc_txLXa8aP1U6DAGQOIO9RWg_4_6"/>
      <w:bookmarkStart w:id="1193" w:name="Tc_XbGt9GQK60WMxoGEfFA7qQ_4_5"/>
      <w:bookmarkStart w:id="1194" w:name="Tc_4L-Lbon6jEmpB2bCVPjkCQ_4_2"/>
      <w:bookmarkStart w:id="1195" w:name="Tc_KorM2mgFBEKOgji4IzsMYg_4_0"/>
      <w:bookmarkStart w:id="1196" w:name="Tc_71-MsP4bfUG04Q37iPt_YQ_3_0"/>
      <w:bookmarkStart w:id="1197" w:name="Tc_j4QEccFX_kucNDVPUGCzBw_2_11"/>
      <w:bookmarkStart w:id="1198" w:name="Tc_SfeEfVQlJ0CClW7N6T6Vdw_2_8"/>
      <w:bookmarkStart w:id="1199" w:name="Tc_lXwvBcnlJkCORfDUSw4j4A_2_5"/>
      <w:bookmarkStart w:id="1200" w:name="Tc_0uj1VJWODUWSa4S-xv7UzA_2_2"/>
      <w:bookmarkStart w:id="1201" w:name="Tc_ljZZebCqekClZSgaIoOnag_1_5"/>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ascii="Times New Roman;Times;serif" w:hAnsi="Times New Roman;Times;serif"/>
          <w:sz w:val="20"/>
        </w:rPr>
        <w:t>The following table presents the fair value of assets (liabilities) measured on a recurring basis by level as of December 31, 2025 and 2024 (in thousands). See Note 17, “Interest Rate Swaps” for further disclosure related to the Company’s interest rate swaps.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8"/>
        <w:gridCol w:w="109"/>
        <w:gridCol w:w="204"/>
        <w:gridCol w:w="641"/>
        <w:gridCol w:w="346"/>
        <w:gridCol w:w="536"/>
        <w:gridCol w:w="1645"/>
        <w:gridCol w:w="346"/>
        <w:gridCol w:w="455"/>
        <w:gridCol w:w="1329"/>
        <w:gridCol w:w="346"/>
        <w:gridCol w:w="549"/>
        <w:gridCol w:w="1271"/>
      </w:tblGrid>
      <w:tr>
        <w:trPr/>
        <w:tc>
          <w:tcPr>
            <w:tcW w:w="2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41780" cy="175260"/>
                      <wp:effectExtent l="0" t="0" r="0" b="0"/>
                      <wp:wrapNone/>
                      <wp:docPr id="287" name="Frame286"/>
                      <a:graphic xmlns:a="http://schemas.openxmlformats.org/drawingml/2006/main">
                        <a:graphicData uri="http://schemas.microsoft.com/office/word/2010/wordprocessingShape">
                          <wps:wsp>
                            <wps:cNvSpPr txBox="1"/>
                            <wps:spPr>
                              <a:xfrm>
                                <a:off x="0" y="0"/>
                                <a:ext cx="154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9540" cy="175260"/>
                      <wp:effectExtent l="0" t="0" r="0" b="0"/>
                      <wp:wrapNone/>
                      <wp:docPr id="289" name="Frame28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07035" cy="175260"/>
                      <wp:effectExtent l="0" t="0" r="0" b="0"/>
                      <wp:wrapNone/>
                      <wp:docPr id="290" name="Frame289"/>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40360" cy="175260"/>
                      <wp:effectExtent l="0" t="0" r="0" b="0"/>
                      <wp:wrapNone/>
                      <wp:docPr id="292" name="Frame291"/>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044575" cy="175260"/>
                      <wp:effectExtent l="0" t="0" r="0" b="0"/>
                      <wp:wrapNone/>
                      <wp:docPr id="293" name="Frame292"/>
                      <a:graphic xmlns:a="http://schemas.openxmlformats.org/drawingml/2006/main">
                        <a:graphicData uri="http://schemas.microsoft.com/office/word/2010/wordprocessingShape">
                          <wps:wsp>
                            <wps:cNvSpPr txBox="1"/>
                            <wps:spPr>
                              <a:xfrm>
                                <a:off x="0" y="0"/>
                                <a:ext cx="1044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88925" cy="175260"/>
                      <wp:effectExtent l="0" t="0" r="0" b="0"/>
                      <wp:wrapNone/>
                      <wp:docPr id="295" name="Frame29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43915" cy="175260"/>
                      <wp:effectExtent l="0" t="0" r="0" b="0"/>
                      <wp:wrapNone/>
                      <wp:docPr id="296" name="Frame295"/>
                      <a:graphic xmlns:a="http://schemas.openxmlformats.org/drawingml/2006/main">
                        <a:graphicData uri="http://schemas.microsoft.com/office/word/2010/wordprocessingShape">
                          <wps:wsp>
                            <wps:cNvSpPr txBox="1"/>
                            <wps:spPr>
                              <a:xfrm>
                                <a:off x="0" y="0"/>
                                <a:ext cx="843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48615" cy="175260"/>
                      <wp:effectExtent l="0" t="0" r="0" b="0"/>
                      <wp:wrapNone/>
                      <wp:docPr id="298" name="Frame297"/>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807085" cy="175260"/>
                      <wp:effectExtent l="0" t="0" r="0" b="0"/>
                      <wp:wrapNone/>
                      <wp:docPr id="299" name="Frame298"/>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4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0"/>
              <w:ind w:left="0" w:right="0" w:hanging="0"/>
              <w:jc w:val="left"/>
              <w:rPr/>
            </w:pPr>
            <w:r>
              <w:rPr/>
              <w:t>  ​ ​ ​</w:t>
            </w:r>
          </w:p>
        </w:tc>
        <w:tc>
          <w:tcPr>
            <w:tcW w:w="2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46" w:type="dxa"/>
            <w:tcBorders/>
            <w:vAlign w:val="center"/>
          </w:tcPr>
          <w:p>
            <w:pPr>
              <w:pStyle w:val="TableContents"/>
              <w:bidi w:val="0"/>
              <w:spacing w:before="0" w:after="0"/>
              <w:ind w:left="0" w:right="0" w:hanging="0"/>
              <w:jc w:val="left"/>
              <w:rPr/>
            </w:pPr>
            <w:r>
              <w:rPr/>
              <w:t>  ​ ​ ​</w:t>
            </w:r>
          </w:p>
        </w:tc>
        <w:tc>
          <w:tcPr>
            <w:tcW w:w="1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46" w:type="dxa"/>
            <w:tcBorders/>
            <w:vAlign w:val="center"/>
          </w:tcPr>
          <w:p>
            <w:pPr>
              <w:pStyle w:val="TableContents"/>
              <w:bidi w:val="0"/>
              <w:spacing w:before="0" w:after="0"/>
              <w:ind w:left="0" w:right="0" w:hanging="0"/>
              <w:jc w:val="left"/>
              <w:rPr/>
            </w:pPr>
            <w:r>
              <w:rPr/>
              <w:t>  ​ ​ ​</w:t>
            </w:r>
          </w:p>
        </w:tc>
        <w:tc>
          <w:tcPr>
            <w:tcW w:w="1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center"/>
              <w:rPr/>
            </w:pPr>
            <w:r>
              <w:rPr/>
              <w:t>​</w:t>
            </w:r>
          </w:p>
        </w:tc>
        <w:tc>
          <w:tcPr>
            <w:tcW w:w="164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center"/>
              <w:rPr/>
            </w:pPr>
            <w:r>
              <w:rPr/>
              <w:t>​</w:t>
            </w:r>
          </w:p>
        </w:tc>
        <w:tc>
          <w:tcPr>
            <w:tcW w:w="132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center"/>
              <w:rPr/>
            </w:pPr>
            <w:r>
              <w:rPr/>
              <w:t>​</w:t>
            </w:r>
          </w:p>
        </w:tc>
        <w:tc>
          <w:tcPr>
            <w:tcW w:w="1271" w:type="dxa"/>
            <w:tcBorders/>
            <w:shd w:fill="CCEEFF" w:val="clear"/>
            <w:vAlign w:val="center"/>
          </w:tcPr>
          <w:p>
            <w:pPr>
              <w:pStyle w:val="TableContents"/>
              <w:bidi w:val="0"/>
              <w:spacing w:before="0" w:after="0"/>
              <w:ind w:left="0" w:right="0" w:hanging="0"/>
              <w:jc w:val="center"/>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w:t>
            </w:r>
          </w:p>
        </w:tc>
        <w:tc>
          <w:tcPr>
            <w:tcW w:w="346" w:type="dxa"/>
            <w:tcBorders/>
            <w:vAlign w:val="center"/>
          </w:tcPr>
          <w:p>
            <w:pPr>
              <w:pStyle w:val="TableContents"/>
              <w:bidi w:val="0"/>
              <w:spacing w:before="0" w:after="0"/>
              <w:ind w:left="0" w:right="0" w:hanging="0"/>
              <w:jc w:val="left"/>
              <w:rPr/>
            </w:pPr>
            <w:r>
              <w:rPr/>
              <w:t>  ​ ​ ​</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0" w:hanging="0"/>
              <w:jc w:val="right"/>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c>
          <w:tcPr>
            <w:tcW w:w="346" w:type="dxa"/>
            <w:tcBorders/>
            <w:shd w:fill="CCEEFF" w:val="clear"/>
            <w:vAlign w:val="center"/>
          </w:tcPr>
          <w:p>
            <w:pPr>
              <w:pStyle w:val="TableContents"/>
              <w:bidi w:val="0"/>
              <w:spacing w:before="0" w:after="0"/>
              <w:ind w:left="0" w:right="0" w:hanging="0"/>
              <w:jc w:val="left"/>
              <w:rPr/>
            </w:pPr>
            <w:r>
              <w:rPr/>
              <w:t>  ​ ​ ​</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0"/>
              <w:ind w:left="0" w:right="0" w:hanging="0"/>
              <w:jc w:val="left"/>
              <w:rPr/>
            </w:pPr>
            <w:r>
              <w:rPr/>
              <w:t>  ​ ​ ​</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0" w:hanging="0"/>
              <w:jc w:val="right"/>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- 2030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pPr>
            <w:r>
              <w:rPr/>
              <w:t>  ​ ​ ​</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46" w:type="dxa"/>
            <w:tcBorders/>
            <w:vAlign w:val="center"/>
          </w:tcPr>
          <w:p>
            <w:pPr>
              <w:pStyle w:val="TableContents"/>
              <w:bidi w:val="0"/>
              <w:spacing w:before="0" w:after="0"/>
              <w:ind w:left="0" w:right="0" w:hanging="0"/>
              <w:jc w:val="left"/>
              <w:rPr/>
            </w:pPr>
            <w:r>
              <w:rPr/>
              <w:t>  ​ ​ ​</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0" w:hanging="0"/>
              <w:jc w:val="right"/>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41,324</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41,324</w:t>
            </w:r>
          </w:p>
        </w:tc>
        <w:tc>
          <w:tcPr>
            <w:tcW w:w="346" w:type="dxa"/>
            <w:tcBorders/>
            <w:shd w:fill="CCEEFF" w:val="clear"/>
            <w:vAlign w:val="center"/>
          </w:tcPr>
          <w:p>
            <w:pPr>
              <w:pStyle w:val="TableContents"/>
              <w:bidi w:val="0"/>
              <w:spacing w:before="0" w:after="0"/>
              <w:ind w:left="0" w:right="0" w:hanging="0"/>
              <w:jc w:val="left"/>
              <w:rPr/>
            </w:pPr>
            <w:r>
              <w:rPr/>
              <w:t>  ​ ​ ​</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2024</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center"/>
              <w:rPr/>
            </w:pPr>
            <w:r>
              <w:rPr/>
              <w:t>​</w:t>
            </w:r>
          </w:p>
        </w:tc>
        <w:tc>
          <w:tcPr>
            <w:tcW w:w="16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center"/>
              <w:rPr/>
            </w:pPr>
            <w:r>
              <w:rPr/>
              <w:t>​</w:t>
            </w:r>
          </w:p>
        </w:tc>
        <w:tc>
          <w:tcPr>
            <w:tcW w:w="13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c>
          <w:tcPr>
            <w:tcW w:w="1271" w:type="dxa"/>
            <w:tcBorders/>
            <w:vAlign w:val="center"/>
          </w:tcPr>
          <w:p>
            <w:pPr>
              <w:pStyle w:val="TableContents"/>
              <w:bidi w:val="0"/>
              <w:spacing w:before="0" w:after="0"/>
              <w:ind w:left="0" w:right="0" w:hanging="0"/>
              <w:jc w:val="center"/>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46" w:type="dxa"/>
            <w:tcBorders/>
            <w:shd w:fill="CCEEFF" w:val="clear"/>
            <w:vAlign w:val="center"/>
          </w:tcPr>
          <w:p>
            <w:pPr>
              <w:pStyle w:val="TableContents"/>
              <w:bidi w:val="0"/>
              <w:spacing w:before="0" w:after="0"/>
              <w:ind w:left="0" w:right="0" w:hanging="0"/>
              <w:jc w:val="left"/>
              <w:rPr/>
            </w:pPr>
            <w:r>
              <w:rPr/>
              <w:t>  ​ ​ ​</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46" w:type="dxa"/>
            <w:tcBorders/>
            <w:vAlign w:val="center"/>
          </w:tcPr>
          <w:p>
            <w:pPr>
              <w:pStyle w:val="TableContents"/>
              <w:bidi w:val="0"/>
              <w:spacing w:before="0" w:after="0"/>
              <w:ind w:left="0" w:right="0" w:hanging="0"/>
              <w:jc w:val="left"/>
              <w:rPr/>
            </w:pPr>
            <w:r>
              <w:rPr/>
              <w:t>  ​ ​ ​</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0" w:hanging="0"/>
              <w:jc w:val="right"/>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46" w:type="dxa"/>
            <w:tcBorders/>
            <w:shd w:fill="CCEEFF" w:val="clear"/>
            <w:vAlign w:val="center"/>
          </w:tcPr>
          <w:p>
            <w:pPr>
              <w:pStyle w:val="TableContents"/>
              <w:bidi w:val="0"/>
              <w:spacing w:before="0" w:after="0"/>
              <w:ind w:left="0" w:right="0" w:hanging="0"/>
              <w:jc w:val="left"/>
              <w:rPr/>
            </w:pPr>
            <w:r>
              <w:rPr/>
              <w:t>  ​ ​ ​</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46"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4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0" w:hanging="0"/>
              <w:jc w:val="right"/>
              <w:rPr/>
            </w:pPr>
            <w:r>
              <w:rPr/>
              <w:t>—</w:t>
            </w:r>
          </w:p>
        </w:tc>
      </w:tr>
      <w:tr>
        <w:trPr/>
        <w:tc>
          <w:tcPr>
            <w:tcW w:w="24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46" w:type="dxa"/>
            <w:tcBorders/>
            <w:shd w:fill="CCEEFF" w:val="clear"/>
            <w:vAlign w:val="center"/>
          </w:tcPr>
          <w:p>
            <w:pPr>
              <w:pStyle w:val="TableContents"/>
              <w:bidi w:val="0"/>
              <w:spacing w:before="0" w:after="0"/>
              <w:ind w:left="0" w:right="0" w:hanging="0"/>
              <w:jc w:val="left"/>
              <w:rPr/>
            </w:pPr>
            <w:r>
              <w:rPr/>
              <w:t>  ​ ​ ​</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46"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pPr>
            <w:r>
              <w:rPr/>
              <w:t>—</w:t>
            </w:r>
          </w:p>
        </w:tc>
      </w:tr>
      <w:tr>
        <w:trPr/>
        <w:tc>
          <w:tcPr>
            <w:tcW w:w="2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46" w:type="dxa"/>
            <w:tcBorders/>
            <w:vAlign w:val="center"/>
          </w:tcPr>
          <w:p>
            <w:pPr>
              <w:pStyle w:val="TableContents"/>
              <w:bidi w:val="0"/>
              <w:spacing w:before="0" w:after="0"/>
              <w:ind w:left="0" w:right="0" w:hanging="0"/>
              <w:jc w:val="left"/>
              <w:rPr/>
            </w:pPr>
            <w:r>
              <w:rPr/>
              <w:t>  ​ ​ ​</w:t>
            </w:r>
          </w:p>
        </w:tc>
        <w:tc>
          <w:tcPr>
            <w:tcW w:w="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160" w:after="240"/>
        <w:ind w:left="0" w:right="0" w:firstLine="490"/>
        <w:jc w:val="both"/>
        <w:rPr>
          <w:rFonts w:ascii="Times New Roman;Times;serif" w:hAnsi="Times New Roman;Times;serif"/>
          <w:sz w:val="20"/>
        </w:rPr>
      </w:pPr>
      <w:r>
        <w:rPr>
          <w:rFonts w:ascii="Times New Roman;Times;serif" w:hAnsi="Times New Roman;Times;serif"/>
          <w:sz w:val="20"/>
        </w:rPr>
        <w:t>No assets were measured on a non-recurring basis as of December 31, 2025 or 2024.</w:t>
      </w:r>
    </w:p>
    <w:p>
      <w:pPr>
        <w:pStyle w:val="TextBody"/>
        <w:bidi w:val="0"/>
        <w:spacing w:before="0" w:after="0"/>
        <w:ind w:left="0" w:right="0" w:hanging="0"/>
        <w:jc w:val="both"/>
        <w:rPr/>
      </w:pPr>
      <w:r>
        <w:rPr/>
        <w:t>​</w:t>
      </w:r>
    </w:p>
    <w:p>
      <w:pPr>
        <w:pStyle w:val="TextBody"/>
        <w:pBdr/>
        <w:bidi w:val="0"/>
        <w:spacing w:before="0" w:after="0"/>
        <w:ind w:left="0" w:right="0" w:hanging="490"/>
        <w:jc w:val="both"/>
        <w:rPr/>
      </w:pPr>
      <w:r>
        <w:rPr/>
        <w:t>​</w:t>
      </w:r>
    </w:p>
    <w:p>
      <w:pPr>
        <w:pStyle w:val="TextBody"/>
        <w:pBdr/>
        <w:bidi w:val="0"/>
        <w:spacing w:before="0" w:after="240"/>
        <w:ind w:left="0" w:right="0" w:hanging="490"/>
        <w:jc w:val="both"/>
        <w:rPr>
          <w:rFonts w:ascii="Times New Roman;Times;serif" w:hAnsi="Times New Roman;Times;serif"/>
          <w:b/>
          <w:sz w:val="20"/>
        </w:rPr>
      </w:pPr>
      <w:bookmarkStart w:id="1202" w:name="Tc_xwOhvmusWkmpvB0scfNSKg_15_5"/>
      <w:bookmarkStart w:id="1203" w:name="Tc_kA2hHK5XLEeNRZLgE-_7mA_15_2"/>
      <w:bookmarkStart w:id="1204" w:name="Tc_rFOBBRl3L0e-IkJKfnDfSw_15_0"/>
      <w:bookmarkStart w:id="1205" w:name="Tc_dT9CTk_GPUmNYNo5c6rcmg_14_0"/>
      <w:bookmarkStart w:id="1206" w:name="Tc_PvnNTDDtQE6C1dqfDh8m8Q_13_0"/>
      <w:bookmarkStart w:id="1207" w:name="Tc_65AY1yRiwEmQ_MCLQCR9zQ_12_0"/>
      <w:bookmarkStart w:id="1208" w:name="Tc_QLItDZaIfUG4zxfiEAD4rQ_11_0"/>
      <w:bookmarkStart w:id="1209" w:name="Tc_8mj8uffMlUGoPNsN_BfLbg_10_0"/>
      <w:bookmarkStart w:id="1210" w:name="Tc_5LbVq-po-0G9WRjDRrfFmw_9_0"/>
      <w:bookmarkStart w:id="1211" w:name="Tc_qeGm8AfZy02fPJOr4uPxHA_8_0"/>
      <w:bookmarkStart w:id="1212" w:name="Tc_xXHju96_rUee2VHFCOZo8A_7_0"/>
      <w:bookmarkStart w:id="1213" w:name="Tc_eRcYcpCq80maSn1QiciZ_A_6_0"/>
      <w:bookmarkStart w:id="1214" w:name="Tc_gFaqQ4vv3EK0Uy1_PFO-SA_5_0"/>
      <w:bookmarkStart w:id="1215" w:name="Tc_8Q1HEanqH0-5JYKJZEohfg_4_5"/>
      <w:bookmarkStart w:id="1216" w:name="Tc_SME2rnmvUkiM2YfC0Mx49Q_4_2"/>
      <w:bookmarkStart w:id="1217" w:name="Tc_VvH4DPAn-k2QKhkjoHScOg_4_0"/>
      <w:bookmarkStart w:id="1218" w:name="Tc_Xoq2WW6L8UaKO441Dih0gQ_3_0"/>
      <w:bookmarkStart w:id="1219" w:name="Tc_qVUiF4Sju0WLqTRGseVLWw_2_5"/>
      <w:bookmarkStart w:id="1220" w:name="Tc_uXteDEPuqEWu-grZqTexWQ_2_2"/>
      <w:bookmarkStart w:id="1221" w:name="Tc_I57_idWrT0CVFzxBfj6Lhg_1_2"/>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Fonts w:ascii="Times New Roman;Times;serif" w:hAnsi="Times New Roman;Times;serif"/>
          <w:b/>
          <w:sz w:val="20"/>
        </w:rPr>
        <w:t>NOTE 10.       INTANGIBLE ASSETS AND LIABILITIES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The gross values of certain intangible lease assets and liabilities that were fully amortized as of December 31, 2024, and the related accumulated amortization, were adjusted in the disclosure below. There was no impact to Intangible Lease Assets-Net or Intangible Lease Liabilities-Net as reported in the consolidated balance sheets as of December 31, 2024 as a result of the disclosure adjustment. Intangible assets and liabilities consisted of the following as of December 31, 2025 and 2024 (in thousands):</w:t>
      </w:r>
    </w:p>
    <w:p>
      <w:pPr>
        <w:pStyle w:val="TextBody"/>
        <w:bidi w:val="0"/>
        <w:spacing w:before="0" w:after="0"/>
        <w:ind w:left="0" w:right="0" w:hanging="0"/>
        <w:jc w:val="left"/>
        <w:rPr/>
      </w:pPr>
      <w:r>
        <w:rPr/>
        <w:t>​</w:t>
      </w:r>
    </w:p>
    <w:tbl>
      <w:tblPr>
        <w:tblW w:w="6963" w:type="dxa"/>
        <w:jc w:val="left"/>
        <w:tblInd w:w="0" w:type="dxa"/>
        <w:tblLayout w:type="fixed"/>
        <w:tblCellMar>
          <w:top w:w="0" w:type="dxa"/>
          <w:left w:w="0" w:type="dxa"/>
          <w:bottom w:w="0" w:type="dxa"/>
          <w:right w:w="0" w:type="dxa"/>
        </w:tblCellMar>
      </w:tblPr>
      <w:tblGrid>
        <w:gridCol w:w="3706"/>
        <w:gridCol w:w="346"/>
        <w:gridCol w:w="267"/>
        <w:gridCol w:w="993"/>
        <w:gridCol w:w="346"/>
        <w:gridCol w:w="265"/>
        <w:gridCol w:w="1040"/>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9545" cy="175260"/>
                      <wp:effectExtent l="0" t="0" r="0" b="0"/>
                      <wp:wrapNone/>
                      <wp:docPr id="301" name="Frame30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30555" cy="175260"/>
                      <wp:effectExtent l="0" t="0" r="0" b="0"/>
                      <wp:wrapNone/>
                      <wp:docPr id="302" name="Frame301"/>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8275" cy="175260"/>
                      <wp:effectExtent l="0" t="0" r="0" b="0"/>
                      <wp:wrapNone/>
                      <wp:docPr id="304" name="Frame30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60400" cy="175260"/>
                      <wp:effectExtent l="0" t="0" r="0" b="0"/>
                      <wp:wrapNone/>
                      <wp:docPr id="305" name="Frame304"/>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99,346</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29,963</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24,389</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152,361</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134,175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(67,651)</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84,710</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(42,144)</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(42,144)</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(31,486)</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53,224</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64,074</w:t>
            </w:r>
          </w:p>
        </w:tc>
      </w:tr>
    </w:tbl>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222" w:name="Tc_rlS8hynnCkiAsEFVKjTKkA_8_8"/>
      <w:bookmarkStart w:id="1223" w:name="Tc_nI2cjMf8L06sVVoiZGI7Bw_8_5"/>
      <w:bookmarkStart w:id="1224" w:name="Tc_JciXJ_EtvkqOb6aNkTdvbg_8_2"/>
      <w:bookmarkStart w:id="1225" w:name="Tc_Q0IM8oO3j0mxDcoMceE6cA_8_0"/>
      <w:bookmarkStart w:id="1226" w:name="Tc_uhy2R778NEm7ZruY7gy-Ow_7_0"/>
      <w:bookmarkStart w:id="1227" w:name="Tc_OKKzC9PxzUCv6cyxYvcHIA_6_0"/>
      <w:bookmarkStart w:id="1228" w:name="Tc_h0_qoR7o-0a7TbGPlotdyQ_5_0"/>
      <w:bookmarkStart w:id="1229" w:name="Tc_HdbFBEpS8U2Z2zvZITAiIg_4_0"/>
      <w:bookmarkStart w:id="1230" w:name="Tc_YcL-N16F_0eWzAiuZCEC0g_3_0"/>
      <w:bookmarkStart w:id="1231" w:name="Tc_q3jGXBkxFUmQ8o-6KJeUWA_2_8"/>
      <w:bookmarkStart w:id="1232" w:name="Tc_drniZrt550mlTerZCxloNA_2_5"/>
      <w:bookmarkStart w:id="1233" w:name="Tc_IuF1IbGjkU6oKMV8dK5jCw_2_2"/>
      <w:bookmarkStart w:id="1234" w:name="Tc_c1kXGcFJpEmejGDf4IeBZw_2_0"/>
      <w:bookmarkStart w:id="1235" w:name="Tc_fVm0bHF0_UWPEcsZTPmCbA_1_8"/>
      <w:bookmarkStart w:id="1236" w:name="Tc_H55KgqivrESoMbHGedNeuQ_1_5"/>
      <w:bookmarkStart w:id="1237" w:name="Tc_Vu6oxFcOKke2zncEafHEmw_1_2"/>
      <w:bookmarkStart w:id="1238" w:name="Tc_EefCY4ZD4EGtAM_zrxMseg_1_0"/>
      <w:bookmarkStart w:id="1239" w:name="_23387076_d5bf_4aed_915f_a520fa88e635"/>
      <w:bookmarkStart w:id="1240" w:name="Tc_AqWIjKdSkEi0DIy7q_932A_5_8"/>
      <w:bookmarkStart w:id="1241" w:name="Tc_3cGdS7I68ku5eQvXcNvnRg_5_5"/>
      <w:bookmarkStart w:id="1242" w:name="Tc_hJ8Y-d0kWEqoCkqiBxu-Tg_5_2"/>
      <w:bookmarkStart w:id="1243" w:name="Tc_i8bc5S0tj0mhWc0xJTEspg_5_0"/>
      <w:bookmarkStart w:id="1244" w:name="Tc_-9rlL_qrrEiXsgSbNSMLbg_4_0"/>
      <w:bookmarkStart w:id="1245" w:name="Tc_50YIzWramEuj1n8nKQ-qNA_3_8"/>
      <w:bookmarkStart w:id="1246" w:name="Tc_x51dIcFFhE2qdZoehg0Pww_3_5"/>
      <w:bookmarkStart w:id="1247" w:name="Tc_xn9uGANyEkidF--mrcA-JA_3_2"/>
      <w:bookmarkStart w:id="1248" w:name="Tc_UOdI0rhqlEywjyi9oHPhjA_3_0"/>
      <w:bookmarkStart w:id="1249" w:name="Tc_SV9tfx2Dj0y-HHkFyR0VxA_2_8"/>
      <w:bookmarkStart w:id="1250" w:name="Tc_VKKbdyoc0UKBTcbMIMvFqw_2_5"/>
      <w:bookmarkStart w:id="1251" w:name="Tc_hiYs2mU4n0KbR3qrpSHeWQ_2_2"/>
      <w:bookmarkStart w:id="1252" w:name="Tc_RikGgMR1tkaxD4950029xA_1_2"/>
      <w:bookmarkStart w:id="1253" w:name="_760dcd9c_f259_4673_bc5d_b4a792c09854"/>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Pr>
          <w:rFonts w:ascii="Times New Roman;Times;serif" w:hAnsi="Times New Roman;Times;serif"/>
          <w:sz w:val="20"/>
        </w:rPr>
        <w:t>The following table reflects the net amortization of intangible assets and liabilities during the years ended December 31, 2025, 2024, and 2023 (in thousands):</w:t>
      </w:r>
    </w:p>
    <w:tbl>
      <w:tblPr>
        <w:tblW w:w="8566" w:type="dxa"/>
        <w:jc w:val="left"/>
        <w:tblInd w:w="0" w:type="dxa"/>
        <w:tblLayout w:type="fixed"/>
        <w:tblCellMar>
          <w:top w:w="0" w:type="dxa"/>
          <w:left w:w="0" w:type="dxa"/>
          <w:bottom w:w="0" w:type="dxa"/>
          <w:right w:w="0" w:type="dxa"/>
        </w:tblCellMar>
      </w:tblPr>
      <w:tblGrid>
        <w:gridCol w:w="4411"/>
        <w:gridCol w:w="109"/>
        <w:gridCol w:w="299"/>
        <w:gridCol w:w="962"/>
        <w:gridCol w:w="109"/>
        <w:gridCol w:w="299"/>
        <w:gridCol w:w="962"/>
        <w:gridCol w:w="109"/>
        <w:gridCol w:w="277"/>
        <w:gridCol w:w="1029"/>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9865" cy="175260"/>
                      <wp:effectExtent l="0" t="0" r="0" b="0"/>
                      <wp:wrapNone/>
                      <wp:docPr id="307" name="Frame30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10870" cy="175260"/>
                      <wp:effectExtent l="0" t="0" r="0" b="0"/>
                      <wp:wrapNone/>
                      <wp:docPr id="308" name="Frame30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9865" cy="175260"/>
                      <wp:effectExtent l="0" t="0" r="0" b="0"/>
                      <wp:wrapNone/>
                      <wp:docPr id="310" name="Frame30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10870" cy="175260"/>
                      <wp:effectExtent l="0" t="0" r="0" b="0"/>
                      <wp:wrapNone/>
                      <wp:docPr id="311" name="Frame310"/>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5895" cy="175260"/>
                      <wp:effectExtent l="0" t="0" r="0" b="0"/>
                      <wp:wrapNone/>
                      <wp:docPr id="313" name="Frame31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53415" cy="175260"/>
                      <wp:effectExtent l="0" t="0" r="0" b="0"/>
                      <wp:wrapNone/>
                      <wp:docPr id="314" name="Frame313"/>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24,827</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31,561</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18,444</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23,821</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31,307</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20,747</w:t>
            </w:r>
          </w:p>
        </w:tc>
      </w:tr>
    </w:tbl>
    <w:p>
      <w:pPr>
        <w:pStyle w:val="TextBody"/>
        <w:bidi w:val="0"/>
        <w:spacing w:before="0" w:after="0"/>
        <w:ind w:left="0" w:right="0" w:hanging="0"/>
        <w:jc w:val="left"/>
        <w:rPr/>
      </w:pPr>
      <w: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Amortization Expense for the year ended December 31, 2025 includes $</w:t>
      </w:r>
      <w:r>
        <w:rPr>
          <w:rFonts w:ascii="Times New Roman;Times;serif" w:hAnsi="Times New Roman;Times;serif"/>
          <w:sz w:val="20"/>
        </w:rPr>
        <w:t>2.8</w:t>
      </w:r>
      <w:r>
        <w:rPr>
          <w:rFonts w:ascii="Times New Roman;Times;serif" w:hAnsi="Times New Roman;Times;serif"/>
          <w:sz w:val="20"/>
          <w:shd w:fill="FFFFFF" w:val="clear"/>
        </w:rPr>
        <w:t> million related to the acceleration of amortization of lease intangibles associated with certain leases terminated during the year. Accretion to Income Properties Revenue for the year ended December 31, 2025 includes $</w:t>
      </w:r>
      <w:r>
        <w:rPr>
          <w:rFonts w:ascii="Times New Roman;Times;serif" w:hAnsi="Times New Roman;Times;serif"/>
          <w:sz w:val="20"/>
        </w:rPr>
        <w:t>0.2</w:t>
      </w:r>
      <w:r>
        <w:rPr>
          <w:rFonts w:ascii="Times New Roman;Times;serif" w:hAnsi="Times New Roman;Times;serif"/>
          <w:sz w:val="20"/>
          <w:shd w:fill="FFFFFF" w:val="clear"/>
        </w:rPr>
        <w:t xml:space="preserve"> million related to the acceleration of amortization of lease intangibles associated with certain leases terminated during the year.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Amortization expense for the year ended December 31, 2024 included an </w:t>
      </w:r>
      <w:r>
        <w:rPr>
          <w:rFonts w:ascii="Times New Roman;Times;serif" w:hAnsi="Times New Roman;Times;serif"/>
          <w:sz w:val="20"/>
          <w:shd w:fill="FFFFFF" w:val="clear"/>
        </w:rPr>
        <w:t>out-of-period adjustment totaling $</w:t>
      </w:r>
      <w:r>
        <w:rPr>
          <w:rFonts w:ascii="Times New Roman;Times;serif" w:hAnsi="Times New Roman;Times;serif"/>
          <w:sz w:val="20"/>
        </w:rPr>
        <w:t>10.1</w:t>
      </w:r>
      <w:r>
        <w:rPr>
          <w:rFonts w:ascii="Times New Roman;Times;serif" w:hAnsi="Times New Roman;Times;serif"/>
          <w:sz w:val="20"/>
          <w:shd w:fill="FFFFFF" w:val="clear"/>
        </w:rPr>
        <w:t> million consisting of (i) $</w:t>
      </w:r>
      <w:r>
        <w:rPr>
          <w:rFonts w:ascii="Times New Roman;Times;serif" w:hAnsi="Times New Roman;Times;serif"/>
          <w:sz w:val="20"/>
        </w:rPr>
        <w:t>4.5</w:t>
      </w:r>
      <w:r>
        <w:rPr>
          <w:rFonts w:ascii="Times New Roman;Times;serif" w:hAnsi="Times New Roman;Times;serif"/>
          <w:sz w:val="20"/>
          <w:shd w:fill="FFFFFF" w:val="clear"/>
        </w:rPr>
        <w:t> million associated with the acceleration of amortization for lease intangibles related to certain lease terminations that occurred prior to January 1, 2024 and (ii) $</w:t>
      </w:r>
      <w:r>
        <w:rPr>
          <w:rFonts w:ascii="Times New Roman;Times;serif" w:hAnsi="Times New Roman;Times;serif"/>
          <w:sz w:val="20"/>
        </w:rPr>
        <w:t>5.6</w:t>
      </w:r>
      <w:r>
        <w:rPr>
          <w:rFonts w:ascii="Times New Roman;Times;serif" w:hAnsi="Times New Roman;Times;serif"/>
          <w:sz w:val="20"/>
          <w:shd w:fill="FFFFFF" w:val="clear"/>
        </w:rPr>
        <w:t>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pStyle w:val="TextBody"/>
        <w:bidi w:val="0"/>
        <w:spacing w:before="240" w:after="0"/>
        <w:ind w:left="0" w:right="0" w:firstLine="490"/>
        <w:jc w:val="both"/>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 xml:space="preserve">The estimated future amortization expense (income) related to net intangible assets and liabilities is as follows (in thousands): </w:t>
      </w:r>
    </w:p>
    <w:tbl>
      <w:tblPr>
        <w:tblW w:w="10205" w:type="dxa"/>
        <w:jc w:val="left"/>
        <w:tblInd w:w="0" w:type="dxa"/>
        <w:tblLayout w:type="fixed"/>
        <w:tblCellMar>
          <w:top w:w="0" w:type="dxa"/>
          <w:left w:w="0" w:type="dxa"/>
          <w:bottom w:w="0" w:type="dxa"/>
          <w:right w:w="0" w:type="dxa"/>
        </w:tblCellMar>
      </w:tblPr>
      <w:tblGrid>
        <w:gridCol w:w="2373"/>
        <w:gridCol w:w="346"/>
        <w:gridCol w:w="422"/>
        <w:gridCol w:w="1355"/>
        <w:gridCol w:w="346"/>
        <w:gridCol w:w="483"/>
        <w:gridCol w:w="1665"/>
        <w:gridCol w:w="346"/>
        <w:gridCol w:w="608"/>
        <w:gridCol w:w="2261"/>
      </w:tblGrid>
      <w:tr>
        <w:trPr/>
        <w:tc>
          <w:tcPr>
            <w:tcW w:w="23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60425" cy="175260"/>
                      <wp:effectExtent l="0" t="0" r="0" b="0"/>
                      <wp:wrapNone/>
                      <wp:docPr id="315" name="Frame31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06705" cy="175260"/>
                      <wp:effectExtent l="0" t="0" r="0" b="0"/>
                      <wp:wrapNone/>
                      <wp:docPr id="317" name="Frame316"/>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057275" cy="175260"/>
                      <wp:effectExtent l="0" t="0" r="0" b="0"/>
                      <wp:wrapNone/>
                      <wp:docPr id="318" name="Frame317"/>
                      <a:graphic xmlns:a="http://schemas.openxmlformats.org/drawingml/2006/main">
                        <a:graphicData uri="http://schemas.microsoft.com/office/word/2010/wordprocessingShape">
                          <wps:wsp>
                            <wps:cNvSpPr txBox="1"/>
                            <wps:spPr>
                              <a:xfrm>
                                <a:off x="0" y="0"/>
                                <a:ext cx="1057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0"/>
              <w:ind w:left="0" w:right="0" w:hanging="0"/>
              <w:jc w:val="left"/>
              <w:rPr/>
            </w:pPr>
            <w:r>
              <w:rPr/>
              <w:t>​</w:t>
            </w:r>
          </w:p>
        </w:tc>
        <w:tc>
          <w:tcPr>
            <w:tcW w:w="2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35735" cy="175260"/>
                      <wp:effectExtent l="0" t="0" r="0" b="0"/>
                      <wp:wrapNone/>
                      <wp:docPr id="320" name="Frame319"/>
                      <a:graphic xmlns:a="http://schemas.openxmlformats.org/drawingml/2006/main">
                        <a:graphicData uri="http://schemas.microsoft.com/office/word/2010/wordprocessingShape">
                          <wps:wsp>
                            <wps:cNvSpPr txBox="1"/>
                            <wps:spPr>
                              <a:xfrm>
                                <a:off x="0" y="0"/>
                                <a:ext cx="143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1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346" w:type="dxa"/>
            <w:tcBorders/>
            <w:vAlign w:val="center"/>
          </w:tcPr>
          <w:p>
            <w:pPr>
              <w:pStyle w:val="TableContents"/>
              <w:bidi w:val="0"/>
              <w:spacing w:before="0" w:after="0"/>
              <w:ind w:left="0" w:right="0" w:hanging="0"/>
              <w:jc w:val="left"/>
              <w:rPr/>
            </w:pPr>
            <w:r>
              <w:rPr/>
              <w:t>  ​ ​ ​</w:t>
            </w:r>
          </w:p>
        </w:tc>
        <w:tc>
          <w:tcPr>
            <w:tcW w:w="2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46" w:type="dxa"/>
            <w:tcBorders/>
            <w:vAlign w:val="center"/>
          </w:tcPr>
          <w:p>
            <w:pPr>
              <w:pStyle w:val="TableContents"/>
              <w:bidi w:val="0"/>
              <w:spacing w:before="0" w:after="0"/>
              <w:ind w:left="0" w:right="0" w:hanging="0"/>
              <w:jc w:val="left"/>
              <w:rPr/>
            </w:pPr>
            <w:r>
              <w:rPr/>
              <w:t>  ​ ​ ​</w:t>
            </w:r>
          </w:p>
        </w:tc>
        <w:tc>
          <w:tcPr>
            <w:tcW w:w="2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20,680</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17,477</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16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2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12,857</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11,303</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1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2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34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16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c>
          <w:tcPr>
            <w:tcW w:w="34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2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1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2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w:t>
            </w:r>
          </w:p>
        </w:tc>
        <w:tc>
          <w:tcPr>
            <w:tcW w:w="346" w:type="dxa"/>
            <w:tcBorders/>
            <w:vAlign w:val="center"/>
          </w:tcPr>
          <w:p>
            <w:pPr>
              <w:pStyle w:val="TableContents"/>
              <w:bidi w:val="0"/>
              <w:spacing w:before="0" w:after="0"/>
              <w:ind w:left="0" w:right="0" w:hanging="0"/>
              <w:jc w:val="left"/>
              <w:rPr/>
            </w:pPr>
            <w:r>
              <w:rPr/>
              <w:t>​</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(9,476)</w:t>
            </w:r>
          </w:p>
        </w:tc>
        <w:tc>
          <w:tcPr>
            <w:tcW w:w="346" w:type="dxa"/>
            <w:tcBorders/>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5,024</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4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75,331</w:t>
            </w:r>
          </w:p>
        </w:tc>
        <w:tc>
          <w:tcPr>
            <w:tcW w:w="346" w:type="dxa"/>
            <w:tcBorders/>
            <w:shd w:fill="CCEEFF" w:val="clear"/>
            <w:vAlign w:val="center"/>
          </w:tcPr>
          <w:p>
            <w:pPr>
              <w:pStyle w:val="TableContents"/>
              <w:bidi w:val="0"/>
              <w:spacing w:before="0" w:after="0"/>
              <w:ind w:left="0" w:right="0" w:hanging="0"/>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(22,107)</w:t>
            </w:r>
          </w:p>
        </w:tc>
        <w:tc>
          <w:tcPr>
            <w:tcW w:w="346" w:type="dxa"/>
            <w:tcBorders/>
            <w:shd w:fill="CCEEFF" w:val="clear"/>
            <w:vAlign w:val="center"/>
          </w:tcPr>
          <w:p>
            <w:pPr>
              <w:pStyle w:val="TableContents"/>
              <w:bidi w:val="0"/>
              <w:spacing w:before="0" w:after="0"/>
              <w:ind w:left="0" w:right="0" w:hanging="0"/>
              <w:jc w:val="left"/>
              <w:rPr/>
            </w:pPr>
            <w:r>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53,224</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2025, the weighted average amortization period of total intangible assets and liabilities was 7.8 years and 9.2 years, respectively.</w:t>
      </w:r>
    </w:p>
    <w:p>
      <w:pPr>
        <w:pStyle w:val="TextBody"/>
        <w:pBdr/>
        <w:bidi w:val="0"/>
        <w:spacing w:before="0" w:after="0"/>
        <w:ind w:left="0" w:right="0" w:hanging="490"/>
        <w:jc w:val="both"/>
        <w:rPr>
          <w:rFonts w:ascii="Times New Roman;Times;serif" w:hAnsi="Times New Roman;Times;serif"/>
          <w:b/>
          <w:sz w:val="20"/>
        </w:rPr>
      </w:pPr>
      <w:r>
        <w:rPr>
          <w:rFonts w:ascii="Times New Roman;Times;serif" w:hAnsi="Times New Roman;Times;serif"/>
          <w:b/>
          <w:sz w:val="20"/>
        </w:rPr>
        <w:t>NOTE 11.      PROVISION FOR IMPAIRMENT</w:t>
      </w:r>
    </w:p>
    <w:p>
      <w:pPr>
        <w:pStyle w:val="TextBody"/>
        <w:pBdr/>
        <w:shd w:fill="FFFFFF" w:val="clear"/>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In the aggregate, $0.1</w:t>
      </w:r>
      <w:r>
        <w:rPr>
          <w:rFonts w:ascii="Times New Roman;Times;serif" w:hAnsi="Times New Roman;Times;serif"/>
          <w:sz w:val="24"/>
        </w:rPr>
        <w:t xml:space="preserve"> </w:t>
      </w:r>
      <w:r>
        <w:rPr>
          <w:rFonts w:ascii="Times New Roman;Times;serif" w:hAnsi="Times New Roman;Times;serif"/>
          <w:sz w:val="20"/>
        </w:rPr>
        <w:t>million, $0.7</w:t>
      </w:r>
      <w:r>
        <w:rPr>
          <w:rFonts w:ascii="Times New Roman;Times;serif" w:hAnsi="Times New Roman;Times;serif"/>
          <w:sz w:val="24"/>
        </w:rPr>
        <w:t> </w:t>
      </w:r>
      <w:r>
        <w:rPr>
          <w:rFonts w:ascii="Times New Roman;Times;serif" w:hAnsi="Times New Roman;Times;serif"/>
          <w:sz w:val="20"/>
        </w:rPr>
        <w:t xml:space="preserve">million and </w:t>
      </w:r>
      <w:r>
        <w:rPr>
          <w:rFonts w:ascii="Times New Roman;Times;serif" w:hAnsi="Times New Roman;Times;serif"/>
          <w:b w:val="false"/>
          <w:i w:val="false"/>
          <w:caps w:val="false"/>
          <w:smallCaps w:val="false"/>
          <w:sz w:val="20"/>
        </w:rPr>
        <w:t>$1.5</w:t>
      </w:r>
      <w:r>
        <w:rPr>
          <w:rFonts w:ascii="Times New Roman;Times;serif" w:hAnsi="Times New Roman;Times;serif"/>
          <w:sz w:val="24"/>
        </w:rPr>
        <w:t xml:space="preserve"> </w:t>
      </w:r>
      <w:r>
        <w:rPr>
          <w:rFonts w:ascii="Times New Roman;Times;serif" w:hAnsi="Times New Roman;Times;serif"/>
          <w:sz w:val="20"/>
        </w:rPr>
        <w:t>million of impairment charges were recorded during the years ended December 31, 2025, 2024 and 2023, respectively, as described below by segment.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years ended December 31, 2025 or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recorded impairment charges of $0.1 million, $0.7 million and $0.6 million related to its commercial loans and investments portfolio during the years ended December 31, 2025, 2024 and 2023, respectively</w:t>
      </w:r>
    </w:p>
    <w:p>
      <w:pPr>
        <w:pStyle w:val="TextBody"/>
        <w:pBdr/>
        <w:bidi w:val="0"/>
        <w:spacing w:before="0" w:after="120"/>
        <w:ind w:left="0" w:right="0" w:hanging="490"/>
        <w:jc w:val="both"/>
        <w:rPr>
          <w:rFonts w:ascii="Times New Roman;Times;serif" w:hAnsi="Times New Roman;Times;serif"/>
          <w:b/>
          <w:sz w:val="20"/>
        </w:rPr>
      </w:pPr>
      <w:bookmarkStart w:id="1254" w:name="Tc_g6ZAqK18Pk-qG29Izuw2vQ_12_5"/>
      <w:bookmarkStart w:id="1255" w:name="Tc_y4tH6ezwSkWtqwMJ-3UckQ_12_2"/>
      <w:bookmarkStart w:id="1256" w:name="Tc_WrKReh11V0SyTqeu6w7ojw_12_0"/>
      <w:bookmarkStart w:id="1257" w:name="Tc_uT4ztML5XEeFEjB72mMhvA_11_0"/>
      <w:bookmarkStart w:id="1258" w:name="Tc_HOZKuN9T4E2hmhxUSnS21A_10_0"/>
      <w:bookmarkStart w:id="1259" w:name="Tc_Cb03eaOfiU-FuQc8dbQLbw_9_0"/>
      <w:bookmarkStart w:id="1260" w:name="Tc_rlKVsCMpZUK5enwOydbrsw_8_0"/>
      <w:bookmarkStart w:id="1261" w:name="Tc_sSkqlr1JXE6QGQANy9qTBw_7_0"/>
      <w:bookmarkStart w:id="1262" w:name="Tc_xlKecqGclUK_2x4kar4kSw_5_0"/>
      <w:bookmarkStart w:id="1263" w:name="Tc_Bdm4trrzv0izNNlO6hc4Jg_4_0"/>
      <w:bookmarkStart w:id="1264" w:name="Tc_Ubbm3BS6FE6WnABYwEIHzA_3_5"/>
      <w:bookmarkStart w:id="1265" w:name="Tc_kPvc3AThCUGuylJf5DonQw_3_2"/>
      <w:bookmarkStart w:id="1266" w:name="Tc_Yo50oF6dEk2Gmr3il2My1Q_3_0"/>
      <w:bookmarkStart w:id="1267" w:name="Tc_DWduJVQcnUuZZ72nYpirQA_2_5"/>
      <w:bookmarkStart w:id="1268" w:name="Tc_aynV4FkMYEunBbaOC76PZg_2_2"/>
      <w:bookmarkStart w:id="1269" w:name="Tc_-tIOlkjqdUibtmF8CQLJkA_1_2"/>
      <w:bookmarkStart w:id="1270" w:name="_63f536bb_55d7_489b_b91e_69ee7e9f3680"/>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b/>
          <w:sz w:val="20"/>
        </w:rPr>
        <w:t>NOTE 12.       OTHER ASSETS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December 31, 2025 and 2024 (in thousands):</w:t>
      </w:r>
    </w:p>
    <w:tbl>
      <w:tblPr>
        <w:tblW w:w="10205" w:type="dxa"/>
        <w:jc w:val="left"/>
        <w:tblInd w:w="0" w:type="dxa"/>
        <w:tblLayout w:type="fixed"/>
        <w:tblCellMar>
          <w:top w:w="0" w:type="dxa"/>
          <w:left w:w="0" w:type="dxa"/>
          <w:bottom w:w="0" w:type="dxa"/>
          <w:right w:w="0" w:type="dxa"/>
        </w:tblCellMar>
      </w:tblPr>
      <w:tblGrid>
        <w:gridCol w:w="6116"/>
        <w:gridCol w:w="346"/>
        <w:gridCol w:w="397"/>
        <w:gridCol w:w="1278"/>
        <w:gridCol w:w="346"/>
        <w:gridCol w:w="364"/>
        <w:gridCol w:w="1358"/>
      </w:tblGrid>
      <w:tr>
        <w:trPr/>
        <w:tc>
          <w:tcPr>
            <w:tcW w:w="6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883660" cy="175260"/>
                      <wp:effectExtent l="0" t="0" r="0" b="0"/>
                      <wp:wrapNone/>
                      <wp:docPr id="321" name="Frame320"/>
                      <a:graphic xmlns:a="http://schemas.openxmlformats.org/drawingml/2006/main">
                        <a:graphicData uri="http://schemas.microsoft.com/office/word/2010/wordprocessingShape">
                          <wps:wsp>
                            <wps:cNvSpPr txBox="1"/>
                            <wps:spPr>
                              <a:xfrm>
                                <a:off x="0" y="0"/>
                                <a:ext cx="388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52095" cy="175260"/>
                      <wp:effectExtent l="0" t="0" r="0" b="0"/>
                      <wp:wrapNone/>
                      <wp:docPr id="323" name="Frame322"/>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11530" cy="175260"/>
                      <wp:effectExtent l="0" t="0" r="0" b="0"/>
                      <wp:wrapNone/>
                      <wp:docPr id="324" name="Frame323"/>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31140" cy="175260"/>
                      <wp:effectExtent l="0" t="0" r="0" b="0"/>
                      <wp:wrapNone/>
                      <wp:docPr id="326" name="Frame32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62330" cy="175260"/>
                      <wp:effectExtent l="0" t="0" r="0" b="0"/>
                      <wp:wrapNone/>
                      <wp:docPr id="327" name="Frame326"/>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6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1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6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7,437</w:t>
            </w:r>
          </w:p>
        </w:tc>
      </w:tr>
      <w:tr>
        <w:trPr/>
        <w:tc>
          <w:tcPr>
            <w:tcW w:w="6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Leasing Commissions and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9,303</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7,594</w:t>
            </w:r>
          </w:p>
        </w:tc>
      </w:tr>
      <w:tr>
        <w:trPr/>
        <w:tc>
          <w:tcPr>
            <w:tcW w:w="61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6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 Receivables</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6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6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4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6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4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r>
      <w:tr>
        <w:trPr/>
        <w:tc>
          <w:tcPr>
            <w:tcW w:w="6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36,207</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36,201</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6"/>
        </w:rPr>
        <w:t>Includes a $2.6</w:t>
      </w:r>
      <w:r>
        <w:rPr>
          <w:rFonts w:ascii="Times New Roman;Times;serif" w:hAnsi="Times New Roman;Times;serif"/>
          <w:sz w:val="18"/>
        </w:rPr>
        <w:t xml:space="preserve"> </w:t>
      </w:r>
      <w:r>
        <w:rPr>
          <w:rFonts w:ascii="Times New Roman;Times;serif" w:hAnsi="Times New Roman;Times;serif"/>
          <w:sz w:val="16"/>
        </w:rPr>
        <w:t>million and $1.9</w:t>
      </w:r>
      <w:r>
        <w:rPr>
          <w:rFonts w:ascii="Times New Roman;Times;serif" w:hAnsi="Times New Roman;Times;serif"/>
          <w:sz w:val="18"/>
        </w:rPr>
        <w:t xml:space="preserve"> </w:t>
      </w:r>
      <w:r>
        <w:rPr>
          <w:rFonts w:ascii="Times New Roman;Times;serif" w:hAnsi="Times New Roman;Times;serif"/>
          <w:sz w:val="16"/>
        </w:rPr>
        <w:t xml:space="preserve">million allowance for doubtful accounts as of December 31, 2025 and 2024, respectively. </w:t>
      </w:r>
    </w:p>
    <w:p>
      <w:pPr>
        <w:pStyle w:val="TextBody"/>
        <w:pBdr/>
        <w:bidi w:val="0"/>
        <w:spacing w:before="240" w:after="240"/>
        <w:ind w:left="0" w:right="0" w:hanging="490"/>
        <w:jc w:val="both"/>
        <w:rPr>
          <w:rFonts w:ascii="Times New Roman;Times;serif" w:hAnsi="Times New Roman;Times;serif"/>
          <w:b/>
          <w:sz w:val="20"/>
        </w:rPr>
      </w:pPr>
      <w:r>
        <w:rPr>
          <w:rFonts w:ascii="Times New Roman;Times;serif" w:hAnsi="Times New Roman;Times;serif"/>
          <w:b/>
          <w:sz w:val="20"/>
        </w:rPr>
        <w:t>NOTE 13.       EQUITY</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w:t>
      </w:r>
      <w:r>
        <w:rPr>
          <w:rFonts w:ascii="Times New Roman;Times;serif" w:hAnsi="Times New Roman;Times;serif"/>
          <w:sz w:val="20"/>
          <w:shd w:fill="FFFFFF" w:val="clear"/>
        </w:rPr>
        <w:t>2022 Registration Statement</w:t>
      </w:r>
      <w:r>
        <w:rPr>
          <w:rFonts w:ascii="Times New Roman;Times;serif" w:hAnsi="Times New Roman;Times;serif"/>
          <w:sz w:val="20"/>
        </w:rPr>
        <w:t xml:space="preserve"> effective on October 26, 2022.</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sz w:val="20"/>
          <w:shd w:fill="FFFFFF" w:val="clear"/>
        </w:rPr>
        <w:t xml:space="preserve">December 5, 2022, the Company completed a follow-on public offering of </w:t>
      </w:r>
      <w:r>
        <w:rPr>
          <w:rFonts w:ascii="Times New Roman;Times;serif" w:hAnsi="Times New Roman;Times;serif"/>
          <w:sz w:val="20"/>
        </w:rPr>
        <w:t xml:space="preserve">3,450,000 </w:t>
      </w:r>
      <w:r>
        <w:rPr>
          <w:rFonts w:ascii="Times New Roman;Times;serif" w:hAnsi="Times New Roman;Times;serif"/>
          <w:sz w:val="20"/>
          <w:shd w:fill="FFFFFF" w:val="clear"/>
        </w:rPr>
        <w:t>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18"/>
        </w:rPr>
      </w:pPr>
      <w:r>
        <w:rPr>
          <w:rFonts w:ascii="TimesNewRoman" w:hAnsi="TimesNewRoman"/>
          <w:sz w:val="18"/>
        </w:rPr>
        <w:t>O</w:t>
      </w:r>
      <w:r>
        <w:rPr>
          <w:rFonts w:ascii="Times New Roman;Times;serif" w:hAnsi="Times New Roman;Times;serif"/>
          <w:sz w:val="20"/>
        </w:rPr>
        <w:t>n October 28, 2022, the Company implemented a $150.0</w:t>
      </w:r>
      <w:r>
        <w:rPr>
          <w:rFonts w:ascii="Times New Roman;Times;serif" w:hAnsi="Times New Roman;Times;serif"/>
          <w:sz w:val="18"/>
        </w:rPr>
        <w:t xml:space="preserve"> </w:t>
      </w:r>
      <w:r>
        <w:rPr>
          <w:rFonts w:ascii="Times New Roman;Times;serif" w:hAnsi="Times New Roman;Times;serif"/>
          <w:sz w:val="20"/>
        </w:rPr>
        <w:t>million “at-the-market” equity offering program (the “2022 ATM Program”) pursuant to which the Company may sell, from time to time, shares of the Company’s common stock. During the year ended December 31, 2022, the Company sold 604,765</w:t>
      </w:r>
      <w:r>
        <w:rPr>
          <w:rFonts w:ascii="Times New Roman;Times;serif" w:hAnsi="Times New Roman;Times;serif"/>
          <w:sz w:val="18"/>
        </w:rPr>
        <w:t xml:space="preserve"> </w:t>
      </w:r>
      <w:r>
        <w:rPr>
          <w:rFonts w:ascii="Times New Roman;Times;serif" w:hAnsi="Times New Roman;Times;serif"/>
          <w:sz w:val="20"/>
        </w:rPr>
        <w:t>shares under the 2022 ATM Program for gross proceeds of $12.3</w:t>
      </w:r>
      <w:r>
        <w:rPr>
          <w:rFonts w:ascii="Times New Roman;Times;serif" w:hAnsi="Times New Roman;Times;serif"/>
          <w:sz w:val="18"/>
        </w:rPr>
        <w:t xml:space="preserve"> </w:t>
      </w:r>
      <w:r>
        <w:rPr>
          <w:rFonts w:ascii="Times New Roman;Times;serif" w:hAnsi="Times New Roman;Times;serif"/>
          <w:sz w:val="20"/>
        </w:rPr>
        <w:t>million at a weighted average price of $20.29</w:t>
      </w:r>
      <w:r>
        <w:rPr>
          <w:rFonts w:ascii="Times New Roman;Times;serif" w:hAnsi="Times New Roman;Times;serif"/>
          <w:sz w:val="18"/>
        </w:rPr>
        <w:t xml:space="preserve"> </w:t>
      </w:r>
      <w:r>
        <w:rPr>
          <w:rFonts w:ascii="Times New Roman;Times;serif" w:hAnsi="Times New Roman;Times;serif"/>
          <w:sz w:val="20"/>
        </w:rPr>
        <w:t>per share, generating net proceeds of $12.1</w:t>
      </w:r>
      <w:r>
        <w:rPr>
          <w:rFonts w:ascii="Times New Roman;Times;serif" w:hAnsi="Times New Roman;Times;serif"/>
          <w:sz w:val="18"/>
        </w:rPr>
        <w:t xml:space="preserve"> </w:t>
      </w:r>
      <w:r>
        <w:rPr>
          <w:rFonts w:ascii="Times New Roman;Times;serif" w:hAnsi="Times New Roman;Times;serif"/>
          <w:sz w:val="20"/>
        </w:rPr>
        <w:t>million after deducting transaction fees totaling $0.2</w:t>
      </w:r>
      <w:r>
        <w:rPr>
          <w:rFonts w:ascii="Times New Roman;Times;serif" w:hAnsi="Times New Roman;Times;serif"/>
          <w:sz w:val="18"/>
        </w:rPr>
        <w:t xml:space="preserve"> </w:t>
      </w:r>
      <w:r>
        <w:rPr>
          <w:rFonts w:ascii="Times New Roman;Times;serif" w:hAnsi="Times New Roman;Times;serif"/>
          <w:sz w:val="20"/>
        </w:rPr>
        <w:t>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not active under the 2024 ATM Program during the year ended December 31, 2025. As of December 31, 2025, $216.5 million of availability remained under the 2024 ATM Program.</w:t>
      </w:r>
    </w:p>
    <w:p>
      <w:pPr>
        <w:pStyle w:val="TextBody"/>
        <w:bidi w:val="0"/>
        <w:spacing w:before="0" w:after="0"/>
        <w:ind w:left="0" w:right="0" w:firstLine="49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June 28, 2021, the Company priced a public offering of </w:t>
      </w:r>
      <w:r>
        <w:rPr>
          <w:rFonts w:ascii="Times New Roman;Times;serif" w:hAnsi="Times New Roman;Times;serif"/>
          <w:sz w:val="20"/>
        </w:rPr>
        <w:t xml:space="preserve">3,000,000 </w:t>
      </w:r>
      <w:r>
        <w:rPr>
          <w:rFonts w:ascii="Times New Roman;Times;serif" w:hAnsi="Times New Roman;Times;serif"/>
          <w:sz w:val="20"/>
          <w:shd w:fill="FFFFFF" w:val="clear"/>
        </w:rPr>
        <w:t>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2024, </w:t>
      </w:r>
      <w:r>
        <w:rPr>
          <w:rFonts w:ascii="Times New Roman;Times;serif" w:hAnsi="Times New Roman;Times;serif"/>
          <w:sz w:val="20"/>
          <w:shd w:fill="FFFFFF" w:val="clear"/>
        </w:rPr>
        <w:t xml:space="preserve">the Company </w:t>
      </w:r>
      <w:r>
        <w:rPr>
          <w:rFonts w:ascii="Times New Roman;Times;serif" w:hAnsi="Times New Roman;Times;serif"/>
          <w:sz w:val="20"/>
        </w:rPr>
        <w:t>priced a public</w:t>
      </w:r>
      <w:r>
        <w:rPr>
          <w:rFonts w:ascii="Times New Roman;Times;serif" w:hAnsi="Times New Roman;Times;serif"/>
          <w:sz w:val="20"/>
          <w:shd w:fill="FFFFFF" w:val="clear"/>
        </w:rPr>
        <w:t xml:space="preserve">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71" w:name="Tc_KcHz-UXZ7UionD2MmQywaw_9_8"/>
      <w:bookmarkStart w:id="1272" w:name="Tc_qAs4xl_m0EecCH4v88Y7iQ_9_5"/>
      <w:bookmarkStart w:id="1273" w:name="Tc_BDCp1lVjX0auHONW41HU9Q_9_2"/>
      <w:bookmarkStart w:id="1274" w:name="Tc_Hw-4YgwWgkO-qQkeuIpwcw_9_0"/>
      <w:bookmarkStart w:id="1275" w:name="Tc__4_0WsWhTEW9v7IA-xV-jQ_8_8"/>
      <w:bookmarkStart w:id="1276" w:name="Tc__1Hr-An6fUSg6RRJLFQrag_8_5"/>
      <w:bookmarkStart w:id="1277" w:name="Tc_3_RBLocrPkiMlWu7roO78g_8_2"/>
      <w:bookmarkStart w:id="1278" w:name="Tc_1qApI9MMiUSH_U_L-q74Nw_8_0"/>
      <w:bookmarkStart w:id="1279" w:name="Tc_mXEwdrZbrE6jAVgDXWYgOA_7_0"/>
      <w:bookmarkStart w:id="1280" w:name="Tc_zcFWMAQ6C0WGq1Q5JW_TfQ_5_8"/>
      <w:bookmarkStart w:id="1281" w:name="Tc_jWAYgH6Cf0-FqFsFva0TVg_5_5"/>
      <w:bookmarkStart w:id="1282" w:name="Tc_ZNdBBfmChUeIFOX_5dmeDQ_5_2"/>
      <w:bookmarkStart w:id="1283" w:name="Tc_hPoV-ijc1kmZOfS8Vo-JBw_5_0"/>
      <w:bookmarkStart w:id="1284" w:name="Tc_sK4l_U_xJkGR4Hv3tODizw_4_8"/>
      <w:bookmarkStart w:id="1285" w:name="Tc_v6HcQZ5iOkmD6kPYkolFMw_4_5"/>
      <w:bookmarkStart w:id="1286" w:name="Tc_Mml4MhVhaUC4U46u5G42Pw_4_2"/>
      <w:bookmarkStart w:id="1287" w:name="Tc_p5XASIsr8kCYGIV1xD3h4A_4_0"/>
      <w:bookmarkStart w:id="1288" w:name="Tc_fsMbAWB1JE2jbpIAZ7i-Rg_3_0"/>
      <w:bookmarkStart w:id="1289" w:name="Tc_inkNuWKhoUaWUsAVMw3p3w_2_8"/>
      <w:bookmarkStart w:id="1290" w:name="Tc_CfoaqA2Z6kCHeetIS4DFjQ_2_5"/>
      <w:bookmarkStart w:id="1291" w:name="Tc_itM1Ma4jxE-KjlWW-SNTAA_2_2"/>
      <w:bookmarkStart w:id="1292" w:name="Tc_BiGH5MF5JE2kSJLKIYVcBw_1_2"/>
      <w:bookmarkStart w:id="1293" w:name="_5b27943f_e18e_4920_a3d8_15e834f5d55d"/>
      <w:bookmarkStart w:id="1294" w:name="Tc_0z1bsuwwSUyuWMmzfIyuUg_3_17"/>
      <w:bookmarkStart w:id="1295" w:name="Tc_CMjIT1SNgkOr7O3DGaHqFw_3_14"/>
      <w:bookmarkStart w:id="1296" w:name="Tc_m3GsbACxYka1myYHf8_QJA_3_11"/>
      <w:bookmarkStart w:id="1297" w:name="Tc_U8Lo0fiLtUu0uwoJDGGC4A_3_8"/>
      <w:bookmarkStart w:id="1298" w:name="Tc_TwNlrxyk4E2_yasGmwZbQg_3_4"/>
      <w:bookmarkStart w:id="1299" w:name="Tc_ZlXrWZkAek6nMzG08rImUA_3_0"/>
      <w:bookmarkStart w:id="1300" w:name="Tc_CEVujnowx0iNBAdI2b4sUA_2_17"/>
      <w:bookmarkStart w:id="1301" w:name="Tc_aWOTvZcEdEu8XtPzeCD4ZA_2_14"/>
      <w:bookmarkStart w:id="1302" w:name="Tc_WOTHa_v07ESfTHGs2rntVg_2_11"/>
      <w:bookmarkStart w:id="1303" w:name="Tc_v9iLodI6uESw-aJe-2BLag_2_8"/>
      <w:bookmarkStart w:id="1304" w:name="Tc_JFkj0-m6Sk-b8zmxTPAq4w_2_4"/>
      <w:bookmarkStart w:id="1305" w:name="Tc_dcuX0HA-SEiC27LshWUx7g_2_0"/>
      <w:bookmarkStart w:id="1306" w:name="Tc_3MUtiaua-ESjWEQqPw9DzA_1_17"/>
      <w:bookmarkStart w:id="1307" w:name="Tc_sij16P3gKE-eofJDKfKm5w_1_14"/>
      <w:bookmarkStart w:id="1308" w:name="Tc_ucb8wHA-vUOmY-GYrkZO6Q_1_11"/>
      <w:bookmarkStart w:id="1309" w:name="Tc_A8U0nZurOE2e9Edm08XIeg_1_8"/>
      <w:bookmarkStart w:id="1310" w:name="Tc_UiDWdxcSY0WHEA_VyGo-hQ_1_6"/>
      <w:bookmarkStart w:id="1311" w:name="Tc_JCasi_todUSUkT3ORXb5Lg_1_4"/>
      <w:bookmarkStart w:id="1312" w:name="Tc_Oet5QnCzmUuK2eTiVQg2CA_1_2"/>
      <w:bookmarkStart w:id="1313" w:name="Tc_g7AcHPty10a5-lYw8wxB3g_1_0"/>
      <w:bookmarkStart w:id="1314" w:name="_d01dbaee_eee0_4c03_a94a_932b2b6d7354"/>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r>
        <w:rPr>
          <w:rFonts w:ascii="Times New Roman;Times;serif" w:hAnsi="Times New Roman;Times;serif"/>
          <w:sz w:val="20"/>
        </w:rPr>
        <w:t>The following details the public offerings</w:t>
      </w:r>
      <w:r>
        <w:rPr>
          <w:rFonts w:ascii="Times New Roman;Times;serif" w:hAnsi="Times New Roman;Times;serif"/>
          <w:sz w:val="20"/>
          <w:shd w:fill="FFFFFF" w:val="clear"/>
        </w:rPr>
        <w:t xml:space="preserve"> (in thousands, except per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20"/>
        <w:gridCol w:w="109"/>
        <w:gridCol w:w="1156"/>
        <w:gridCol w:w="109"/>
        <w:gridCol w:w="844"/>
        <w:gridCol w:w="109"/>
        <w:gridCol w:w="1679"/>
        <w:gridCol w:w="109"/>
        <w:gridCol w:w="284"/>
        <w:gridCol w:w="913"/>
        <w:gridCol w:w="109"/>
        <w:gridCol w:w="254"/>
        <w:gridCol w:w="818"/>
        <w:gridCol w:w="109"/>
        <w:gridCol w:w="216"/>
        <w:gridCol w:w="695"/>
        <w:gridCol w:w="109"/>
        <w:gridCol w:w="1863"/>
      </w:tblGrid>
      <w:tr>
        <w:trPr/>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57200" cy="175260"/>
                      <wp:effectExtent l="0" t="0" r="0" b="0"/>
                      <wp:wrapNone/>
                      <wp:docPr id="328" name="Frame3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34060" cy="175260"/>
                      <wp:effectExtent l="0" t="0" r="0" b="0"/>
                      <wp:wrapNone/>
                      <wp:docPr id="330" name="Frame32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35940" cy="175260"/>
                      <wp:effectExtent l="0" t="0" r="0" b="0"/>
                      <wp:wrapNone/>
                      <wp:docPr id="332" name="Frame33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066165" cy="175260"/>
                      <wp:effectExtent l="0" t="0" r="0" b="0"/>
                      <wp:wrapNone/>
                      <wp:docPr id="334" name="Frame333"/>
                      <a:graphic xmlns:a="http://schemas.openxmlformats.org/drawingml/2006/main">
                        <a:graphicData uri="http://schemas.microsoft.com/office/word/2010/wordprocessingShape">
                          <wps:wsp>
                            <wps:cNvSpPr txBox="1"/>
                            <wps:spPr>
                              <a:xfrm>
                                <a:off x="0" y="0"/>
                                <a:ext cx="1066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80340" cy="175260"/>
                      <wp:effectExtent l="0" t="0" r="0" b="0"/>
                      <wp:wrapNone/>
                      <wp:docPr id="336" name="Frame33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79755" cy="175260"/>
                      <wp:effectExtent l="0" t="0" r="0" b="0"/>
                      <wp:wrapNone/>
                      <wp:docPr id="337" name="Frame33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61290" cy="175260"/>
                      <wp:effectExtent l="0" t="0" r="0" b="0"/>
                      <wp:wrapNone/>
                      <wp:docPr id="339" name="Frame33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19430" cy="175260"/>
                      <wp:effectExtent l="0" t="0" r="0" b="0"/>
                      <wp:wrapNone/>
                      <wp:docPr id="340" name="Frame33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7160" cy="175260"/>
                      <wp:effectExtent l="0" t="0" r="0" b="0"/>
                      <wp:wrapNone/>
                      <wp:docPr id="342" name="Frame3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41325" cy="175260"/>
                      <wp:effectExtent l="0" t="0" r="0" b="0"/>
                      <wp:wrapNone/>
                      <wp:docPr id="343" name="Frame342"/>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83005" cy="175260"/>
                      <wp:effectExtent l="0" t="0" r="0" b="0"/>
                      <wp:wrapNone/>
                      <wp:docPr id="345" name="Frame344"/>
                      <a:graphic xmlns:a="http://schemas.openxmlformats.org/drawingml/2006/main">
                        <a:graphicData uri="http://schemas.microsoft.com/office/word/2010/wordprocessingShape">
                          <wps:wsp>
                            <wps:cNvSpPr txBox="1"/>
                            <wps:spPr>
                              <a:xfrm>
                                <a:off x="0" y="0"/>
                                <a:ext cx="1183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w:t>
            </w:r>
          </w:p>
        </w:tc>
        <w:tc>
          <w:tcPr>
            <w:tcW w:w="109"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Dividend Rate </w:t>
            </w:r>
          </w:p>
        </w:tc>
        <w:tc>
          <w:tcPr>
            <w:tcW w:w="109" w:type="dxa"/>
            <w:tcBorders/>
            <w:vAlign w:val="center"/>
          </w:tcPr>
          <w:p>
            <w:pPr>
              <w:pStyle w:val="TableContents"/>
              <w:bidi w:val="0"/>
              <w:spacing w:before="0" w:after="0"/>
              <w:ind w:left="0" w:right="0" w:hanging="0"/>
              <w:jc w:val="center"/>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Issued</w:t>
            </w:r>
          </w:p>
        </w:tc>
        <w:tc>
          <w:tcPr>
            <w:tcW w:w="109" w:type="dxa"/>
            <w:tcBorders/>
            <w:vAlign w:val="center"/>
          </w:tcPr>
          <w:p>
            <w:pPr>
              <w:pStyle w:val="TableContents"/>
              <w:bidi w:val="0"/>
              <w:spacing w:before="0" w:after="0"/>
              <w:ind w:left="0" w:right="0" w:hanging="0"/>
              <w:jc w:val="center"/>
              <w:rPr/>
            </w:pPr>
            <w:r>
              <w:rPr/>
              <w:t>​</w:t>
            </w:r>
          </w:p>
        </w:tc>
        <w:tc>
          <w:tcPr>
            <w:tcW w:w="1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Shares Issued</w:t>
            </w:r>
          </w:p>
        </w:tc>
        <w:tc>
          <w:tcPr>
            <w:tcW w:w="109" w:type="dxa"/>
            <w:tcBorders/>
            <w:vAlign w:val="center"/>
          </w:tcPr>
          <w:p>
            <w:pPr>
              <w:pStyle w:val="TableContents"/>
              <w:bidi w:val="0"/>
              <w:spacing w:before="0" w:after="0"/>
              <w:ind w:left="0" w:right="0" w:hanging="0"/>
              <w:jc w:val="center"/>
              <w:rPr/>
            </w:pPr>
            <w:r>
              <w:rPr/>
              <w:t>​</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 Proceeds</w:t>
            </w:r>
          </w:p>
        </w:tc>
        <w:tc>
          <w:tcPr>
            <w:tcW w:w="109" w:type="dxa"/>
            <w:tcBorders/>
            <w:vAlign w:val="center"/>
          </w:tcPr>
          <w:p>
            <w:pPr>
              <w:pStyle w:val="TableContents"/>
              <w:bidi w:val="0"/>
              <w:spacing w:before="0" w:after="0"/>
              <w:ind w:left="0" w:right="0" w:hanging="0"/>
              <w:jc w:val="center"/>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Proceeds</w:t>
            </w:r>
          </w:p>
        </w:tc>
        <w:tc>
          <w:tcPr>
            <w:tcW w:w="109" w:type="dxa"/>
            <w:tcBorders/>
            <w:vAlign w:val="center"/>
          </w:tcPr>
          <w:p>
            <w:pPr>
              <w:pStyle w:val="TableContents"/>
              <w:bidi w:val="0"/>
              <w:spacing w:before="0" w:after="0"/>
              <w:ind w:left="0" w:right="0" w:hanging="0"/>
              <w:jc w:val="center"/>
              <w:rPr/>
            </w:pPr>
            <w:r>
              <w:rPr/>
              <w:t>​</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Dividend </w:t>
              <w:br/>
              <w:t>per Share</w:t>
            </w:r>
          </w:p>
        </w:tc>
        <w:tc>
          <w:tcPr>
            <w:tcW w:w="109" w:type="dxa"/>
            <w:tcBorders/>
            <w:vAlign w:val="center"/>
          </w:tcPr>
          <w:p>
            <w:pPr>
              <w:pStyle w:val="TableContents"/>
              <w:bidi w:val="0"/>
              <w:spacing w:before="0" w:after="0"/>
              <w:ind w:left="0" w:right="0" w:hanging="0"/>
              <w:jc w:val="center"/>
              <w:rPr/>
            </w:pPr>
            <w:r>
              <w:rPr/>
              <w:t>​</w:t>
            </w:r>
          </w:p>
        </w:tc>
        <w:tc>
          <w:tcPr>
            <w:tcW w:w="1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Earliest Redemption Date</w:t>
            </w:r>
          </w:p>
        </w:tc>
      </w:tr>
      <w:tr>
        <w:trPr/>
        <w:tc>
          <w:tcPr>
            <w:tcW w:w="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w:t>
            </w:r>
          </w:p>
        </w:tc>
        <w:tc>
          <w:tcPr>
            <w:tcW w:w="109"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109"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2021</w:t>
            </w:r>
          </w:p>
        </w:tc>
        <w:tc>
          <w:tcPr>
            <w:tcW w:w="109" w:type="dxa"/>
            <w:tcBorders/>
            <w:shd w:fill="CCEEFF" w:val="clear"/>
            <w:vAlign w:val="center"/>
          </w:tcPr>
          <w:p>
            <w:pPr>
              <w:pStyle w:val="TableContents"/>
              <w:bidi w:val="0"/>
              <w:spacing w:before="0" w:after="0"/>
              <w:ind w:left="0" w:right="0" w:hanging="0"/>
              <w:jc w:val="left"/>
              <w:rPr/>
            </w:pPr>
            <w:r>
              <w:rPr/>
              <w:t>​</w:t>
            </w:r>
          </w:p>
        </w:tc>
        <w:tc>
          <w:tcPr>
            <w:tcW w:w="1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72,428</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0.3984</w:t>
            </w:r>
          </w:p>
        </w:tc>
        <w:tc>
          <w:tcPr>
            <w:tcW w:w="109" w:type="dxa"/>
            <w:tcBorders/>
            <w:shd w:fill="CCEEFF" w:val="clear"/>
            <w:vAlign w:val="center"/>
          </w:tcPr>
          <w:p>
            <w:pPr>
              <w:pStyle w:val="TableContents"/>
              <w:bidi w:val="0"/>
              <w:spacing w:before="0" w:after="0"/>
              <w:ind w:left="0" w:right="0" w:hanging="0"/>
              <w:jc w:val="left"/>
              <w:rPr/>
            </w:pPr>
            <w:r>
              <w:rPr/>
              <w:t>​</w:t>
            </w:r>
          </w:p>
        </w:tc>
        <w:tc>
          <w:tcPr>
            <w:tcW w:w="18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2026</w:t>
            </w:r>
          </w:p>
        </w:tc>
      </w:tr>
      <w:tr>
        <w:trPr/>
        <w:tc>
          <w:tcPr>
            <w:tcW w:w="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w:t>
            </w:r>
          </w:p>
        </w:tc>
        <w:tc>
          <w:tcPr>
            <w:tcW w:w="109"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109"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2024</w:t>
            </w:r>
          </w:p>
        </w:tc>
        <w:tc>
          <w:tcPr>
            <w:tcW w:w="109" w:type="dxa"/>
            <w:tcBorders/>
            <w:vAlign w:val="center"/>
          </w:tcPr>
          <w:p>
            <w:pPr>
              <w:pStyle w:val="TableContents"/>
              <w:bidi w:val="0"/>
              <w:spacing w:before="0" w:after="0"/>
              <w:ind w:left="0" w:right="0" w:hanging="0"/>
              <w:jc w:val="left"/>
              <w:rPr/>
            </w:pPr>
            <w:r>
              <w:rPr/>
              <w:t>​</w:t>
            </w:r>
          </w:p>
        </w:tc>
        <w:tc>
          <w:tcPr>
            <w:tcW w:w="1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1,718,417</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34,368</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33,055</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0.3984</w:t>
            </w:r>
          </w:p>
        </w:tc>
        <w:tc>
          <w:tcPr>
            <w:tcW w:w="109"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2026</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August 23, 2024, the Company implemented a $24.5 million “at-the-market” preferred stock equity offering program (the “2024 Preferred Stock ATM Program”) pursuant to which the Company may sell, from time to time, shares of the </w:t>
      </w:r>
      <w:r>
        <w:rPr>
          <w:rFonts w:ascii="Times New Roman;Times;serif" w:hAnsi="Times New Roman;Times;serif"/>
          <w:color w:val="212529"/>
          <w:sz w:val="20"/>
          <w:shd w:fill="FFFFFF" w:val="clear"/>
        </w:rPr>
        <w:t>Company’s Series A Preferred Stock</w:t>
      </w:r>
      <w:r>
        <w:rPr>
          <w:rFonts w:ascii="Times New Roman;Times;serif" w:hAnsi="Times New Roman;Times;serif"/>
          <w:sz w:val="20"/>
        </w:rPr>
        <w:t>. During the year ended December 31, 2024, the Company sold 15,844 shares under the 2024 Preferred Stock ATM Program generating net proceeds of $0.4 million at a weighted average price of $23.22 per share after deducting transaction fees of less than $0.1 million. As of December 31, 2025, $24.1 million of availability remained under the 2024 Preferred Stock ATM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ranks senior to the Company’s common stock with respect to dividend rights and rights upon liquidation, dissolution or winding up of the Company. 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has no maturity date and will remain outstanding unless redeemed.</w:t>
      </w:r>
    </w:p>
    <w:p>
      <w:pPr>
        <w:pStyle w:val="TextBody"/>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at a redemption price of $25.00 per share plus any accumulated and unpaid dividends up to, but excluding the date of redemption, and in limited circumstances, the holders of </w:t>
      </w:r>
      <w:r>
        <w:rPr>
          <w:rFonts w:ascii="Times New Roman;Times;serif" w:hAnsi="Times New Roman;Times;serif"/>
          <w:sz w:val="20"/>
          <w:shd w:fill="FFFFFF" w:val="clear"/>
        </w:rPr>
        <w:t>preferred stock shares</w:t>
      </w:r>
      <w:r>
        <w:rPr>
          <w:rFonts w:ascii="Times New Roman;Times;serif" w:hAnsi="Times New Roman;Times;serif"/>
          <w:sz w:val="20"/>
        </w:rPr>
        <w:t xml:space="preserve"> may convert some or all of their </w:t>
      </w:r>
      <w:r>
        <w:rPr>
          <w:rFonts w:ascii="Times New Roman;Times;serif" w:hAnsi="Times New Roman;Times;serif"/>
          <w:sz w:val="20"/>
          <w:shd w:fill="FFFFFF" w:val="clear"/>
        </w:rPr>
        <w:t>Series A Preferred Stock</w:t>
      </w:r>
      <w:r>
        <w:rPr>
          <w:rFonts w:ascii="Times New Roman;Times;serif" w:hAnsi="Times New Roman;Times;serif"/>
          <w:sz w:val="20"/>
        </w:rPr>
        <w:t xml:space="preserve"> into shares of the Company’s common stock at conversion rates set forth in the Articles Supplementary.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15, “Share Repurchases” for the Company’s Series A Preferred Stock repurchase activity.</w:t>
      </w:r>
    </w:p>
    <w:p>
      <w:pPr>
        <w:pStyle w:val="TextBody"/>
        <w:bidi w:val="0"/>
        <w:spacing w:before="0" w:after="0"/>
        <w:ind w:left="0" w:right="0" w:firstLine="49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outlines dividends declared and paid for each issuance of CTO’s stock during the years ended December 31, 2025, 2024, and 2023 (in thousands, except per share data):</w:t>
      </w:r>
    </w:p>
    <w:p>
      <w:pPr>
        <w:pStyle w:val="TextBody"/>
        <w:bidi w:val="0"/>
        <w:spacing w:before="0" w:after="0"/>
        <w:ind w:left="0" w:right="0" w:firstLine="490"/>
        <w:jc w:val="both"/>
        <w:rPr/>
      </w:pPr>
      <w:r>
        <w:rPr/>
        <w:t>​</w:t>
      </w:r>
    </w:p>
    <w:tbl>
      <w:tblPr>
        <w:tblW w:w="6256" w:type="dxa"/>
        <w:jc w:val="left"/>
        <w:tblInd w:w="0" w:type="dxa"/>
        <w:tblLayout w:type="fixed"/>
        <w:tblCellMar>
          <w:top w:w="0" w:type="dxa"/>
          <w:left w:w="0" w:type="dxa"/>
          <w:bottom w:w="0" w:type="dxa"/>
          <w:right w:w="0" w:type="dxa"/>
        </w:tblCellMar>
      </w:tblPr>
      <w:tblGrid>
        <w:gridCol w:w="2101"/>
        <w:gridCol w:w="109"/>
        <w:gridCol w:w="299"/>
        <w:gridCol w:w="962"/>
        <w:gridCol w:w="109"/>
        <w:gridCol w:w="299"/>
        <w:gridCol w:w="962"/>
        <w:gridCol w:w="109"/>
        <w:gridCol w:w="295"/>
        <w:gridCol w:w="1011"/>
      </w:tblGrid>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89865" cy="175260"/>
                      <wp:effectExtent l="0" t="0" r="0" b="0"/>
                      <wp:wrapNone/>
                      <wp:docPr id="347" name="Frame34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10870" cy="175260"/>
                      <wp:effectExtent l="0" t="0" r="0" b="0"/>
                      <wp:wrapNone/>
                      <wp:docPr id="348" name="Frame34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89865" cy="175260"/>
                      <wp:effectExtent l="0" t="0" r="0" b="0"/>
                      <wp:wrapNone/>
                      <wp:docPr id="350" name="Frame34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10870" cy="175260"/>
                      <wp:effectExtent l="0" t="0" r="0" b="0"/>
                      <wp:wrapNone/>
                      <wp:docPr id="351" name="Frame350"/>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87325" cy="175260"/>
                      <wp:effectExtent l="0" t="0" r="0" b="0"/>
                      <wp:wrapNone/>
                      <wp:docPr id="353" name="Frame35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1985" cy="175260"/>
                      <wp:effectExtent l="0" t="0" r="0" b="0"/>
                      <wp:wrapNone/>
                      <wp:docPr id="354" name="Frame353"/>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0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6,814</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2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49,046</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40,280</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34,266</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pBdr/>
        <w:bidi w:val="0"/>
        <w:spacing w:before="0" w:after="120"/>
        <w:ind w:left="0" w:right="0" w:hanging="490"/>
        <w:jc w:val="both"/>
        <w:rPr>
          <w:rFonts w:ascii="Times New Roman;Times;serif" w:hAnsi="Times New Roman;Times;serif"/>
          <w:b/>
          <w:sz w:val="20"/>
        </w:rPr>
      </w:pPr>
      <w:bookmarkStart w:id="1315" w:name="Tc_HZZ030LYaUCNDy8bH9l9Tw_16_8"/>
      <w:bookmarkStart w:id="1316" w:name="Tc_cIqSGzOeAk-aP9E6Eemrkg_16_5"/>
      <w:bookmarkStart w:id="1317" w:name="Tc_ftAsYuKDvESulcZY7a7IWA_16_2"/>
      <w:bookmarkStart w:id="1318" w:name="Tc_rE-gr1fy4kmRTAe9XN6d5w_16_0"/>
      <w:bookmarkStart w:id="1319" w:name="Tc_xAudku8XzEWIKHa2AZER-Q_15_0"/>
      <w:bookmarkStart w:id="1320" w:name="Tc_01kRYDmPPkmn4wUOWSDxrQ_14_0"/>
      <w:bookmarkStart w:id="1321" w:name="Tc_6XcdeFeMVkiDiLYOtxPcLQ_12_0"/>
      <w:bookmarkStart w:id="1322" w:name="Tc_3yg6qlRD80GHoLZVvoPlEg_11_9"/>
      <w:bookmarkStart w:id="1323" w:name="Tc_mhNN1Gj0tU2wQNFOM3XUNQ_11_6"/>
      <w:bookmarkStart w:id="1324" w:name="Tc_xGw1CFUBeUKVfx_yuNZ-0w_11_3"/>
      <w:bookmarkStart w:id="1325" w:name="Tc_1INeadgJdUSqtBCX2T-WKA_11_0"/>
      <w:bookmarkStart w:id="1326" w:name="Tc_9szwmpNQ-kqQRnIV_FjWoQ_10_9"/>
      <w:bookmarkStart w:id="1327" w:name="Tc_WzQSPOLlVEaKI6_S8if0pw_10_0"/>
      <w:bookmarkStart w:id="1328" w:name="Tc_bV19oz1ZZUSuchfOKbyCdQ_9_0"/>
      <w:bookmarkStart w:id="1329" w:name="Tc_OC0_p3qF0EGgy1nAwRYxBg_8_0"/>
      <w:bookmarkStart w:id="1330" w:name="Tc_Hb2QKDEb5ESdU46i9_FBCw_6_8"/>
      <w:bookmarkStart w:id="1331" w:name="Tc_x5LUJPQpAkKl7B7-HIA2sw_6_5"/>
      <w:bookmarkStart w:id="1332" w:name="Tc___fsWCnymkKuh_owBRG15A_6_2"/>
      <w:bookmarkStart w:id="1333" w:name="Tc_mwcBLvlvx0OR7_8WjK8N0Q_6_0"/>
      <w:bookmarkStart w:id="1334" w:name="Tc_DTWw_C03-U2wUoumUmqkvA_5_9"/>
      <w:bookmarkStart w:id="1335" w:name="Tc_QIM-gm38ZEq0_RAWunYUQg_5_6"/>
      <w:bookmarkStart w:id="1336" w:name="Tc_LZ11b_NyJE6fP-5orNGP-A_5_3"/>
      <w:bookmarkStart w:id="1337" w:name="Tc_yqRHIDlBKEux2AHGB3vPIA_5_0"/>
      <w:bookmarkStart w:id="1338" w:name="Tc_e71rM3fsqEesHYypZIk5Yg_4_8"/>
      <w:bookmarkStart w:id="1339" w:name="Tc_3SXQvKRthkG1hah9HS2fVA_4_5"/>
      <w:bookmarkStart w:id="1340" w:name="Tc_ePP2LXFExkiyu7ZcbfOypw_4_2"/>
      <w:bookmarkStart w:id="1341" w:name="Tc_vioar4-Qf0-ECp9yHa8jRw_4_0"/>
      <w:bookmarkStart w:id="1342" w:name="Tc_MS-vbH_jIkysirDNcoWRBQ_3_0"/>
      <w:bookmarkStart w:id="1343" w:name="Tc_sO-B-CZHpE-rTTuq1s5M5Q_2_8"/>
      <w:bookmarkStart w:id="1344" w:name="Tc_4pa3cKsWVkm0oayodAlFzw_2_5"/>
      <w:bookmarkStart w:id="1345" w:name="Tc_siDIwn7snUSXxqkcMuDRgA_2_2"/>
      <w:bookmarkStart w:id="1346" w:name="Tc_o6slmwF1mU-dIlYfKB3Qew_1_2"/>
      <w:bookmarkStart w:id="1347" w:name="_80d94af4_9e8b_41db_ac05_6b31b4545081"/>
      <w:bookmarkStart w:id="1348" w:name="_b9916aee_3d8b_48dd_bb4d_80052e202960"/>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r>
        <w:rPr>
          <w:rFonts w:ascii="Times New Roman;Times;serif" w:hAnsi="Times New Roman;Times;serif"/>
          <w:b/>
          <w:sz w:val="20"/>
        </w:rPr>
        <w:t>NOTE 14.       COMMON STOCK AND EARNINGS PER SHARE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w:t>
      </w:r>
      <w:r>
        <w:rPr>
          <w:rFonts w:ascii="Times New Roman;Times;serif" w:hAnsi="Times New Roman;Times;serif"/>
          <w:sz w:val="20"/>
          <w:shd w:fill="FFFFFF" w:val="clear"/>
        </w:rPr>
        <w:t>Effective as of January 1, 2022, diluted earnings per common share also reflects the 2025 Notes on an if-converted basis.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tbl>
      <w:tblPr>
        <w:tblW w:w="10205" w:type="dxa"/>
        <w:jc w:val="left"/>
        <w:tblInd w:w="0" w:type="dxa"/>
        <w:tblLayout w:type="fixed"/>
        <w:tblCellMar>
          <w:top w:w="0" w:type="dxa"/>
          <w:left w:w="0" w:type="dxa"/>
          <w:bottom w:w="0" w:type="dxa"/>
          <w:right w:w="0" w:type="dxa"/>
        </w:tblCellMar>
      </w:tblPr>
      <w:tblGrid>
        <w:gridCol w:w="5576"/>
        <w:gridCol w:w="109"/>
        <w:gridCol w:w="213"/>
        <w:gridCol w:w="1048"/>
        <w:gridCol w:w="346"/>
        <w:gridCol w:w="213"/>
        <w:gridCol w:w="1048"/>
        <w:gridCol w:w="346"/>
        <w:gridCol w:w="213"/>
        <w:gridCol w:w="1093"/>
      </w:tblGrid>
      <w:tr>
        <w:trPr/>
        <w:tc>
          <w:tcPr>
            <w:tcW w:w="55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895"/>
                      <wp:effectExtent l="0" t="0" r="0" b="0"/>
                      <wp:wrapNone/>
                      <wp:docPr id="355" name="Frame35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5255" cy="175895"/>
                      <wp:effectExtent l="0" t="0" r="0" b="0"/>
                      <wp:wrapNone/>
                      <wp:docPr id="356" name="Frame355"/>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65480" cy="175895"/>
                      <wp:effectExtent l="0" t="0" r="0" b="0"/>
                      <wp:wrapNone/>
                      <wp:docPr id="357" name="Frame356"/>
                      <a:graphic xmlns:a="http://schemas.openxmlformats.org/drawingml/2006/main">
                        <a:graphicData uri="http://schemas.microsoft.com/office/word/2010/wordprocessingShape">
                          <wps:wsp>
                            <wps:cNvSpPr txBox="1"/>
                            <wps:spPr>
                              <a:xfrm>
                                <a:off x="0" y="0"/>
                                <a:ext cx="6654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895"/>
                      <wp:effectExtent l="0" t="0" r="0" b="0"/>
                      <wp:wrapNone/>
                      <wp:docPr id="358" name="Frame35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5255" cy="175895"/>
                      <wp:effectExtent l="0" t="0" r="0" b="0"/>
                      <wp:wrapNone/>
                      <wp:docPr id="359" name="Frame358"/>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65480" cy="175895"/>
                      <wp:effectExtent l="0" t="0" r="0" b="0"/>
                      <wp:wrapNone/>
                      <wp:docPr id="360" name="Frame359"/>
                      <a:graphic xmlns:a="http://schemas.openxmlformats.org/drawingml/2006/main">
                        <a:graphicData uri="http://schemas.microsoft.com/office/word/2010/wordprocessingShape">
                          <wps:wsp>
                            <wps:cNvSpPr txBox="1"/>
                            <wps:spPr>
                              <a:xfrm>
                                <a:off x="0" y="0"/>
                                <a:ext cx="6654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895"/>
                      <wp:effectExtent l="0" t="0" r="0" b="0"/>
                      <wp:wrapNone/>
                      <wp:docPr id="361" name="Frame36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5255" cy="175895"/>
                      <wp:effectExtent l="0" t="0" r="0" b="0"/>
                      <wp:wrapNone/>
                      <wp:docPr id="362" name="Frame361"/>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4055" cy="175895"/>
                      <wp:effectExtent l="0" t="0" r="0" b="0"/>
                      <wp:wrapNone/>
                      <wp:docPr id="363" name="Frame362"/>
                      <a:graphic xmlns:a="http://schemas.openxmlformats.org/drawingml/2006/main">
                        <a:graphicData uri="http://schemas.microsoft.com/office/word/2010/wordprocessingShape">
                          <wps:wsp>
                            <wps:cNvSpPr txBox="1"/>
                            <wps:spPr>
                              <a:xfrm>
                                <a:off x="0" y="0"/>
                                <a:ext cx="6940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57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right"/>
              <w:rPr/>
            </w:pPr>
            <w:r>
              <w:rPr/>
              <w:t>​</w:t>
            </w:r>
          </w:p>
        </w:tc>
        <w:tc>
          <w:tcPr>
            <w:tcW w:w="452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57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right"/>
              <w:rPr/>
            </w:pPr>
            <w:r>
              <w:rPr/>
              <w:t>​</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c>
          <w:tcPr>
            <w:tcW w:w="346" w:type="dxa"/>
            <w:tcBorders/>
            <w:vAlign w:val="center"/>
          </w:tcPr>
          <w:p>
            <w:pPr>
              <w:pStyle w:val="TableContents"/>
              <w:bidi w:val="0"/>
              <w:spacing w:before="1"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c>
          <w:tcPr>
            <w:tcW w:w="346" w:type="dxa"/>
            <w:tcBorders/>
            <w:vAlign w:val="center"/>
          </w:tcPr>
          <w:p>
            <w:pPr>
              <w:pStyle w:val="TableContents"/>
              <w:bidi w:val="0"/>
              <w:spacing w:before="1"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5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Basic EPS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(8,779)</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5576"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1" w:after="1"/>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Diluted EPS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(8,779)</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55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93" w:type="dxa"/>
            <w:tcBorders/>
            <w:shd w:fill="CCEEFF" w:val="clear"/>
            <w:vAlign w:val="center"/>
          </w:tcPr>
          <w:p>
            <w:pPr>
              <w:pStyle w:val="TableContents"/>
              <w:bidi w:val="0"/>
              <w:spacing w:before="1" w:after="1"/>
              <w:ind w:left="0" w:right="0" w:hanging="0"/>
              <w:jc w:val="right"/>
              <w:rPr/>
            </w:pPr>
            <w:r>
              <w:rPr/>
              <w:t>​</w:t>
            </w:r>
          </w:p>
        </w:tc>
      </w:tr>
      <w:tr>
        <w:trPr/>
        <w:tc>
          <w:tcPr>
            <w:tcW w:w="5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32,267,365</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25,361,379</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25,447</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39,797</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93" w:type="dxa"/>
            <w:tcBorders/>
            <w:shd w:fill="CCEEFF" w:val="clear"/>
            <w:vAlign w:val="center"/>
          </w:tcPr>
          <w:p>
            <w:pPr>
              <w:pStyle w:val="TableContents"/>
              <w:bidi w:val="0"/>
              <w:spacing w:before="1" w:after="1"/>
              <w:ind w:left="0" w:right="0" w:hanging="0"/>
              <w:jc w:val="right"/>
              <w:rPr/>
            </w:pPr>
            <w:r>
              <w:rPr/>
              <w:t>—</w:t>
            </w:r>
          </w:p>
        </w:tc>
      </w:tr>
      <w:tr>
        <w:trPr/>
        <w:tc>
          <w:tcPr>
            <w:tcW w:w="5576"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109" w:type="dxa"/>
            <w:tcBorders/>
            <w:vAlign w:val="center"/>
          </w:tcPr>
          <w:p>
            <w:pPr>
              <w:pStyle w:val="TableContents"/>
              <w:bidi w:val="0"/>
              <w:spacing w:before="1" w:after="1"/>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32,292,812</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25,401,176</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r>
      <w:tr>
        <w:trPr/>
        <w:tc>
          <w:tcPr>
            <w:tcW w:w="55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right"/>
              <w:rPr/>
            </w:pPr>
            <w:r>
              <w:rPr/>
              <w:t>​</w:t>
            </w:r>
          </w:p>
        </w:tc>
        <w:tc>
          <w:tcPr>
            <w:tcW w:w="1048"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right"/>
              <w:rPr/>
            </w:pPr>
            <w:r>
              <w:rPr/>
              <w:t>​</w:t>
            </w:r>
          </w:p>
        </w:tc>
        <w:tc>
          <w:tcPr>
            <w:tcW w:w="1093" w:type="dxa"/>
            <w:tcBorders/>
            <w:shd w:fill="CCEEFF" w:val="clear"/>
            <w:vAlign w:val="center"/>
          </w:tcPr>
          <w:p>
            <w:pPr>
              <w:pStyle w:val="TableContents"/>
              <w:bidi w:val="0"/>
              <w:spacing w:before="1" w:after="1"/>
              <w:ind w:left="0" w:right="0" w:hanging="0"/>
              <w:jc w:val="right"/>
              <w:rPr/>
            </w:pPr>
            <w:r>
              <w:rPr/>
              <w:t>​</w:t>
            </w:r>
          </w:p>
        </w:tc>
      </w:tr>
      <w:tr>
        <w:trPr/>
        <w:tc>
          <w:tcPr>
            <w:tcW w:w="55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r>
      <w:tr>
        <w:trPr/>
        <w:tc>
          <w:tcPr>
            <w:tcW w:w="55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0.03</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4"/>
        <w:gridCol w:w="9847"/>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47"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2025 Notes were settled during the year ended December 31, 2025. As applicable, includes interest expense, amortization of discount, amortization of fees, and other changes in net income or loss that would result from the assumed conversion of the 2025 Notes to derive FFO effective January 1, 2022 due to the implementation of ASU 2020-06 which requires presentation on an if-converted basis. For the years ended December 31, 2025, 2024 and 2023 a total of $0.6</w:t>
            </w:r>
            <w:r>
              <w:rPr>
                <w:caps w:val="false"/>
                <w:smallCaps w:val="false"/>
              </w:rPr>
              <w:t xml:space="preserve"> </w:t>
            </w:r>
            <w:r>
              <w:rPr>
                <w:rFonts w:ascii="Times New Roman;Times;serif" w:hAnsi="Times New Roman;Times;serif"/>
                <w:b w:val="false"/>
                <w:i w:val="false"/>
                <w:caps w:val="false"/>
                <w:smallCaps w:val="false"/>
                <w:sz w:val="16"/>
              </w:rPr>
              <w:t>million, $2.1</w:t>
            </w:r>
            <w:r>
              <w:rPr>
                <w:caps w:val="false"/>
                <w:smallCaps w:val="false"/>
              </w:rPr>
              <w:t xml:space="preserve"> </w:t>
            </w:r>
            <w:r>
              <w:rPr>
                <w:rFonts w:ascii="Times New Roman;Times;serif" w:hAnsi="Times New Roman;Times;serif"/>
                <w:b w:val="false"/>
                <w:i w:val="false"/>
                <w:caps w:val="false"/>
                <w:smallCaps w:val="false"/>
                <w:sz w:val="16"/>
              </w:rPr>
              <w:t>million and $2.1</w:t>
            </w:r>
            <w:r>
              <w:rPr>
                <w:caps w:val="false"/>
                <w:smallCaps w:val="false"/>
              </w:rPr>
              <w:t xml:space="preserve"> </w:t>
            </w:r>
            <w:r>
              <w:rPr>
                <w:rFonts w:ascii="Times New Roman;Times;serif" w:hAnsi="Times New Roman;Times;serif"/>
                <w:b w:val="false"/>
                <w:i w:val="false"/>
                <w:caps w:val="false"/>
                <w:smallCaps w:val="false"/>
                <w:sz w:val="16"/>
              </w:rPr>
              <w:t>million of interest, respectively, was not included as the impact of the 2025 Notes, if-converted, would be antidilutive to the net income (loss) attributable to common stockholders in each respective period.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3"/>
        <w:gridCol w:w="9848"/>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48"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year ended December 31, 2025, the Company issued 1,089,555</w:t>
            </w:r>
            <w:r>
              <w:rPr>
                <w:caps w:val="false"/>
                <w:smallCaps w:val="false"/>
              </w:rPr>
              <w:t xml:space="preserve"> </w:t>
            </w:r>
            <w:r>
              <w:rPr>
                <w:rFonts w:ascii="Times New Roman;Times;serif" w:hAnsi="Times New Roman;Times;serif"/>
                <w:b w:val="false"/>
                <w:i w:val="false"/>
                <w:caps w:val="false"/>
                <w:smallCaps w:val="false"/>
                <w:sz w:val="16"/>
              </w:rPr>
              <w:t>shares of the Company’s common stock in connection with the settlement of the 2025 Notes and such shares were included in the basic and diluted weighted average share count for the period. Due to the implementation of ASU 2020-06, a total of 0.9</w:t>
            </w:r>
            <w:r>
              <w:rPr>
                <w:caps w:val="false"/>
                <w:smallCaps w:val="false"/>
              </w:rPr>
              <w:t xml:space="preserve"> </w:t>
            </w:r>
            <w:r>
              <w:rPr>
                <w:rFonts w:ascii="Times New Roman;Times;serif" w:hAnsi="Times New Roman;Times;serif"/>
                <w:b w:val="false"/>
                <w:i w:val="false"/>
                <w:caps w:val="false"/>
                <w:smallCaps w:val="false"/>
                <w:sz w:val="16"/>
              </w:rPr>
              <w:t>million shares, 3.6</w:t>
            </w:r>
            <w:r>
              <w:rPr>
                <w:caps w:val="false"/>
                <w:smallCaps w:val="false"/>
              </w:rPr>
              <w:t xml:space="preserve"> </w:t>
            </w:r>
            <w:r>
              <w:rPr>
                <w:rFonts w:ascii="Times New Roman;Times;serif" w:hAnsi="Times New Roman;Times;serif"/>
                <w:b w:val="false"/>
                <w:i w:val="false"/>
                <w:caps w:val="false"/>
                <w:smallCaps w:val="false"/>
                <w:sz w:val="16"/>
              </w:rPr>
              <w:t>million shares, and 3.3</w:t>
            </w:r>
            <w:r>
              <w:rPr>
                <w:caps w:val="false"/>
                <w:smallCaps w:val="false"/>
              </w:rPr>
              <w:t xml:space="preserve"> </w:t>
            </w:r>
            <w:r>
              <w:rPr>
                <w:rFonts w:ascii="Times New Roman;Times;serif" w:hAnsi="Times New Roman;Times;serif"/>
                <w:b w:val="false"/>
                <w:i w:val="false"/>
                <w:caps w:val="false"/>
                <w:smallCaps w:val="false"/>
                <w:sz w:val="16"/>
              </w:rPr>
              <w:t>million shares, representing the dilutive impact of the 2025 Notes, were not included in the computation of diluted net income (loss) attributable to common stockholders for the years ended December 31, 2025, 2024 or 2023, respectively, because they were antidilutive to the net income (loss) attributable to common stockholders in each respective period</w:t>
            </w:r>
            <w:r>
              <w:rPr>
                <w:rFonts w:ascii="Times New Roman;Times;serif" w:hAnsi="Times New Roman;Times;serif"/>
                <w:b w:val="false"/>
                <w:i w:val="false"/>
                <w:caps w:val="false"/>
                <w:smallCaps w:val="false"/>
                <w:sz w:val="18"/>
              </w:rPr>
              <w:t>.</w:t>
            </w:r>
          </w:p>
        </w:tc>
      </w:tr>
    </w:tbl>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were 25,447 and 39,797 potentially dilutive shares related to the Company’s restricted stock for the years ended December 31, 2025 and 2024, respectively. There were no potentially dilutive securities for year ended December 31, 2023 related to the Company’s restricted stock.</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490"/>
        <w:jc w:val="left"/>
        <w:rPr>
          <w:rFonts w:ascii="Times New Roman;Times;serif" w:hAnsi="Times New Roman;Times;serif"/>
          <w:b/>
          <w:sz w:val="20"/>
        </w:rPr>
      </w:pPr>
      <w:r>
        <w:rPr>
          <w:rFonts w:ascii="Times New Roman;Times;serif" w:hAnsi="Times New Roman;Times;serif"/>
          <w:b/>
          <w:sz w:val="20"/>
        </w:rPr>
        <w:t>NOTE 15.       SHARE REPURCHASES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COMMON STOCK REPURCHASE PROGRAM</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of Directors approved a $10.0</w:t>
      </w:r>
      <w:r>
        <w:rPr>
          <w:rFonts w:ascii="Times New Roman;Times;serif" w:hAnsi="Times New Roman;Times;serif"/>
          <w:sz w:val="20"/>
        </w:rPr>
        <w:t xml:space="preserve"> </w:t>
      </w:r>
      <w:r>
        <w:rPr>
          <w:rFonts w:ascii="TimesNewRomanPSMT" w:hAnsi="TimesNewRomanPSMT"/>
          <w:sz w:val="20"/>
        </w:rPr>
        <w:t xml:space="preserve">million </w:t>
      </w:r>
      <w:r>
        <w:rPr>
          <w:rFonts w:ascii="Times New Roman;Times;serif" w:hAnsi="Times New Roman;Times;serif"/>
          <w:sz w:val="20"/>
        </w:rPr>
        <w:t xml:space="preserve">common </w:t>
      </w:r>
      <w:r>
        <w:rPr>
          <w:rFonts w:ascii="TimesNewRomanPSMT" w:hAnsi="TimesNewRomanPSMT"/>
          <w:sz w:val="20"/>
        </w:rPr>
        <w:t>stock repurchase program (the “$10.0</w:t>
      </w:r>
      <w:r>
        <w:rPr>
          <w:rFonts w:ascii="Times New Roman;Times;serif" w:hAnsi="Times New Roman;Times;serif"/>
          <w:sz w:val="20"/>
        </w:rPr>
        <w:t xml:space="preserve">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16, 2023, the Company’s Board of Directors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w:t>
      </w:r>
      <w:r>
        <w:rPr>
          <w:rFonts w:ascii="TimesNewRomanPSMT" w:hAnsi="TimesNewRomanPSMT"/>
          <w:sz w:val="20"/>
        </w:rPr>
        <w:t>During the year ended December 31, 2023, prior to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2023 $5.0 Million Common Stock Repurchase Program.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25, 2023, the Company’s Board of Directors approved a common stock repurchase program, (</w:t>
      </w:r>
      <w:r>
        <w:rPr>
          <w:rFonts w:ascii="TimesNewRomanPSMT" w:hAnsi="TimesNewRomanPSMT"/>
          <w:sz w:val="20"/>
        </w:rPr>
        <w:t>the “April 2023 $5.0</w:t>
      </w:r>
      <w:r>
        <w:rPr>
          <w:rFonts w:ascii="Times New Roman;Times;serif" w:hAnsi="Times New Roman;Times;serif"/>
          <w:sz w:val="20"/>
        </w:rPr>
        <w:t xml:space="preserve"> </w:t>
      </w:r>
      <w:r>
        <w:rPr>
          <w:rFonts w:ascii="TimesNewRomanPSMT" w:hAnsi="TimesNewRomanPSMT"/>
          <w:sz w:val="20"/>
        </w:rPr>
        <w:t>Million Common Stock Repurchase Program”). Pursuant to the April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year ended December 31, 2023, the Company repurchased 65,946</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The April 2023 $5.0</w:t>
      </w:r>
      <w:r>
        <w:rPr>
          <w:rFonts w:ascii="Times New Roman;Times;serif" w:hAnsi="Times New Roman;Times;serif"/>
          <w:sz w:val="20"/>
        </w:rPr>
        <w:t xml:space="preserve"> </w:t>
      </w:r>
      <w:r>
        <w:rPr>
          <w:rFonts w:ascii="TimesNewRomanPSMT" w:hAnsi="TimesNewRomanPSMT"/>
          <w:sz w:val="20"/>
        </w:rPr>
        <w:t>Million Common Stock Repurchase Program was terminated in connection with the establishment of the December 2023 $5.0</w:t>
      </w:r>
      <w:r>
        <w:rPr>
          <w:rFonts w:ascii="Times New Roman;Times;serif" w:hAnsi="Times New Roman;Times;serif"/>
          <w:sz w:val="20"/>
        </w:rPr>
        <w:t xml:space="preserve"> </w:t>
      </w:r>
      <w:r>
        <w:rPr>
          <w:rFonts w:ascii="TimesNewRomanPSMT" w:hAnsi="TimesNewRomanPSMT"/>
          <w:sz w:val="20"/>
        </w:rPr>
        <w:t>Million Common Stock Repurchase Program (hereinafter defined).</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w:t>
      </w:r>
      <w:r>
        <w:rPr>
          <w:rFonts w:ascii="TimesNewRomanPSMT" w:hAnsi="TimesNewRomanPSMT"/>
          <w:sz w:val="20"/>
        </w:rPr>
        <w:t>(the “December 2023 $5.0</w:t>
      </w:r>
      <w:r>
        <w:rPr>
          <w:rFonts w:ascii="Times New Roman;Times;serif" w:hAnsi="Times New Roman;Times;serif"/>
          <w:sz w:val="20"/>
        </w:rPr>
        <w:t xml:space="preserve"> </w:t>
      </w:r>
      <w:r>
        <w:rPr>
          <w:rFonts w:ascii="TimesNewRomanPSMT" w:hAnsi="TimesNewRomanPSMT"/>
          <w:sz w:val="20"/>
        </w:rPr>
        <w:t>Million Common Stock Repurchase Program”).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year ended December 31, 2024, the Company repurchased 40,726</w:t>
      </w:r>
      <w:r>
        <w:rPr>
          <w:rFonts w:ascii="Times New Roman;Times;serif" w:hAnsi="Times New Roman;Times;serif"/>
          <w:sz w:val="20"/>
        </w:rPr>
        <w:t xml:space="preserve"> </w:t>
      </w:r>
      <w:r>
        <w:rPr>
          <w:rFonts w:ascii="TimesNewRomanPSMT" w:hAnsi="TimesNewRomanPSMT"/>
          <w:sz w:val="20"/>
        </w:rPr>
        <w:t>shares of its common stock on the open market for a total cost of $0.7</w:t>
      </w:r>
      <w:r>
        <w:rPr>
          <w:rFonts w:ascii="Times New Roman;Times;serif" w:hAnsi="Times New Roman;Times;serif"/>
          <w:sz w:val="20"/>
        </w:rPr>
        <w:t xml:space="preserve"> </w:t>
      </w:r>
      <w:r>
        <w:rPr>
          <w:rFonts w:ascii="TimesNewRomanPSMT" w:hAnsi="TimesNewRomanPSMT"/>
          <w:sz w:val="20"/>
        </w:rPr>
        <w:t>million, or an average price per share of $16.28</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2025, the Company repurchased 266,161</w:t>
      </w:r>
      <w:r>
        <w:rPr>
          <w:rFonts w:ascii="Times New Roman;Times;serif" w:hAnsi="Times New Roman;Times;serif"/>
          <w:sz w:val="20"/>
        </w:rPr>
        <w:t xml:space="preserve"> </w:t>
      </w:r>
      <w:r>
        <w:rPr>
          <w:rFonts w:ascii="TimesNewRomanPSMT" w:hAnsi="TimesNewRomanPSMT"/>
          <w:sz w:val="20"/>
        </w:rPr>
        <w:t>shares of its common stock on the open market for a total cost of $4.3</w:t>
      </w:r>
      <w:r>
        <w:rPr>
          <w:rFonts w:ascii="Times New Roman;Times;serif" w:hAnsi="Times New Roman;Times;serif"/>
          <w:sz w:val="20"/>
        </w:rPr>
        <w:t xml:space="preserve"> </w:t>
      </w:r>
      <w:r>
        <w:rPr>
          <w:rFonts w:ascii="TimesNewRomanPSMT" w:hAnsi="TimesNewRomanPSMT"/>
          <w:sz w:val="20"/>
        </w:rPr>
        <w:t>million, or an average price per share of $16.29</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Accordingly, as of the date that the Company’s Board of Directors established the September 2025 $10.0</w:t>
      </w:r>
      <w:r>
        <w:rPr>
          <w:rFonts w:ascii="Times New Roman;Times;serif" w:hAnsi="Times New Roman;Times;serif"/>
          <w:sz w:val="20"/>
        </w:rPr>
        <w:t xml:space="preserve"> </w:t>
      </w:r>
      <w:r>
        <w:rPr>
          <w:rFonts w:ascii="TimesNewRomanPSMT" w:hAnsi="TimesNewRomanPSMT"/>
          <w:sz w:val="20"/>
        </w:rPr>
        <w:t>Million Common Stock Repurchase Program (hereinafter defined), no</w:t>
      </w:r>
      <w:r>
        <w:rPr>
          <w:rFonts w:ascii="Times New Roman;Times;serif" w:hAnsi="Times New Roman;Times;serif"/>
          <w:sz w:val="20"/>
        </w:rPr>
        <w:t xml:space="preserve"> </w:t>
      </w:r>
      <w:r>
        <w:rPr>
          <w:rFonts w:ascii="TimesNewRomanPSMT" w:hAnsi="TimesNewRomanPSMT"/>
          <w:sz w:val="20"/>
        </w:rPr>
        <w:t>shares of the Company’s common stock remained available for repurchase under the December 2023 $5.0</w:t>
      </w:r>
      <w:r>
        <w:rPr>
          <w:rFonts w:ascii="Times New Roman;Times;serif" w:hAnsi="Times New Roman;Times;serif"/>
          <w:sz w:val="20"/>
        </w:rPr>
        <w:t xml:space="preserve"> </w:t>
      </w:r>
      <w:r>
        <w:rPr>
          <w:rFonts w:ascii="TimesNewRomanPSMT" w:hAnsi="TimesNewRomanPSMT"/>
          <w:sz w:val="20"/>
        </w:rPr>
        <w:t>Million 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September 24, 2025, the Company’s Board of Directors approved a common stock repurchase program, which is expected to be in effect until the approved dollar amount has been used to repurchase shares </w:t>
      </w:r>
      <w:r>
        <w:rPr>
          <w:rFonts w:ascii="TimesNewRomanPSMT" w:hAnsi="TimesNewRomanPSMT"/>
          <w:sz w:val="20"/>
        </w:rPr>
        <w:t>(the “September 2025 $10.0</w:t>
      </w:r>
      <w:r>
        <w:rPr>
          <w:rFonts w:ascii="Times New Roman;Times;serif" w:hAnsi="Times New Roman;Times;serif"/>
          <w:sz w:val="20"/>
        </w:rPr>
        <w:t xml:space="preserve"> </w:t>
      </w:r>
      <w:r>
        <w:rPr>
          <w:rFonts w:ascii="TimesNewRomanPSMT" w:hAnsi="TimesNewRomanPSMT"/>
          <w:sz w:val="20"/>
        </w:rPr>
        <w:t>Million Common Stock Repurchase Program”). Pursuant to the September 2025 $10.0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$10.0</w:t>
      </w:r>
      <w:r>
        <w:rPr>
          <w:rFonts w:ascii="Times New Roman;Times;serif" w:hAnsi="Times New Roman;Times;serif"/>
          <w:sz w:val="20"/>
        </w:rPr>
        <w:t xml:space="preserve"> </w:t>
      </w:r>
      <w:r>
        <w:rPr>
          <w:rFonts w:ascii="TimesNewRomanPSMT" w:hAnsi="TimesNewRomanPSMT"/>
          <w:sz w:val="20"/>
        </w:rPr>
        <w:t>million. Shares may be purchased under the September 2025 $10.0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w:t>
      </w:r>
      <w:r>
        <w:rPr>
          <w:rFonts w:ascii="Times New Roman;Times;serif" w:hAnsi="Times New Roman;Times;serif"/>
          <w:sz w:val="20"/>
        </w:rPr>
        <w:t xml:space="preserve"> </w:t>
      </w:r>
      <w:r>
        <w:rPr>
          <w:rFonts w:ascii="TimesNewRomanPSMT" w:hAnsi="TimesNewRomanPSMT"/>
          <w:sz w:val="20"/>
        </w:rPr>
        <w:t xml:space="preserve">Million Common Stock Repurchase Program does not obligate the Company to acquire any particular amount of shares of its common stock and may be modified or suspended. During the year ended December 31, 2025, the </w:t>
      </w:r>
      <w:r>
        <w:rPr>
          <w:rFonts w:ascii="Times New Roman;Times;serif" w:hAnsi="Times New Roman;Times;serif"/>
          <w:sz w:val="20"/>
        </w:rPr>
        <w:t>Company repurchased 307,563 shares of its common stock on the open market for a total cost of $5.0 million, or an average price per share of $16.26 under the September 2025 $10 Million Common Stock Repurchase Program. As of December 31, 2025, $5.0 million remained available for repurchases under the September 2025 $10 Million Common Stock Repurchase Program.</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the aggregate, </w:t>
      </w:r>
      <w:r>
        <w:rPr>
          <w:rFonts w:ascii="TimesNewRomanPSMT" w:hAnsi="TimesNewRomanPSMT"/>
          <w:sz w:val="20"/>
          <w:shd w:fill="FFFFFF" w:val="clear"/>
        </w:rPr>
        <w:t>under the December</w:t>
      </w:r>
      <w:r>
        <w:rPr>
          <w:rFonts w:ascii="Times New Roman;Times;serif" w:hAnsi="Times New Roman;Times;serif"/>
          <w:sz w:val="20"/>
          <w:shd w:fill="FFFFFF" w:val="clear"/>
        </w:rPr>
        <w:t xml:space="preserve"> 2023 $</w:t>
      </w:r>
      <w:r>
        <w:rPr>
          <w:rFonts w:ascii="Times New Roman;Times;serif" w:hAnsi="Times New Roman;Times;serif"/>
          <w:sz w:val="20"/>
        </w:rPr>
        <w:t>5.0</w:t>
      </w:r>
      <w:r>
        <w:rPr>
          <w:rFonts w:ascii="Times New Roman;Times;serif" w:hAnsi="Times New Roman;Times;serif"/>
          <w:sz w:val="20"/>
          <w:shd w:fill="FFFFFF" w:val="clear"/>
        </w:rPr>
        <w:t> Million Common Stock Repurchase Program and </w:t>
      </w:r>
      <w:r>
        <w:rPr>
          <w:rFonts w:ascii="TimesNewRomanPSMT" w:hAnsi="TimesNewRomanPSMT"/>
          <w:sz w:val="20"/>
          <w:shd w:fill="FFFFFF" w:val="clear"/>
        </w:rPr>
        <w:t>September 2025 $10.0</w:t>
      </w:r>
      <w:r>
        <w:rPr>
          <w:rFonts w:ascii="Times New Roman;Times;serif" w:hAnsi="Times New Roman;Times;serif"/>
          <w:sz w:val="20"/>
          <w:shd w:fill="FFFFFF" w:val="clear"/>
        </w:rPr>
        <w:t> </w:t>
      </w:r>
      <w:r>
        <w:rPr>
          <w:rFonts w:ascii="TimesNewRomanPSMT" w:hAnsi="TimesNewRomanPSMT"/>
          <w:sz w:val="20"/>
          <w:shd w:fill="FFFFFF" w:val="clear"/>
        </w:rPr>
        <w:t>Million Common Stock Repurchase Program, the Company repurchased 573,724</w:t>
      </w:r>
      <w:r>
        <w:rPr>
          <w:rFonts w:ascii="Times New Roman;Times;serif" w:hAnsi="Times New Roman;Times;serif"/>
          <w:sz w:val="20"/>
          <w:shd w:fill="FFFFFF" w:val="clear"/>
        </w:rPr>
        <w:t> </w:t>
      </w:r>
      <w:r>
        <w:rPr>
          <w:rFonts w:ascii="TimesNewRomanPSMT" w:hAnsi="TimesNewRomanPSMT"/>
          <w:sz w:val="20"/>
          <w:shd w:fill="FFFFFF" w:val="clear"/>
        </w:rPr>
        <w:t>shares of its common stock on the open market for a total cost of $9.3</w:t>
      </w:r>
      <w:r>
        <w:rPr>
          <w:rFonts w:ascii="Times New Roman;Times;serif" w:hAnsi="Times New Roman;Times;serif"/>
          <w:sz w:val="20"/>
          <w:shd w:fill="FFFFFF" w:val="clear"/>
        </w:rPr>
        <w:t> </w:t>
      </w:r>
      <w:r>
        <w:rPr>
          <w:rFonts w:ascii="TimesNewRomanPSMT" w:hAnsi="TimesNewRomanPSMT"/>
          <w:sz w:val="20"/>
          <w:shd w:fill="FFFFFF" w:val="clear"/>
        </w:rPr>
        <w:t>million, or an average price per share of $16.27</w:t>
      </w:r>
      <w:r>
        <w:rPr>
          <w:rFonts w:ascii="Times New Roman;Times;serif" w:hAnsi="Times New Roman;Times;serif"/>
          <w:sz w:val="20"/>
          <w:shd w:fill="FFFFFF" w:val="clear"/>
        </w:rPr>
        <w:t> </w:t>
      </w:r>
      <w:r>
        <w:rPr>
          <w:rFonts w:ascii="TimesNewRomanPSMT" w:hAnsi="TimesNewRomanPSMT"/>
          <w:sz w:val="20"/>
          <w:shd w:fill="FFFFFF" w:val="clear"/>
        </w:rPr>
        <w:t>during the year ended December 31, 2025.</w:t>
      </w:r>
    </w:p>
    <w:p>
      <w:pPr>
        <w:pStyle w:val="TextBody"/>
        <w:shd w:fill="FFFFFF" w:val="clear"/>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No shares of the Company’s Series A Preferred Stock were repurchased under the Series A Preferred Stock Repurchase Program during the years ended December 31, 2025 or 2024.</w:t>
      </w:r>
    </w:p>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sz w:val="20"/>
        </w:rPr>
      </w:pPr>
      <w:bookmarkStart w:id="1349" w:name="CREDIT_FACILITY"/>
      <w:bookmarkStart w:id="1350" w:name="Tc_jYw_lrk8PkOIQhrykObKNw_8_1"/>
      <w:bookmarkStart w:id="1351" w:name="Tc_-KtjhwIL7EGI8ZKuIxFvpw_8_0"/>
      <w:bookmarkStart w:id="1352" w:name="Tc_SRRJkVW8GkSNytvGr3Pw-w_7_4"/>
      <w:bookmarkStart w:id="1353" w:name="Tc_6HGNvX_QIkWF4K-cBt0FmQ_7_0"/>
      <w:bookmarkStart w:id="1354" w:name="Tc_RgJdfxNEWEevyP-Adg-I6A_6_8"/>
      <w:bookmarkStart w:id="1355" w:name="Tc_Ujd5vmth1Uem4Cm8WGFQDA_6_4"/>
      <w:bookmarkStart w:id="1356" w:name="Tc_wqJKRr7PikGPbg-jXe-qDg_6_0"/>
      <w:bookmarkStart w:id="1357" w:name="Tc_lgySUCfw3UerAzHVWgmDeQ_5_8"/>
      <w:bookmarkStart w:id="1358" w:name="Tc_Oi78K1tm40yO6O5wRK36YQ_5_4"/>
      <w:bookmarkStart w:id="1359" w:name="Tc_DxBdCo3Cx0O3t0QnDNV0rw_5_0"/>
      <w:bookmarkStart w:id="1360" w:name="Tc_gpumxNCfWEWdUw8n2ePyQA_4_8"/>
      <w:bookmarkStart w:id="1361" w:name="Tc_66h7YmJHmkidLPEm47fTpQ_4_4"/>
      <w:bookmarkStart w:id="1362" w:name="Tc_Q4pEKc12WEadTkbFbY9yLQ_4_0"/>
      <w:bookmarkStart w:id="1363" w:name="Tc_QiVcOFcQIkG2DQCoEaSWaw_3_8"/>
      <w:bookmarkStart w:id="1364" w:name="Tc_xe7QV2v1kUe5ccmVVfmlhw_3_4"/>
      <w:bookmarkStart w:id="1365" w:name="Tc_auX55kzP_E6ABSS4BHIDcQ_3_0"/>
      <w:bookmarkStart w:id="1366" w:name="Tc_w60yi8QS2km0k0vvaq7DfA_2_8"/>
      <w:bookmarkStart w:id="1367" w:name="Tc_n5Oxph2jM0alKRPJ7uau2Q_2_4"/>
      <w:bookmarkStart w:id="1368" w:name="Tc_DQijcV1HNEy75_Vih0Hydw_2_1"/>
      <w:bookmarkStart w:id="1369" w:name="Tc_PCQqH5kAiEWxagaOVjl4jA_2_0"/>
      <w:bookmarkStart w:id="1370" w:name="Tc_KeY_rhP76U-p9U4FsYkf8w_1_10"/>
      <w:bookmarkStart w:id="1371" w:name="Tc_Q1_t0JmE0kmLt_GYteL78g_1_7"/>
      <w:bookmarkStart w:id="1372" w:name="Tc_uI5CgiXggEyPcY_LucauQg_1_4"/>
      <w:bookmarkStart w:id="1373" w:name="Tc_Il3sAo_smEqlSPIGG2hvQA_1_1"/>
      <w:bookmarkStart w:id="1374" w:name="_d8d37e21_7dc7_46fb_a5fc_dfa81c8b67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rFonts w:ascii="Times New Roman;Times;serif" w:hAnsi="Times New Roman;Times;serif"/>
          <w:b/>
          <w:sz w:val="20"/>
        </w:rPr>
        <w:t>NOTE 16.       LONG-TERM DEBT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December 31, 2025, the Company’s outstanding indebtedness, at face value, was as follows (in thousands):</w:t>
      </w:r>
    </w:p>
    <w:tbl>
      <w:tblPr>
        <w:tblW w:w="9634" w:type="dxa"/>
        <w:jc w:val="left"/>
        <w:tblInd w:w="0" w:type="dxa"/>
        <w:tblLayout w:type="fixed"/>
        <w:tblCellMar>
          <w:top w:w="0" w:type="dxa"/>
          <w:left w:w="0" w:type="dxa"/>
          <w:bottom w:w="0" w:type="dxa"/>
          <w:right w:w="0" w:type="dxa"/>
        </w:tblCellMar>
      </w:tblPr>
      <w:tblGrid>
        <w:gridCol w:w="2896"/>
        <w:gridCol w:w="316"/>
        <w:gridCol w:w="1169"/>
        <w:gridCol w:w="346"/>
        <w:gridCol w:w="712"/>
        <w:gridCol w:w="713"/>
        <w:gridCol w:w="146"/>
        <w:gridCol w:w="109"/>
        <w:gridCol w:w="1456"/>
        <w:gridCol w:w="346"/>
        <w:gridCol w:w="198"/>
        <w:gridCol w:w="1227"/>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38960" cy="175260"/>
                      <wp:effectExtent l="0" t="0" r="0" b="0"/>
                      <wp:wrapNone/>
                      <wp:docPr id="364" name="Frame36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0660" cy="175260"/>
                      <wp:effectExtent l="0" t="0" r="0" b="0"/>
                      <wp:wrapNone/>
                      <wp:docPr id="365" name="Frame36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42315" cy="175260"/>
                      <wp:effectExtent l="0" t="0" r="0" b="0"/>
                      <wp:wrapNone/>
                      <wp:docPr id="366" name="Frame365"/>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52120" cy="175260"/>
                      <wp:effectExtent l="0" t="0" r="0" b="0"/>
                      <wp:wrapNone/>
                      <wp:docPr id="368" name="Frame367"/>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52755" cy="175260"/>
                      <wp:effectExtent l="0" t="0" r="0" b="0"/>
                      <wp:wrapNone/>
                      <wp:docPr id="369" name="Frame368"/>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2710" cy="175260"/>
                      <wp:effectExtent l="0" t="0" r="0" b="0"/>
                      <wp:wrapNone/>
                      <wp:docPr id="370" name="Frame36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924560" cy="175260"/>
                      <wp:effectExtent l="0" t="0" r="0" b="0"/>
                      <wp:wrapNone/>
                      <wp:docPr id="372" name="Frame37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25730" cy="175260"/>
                      <wp:effectExtent l="0" t="0" r="0" b="0"/>
                      <wp:wrapNone/>
                      <wp:docPr id="374" name="Frame37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79145" cy="175260"/>
                      <wp:effectExtent l="0" t="0" r="0" b="0"/>
                      <wp:wrapNone/>
                      <wp:docPr id="375" name="Frame374"/>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(2)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(3)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5.18%</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 xml:space="preserve">(4)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2029</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[1.20% - 2.15%]</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2030 Term Loan </w:t>
            </w:r>
            <w:r>
              <w:rPr>
                <w:rFonts w:ascii="Times New Roman;Times;serif" w:hAnsi="Times New Roman;Times;serif"/>
                <w:sz w:val="15"/>
              </w:rPr>
              <w:t xml:space="preserve">(5)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2030</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[1.20% - 2.15%]</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618,800</w:t>
            </w:r>
          </w:p>
        </w:tc>
        <w:tc>
          <w:tcPr>
            <w:tcW w:w="34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4.33%</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$65.0</w:t>
            </w:r>
            <w:r>
              <w:rPr>
                <w:rFonts w:ascii="Times New Roman;Times;serif" w:hAnsi="Times New Roman;Times;serif"/>
                <w:sz w:val="20"/>
              </w:rPr>
              <w:t xml:space="preserve"> </w:t>
            </w:r>
            <w:r>
              <w:rPr>
                <w:rFonts w:ascii="Times New Roman;Times;serif" w:hAnsi="Times New Roman;Times;serif"/>
                <w:sz w:val="16"/>
              </w:rPr>
              <w:t>million of the Credit Facility balance to fix SOFR and achieve a weighted average fixed swap rate of 3.12%</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Company utilized interest rate swaps on the $100.0 million 2027 Term Loan balance to fix SOFR and achieve a fixed swap rate of 1.35% plus the 10 bps SOFR adjustment plus the applicable spread.</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weighted average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2029 Term Loan balance to fix SOFR and achieve a weighted average fixed swap rate of 2.91%</w:t>
            </w:r>
            <w:r>
              <w:rPr>
                <w:rFonts w:ascii="Times New Roman;Times;serif" w:hAnsi="Times New Roman;Times;serif"/>
                <w:sz w:val="20"/>
              </w:rPr>
              <w:t xml:space="preserve"> </w:t>
            </w:r>
            <w:r>
              <w:rPr>
                <w:rFonts w:ascii="Times New Roman;Times;serif" w:hAnsi="Times New Roman;Times;serif"/>
                <w:sz w:val="16"/>
              </w:rPr>
              <w:t>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(5)</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2030 Term Loan balance to fix SOFR and achieve a weighted average fixed swap rate of 2.94%</w:t>
            </w:r>
            <w:r>
              <w:rPr>
                <w:rFonts w:ascii="Times New Roman;Times;serif" w:hAnsi="Times New Roman;Times;serif"/>
                <w:sz w:val="20"/>
              </w:rPr>
              <w:t xml:space="preserve"> </w:t>
            </w:r>
            <w:r>
              <w:rPr>
                <w:rFonts w:ascii="Times New Roman;Times;serif" w:hAnsi="Times New Roman;Times;serif"/>
                <w:sz w:val="16"/>
              </w:rPr>
              <w:t>plus the applicable spread.</w:t>
            </w:r>
          </w:p>
        </w:tc>
      </w:tr>
    </w:tbl>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xml:space="preserve"> 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bookmarkStart w:id="1375" w:name="CONVERTIBLE_DEBT"/>
      <w:bookmarkStart w:id="1376" w:name="MORTGAGE_NOTES_PAYABLE"/>
      <w:bookmarkEnd w:id="1375"/>
      <w:bookmarkEnd w:id="1376"/>
      <w:r>
        <w:rPr>
          <w:rFonts w:ascii="Times New Roman;Times;serif" w:hAnsi="Times New Roman;Times;serif"/>
          <w:sz w:val="20"/>
          <w:shd w:fill="FFFFFF" w:val="clear"/>
        </w:rPr>
        <w:t>Association (“PNC”) as a Term Loan Lender, as defined in the Credit Agreement, and PNC and Regions Bank as Revolving Lenders, as defined in the Credit Agreement.</w:t>
      </w:r>
    </w:p>
    <w:p>
      <w:pPr>
        <w:pStyle w:val="TextBody"/>
        <w:bidi w:val="0"/>
        <w:spacing w:before="0" w:after="0"/>
        <w:ind w:left="0" w:right="0" w:firstLine="490"/>
        <w:jc w:val="both"/>
        <w:rPr>
          <w:shd w:fill="FFFFFF" w:val="clear"/>
        </w:rPr>
      </w:pPr>
      <w:r>
        <w:rPr>
          <w:shd w:fill="FFFFFF" w:val="clea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On December 20, 2023, the Company entered into the ninth amendment to the 2017 Amended Credit Facility (the “Ninth Amendment”), which revises certain non-monetary limitations as described in more detail in the Ninth Amendment.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At December 31, 2025, the current commitment level under the Credit Facility was $300.0</w:t>
      </w:r>
      <w:r>
        <w:rPr>
          <w:rFonts w:ascii="Times New Roman;Times;serif" w:hAnsi="Times New Roman;Times;serif"/>
          <w:sz w:val="20"/>
        </w:rPr>
        <w:t xml:space="preserve"> </w:t>
      </w:r>
      <w:r>
        <w:rPr>
          <w:rFonts w:ascii="TimesNewRomanPSMT" w:hAnsi="TimesNewRomanPSMT"/>
          <w:sz w:val="20"/>
        </w:rPr>
        <w:t>million, and the undrawn commitments available was $149.0</w:t>
      </w:r>
      <w:r>
        <w:rPr>
          <w:rFonts w:ascii="Times New Roman;Times;serif" w:hAnsi="Times New Roman;Times;serif"/>
          <w:sz w:val="20"/>
        </w:rPr>
        <w:t xml:space="preserve"> </w:t>
      </w:r>
      <w:r>
        <w:rPr>
          <w:rFonts w:ascii="TimesNewRomanPSMT" w:hAnsi="TimesNewRomanPSMT"/>
          <w:sz w:val="20"/>
        </w:rPr>
        <w:t>million. As of December 31, 2025, the Credit Facility had a $151.0</w:t>
      </w:r>
      <w:r>
        <w:rPr>
          <w:rFonts w:ascii="Times New Roman;Times;serif" w:hAnsi="Times New Roman;Times;serif"/>
          <w:sz w:val="20"/>
        </w:rPr>
        <w:t xml:space="preserve"> </w:t>
      </w:r>
      <w:r>
        <w:rPr>
          <w:rFonts w:ascii="TimesNewRomanPSMT" w:hAnsi="TimesNewRomanPSMT"/>
          <w:sz w:val="20"/>
        </w:rPr>
        <w:t xml:space="preserve">million balance outstanding.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NewRomanPSMT" w:hAnsi="TimesNewRomanPSMT"/>
          <w:sz w:val="20"/>
        </w:rPr>
      </w:pPr>
      <w:r>
        <w:rPr>
          <w:rFonts w:ascii="TimesNewRomanPSMT" w:hAnsi="TimesNewRomanPSMT"/>
          <w:sz w:val="20"/>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2029 Term Loan</w:t>
      </w:r>
      <w:r>
        <w:rPr>
          <w:rFonts w:ascii="Times New Roman;Times;serif" w:hAnsi="Times New Roman;Times;serif"/>
          <w:sz w:val="20"/>
        </w:rPr>
        <w:t xml:space="preserve">. On September 30, 2024, the Company and certain subsidiaries entered into a credit agreement, as amended by the first amendment to credit agreement and joinder, dated as of December 20, 2024 (as so amended, the “Initial KeyBank Credit Agreement”) with KeyBank National Association, as administrative agent, and certain other lenders, for a term loan (the “2029 Term Loan”) in an initial aggregate principal amount of $100.0 million with a maturity date of September 30, 2029. In connection with the Company’s execution of the Second Amendment (hereinafter defined) on September 25, 2025, the 2029 Term Loan was upsized by an additional $25.0 million, resulting in a total principal amount of $125.0 million outstanding under the 2029 Term Loan as of September 30, 2025. The 2029 Term Loan bears interest at SOFR plus a spread based on the Company’s leverage ratio. </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2030 Term Loan</w:t>
      </w:r>
      <w:r>
        <w:rPr>
          <w:rFonts w:ascii="Times New Roman;Times;serif" w:hAnsi="Times New Roman;Times;serif"/>
          <w:sz w:val="20"/>
        </w:rPr>
        <w:t>. On September 25, 2025, the Company and certain subsidiaries of the Company entered into a Second Amendment to the Initial KeyBank Credit Agreement (the “Second Amendment”, and the Initial KeyBank Credit Agreement as amended by the Second Amendment, the “KeyBank Credit Agreement”). In addition to the upsize of the 2029 Term Loan described above, the Second Amendment added a new $125.0 million term loan maturing in September 2030 (the “2030 Term Loan”) to the KeyBank Credit Agreement. The 2030 Term Loan bears interest at SOFR plus a spread based on the Company’s leverage ratio.</w:t>
      </w:r>
    </w:p>
    <w:p>
      <w:pPr>
        <w:pStyle w:val="TextBody"/>
        <w:bidi w:val="0"/>
        <w:spacing w:before="0" w:after="0"/>
        <w:ind w:left="0" w:right="0" w:firstLine="490"/>
        <w:jc w:val="both"/>
        <w:rPr>
          <w:color w:val="212529"/>
          <w:shd w:fill="FFFFFF" w:val="clear"/>
        </w:rPr>
      </w:pPr>
      <w:r>
        <w:rPr>
          <w:color w:val="212529"/>
          <w:shd w:fill="FFFFFF"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r>
        <w:rPr>
          <w:rFonts w:ascii="Times New Roman;Times;serif" w:hAnsi="Times New Roman;Times;serif"/>
          <w:sz w:val="20"/>
        </w:rPr>
        <w:t xml:space="preserve">.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The Company initially issued $75.0 million aggregate principal amount of 3.875% Convertible Notes  (the “2025 Notes”). Following $24.0 million of repurchases during the years ended December 31, 2020 and 2021, $51.0 million aggregate principal amount of the 2025 Notes remained outstanding as of March 31, 2025.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represented senior unsecured obligations of the Company and paid interest semi-annually in arrears on each April 15th and October 15th, commencing on April 15, 2020, at a rate of 3.875% per annum. After the first quarter 2025 dividend, the conversion rate was equal to 73.8112 shares of common stock for each $1,000 principal amount of 2025 Notes, which represented an adjusted conversion price of $13.55 per share of common stock.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January 15, 2025, the 2025 Notes became freely convertible at the option of each holder at any time until the close of business on the business day immediately preceding the stated maturity date. On April 3, 2025, the Company completed privately negotiated transactions with holders of $35.2 million in an aggregate principal amount of the 2025 Notes in which the holders exchanged their notes with the Company for an aggregate of 1,089,555 shares of the Company’s common stock, valued at $21.0 million, and aggregate cash payments of approximately $29.0 million, including approximately $0.6 million representing accrued interest. The 2025 Notes received by the Company were retired. </w:t>
      </w:r>
    </w:p>
    <w:p>
      <w:pPr>
        <w:pStyle w:val="TextBody"/>
        <w:shd w:fill="FFFFFF" w:val="clear"/>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rFonts w:ascii="Times New Roman;Times;serif" w:hAnsi="Times New Roman;Times;serif"/>
          <w:sz w:val="20"/>
        </w:rPr>
      </w:pPr>
      <w:bookmarkStart w:id="1377" w:name="Tc_wBwXR2MyNUKIAR_pC07hIg_4_1"/>
      <w:bookmarkStart w:id="1378" w:name="Tc_jR0Ws2rpkUGzQ9lJIwhFxw_4_0"/>
      <w:bookmarkStart w:id="1379" w:name="Tc_jdjlFXSAM0im1pRp1JznCA_3_0"/>
      <w:bookmarkStart w:id="1380" w:name="Tc_9x0ko5evKUSaOnzPhdjBCg_2_1"/>
      <w:bookmarkStart w:id="1381" w:name="Tc_Wp-0Y77bEEGPlhMF1hg5Tw_2_0"/>
      <w:bookmarkStart w:id="1382" w:name="Tc_N17GUDa3SkmbWBZxdxZYbg_1_1"/>
      <w:bookmarkStart w:id="1383" w:name="_d32ce725_2485_45a6_9026_067b84ad00f4"/>
      <w:bookmarkStart w:id="1384" w:name="Tc_IkXDm0dXS0alaIaD1NQLhw_8_1"/>
      <w:bookmarkStart w:id="1385" w:name="Tc_Cvx819TLzk6RxApUNGU-wQ_8_0"/>
      <w:bookmarkStart w:id="1386" w:name="Tc_gV96OTPbiUOThQDBbS0QnA_7_2"/>
      <w:bookmarkStart w:id="1387" w:name="Tc_RRD5XR7PaEGuuKXFvpqfPA_7_0"/>
      <w:bookmarkStart w:id="1388" w:name="Tc_fA-WmjzWPEqZdLGm2ofP_Q_6_0"/>
      <w:bookmarkStart w:id="1389" w:name="Tc_avjHY8inbEuIUK8uguD2Pw_5_0"/>
      <w:bookmarkStart w:id="1390" w:name="Tc_UmEdCnv7VEOL1kL7mbPAZw_4_0"/>
      <w:bookmarkStart w:id="1391" w:name="Tc_1HzTQrdoXk6FUgB7AwgmQw_3_0"/>
      <w:bookmarkStart w:id="1392" w:name="Tc_v-67La6WBkmReTAbnU9IHg_2_1"/>
      <w:bookmarkStart w:id="1393" w:name="Tc_EHinFWQw_EmkkMt2diiKxg_2_0"/>
      <w:bookmarkStart w:id="1394" w:name="Tc_BH4Tr1vCgkeg0oSeh9lyxg_1_1"/>
      <w:bookmarkStart w:id="1395" w:name="Tc_5lPY-KacakOyojd0aAZD4g_1_0"/>
      <w:bookmarkStart w:id="1396" w:name="_27bd29d4_8ea2_478c_b008_1aa49de4a6c5"/>
      <w:bookmarkStart w:id="1397" w:name="Tc_TY53ISqF_U6qm74WFATg4g_12_10"/>
      <w:bookmarkStart w:id="1398" w:name="Tc_uQotSW-NuUO_Wip159uXGQ_12_7"/>
      <w:bookmarkStart w:id="1399" w:name="Tc_lupn7Pzoh0-Nz_DX3MGOCw_12_4"/>
      <w:bookmarkStart w:id="1400" w:name="Tc_tt0LufbYqkOyIQvYZURhjw_12_1"/>
      <w:bookmarkStart w:id="1401" w:name="Tc_afUeb9HUiUC5HsNSj5HU8w_12_0"/>
      <w:bookmarkStart w:id="1402" w:name="Tc_JqYHoQorN0CFYXLYuiWQKg_11_11"/>
      <w:bookmarkStart w:id="1403" w:name="Tc_IbDtZwQ8HkWhbCsSoo7vDA_11_5"/>
      <w:bookmarkStart w:id="1404" w:name="Tc_L2kHqerA_0iVu4aDmZOIow_11_0"/>
      <w:bookmarkStart w:id="1405" w:name="Tc_3uIihp-G80GKImxnwGeeWA_10_11"/>
      <w:bookmarkStart w:id="1406" w:name="Tc_bWISZ0bweUyYYs_BmTo77Q_10_0"/>
      <w:bookmarkStart w:id="1407" w:name="Tc_ytxNALKIxU6lt2TmV6gjRw_9_5"/>
      <w:bookmarkStart w:id="1408" w:name="Tc_eAF67TnkaEKdj2AX9Axg5w_9_2"/>
      <w:bookmarkStart w:id="1409" w:name="Tc_cJF5UiTX-EKtGt6cC7u_BA_9_0"/>
      <w:bookmarkStart w:id="1410" w:name="Tc_QvVLmSXyv0WcfQUp3qULWg_8_11"/>
      <w:bookmarkStart w:id="1411" w:name="Tc_nOoElV9WjEmTSNY4Iv2V7w_8_8"/>
      <w:bookmarkStart w:id="1412" w:name="Tc_vjVyYvkyzkmBh2q459EdRg_8_5"/>
      <w:bookmarkStart w:id="1413" w:name="Tc_iwDVXOUmhEKGkOpqyqqQRg_8_0"/>
      <w:bookmarkStart w:id="1414" w:name="Tc_kVPPatAreUe3NPhytbLrnw_7_11"/>
      <w:bookmarkStart w:id="1415" w:name="Tc_zhGPQdEcrU-K25rm_GTemQ_7_5"/>
      <w:bookmarkStart w:id="1416" w:name="Tc_9bHWIe4BZ0G8tt1QFInpiA_7_0"/>
      <w:bookmarkStart w:id="1417" w:name="Tc_GbRqRIEPOU6EXdgwaCQZjw_6_11"/>
      <w:bookmarkStart w:id="1418" w:name="Tc_h3AyZSvB-EyVg4FVA5gCCw_6_5"/>
      <w:bookmarkStart w:id="1419" w:name="Tc_CQOfPnZeoEiVnxIT9qYBwg_6_0"/>
      <w:bookmarkStart w:id="1420" w:name="Tc_VRSvdfY2Tk-qsQtx88F92A_5_11"/>
      <w:bookmarkStart w:id="1421" w:name="Tc__epQEg9mFEORqEOnu1zt0w_5_5"/>
      <w:bookmarkStart w:id="1422" w:name="Tc_k6AFISlQrUa6OzaRbwif1w_5_0"/>
      <w:bookmarkStart w:id="1423" w:name="Tc_KeBCAbUkO02d1SpI8gk3Jw_4_11"/>
      <w:bookmarkStart w:id="1424" w:name="Tc_BxTgVvgdTEygBY0uEFhLWQ_4_5"/>
      <w:bookmarkStart w:id="1425" w:name="Tc_MG_MsfucI0mkNmKdDRSU5A_4_2"/>
      <w:bookmarkStart w:id="1426" w:name="Tc_NOOjQjQ6OUmXx15d2j4GFg_4_0"/>
      <w:bookmarkStart w:id="1427" w:name="Tc_GHZN8hmngkuxul3K2AmbWw_3_11"/>
      <w:bookmarkStart w:id="1428" w:name="Tc_060dOPQgskyqEtyHgt18zw_3_10"/>
      <w:bookmarkStart w:id="1429" w:name="Tc_Z3yJ6U749k-4jhonkkQ8pw_3_7"/>
      <w:bookmarkStart w:id="1430" w:name="Tc_-HuI8nYH_keHV-8CfMRy2A_3_5"/>
      <w:bookmarkStart w:id="1431" w:name="Tc_FuQCcVRFrUyIVZ625zq2rw_3_4"/>
      <w:bookmarkStart w:id="1432" w:name="Tc_40BYpX8isEC6dR8ZVjIK3A_3_1"/>
      <w:bookmarkStart w:id="1433" w:name="Tc_1Z6erfOxtU-ttOdWrjWf_Q_3_0"/>
      <w:bookmarkStart w:id="1434" w:name="Tc_RcN-ucBk_kqwAmu6AKtCdw_2_10"/>
      <w:bookmarkStart w:id="1435" w:name="Tc_QxgNj0ELHU6LnwhG4l0PSg_2_7"/>
      <w:bookmarkStart w:id="1436" w:name="Tc_oULsIe0kEkOfYwlIhYeREw_2_4"/>
      <w:bookmarkStart w:id="1437" w:name="Tc_jYG_LPBrnUu196pL28hJ8w_2_1"/>
      <w:bookmarkStart w:id="1438" w:name="Tc_JNGev5EivEueShzGFlciAg_1_7"/>
      <w:bookmarkStart w:id="1439" w:name="Tc_9GqjyraRnUuImqozMV_C6Q_1_1"/>
      <w:bookmarkStart w:id="1440" w:name="_c8f1ad18_470c_423c_aac7_192beabdb3c9"/>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r>
        <w:rPr>
          <w:rFonts w:ascii="Times New Roman;Times;serif" w:hAnsi="Times New Roman;Times;serif"/>
          <w:sz w:val="20"/>
        </w:rPr>
        <w:t xml:space="preserve">At maturity on April 15, 2025, the Company completed the payoff of the remaining 2025 Notes in an aggregate principal amount of $15.8 million for total cash payments of approximately $22.0 million, including approximately $0.3 million representing accrued interest.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the settlement of the $51.0 million aggregate principal amount of the 2025 Notes resulted in a $20.4 million loss on extinguishment of debt which is comprised of a $20.1 million premium and $0.3 million of associated costs incurred related to the settlement.  </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92"/>
        <w:gridCol w:w="211"/>
        <w:gridCol w:w="781"/>
        <w:gridCol w:w="346"/>
        <w:gridCol w:w="419"/>
        <w:gridCol w:w="1350"/>
        <w:gridCol w:w="146"/>
        <w:gridCol w:w="211"/>
        <w:gridCol w:w="781"/>
        <w:gridCol w:w="346"/>
        <w:gridCol w:w="387"/>
        <w:gridCol w:w="1435"/>
      </w:tblGrid>
      <w:tr>
        <w:trPr/>
        <w:tc>
          <w:tcPr>
            <w:tcW w:w="3792"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77"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66065" cy="175260"/>
                      <wp:effectExtent l="0" t="0" r="0" b="0"/>
                      <wp:wrapNone/>
                      <wp:docPr id="379" name="Frame37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857250" cy="175260"/>
                      <wp:effectExtent l="0" t="0" r="0" b="0"/>
                      <wp:wrapNone/>
                      <wp:docPr id="380" name="Frame37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92710" cy="175260"/>
                      <wp:effectExtent l="0" t="0" r="0" b="0"/>
                      <wp:wrapNone/>
                      <wp:docPr id="381" name="Frame3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5935" cy="175260"/>
                      <wp:effectExtent l="0" t="0" r="0" b="0"/>
                      <wp:wrapNone/>
                      <wp:docPr id="383"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45745" cy="175260"/>
                      <wp:effectExtent l="0" t="0" r="0" b="0"/>
                      <wp:wrapNone/>
                      <wp:docPr id="385" name="Frame38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911225" cy="175260"/>
                      <wp:effectExtent l="0" t="0" r="0" b="0"/>
                      <wp:wrapNone/>
                      <wp:docPr id="386" name="Frame385"/>
                      <a:graphic xmlns:a="http://schemas.openxmlformats.org/drawingml/2006/main">
                        <a:graphicData uri="http://schemas.microsoft.com/office/word/2010/wordprocessingShape">
                          <wps:wsp>
                            <wps:cNvSpPr txBox="1"/>
                            <wps:spPr>
                              <a:xfrm>
                                <a:off x="0" y="0"/>
                                <a:ext cx="911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2" w:type="dxa"/>
            <w:tcBorders/>
            <w:vAlign w:val="center"/>
          </w:tcPr>
          <w:p>
            <w:pPr>
              <w:pStyle w:val="TableContents"/>
              <w:bidi w:val="0"/>
              <w:spacing w:before="0" w:after="0"/>
              <w:ind w:left="0" w:right="0" w:hanging="0"/>
              <w:jc w:val="center"/>
              <w:rPr/>
            </w:pPr>
            <w:r>
              <w:rPr/>
              <w:t>​</w:t>
            </w:r>
          </w:p>
        </w:tc>
        <w:tc>
          <w:tcPr>
            <w:tcW w:w="31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46" w:type="dxa"/>
            <w:tcBorders/>
            <w:vAlign w:val="center"/>
          </w:tcPr>
          <w:p>
            <w:pPr>
              <w:pStyle w:val="TableContents"/>
              <w:bidi w:val="0"/>
              <w:spacing w:before="0" w:after="0"/>
              <w:ind w:left="0" w:right="0" w:hanging="0"/>
              <w:jc w:val="left"/>
              <w:rPr/>
            </w:pPr>
            <w:r>
              <w:rPr/>
              <w:t>​</w:t>
            </w:r>
          </w:p>
        </w:tc>
        <w:tc>
          <w:tcPr>
            <w:tcW w:w="3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792"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151,000</w:t>
            </w:r>
          </w:p>
        </w:tc>
        <w:tc>
          <w:tcPr>
            <w:tcW w:w="34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87,000</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0"/>
              <w:ind w:left="0" w:right="0" w:hanging="0"/>
              <w:jc w:val="right"/>
              <w:rPr/>
            </w:pPr>
            <w:r>
              <w:rPr/>
              <w:t>—</w:t>
            </w:r>
          </w:p>
        </w:tc>
      </w:tr>
      <w:tr>
        <w:trPr/>
        <w:tc>
          <w:tcPr>
            <w:tcW w:w="3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r>
      <w:tr>
        <w:trPr/>
        <w:tc>
          <w:tcPr>
            <w:tcW w:w="3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pPr>
            <w:r>
              <w:rPr/>
              <w:t>—</w:t>
            </w:r>
          </w:p>
        </w:tc>
      </w:tr>
      <w:tr>
        <w:trPr/>
        <w:tc>
          <w:tcPr>
            <w:tcW w:w="3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r>
      <w:tr>
        <w:trPr/>
        <w:tc>
          <w:tcPr>
            <w:tcW w:w="3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pPr>
            <w:r>
              <w:rPr/>
              <w:t>—</w:t>
            </w:r>
          </w:p>
        </w:tc>
      </w:tr>
      <w:tr>
        <w:trPr/>
        <w:tc>
          <w:tcPr>
            <w:tcW w:w="3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r>
      <w:tr>
        <w:trPr/>
        <w:tc>
          <w:tcPr>
            <w:tcW w:w="3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net of Discount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w:t>
            </w:r>
          </w:p>
        </w:tc>
      </w:tr>
      <w:tr>
        <w:trPr/>
        <w:tc>
          <w:tcPr>
            <w:tcW w:w="3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4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r>
      <w:tr>
        <w:trPr/>
        <w:tc>
          <w:tcPr>
            <w:tcW w:w="37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c>
          <w:tcPr>
            <w:tcW w:w="346" w:type="dxa"/>
            <w:tcBorders/>
            <w:shd w:fill="CCEEFF" w:val="clear"/>
            <w:vAlign w:val="center"/>
          </w:tcPr>
          <w:p>
            <w:pPr>
              <w:pStyle w:val="TableContents"/>
              <w:bidi w:val="0"/>
              <w:spacing w:before="0" w:after="0"/>
              <w:ind w:left="0" w:right="0" w:hanging="0"/>
              <w:jc w:val="left"/>
              <w:rPr/>
            </w:pPr>
            <w:r>
              <w:rPr/>
              <w:t>​</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w:t>
            </w:r>
          </w:p>
        </w:tc>
        <w:tc>
          <w:tcPr>
            <w:tcW w:w="346" w:type="dxa"/>
            <w:tcBorders/>
            <w:shd w:fill="CCEEFF" w:val="clear"/>
            <w:vAlign w:val="center"/>
          </w:tcPr>
          <w:p>
            <w:pPr>
              <w:pStyle w:val="TableContents"/>
              <w:bidi w:val="0"/>
              <w:spacing w:before="0" w:after="0"/>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616,345</w:t>
            </w:r>
          </w:p>
        </w:tc>
        <w:tc>
          <w:tcPr>
            <w:tcW w:w="346" w:type="dxa"/>
            <w:tcBorders/>
            <w:vAlign w:val="center"/>
          </w:tcPr>
          <w:p>
            <w:pPr>
              <w:pStyle w:val="TableContents"/>
              <w:bidi w:val="0"/>
              <w:spacing w:before="0" w:after="0"/>
              <w:ind w:left="0" w:right="0" w:hanging="0"/>
              <w:jc w:val="left"/>
              <w:rPr/>
            </w:pPr>
            <w:r>
              <w:rPr/>
              <w:t>​</w:t>
            </w:r>
          </w:p>
        </w:tc>
        <w:tc>
          <w:tcPr>
            <w:tcW w:w="4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46" w:type="dxa"/>
            <w:tcBorders/>
            <w:vAlign w:val="center"/>
          </w:tcPr>
          <w:p>
            <w:pPr>
              <w:pStyle w:val="TableContents"/>
              <w:bidi w:val="0"/>
              <w:spacing w:before="0" w:after="0"/>
              <w:ind w:left="0" w:right="0" w:hanging="0"/>
              <w:jc w:val="left"/>
              <w:rPr/>
            </w:pPr>
            <w:r>
              <w:rPr/>
              <w:t>​</w:t>
            </w:r>
          </w:p>
        </w:tc>
        <w:tc>
          <w:tcPr>
            <w:tcW w:w="3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50,989</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Payments applicable to reduction of principal amounts as of December 31, 2025 will be required as follows (in thousands):</w:t>
      </w:r>
    </w:p>
    <w:tbl>
      <w:tblPr>
        <w:tblW w:w="4098" w:type="dxa"/>
        <w:jc w:val="left"/>
        <w:tblInd w:w="0" w:type="dxa"/>
        <w:tblLayout w:type="fixed"/>
        <w:tblCellMar>
          <w:top w:w="0" w:type="dxa"/>
          <w:left w:w="0" w:type="dxa"/>
          <w:bottom w:w="0" w:type="dxa"/>
          <w:right w:w="0" w:type="dxa"/>
        </w:tblCellMar>
      </w:tblPr>
      <w:tblGrid>
        <w:gridCol w:w="3001"/>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62610" cy="175260"/>
                      <wp:effectExtent l="0" t="0" r="0" b="0"/>
                      <wp:wrapNone/>
                      <wp:docPr id="388" name="Frame3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As of December 31,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618,800</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December 31, 2025 consisted of the following (in thousands):</w:t>
      </w:r>
    </w:p>
    <w:tbl>
      <w:tblPr>
        <w:tblW w:w="5343" w:type="dxa"/>
        <w:jc w:val="left"/>
        <w:tblInd w:w="0" w:type="dxa"/>
        <w:tblLayout w:type="fixed"/>
        <w:tblCellMar>
          <w:top w:w="0" w:type="dxa"/>
          <w:left w:w="0" w:type="dxa"/>
          <w:bottom w:w="0" w:type="dxa"/>
          <w:right w:w="0" w:type="dxa"/>
        </w:tblCellMar>
      </w:tblPr>
      <w:tblGrid>
        <w:gridCol w:w="4246"/>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62610" cy="175260"/>
                      <wp:effectExtent l="0" t="0" r="0" b="0"/>
                      <wp:wrapNone/>
                      <wp:docPr id="390" name="Frame3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618,800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616,345</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$2.5 million of financing costs, net of accumulated amortization included in the table above, as of December 31, 2025, the Company also had financing costs, net of accumulated amortization related to the Credit Facility of $0.7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90"/>
        <w:jc w:val="both"/>
        <w:rPr>
          <w:rFonts w:ascii="Times New Roman;Times;serif" w:hAnsi="Times New Roman;Times;serif"/>
          <w:sz w:val="20"/>
        </w:rPr>
      </w:pPr>
      <w:bookmarkStart w:id="1441" w:name="Tc_VwA1ffRbA0iAdVQB4Ikf_Q_8_1"/>
      <w:bookmarkStart w:id="1442" w:name="Tc_rGZuzihNnkeCecvjGLie1Q_8_0"/>
      <w:bookmarkStart w:id="1443" w:name="Tc_NpTbWprGk0qTtE_FTSyktg_6_1"/>
      <w:bookmarkStart w:id="1444" w:name="Tc_IKmAOIV3c0yfMSNE_EqWWQ_6_0"/>
      <w:bookmarkStart w:id="1445" w:name="Tc_C8RXFjhzY0ysXBszKRCNAQ_5_0"/>
      <w:bookmarkStart w:id="1446" w:name="Tc_NHdy_y6uF0GNDJkC2mrQGQ_4_0"/>
      <w:bookmarkStart w:id="1447" w:name="Tc_ZcaHtsXmKUisJ7KVXJ1zWQ_3_7"/>
      <w:bookmarkStart w:id="1448" w:name="Tc_e6a4wDIcIUaV0Bu0M5IyHA_3_4"/>
      <w:bookmarkStart w:id="1449" w:name="Tc_PrpuIRjY1U2S9ag_kwObNw_3_1"/>
      <w:bookmarkStart w:id="1450" w:name="Tc_qPbIcxxMhU-HdFPX_19-lg_3_0"/>
      <w:bookmarkStart w:id="1451" w:name="Tc_yHe0VPZ2FUe3WISuyDt3OA_2_8"/>
      <w:bookmarkStart w:id="1452" w:name="Tc_vp-HnrcMMESEMEpDHiLROQ_2_5"/>
      <w:bookmarkStart w:id="1453" w:name="Tc_VbS4Hd8h3EOzJ_WfyLHaqQ_2_2"/>
      <w:bookmarkStart w:id="1454" w:name="Tc_JwOVHhu8O0moCi77q4IhKg_1_2"/>
      <w:bookmarkStart w:id="1455" w:name="_d395d325_a928_4835_b404_a1a34f2fce7a"/>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r>
        <w:rPr>
          <w:rFonts w:ascii="Times New Roman;Times;serif" w:hAnsi="Times New Roman;Times;serif"/>
          <w:sz w:val="20"/>
        </w:rPr>
        <w:t>The following table reflects a summary of interest expense incurred and paid during the years ended December 31, 2025, 2024 and 2023 (in thousands):</w:t>
      </w:r>
    </w:p>
    <w:tbl>
      <w:tblPr>
        <w:tblW w:w="10050" w:type="dxa"/>
        <w:jc w:val="left"/>
        <w:tblInd w:w="0" w:type="dxa"/>
        <w:tblLayout w:type="fixed"/>
        <w:tblCellMar>
          <w:top w:w="0" w:type="dxa"/>
          <w:left w:w="0" w:type="dxa"/>
          <w:bottom w:w="0" w:type="dxa"/>
          <w:right w:w="0" w:type="dxa"/>
        </w:tblCellMar>
      </w:tblPr>
      <w:tblGrid>
        <w:gridCol w:w="3976"/>
        <w:gridCol w:w="211"/>
        <w:gridCol w:w="1726"/>
        <w:gridCol w:w="109"/>
        <w:gridCol w:w="211"/>
        <w:gridCol w:w="1726"/>
        <w:gridCol w:w="109"/>
        <w:gridCol w:w="211"/>
        <w:gridCol w:w="177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524760" cy="175260"/>
                      <wp:effectExtent l="0" t="0" r="0" b="0"/>
                      <wp:wrapNone/>
                      <wp:docPr id="391" name="Frame39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096010" cy="175260"/>
                      <wp:effectExtent l="0" t="0" r="0" b="0"/>
                      <wp:wrapNone/>
                      <wp:docPr id="393" name="Frame39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096010" cy="175260"/>
                      <wp:effectExtent l="0" t="0" r="0" b="0"/>
                      <wp:wrapNone/>
                      <wp:docPr id="396" name="Frame39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124585" cy="175260"/>
                      <wp:effectExtent l="0" t="0" r="0" b="0"/>
                      <wp:wrapNone/>
                      <wp:docPr id="399" name="Frame398"/>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9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22,359</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 Paid </w:t>
            </w:r>
            <w:r>
              <w:rPr>
                <w:rFonts w:ascii="Times New Roman;Times;serif" w:hAnsi="Times New Roman;Times;serif"/>
                <w:sz w:val="15"/>
              </w:rPr>
              <w:t>(1)</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21,636</w:t>
            </w:r>
          </w:p>
        </w:tc>
      </w:tr>
    </w:tbl>
    <w:tbl>
      <w:tblPr>
        <w:tblW w:w="8612" w:type="dxa"/>
        <w:jc w:val="left"/>
        <w:tblInd w:w="0" w:type="dxa"/>
        <w:tblLayout w:type="fixed"/>
        <w:tblCellMar>
          <w:top w:w="0" w:type="dxa"/>
          <w:left w:w="0" w:type="dxa"/>
          <w:bottom w:w="0" w:type="dxa"/>
          <w:right w:w="0" w:type="dxa"/>
        </w:tblCellMar>
      </w:tblPr>
      <w:tblGrid>
        <w:gridCol w:w="286"/>
        <w:gridCol w:w="832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Includes capitalized interest of $0.3</w:t>
            </w:r>
            <w:r>
              <w:rPr>
                <w:rFonts w:ascii="Times New Roman;Times;serif" w:hAnsi="Times New Roman;Times;serif"/>
                <w:sz w:val="20"/>
              </w:rPr>
              <w:t xml:space="preserve"> </w:t>
            </w:r>
            <w:r>
              <w:rPr>
                <w:rFonts w:ascii="Times New Roman;Times;serif" w:hAnsi="Times New Roman;Times;serif"/>
                <w:sz w:val="16"/>
              </w:rPr>
              <w:t>million during the years ended December 31, 2025, 2024 and 2023, respectively.</w:t>
            </w:r>
          </w:p>
        </w:tc>
      </w:tr>
    </w:tbl>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December 31, 2025 and 2024.</w:t>
      </w:r>
    </w:p>
    <w:p>
      <w:pPr>
        <w:pStyle w:val="TextBody"/>
        <w:bidi w:val="0"/>
        <w:spacing w:before="0" w:after="120"/>
        <w:ind w:left="0" w:right="0" w:hanging="0"/>
        <w:jc w:val="left"/>
        <w:rPr>
          <w:rFonts w:ascii="Times New Roman;Times;serif" w:hAnsi="Times New Roman;Times;serif"/>
          <w:b/>
          <w:sz w:val="20"/>
        </w:rPr>
      </w:pPr>
      <w:bookmarkStart w:id="1456" w:name="Tc_9bKkCtbwC0qOjNzZt5qYIQ_21_11"/>
      <w:bookmarkStart w:id="1457" w:name="Tc_MrIHPyhcr0CGbse3YDDugA_21_8"/>
      <w:bookmarkStart w:id="1458" w:name="Tc_zh36l6SpP0mQKLBCItiYfw_21_6"/>
      <w:bookmarkStart w:id="1459" w:name="Tc_sdg1lZcZmkKHcm3kqTl21w_21_4"/>
      <w:bookmarkStart w:id="1460" w:name="Tc__vwXK0o7CU-Py2Vl69ZBBA_21_2"/>
      <w:bookmarkStart w:id="1461" w:name="Tc_j6tCBkqlHEmTIff39yMYLA_21_0"/>
      <w:bookmarkStart w:id="1462" w:name="Tc_tQ4wDUWwmEq1bfILvo7ASA_20_11"/>
      <w:bookmarkStart w:id="1463" w:name="Tc_jXfL2Ix3bE2bawHvS_N0Fg_20_8"/>
      <w:bookmarkStart w:id="1464" w:name="Tc_OTlckHn3AUmRADzJ4pQKYQ_20_6"/>
      <w:bookmarkStart w:id="1465" w:name="Tc_v7YypyjHJke3ZUpve7s4-w_20_4"/>
      <w:bookmarkStart w:id="1466" w:name="Tc_87M3RaApOUi6jPFRlpVewA_20_2"/>
      <w:bookmarkStart w:id="1467" w:name="Tc_xdCw0LAir0WIFaG_H75LnA_20_0"/>
      <w:bookmarkStart w:id="1468" w:name="Tc_jEflZUMQikCXVMZcLNQoxw_19_11"/>
      <w:bookmarkStart w:id="1469" w:name="Tc_o4G6ZhkzAEuRA2vLfcAjIg_19_8"/>
      <w:bookmarkStart w:id="1470" w:name="Tc_6qtmjsLzEEqpzceDOBvWfA_19_6"/>
      <w:bookmarkStart w:id="1471" w:name="Tc_XkF4ORccaU2te321xsvlyA_19_4"/>
      <w:bookmarkStart w:id="1472" w:name="Tc_Uu7HV4IUMkuHi4bWLJsUyw_19_2"/>
      <w:bookmarkStart w:id="1473" w:name="Tc_KbIbS2NBY0qhjke-kRfvBQ_19_0"/>
      <w:bookmarkStart w:id="1474" w:name="Tc_trM5eyacWUybt-UqXydbIQ_18_11"/>
      <w:bookmarkStart w:id="1475" w:name="Tc_N94DAX7bskicGpx1zbIhZg_18_8"/>
      <w:bookmarkStart w:id="1476" w:name="Tc_rI6jBQXMekWzrxq3tUJonw_18_6"/>
      <w:bookmarkStart w:id="1477" w:name="Tc_7Sgs8RiiMUSTmkGK2q8IrQ_18_4"/>
      <w:bookmarkStart w:id="1478" w:name="Tc_FzogqmesGU64gKjWGiP7Dw_18_2"/>
      <w:bookmarkStart w:id="1479" w:name="Tc_OdE1UXx2ckOnG5du_xnoUg_18_0"/>
      <w:bookmarkStart w:id="1480" w:name="Tc_XYLnltLQ4EOBBKjfy3LgKA_17_11"/>
      <w:bookmarkStart w:id="1481" w:name="Tc_Aq0valARuUSi9QqChb1o2g_17_8"/>
      <w:bookmarkStart w:id="1482" w:name="Tc_Fo2PRdrr2UWMK-j_rpuW0g_17_6"/>
      <w:bookmarkStart w:id="1483" w:name="Tc_Q0O1-J5n6UWDjZTLStQF8g_17_4"/>
      <w:bookmarkStart w:id="1484" w:name="Tc_NpQtPrTcPk6-_RPByH1M4w_17_2"/>
      <w:bookmarkStart w:id="1485" w:name="Tc_w9rqqeJfCE2wg2ElCe-_4A_17_0"/>
      <w:bookmarkStart w:id="1486" w:name="Tc_UrlhU7heCkafWXL0VPT5OQ_16_11"/>
      <w:bookmarkStart w:id="1487" w:name="Tc_vXgQu7autUi8IOSFIdqfoA_16_8"/>
      <w:bookmarkStart w:id="1488" w:name="Tc_DoDp4tP60kCqOmj_w-ksxw_16_6"/>
      <w:bookmarkStart w:id="1489" w:name="Tc_C7G0Ic16tEy7X_RPLzM-CA_16_4"/>
      <w:bookmarkStart w:id="1490" w:name="Tc_3lnx-4JvZEeE-gENBzYrkw_16_2"/>
      <w:bookmarkStart w:id="1491" w:name="Tc_WJQzMpDr8k-zqpWpQhPQqw_16_0"/>
      <w:bookmarkStart w:id="1492" w:name="Tc_O9n7oUSKEUmATvkA6k-6iw_15_11"/>
      <w:bookmarkStart w:id="1493" w:name="Tc_mECKxPF3NkuHdu8j48enGA_15_8"/>
      <w:bookmarkStart w:id="1494" w:name="Tc_mlSXVxedaUG-PuOqzXt5kQ_15_6"/>
      <w:bookmarkStart w:id="1495" w:name="Tc_F5FvNpmytUe6lE_ukryW5w_15_4"/>
      <w:bookmarkStart w:id="1496" w:name="Tc_B4t4t8nuI0SispMyFzFeOA_15_2"/>
      <w:bookmarkStart w:id="1497" w:name="Tc_y7FIBLmW9UWIZcJPKofuow_15_0"/>
      <w:bookmarkStart w:id="1498" w:name="Tc_Lj7qOJRZz0yz5PNz1fj2Bg_14_11"/>
      <w:bookmarkStart w:id="1499" w:name="Tc_MbVBXacEw0eBInx1YVdL5g_14_8"/>
      <w:bookmarkStart w:id="1500" w:name="Tc_-B23hTlkVkOYde42cTYKRg_14_6"/>
      <w:bookmarkStart w:id="1501" w:name="Tc_6dWZwFi8ukKVUStO7nDLfw_14_4"/>
      <w:bookmarkStart w:id="1502" w:name="Tc_Qd0Myg7wz0S6UTu-jvWtKw_14_2"/>
      <w:bookmarkStart w:id="1503" w:name="Tc_bsB-K_8_cUeIMrfx_-KygA_14_0"/>
      <w:bookmarkStart w:id="1504" w:name="Tc_4hfHz35yrUSAz8Tv7d0agA_13_11"/>
      <w:bookmarkStart w:id="1505" w:name="Tc_t7UvXYsyj02d5PSkY0_bHw_13_8"/>
      <w:bookmarkStart w:id="1506" w:name="Tc_GnArBfjWX063GqBJHgFvhA_13_6"/>
      <w:bookmarkStart w:id="1507" w:name="Tc_HDtOh1TR3EyN6IWM9t3Jdw_13_4"/>
      <w:bookmarkStart w:id="1508" w:name="Tc_Mb2JYRGDCki4-EuTh_9mjQ_13_2"/>
      <w:bookmarkStart w:id="1509" w:name="Tc_GRJ1yoDrUUuok_xE_O1aCQ_13_0"/>
      <w:bookmarkStart w:id="1510" w:name="Tc_2glL6n3pqkeAwQmwBOW_TQ_12_11"/>
      <w:bookmarkStart w:id="1511" w:name="Tc_NomwxGEFEEOJefrz5-Mp5w_12_8"/>
      <w:bookmarkStart w:id="1512" w:name="Tc_93HZtCSbk0Gmlrj-ZU19xg_12_6"/>
      <w:bookmarkStart w:id="1513" w:name="Tc_VGVCEJ_3z0Cn3915kcSHag_12_4"/>
      <w:bookmarkStart w:id="1514" w:name="Tc_3C5AuieBWUqi8BrjHgJEQQ_12_2"/>
      <w:bookmarkStart w:id="1515" w:name="Tc_qTnKmjMANU6ym0yAPkw47w_12_0"/>
      <w:bookmarkStart w:id="1516" w:name="Tc__3cPbJIo7Uyic6RC_moRng_11_11"/>
      <w:bookmarkStart w:id="1517" w:name="Tc_yMm6jAGZBUOeai__fUzl4g_11_8"/>
      <w:bookmarkStart w:id="1518" w:name="Tc_1EmCqwcVvE6JgyoSsVdbXw_11_6"/>
      <w:bookmarkStart w:id="1519" w:name="Tc_UNja1cjIbESk9Zs0T3a-aA_11_4"/>
      <w:bookmarkStart w:id="1520" w:name="Tc_48rSt0Saek6IYHsCgfAHPA_11_2"/>
      <w:bookmarkStart w:id="1521" w:name="Tc_5NNwZED4J0KUsUvSzLH9IA_11_0"/>
      <w:bookmarkStart w:id="1522" w:name="Tc_SA4keyqZDUu7rIXco218YQ_10_11"/>
      <w:bookmarkStart w:id="1523" w:name="Tc_ccb9ABlztUm6HWNHHs3asQ_10_8"/>
      <w:bookmarkStart w:id="1524" w:name="Tc_0Y5W8_KP2kCnQvaGYGgdww_10_6"/>
      <w:bookmarkStart w:id="1525" w:name="Tc_AsUfTgRYHkGdy3_Zn7Qbrg_10_4"/>
      <w:bookmarkStart w:id="1526" w:name="Tc_wQ9NBBjKV0--uQLczMxv7w_10_2"/>
      <w:bookmarkStart w:id="1527" w:name="Tc_Jj_-2R9OYESFVOKfWzc8Gw_10_0"/>
      <w:bookmarkStart w:id="1528" w:name="Tc_2-1mmUx_wEW4JuE88z-JBA_9_11"/>
      <w:bookmarkStart w:id="1529" w:name="Tc_G-S7ZUAigUuXZRC8igkZSg_9_8"/>
      <w:bookmarkStart w:id="1530" w:name="Tc_uyy18ZeV3EC9v3NsuJb3jQ_9_6"/>
      <w:bookmarkStart w:id="1531" w:name="Tc_82qAtsFyZUqCvUhO9qZKDw_9_4"/>
      <w:bookmarkStart w:id="1532" w:name="Tc_h2HYMzeX4EejY7DBuRAbAA_9_2"/>
      <w:bookmarkStart w:id="1533" w:name="Tc_rgH8_h1lG0u9R9QvtTRgvQ_9_0"/>
      <w:bookmarkStart w:id="1534" w:name="Tc_61NtQj8BhUevAFmKLhqhrg_8_11"/>
      <w:bookmarkStart w:id="1535" w:name="Tc_jTZhlHC6FE-OwnzqvC6eVg_8_8"/>
      <w:bookmarkStart w:id="1536" w:name="Tc_naXEvFxbqEeMToWR12AbxQ_8_6"/>
      <w:bookmarkStart w:id="1537" w:name="Tc_8jYpj2z1Bkm5e9Ubjn5U7w_8_4"/>
      <w:bookmarkStart w:id="1538" w:name="Tc_SUuPQ2VO80WnDofJ4Pq1kw_8_2"/>
      <w:bookmarkStart w:id="1539" w:name="Tc_X5V_dTkpzUi8CcicMHMbaQ_8_0"/>
      <w:bookmarkStart w:id="1540" w:name="Tc_zrzzd_QfAk2wbvHgQhOHCg_7_11"/>
      <w:bookmarkStart w:id="1541" w:name="Tc_0NP0w0sko02xZu-ajG_5AA_7_8"/>
      <w:bookmarkStart w:id="1542" w:name="Tc_SPaej1TNN0qfFuaOqywqzg_7_6"/>
      <w:bookmarkStart w:id="1543" w:name="Tc_xGowkcadAk-E8y_KQbotNA_7_4"/>
      <w:bookmarkStart w:id="1544" w:name="Tc_UmHKJOD3I0iKVbf9zYzKNA_7_2"/>
      <w:bookmarkStart w:id="1545" w:name="Tc_OHDPGduov0izh4pq52c5Fw_7_0"/>
      <w:bookmarkStart w:id="1546" w:name="Tc_LgaZF42BXU6HJfZAlYpsow_6_11"/>
      <w:bookmarkStart w:id="1547" w:name="Tc_68V7Oa_oE0S7FZAibfyEhg_6_8"/>
      <w:bookmarkStart w:id="1548" w:name="Tc_82hJ7yoB302F30XHGT2GiQ_6_6"/>
      <w:bookmarkStart w:id="1549" w:name="Tc_M-m0FcnN40CAhtbrDv_Zag_6_4"/>
      <w:bookmarkStart w:id="1550" w:name="Tc_bGTvwNDzVE6IW5ru8pLh9w_6_2"/>
      <w:bookmarkStart w:id="1551" w:name="Tc_jpYbp1LKF0a6Qv_04NgqQQ_6_0"/>
      <w:bookmarkStart w:id="1552" w:name="Tc_w6vICAmfDkGbmu5znVtN2Q_5_11"/>
      <w:bookmarkStart w:id="1553" w:name="Tc_GSmYekcpT0G2BsAhFG5pVw_5_8"/>
      <w:bookmarkStart w:id="1554" w:name="Tc_v7jlK-T6ikmLnUkFUOwV2g_5_6"/>
      <w:bookmarkStart w:id="1555" w:name="Tc_7yCivnDbx0Oms23HsfX2Ew_5_4"/>
      <w:bookmarkStart w:id="1556" w:name="Tc_SKwki_TPHkuPvkcWLRSjPg_5_2"/>
      <w:bookmarkStart w:id="1557" w:name="Tc_rCVpxPUFoE-FyJYS7KbgwA_5_0"/>
      <w:bookmarkStart w:id="1558" w:name="Tc_Ek-EhamHLEisnNz-33mDUw_4_11"/>
      <w:bookmarkStart w:id="1559" w:name="Tc_FoxHf5acQ0-60-ikb5gJDg_4_8"/>
      <w:bookmarkStart w:id="1560" w:name="Tc_vnm3EA-BuEOxsB-ztGHXNw_4_6"/>
      <w:bookmarkStart w:id="1561" w:name="Tc_nArCjdUZJEGNRBoEwj3drg_4_4"/>
      <w:bookmarkStart w:id="1562" w:name="Tc_FPK-_QF7wUCznipWIiWLTw_4_2"/>
      <w:bookmarkStart w:id="1563" w:name="Tc_2dE3a1Rkh0i9d4ve2kzxAg_4_0"/>
      <w:bookmarkStart w:id="1564" w:name="Tc_sColy-hVR0OevFP0W08wxw_3_11"/>
      <w:bookmarkStart w:id="1565" w:name="Tc_tIGc8ZsDkUib4_Kz-PZSjw_3_8"/>
      <w:bookmarkStart w:id="1566" w:name="Tc_1YAqHw-0LEihdYLLKBszVg_3_6"/>
      <w:bookmarkStart w:id="1567" w:name="Tc_tUyNiTRTAE6thwd__EK5lQ_3_4"/>
      <w:bookmarkStart w:id="1568" w:name="Tc_ATfJZoz6ZUSnrlDD-gL7tw_3_2"/>
      <w:bookmarkStart w:id="1569" w:name="Tc__1tOcb1WzE6nrmiVeon4bw_3_0"/>
      <w:bookmarkStart w:id="1570" w:name="Tc_S9oLJEaec0yuWEnvh2okoQ_2_11"/>
      <w:bookmarkStart w:id="1571" w:name="Tc_oeT7r9M9rUCNMw0ziP8Fvw_2_8"/>
      <w:bookmarkStart w:id="1572" w:name="Tc_Id8GJBG38kq0mmcR2GMf8Q_2_6"/>
      <w:bookmarkStart w:id="1573" w:name="Tc_4p6LS5kz10K0xY9JOboMGg_2_4"/>
      <w:bookmarkStart w:id="1574" w:name="Tc_I2iiIAZKJUmR4vcQBVj7rQ_2_2"/>
      <w:bookmarkStart w:id="1575" w:name="Tc_OjOysqAzYkCiGHRZF-jeDw_2_0"/>
      <w:bookmarkStart w:id="1576" w:name="Tc_oxt-RW1VnE2ZywfOXg6jCA_1_11"/>
      <w:bookmarkStart w:id="1577" w:name="Tc_OSzdeZe4I0yv9l3rvKwzbg_1_8"/>
      <w:bookmarkStart w:id="1578" w:name="Tc_UtVqt6POhki3ktwsr7LTcQ_1_6"/>
      <w:bookmarkStart w:id="1579" w:name="Tc_F4ZDQH_p00awPPmF0iaAmQ_1_4"/>
      <w:bookmarkStart w:id="1580" w:name="Tc_sfFfdsCtWkWGdmYoflRbBA_1_2"/>
      <w:bookmarkStart w:id="1581" w:name="Tc_bRf6MogbgkmmigFf_Ys3aw_1_0"/>
      <w:bookmarkStart w:id="1582" w:name="_9e20564e_bc06_4b64_ae1a_16ffdba60a18"/>
      <w:bookmarkStart w:id="1583" w:name="_11026871_adf7_4eb3_a559_9cc56984050f_3"/>
      <w:bookmarkStart w:id="1584" w:name="_11026871_adf7_4eb3_a559_9cc56984050f_2"/>
      <w:bookmarkStart w:id="1585" w:name="_11026871_adf7_4eb3_a559_9cc56984050f"/>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ascii="Times New Roman;Times;serif" w:hAnsi="Times New Roman;Times;serif"/>
          <w:b/>
          <w:sz w:val="20"/>
        </w:rPr>
        <w:t>NOTE 17.       INTEREST RATE SWAPS</w:t>
      </w:r>
    </w:p>
    <w:p>
      <w:pPr>
        <w:pStyle w:val="TextBody"/>
        <w:bidi w:val="0"/>
        <w:spacing w:before="28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years ended December 31, 2025, 2024, and 2023. Accordingly, the changes in fair value on the interest rate swaps have been classified in accumulated other comprehensive income (loss). The fair value of the interest rate swap agreements are included in other assets and </w:t>
      </w:r>
      <w:r>
        <w:rPr>
          <w:rFonts w:ascii="Times New Roman;Times;serif" w:hAnsi="Times New Roman;Times;serif"/>
          <w:b w:val="false"/>
          <w:i w:val="false"/>
          <w:caps w:val="false"/>
          <w:smallCaps w:val="false"/>
          <w:sz w:val="20"/>
        </w:rPr>
        <w:t>accrued and other liabilities</w:t>
      </w:r>
      <w:r>
        <w:rPr>
          <w:rFonts w:ascii="Times New Roman;Times;serif" w:hAnsi="Times New Roman;Times;serif"/>
          <w:sz w:val="20"/>
        </w:rPr>
        <w:t>, respectively, on the consolidated balance sheets. Information related to the Company’s interest rate swap agreements are noted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6"/>
        <w:gridCol w:w="109"/>
        <w:gridCol w:w="1111"/>
        <w:gridCol w:w="109"/>
        <w:gridCol w:w="1141"/>
        <w:gridCol w:w="109"/>
        <w:gridCol w:w="2337"/>
        <w:gridCol w:w="109"/>
        <w:gridCol w:w="196"/>
        <w:gridCol w:w="691"/>
        <w:gridCol w:w="109"/>
        <w:gridCol w:w="678"/>
        <w:gridCol w:w="1930"/>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000760" cy="175260"/>
                      <wp:effectExtent l="0" t="0" r="0" b="0"/>
                      <wp:wrapNone/>
                      <wp:docPr id="400" name="Frame39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05485" cy="175260"/>
                      <wp:effectExtent l="0" t="0" r="0" b="0"/>
                      <wp:wrapNone/>
                      <wp:docPr id="402" name="Frame40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24535" cy="175260"/>
                      <wp:effectExtent l="0" t="0" r="0" b="0"/>
                      <wp:wrapNone/>
                      <wp:docPr id="404" name="Frame40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83995" cy="175260"/>
                      <wp:effectExtent l="0" t="0" r="0" b="0"/>
                      <wp:wrapNone/>
                      <wp:docPr id="406" name="Frame405"/>
                      <a:graphic xmlns:a="http://schemas.openxmlformats.org/drawingml/2006/main">
                        <a:graphicData uri="http://schemas.microsoft.com/office/word/2010/wordprocessingShape">
                          <wps:wsp>
                            <wps:cNvSpPr txBox="1"/>
                            <wps:spPr>
                              <a:xfrm>
                                <a:off x="0" y="0"/>
                                <a:ext cx="148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24460" cy="175260"/>
                      <wp:effectExtent l="0" t="0" r="0" b="0"/>
                      <wp:wrapNone/>
                      <wp:docPr id="408" name="Frame4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8785" cy="175260"/>
                      <wp:effectExtent l="0" t="0" r="0" b="0"/>
                      <wp:wrapNone/>
                      <wp:docPr id="409" name="Frame4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30530" cy="175260"/>
                      <wp:effectExtent l="0" t="0" r="0" b="0"/>
                      <wp:wrapNone/>
                      <wp:docPr id="411" name="Frame410"/>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225550" cy="175260"/>
                      <wp:effectExtent l="0" t="0" r="0" b="0"/>
                      <wp:wrapNone/>
                      <wp:docPr id="412" name="Frame411"/>
                      <a:graphic xmlns:a="http://schemas.openxmlformats.org/drawingml/2006/main">
                        <a:graphicData uri="http://schemas.microsoft.com/office/word/2010/wordprocessingShape">
                          <wps:wsp>
                            <wps:cNvSpPr txBox="1"/>
                            <wps:spPr>
                              <a:xfrm>
                                <a:off x="0" y="0"/>
                                <a:ext cx="1225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3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December 31, 2025</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2,154</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1/29/2027</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w:t>
            </w:r>
          </w:p>
        </w:tc>
      </w:tr>
      <w:tr>
        <w:trPr/>
        <w:tc>
          <w:tcPr>
            <w:tcW w:w="15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1.44%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1.48%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15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(2)</w:t>
            </w:r>
            <w:r>
              <w:rPr>
                <w:rFonts w:ascii="Times New Roman;Times;serif" w:hAnsi="Times New Roman;Times;serif"/>
                <w:sz w:val="18"/>
              </w:rPr>
              <w:t xml:space="preserve">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1/30/2030</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15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3.41%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15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1.48%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15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(2)</w:t>
            </w:r>
            <w:r>
              <w:rPr>
                <w:rFonts w:ascii="Times New Roman;Times;serif" w:hAnsi="Times New Roman;Times;serif"/>
                <w:sz w:val="18"/>
              </w:rPr>
              <w:t xml:space="preserve">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3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7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r>
      <w:tr>
        <w:trPr/>
        <w:tc>
          <w:tcPr>
            <w:tcW w:w="157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vAlign w:val="center"/>
          </w:tcPr>
          <w:p>
            <w:pPr>
              <w:pStyle w:val="TableContents"/>
              <w:bidi w:val="0"/>
              <w:spacing w:before="0" w:after="0"/>
              <w:ind w:left="0" w:right="0" w:hanging="0"/>
              <w:jc w:val="right"/>
              <w:rPr/>
            </w:pPr>
            <w:r>
              <w:rPr/>
              <w:t>​</w:t>
            </w:r>
          </w:p>
        </w:tc>
        <w:tc>
          <w:tcPr>
            <w:tcW w:w="6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30"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83</w:t>
            </w:r>
          </w:p>
        </w:tc>
      </w:tr>
    </w:tbl>
    <w:tbl>
      <w:tblPr>
        <w:tblW w:w="8597" w:type="dxa"/>
        <w:jc w:val="left"/>
        <w:tblInd w:w="0" w:type="dxa"/>
        <w:tblLayout w:type="fixed"/>
        <w:tblCellMar>
          <w:top w:w="0" w:type="dxa"/>
          <w:left w:w="0" w:type="dxa"/>
          <w:bottom w:w="0" w:type="dxa"/>
          <w:right w:w="0" w:type="dxa"/>
        </w:tblCellMar>
      </w:tblPr>
      <w:tblGrid>
        <w:gridCol w:w="286"/>
        <w:gridCol w:w="831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1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2022 the Company converted its existing interest rate swaps from 1-month LIBOR to SOFR.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(2)</w:t>
            </w:r>
          </w:p>
        </w:tc>
        <w:tc>
          <w:tcPr>
            <w:tcW w:w="992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Company entered into forward swaps to further fix interest rates through periods that the Company reasonably expects to extend its current term loans.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 xml:space="preserve">(3) </w:t>
            </w:r>
          </w:p>
        </w:tc>
        <w:tc>
          <w:tcPr>
            <w:tcW w:w="9892"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6"/>
              </w:rPr>
              <w:t>Effective September 30, 2025, the Company redesignated certain interest rate swaps from its 2026 Term Loan to its 2029 and 2030 Term Loans.</w:t>
            </w:r>
            <w:r>
              <w:rPr>
                <w:rFonts w:ascii="Times New Roman;Times;serif" w:hAnsi="Times New Roman;Times;serif"/>
                <w:sz w:val="20"/>
              </w:rPr>
              <w:t xml:space="preserve"> </w:t>
            </w:r>
          </w:p>
        </w:tc>
      </w:tr>
    </w:tbl>
    <w:tbl>
      <w:tblPr>
        <w:tblW w:w="9512" w:type="dxa"/>
        <w:jc w:val="left"/>
        <w:tblInd w:w="0" w:type="dxa"/>
        <w:tblLayout w:type="fixed"/>
        <w:tblCellMar>
          <w:top w:w="0" w:type="dxa"/>
          <w:left w:w="0" w:type="dxa"/>
          <w:bottom w:w="0" w:type="dxa"/>
          <w:right w:w="0" w:type="dxa"/>
        </w:tblCellMar>
      </w:tblPr>
      <w:tblGrid>
        <w:gridCol w:w="286"/>
        <w:gridCol w:w="922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(4)</w:t>
            </w:r>
          </w:p>
        </w:tc>
        <w:tc>
          <w:tcPr>
            <w:tcW w:w="922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Effective September 30, 2025, the Company redesignated certain interest rate swaps from its Credit Facility to its 2030 Term Loan.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2025 and 2024, there were no events of default related to the Company's interest rate swap agreements.</w:t>
      </w:r>
    </w:p>
    <w:p>
      <w:pPr>
        <w:pStyle w:val="TextBody"/>
        <w:pBdr/>
        <w:bidi w:val="0"/>
        <w:spacing w:before="0" w:after="0"/>
        <w:ind w:left="0" w:right="0" w:hanging="360"/>
        <w:jc w:val="both"/>
        <w:rPr/>
      </w:pPr>
      <w:r>
        <w:rPr/>
        <w:t>​</w:t>
      </w:r>
    </w:p>
    <w:p>
      <w:pPr>
        <w:pStyle w:val="TextBody"/>
        <w:pBdr/>
        <w:bidi w:val="0"/>
        <w:spacing w:before="0" w:after="120"/>
        <w:ind w:left="0" w:right="0" w:hanging="490"/>
        <w:jc w:val="both"/>
        <w:rPr>
          <w:rFonts w:ascii="Times New Roman;Times;serif" w:hAnsi="Times New Roman;Times;serif"/>
          <w:b/>
          <w:sz w:val="20"/>
        </w:rPr>
      </w:pPr>
      <w:bookmarkStart w:id="1586" w:name="Tc_q1nvHNtmj06qZGy1IuxkIg_13_5"/>
      <w:bookmarkStart w:id="1587" w:name="Tc_rbw-3anIB0asec2oRtwdag_13_2"/>
      <w:bookmarkStart w:id="1588" w:name="Tc_JRyhAFE1g0m2Hg8adqoEjQ_13_0"/>
      <w:bookmarkStart w:id="1589" w:name="Tc_iif9QY7HqUOhloh4RafGHA_12_0"/>
      <w:bookmarkStart w:id="1590" w:name="Tc_rYwJ0zg_tEWGPEwO4xlBlA_11_0"/>
      <w:bookmarkStart w:id="1591" w:name="Tc_aHyIUvj0dkS3DJFbPWK3Zw_9_6"/>
      <w:bookmarkStart w:id="1592" w:name="Tc_GQ0qjrlpwUOtHgLdGytlRw_9_0"/>
      <w:bookmarkStart w:id="1593" w:name="Tc_PAtgIPYXjUSl9PSynpXW2g_8_0"/>
      <w:bookmarkStart w:id="1594" w:name="Tc_qEgZtIa_8kO6xgxBmcwhgw_7_0"/>
      <w:bookmarkStart w:id="1595" w:name="Tc_WUfeS0RcKkmX7QOnObWa2Q_6_0"/>
      <w:bookmarkStart w:id="1596" w:name="Tc_N5NytESiCEysS6B3pOPDqg_5_0"/>
      <w:bookmarkStart w:id="1597" w:name="Tc_V5coe_1uXkmd_dXdHvcXsA_4_0"/>
      <w:bookmarkStart w:id="1598" w:name="Tc_sIwZsz5OJ0Oh23exN9K_sA_3_5"/>
      <w:bookmarkStart w:id="1599" w:name="Tc_ZAMn1tVeOUSZQzNUMMKdNg_3_2"/>
      <w:bookmarkStart w:id="1600" w:name="Tc_LSYb9ha2lk29Rj082zMTgA_3_0"/>
      <w:bookmarkStart w:id="1601" w:name="Tc_d-7imun2kE6VXmRnWpV6MA_2_5"/>
      <w:bookmarkStart w:id="1602" w:name="Tc_twWbk_YdBEOi9QwIK1p6tw_2_2"/>
      <w:bookmarkStart w:id="1603" w:name="Tc_9nDcBF9XpkqplyoAkjQ5sQ_1_2"/>
      <w:bookmarkStart w:id="1604" w:name="_0985023d_47c5_466c_aa19_432074b17999"/>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r>
        <w:rPr>
          <w:rFonts w:ascii="Times New Roman;Times;serif" w:hAnsi="Times New Roman;Times;serif"/>
          <w:b/>
          <w:sz w:val="20"/>
        </w:rPr>
        <w:t>NOTE 18.       ACCRUED AND OTHER LIABILITIES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p>
      <w:pPr>
        <w:pStyle w:val="TextBody"/>
        <w:bidi w:val="0"/>
        <w:spacing w:before="0" w:after="0"/>
        <w:ind w:left="0" w:right="0" w:firstLine="490"/>
        <w:jc w:val="both"/>
        <w:rPr/>
      </w:pPr>
      <w:r>
        <w:rPr/>
        <w:t>​</w:t>
      </w:r>
    </w:p>
    <w:tbl>
      <w:tblPr>
        <w:tblW w:w="9410" w:type="dxa"/>
        <w:jc w:val="left"/>
        <w:tblInd w:w="0" w:type="dxa"/>
        <w:tblLayout w:type="fixed"/>
        <w:tblCellMar>
          <w:top w:w="0" w:type="dxa"/>
          <w:left w:w="0" w:type="dxa"/>
          <w:bottom w:w="0" w:type="dxa"/>
          <w:right w:w="0" w:type="dxa"/>
        </w:tblCellMar>
      </w:tblPr>
      <w:tblGrid>
        <w:gridCol w:w="6151"/>
        <w:gridCol w:w="346"/>
        <w:gridCol w:w="299"/>
        <w:gridCol w:w="962"/>
        <w:gridCol w:w="346"/>
        <w:gridCol w:w="277"/>
        <w:gridCol w:w="1029"/>
      </w:tblGrid>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89865" cy="175260"/>
                      <wp:effectExtent l="0" t="0" r="0" b="0"/>
                      <wp:wrapNone/>
                      <wp:docPr id="414" name="Frame41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10870" cy="175260"/>
                      <wp:effectExtent l="0" t="0" r="0" b="0"/>
                      <wp:wrapNone/>
                      <wp:docPr id="415" name="Frame41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75895" cy="175260"/>
                      <wp:effectExtent l="0" t="0" r="0" b="0"/>
                      <wp:wrapNone/>
                      <wp:docPr id="417" name="Frame41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53415" cy="175260"/>
                      <wp:effectExtent l="0" t="0" r="0" b="0"/>
                      <wp:wrapNone/>
                      <wp:docPr id="418" name="Frame417"/>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Environmental Reserve </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Other Reserves from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8,302</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28,185</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21,268</w:t>
            </w:r>
          </w:p>
        </w:tc>
      </w:tr>
    </w:tbl>
    <w:p>
      <w:pPr>
        <w:pStyle w:val="TextBody"/>
        <w:bidi w:val="0"/>
        <w:spacing w:before="0" w:after="0"/>
        <w:ind w:left="0" w:right="0" w:hanging="0"/>
        <w:jc w:val="left"/>
        <w:rPr/>
      </w:pPr>
      <w:r>
        <w:rPr/>
        <w:t>​</w:t>
      </w:r>
    </w:p>
    <w:p>
      <w:pPr>
        <w:pStyle w:val="TextBody"/>
        <w:bidi w:val="0"/>
        <w:spacing w:before="280" w:after="120"/>
        <w:ind w:left="0" w:right="0" w:firstLine="547"/>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In connection with recent acquisitions, the Company received, an aggregate $1.9 million from the sellers of the properties for tenant improvement allowances, leasing commissions</w:t>
      </w:r>
      <w:r>
        <w:rPr>
          <w:rFonts w:ascii="Times New Roman;Times;serif" w:hAnsi="Times New Roman;Times;serif"/>
          <w:color w:val="FF0000"/>
          <w:sz w:val="20"/>
        </w:rPr>
        <w:t xml:space="preserve"> </w:t>
      </w:r>
      <w:r>
        <w:rPr>
          <w:rFonts w:ascii="Times New Roman;Times;serif" w:hAnsi="Times New Roman;Times;serif"/>
          <w:sz w:val="20"/>
        </w:rPr>
        <w:t xml:space="preserve">and other capital improvements. These amounts are included in accrued and other liabilities on the consolidated balance sheets. Through December 31, 2025, payments totaling $0.8 million were made leaving a remaining reserve for tenant improvements of $1.1 million. </w:t>
      </w:r>
    </w:p>
    <w:p>
      <w:pPr>
        <w:pStyle w:val="TextBody"/>
        <w:pBdr/>
        <w:bidi w:val="0"/>
        <w:spacing w:before="0" w:after="240"/>
        <w:ind w:left="0" w:right="0" w:hanging="490"/>
        <w:jc w:val="both"/>
        <w:rPr>
          <w:rFonts w:ascii="Times New Roman;Times;serif" w:hAnsi="Times New Roman;Times;serif"/>
          <w:b/>
          <w:sz w:val="20"/>
        </w:rPr>
      </w:pPr>
      <w:bookmarkStart w:id="1605" w:name="Tc_rzhXp_sECUCADY9DEHTwNQ_6_5"/>
      <w:bookmarkStart w:id="1606" w:name="Tc_t9ALetJmDUaZMp0tXJb3-Q_6_2"/>
      <w:bookmarkStart w:id="1607" w:name="Tc_BCFFUk_WlEyxKfM4CeSQDw_6_0"/>
      <w:bookmarkStart w:id="1608" w:name="Tc_kTXGewnda0K8iprdzxlfMw_5_0"/>
      <w:bookmarkStart w:id="1609" w:name="Tc_FYjc6tzTsUO8JZWFy4SIHw_4_0"/>
      <w:bookmarkStart w:id="1610" w:name="Tc_uUTOPpbLvEOh7a7BJZt-Hg_3_5"/>
      <w:bookmarkStart w:id="1611" w:name="Tc_0hoeJi_hp0yY9Gep0r4CzA_3_2"/>
      <w:bookmarkStart w:id="1612" w:name="Tc_BYD_eWZsO06UF1gOi2Qm0g_3_0"/>
      <w:bookmarkStart w:id="1613" w:name="Tc_MiTqIZAVdk6zei6K7-Uosg_2_5"/>
      <w:bookmarkStart w:id="1614" w:name="Tc_G-UyBnQX6UGls_dvawNy5g_2_2"/>
      <w:bookmarkStart w:id="1615" w:name="Tc_stG6v4a0h02Abdg57nwRJw_1_2"/>
      <w:bookmarkStart w:id="1616" w:name="_374530f7_dffa_44cc_8f2d_b79ed0582d23"/>
      <w:bookmarkEnd w:id="1605"/>
      <w:bookmarkEnd w:id="1606"/>
      <w:bookmarkEnd w:id="1607"/>
      <w:bookmarkEnd w:id="1608"/>
      <w:bookmarkEnd w:id="1609"/>
      <w:bookmarkEnd w:id="1610"/>
      <w:bookmarkEnd w:id="1611"/>
      <w:bookmarkEnd w:id="1612"/>
      <w:bookmarkEnd w:id="1613"/>
      <w:bookmarkEnd w:id="1614"/>
      <w:bookmarkEnd w:id="1615"/>
      <w:bookmarkEnd w:id="1616"/>
      <w:r>
        <w:rPr>
          <w:rFonts w:ascii="Times New Roman;Times;serif" w:hAnsi="Times New Roman;Times;serif"/>
          <w:b/>
          <w:sz w:val="20"/>
        </w:rPr>
        <w:t>NOTE 19.       DEFERRED REVENUE</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8030" w:type="dxa"/>
        <w:jc w:val="left"/>
        <w:tblInd w:w="0" w:type="dxa"/>
        <w:tblLayout w:type="fixed"/>
        <w:tblCellMar>
          <w:top w:w="0" w:type="dxa"/>
          <w:left w:w="0" w:type="dxa"/>
          <w:bottom w:w="0" w:type="dxa"/>
          <w:right w:w="0" w:type="dxa"/>
        </w:tblCellMar>
      </w:tblPr>
      <w:tblGrid>
        <w:gridCol w:w="4771"/>
        <w:gridCol w:w="346"/>
        <w:gridCol w:w="299"/>
        <w:gridCol w:w="962"/>
        <w:gridCol w:w="346"/>
        <w:gridCol w:w="277"/>
        <w:gridCol w:w="1029"/>
      </w:tblGrid>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89865" cy="175260"/>
                      <wp:effectExtent l="0" t="0" r="0" b="0"/>
                      <wp:wrapNone/>
                      <wp:docPr id="420" name="Frame41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10870" cy="175260"/>
                      <wp:effectExtent l="0" t="0" r="0" b="0"/>
                      <wp:wrapNone/>
                      <wp:docPr id="421" name="Frame420"/>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75895" cy="175260"/>
                      <wp:effectExtent l="0" t="0" r="0" b="0"/>
                      <wp:wrapNone/>
                      <wp:docPr id="423" name="Frame42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53415" cy="175260"/>
                      <wp:effectExtent l="0" t="0" r="0" b="0"/>
                      <wp:wrapNone/>
                      <wp:docPr id="424" name="Frame423"/>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2025</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18,802</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10,183</w:t>
            </w:r>
          </w:p>
        </w:tc>
      </w:tr>
    </w:tbl>
    <w:p>
      <w:pPr>
        <w:pStyle w:val="TextBody"/>
        <w:bidi w:val="0"/>
        <w:spacing w:before="0" w:after="12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five of the Company’s commercial 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490"/>
        <w:jc w:val="both"/>
        <w:rPr>
          <w:rFonts w:ascii="Times New Roman;Times;serif" w:hAnsi="Times New Roman;Times;serif"/>
          <w:b/>
          <w:sz w:val="20"/>
        </w:rPr>
      </w:pPr>
      <w:bookmarkStart w:id="1617" w:name="Tc_6JJ5aACVIE-9lOhctzgytw_3_8"/>
      <w:bookmarkStart w:id="1618" w:name="Tc_W5yY38U3D0u0CV_mgVU28g_3_5"/>
      <w:bookmarkStart w:id="1619" w:name="Tc_vVlItyh3hUSR4bWvlYck8w_3_2"/>
      <w:bookmarkStart w:id="1620" w:name="Tc_ta1pr-4MqEO58cbFModkZw_3_0"/>
      <w:bookmarkStart w:id="1621" w:name="Tc_pSrzPbkTeUW2frBq10gBgw_2_8"/>
      <w:bookmarkStart w:id="1622" w:name="Tc_8byMvYus-E-8r4WeFDVCIw_2_5"/>
      <w:bookmarkStart w:id="1623" w:name="Tc_vIlX_hJe8EyJmtl6cg8a6Q_2_2"/>
      <w:bookmarkStart w:id="1624" w:name="Tc_uYeTwvfqjE22azRp6WwiSw_1_2"/>
      <w:bookmarkStart w:id="1625" w:name="_df9373eb_4f25_4253_84f0_6f01fe4fdc5f"/>
      <w:bookmarkStart w:id="1626" w:name="Tc_ak67zDv-m0SP1I5UpgLSKw_4_12"/>
      <w:bookmarkStart w:id="1627" w:name="Tc_9B_naRVqrkuHYGk1egziUg_4_0"/>
      <w:bookmarkStart w:id="1628" w:name="Tc_58s2ib9BfU2FaaiRA1nfdg_3_12"/>
      <w:bookmarkStart w:id="1629" w:name="Tc_NaWSARpNn06pyYWwkpvYMg_3_0"/>
      <w:bookmarkStart w:id="1630" w:name="Tc_WtSd8igUDEquLlhCIYRm6w_2_15"/>
      <w:bookmarkStart w:id="1631" w:name="Tc_LqPGwVO8TEGQna8jgZ2hDA_2_12"/>
      <w:bookmarkStart w:id="1632" w:name="Tc_6949GIxYCkys4by7ZGas6A_2_0"/>
      <w:bookmarkStart w:id="1633" w:name="Tc_Wx6xFWuHBkuUaW0rKByyaw_1_17"/>
      <w:bookmarkStart w:id="1634" w:name="Tc_DWXythnSFUinVMiOLERjvA_1_14"/>
      <w:bookmarkStart w:id="1635" w:name="Tc_aMnY9X-MF0iUzQXEq17hYQ_1_11"/>
      <w:bookmarkStart w:id="1636" w:name="Tc_p-mTRGcJ9ES2RFebmJatZw_1_8"/>
      <w:bookmarkStart w:id="1637" w:name="Tc_cm8tCnxwL0y6Pk6kQbc1Nw_1_5"/>
      <w:bookmarkStart w:id="1638" w:name="Tc_Wn5_pEx1MkCE1XAUo2aLJQ_1_2"/>
      <w:bookmarkStart w:id="1639" w:name="Tc_lgVsDPgT9EWAYEc-dCGNTQ_1_0"/>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Times New Roman;Times;serif" w:hAnsi="Times New Roman;Times;serif"/>
          <w:b/>
          <w:sz w:val="20"/>
        </w:rPr>
        <w:t>NOTE 20.       STOCK-BASED COMPENSATION</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summary of share activity for all equity classified stock compensation during the year ended December 31, 2025,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9"/>
        <w:gridCol w:w="346"/>
        <w:gridCol w:w="186"/>
        <w:gridCol w:w="1188"/>
        <w:gridCol w:w="346"/>
        <w:gridCol w:w="123"/>
        <w:gridCol w:w="782"/>
        <w:gridCol w:w="109"/>
        <w:gridCol w:w="146"/>
        <w:gridCol w:w="1017"/>
        <w:gridCol w:w="109"/>
        <w:gridCol w:w="199"/>
        <w:gridCol w:w="637"/>
        <w:gridCol w:w="109"/>
        <w:gridCol w:w="182"/>
        <w:gridCol w:w="730"/>
        <w:gridCol w:w="346"/>
        <w:gridCol w:w="174"/>
        <w:gridCol w:w="1287"/>
      </w:tblGrid>
      <w:tr>
        <w:trPr/>
        <w:tc>
          <w:tcPr>
            <w:tcW w:w="21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18110" cy="175260"/>
                      <wp:effectExtent l="0" t="0" r="0" b="0"/>
                      <wp:wrapNone/>
                      <wp:docPr id="426" name="Frame425"/>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54380" cy="175260"/>
                      <wp:effectExtent l="0" t="0" r="0" b="0"/>
                      <wp:wrapNone/>
                      <wp:docPr id="427" name="Frame426"/>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8105" cy="175260"/>
                      <wp:effectExtent l="0" t="0" r="0" b="0"/>
                      <wp:wrapNone/>
                      <wp:docPr id="429" name="Frame42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6570" cy="175260"/>
                      <wp:effectExtent l="0" t="0" r="0" b="0"/>
                      <wp:wrapNone/>
                      <wp:docPr id="430" name="Frame429"/>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2710" cy="175260"/>
                      <wp:effectExtent l="0" t="0" r="0" b="0"/>
                      <wp:wrapNone/>
                      <wp:docPr id="432" name="Frame4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5795" cy="175260"/>
                      <wp:effectExtent l="0" t="0" r="0" b="0"/>
                      <wp:wrapNone/>
                      <wp:docPr id="433" name="Frame432"/>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4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26365" cy="175260"/>
                      <wp:effectExtent l="0" t="0" r="0" b="0"/>
                      <wp:wrapNone/>
                      <wp:docPr id="435" name="Frame434"/>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04495" cy="175260"/>
                      <wp:effectExtent l="0" t="0" r="0" b="0"/>
                      <wp:wrapNone/>
                      <wp:docPr id="436" name="Frame435"/>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9215" cy="175260"/>
                      <wp:effectExtent l="0" t="0" r="0" b="0"/>
                      <wp:wrapNone/>
                      <wp:docPr id="437"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15570" cy="175260"/>
                      <wp:effectExtent l="0" t="0" r="0" b="0"/>
                      <wp:wrapNone/>
                      <wp:docPr id="438" name="Frame437"/>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63550" cy="175260"/>
                      <wp:effectExtent l="0" t="0" r="0" b="0"/>
                      <wp:wrapNone/>
                      <wp:docPr id="439" name="Frame43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10490" cy="175260"/>
                      <wp:effectExtent l="0" t="0" r="0" b="0"/>
                      <wp:wrapNone/>
                      <wp:docPr id="441" name="Frame440"/>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817245" cy="175260"/>
                      <wp:effectExtent l="0" t="0" r="0" b="0"/>
                      <wp:wrapNone/>
                      <wp:docPr id="442" name="Frame441"/>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46" w:type="dxa"/>
            <w:tcBorders/>
            <w:vAlign w:val="center"/>
          </w:tcPr>
          <w:p>
            <w:pPr>
              <w:pStyle w:val="TableContents"/>
              <w:bidi w:val="0"/>
              <w:spacing w:before="0" w:after="0"/>
              <w:ind w:left="0" w:right="0" w:hanging="0"/>
              <w:jc w:val="left"/>
              <w:rPr/>
            </w:pPr>
            <w:r>
              <w:rPr/>
              <w:t>  ​ ​ ​</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1/1/2025</w:t>
            </w:r>
          </w:p>
        </w:tc>
        <w:tc>
          <w:tcPr>
            <w:tcW w:w="346" w:type="dxa"/>
            <w:tcBorders/>
            <w:vAlign w:val="center"/>
          </w:tcPr>
          <w:p>
            <w:pPr>
              <w:pStyle w:val="TableContents"/>
              <w:bidi w:val="0"/>
              <w:spacing w:before="0" w:after="0"/>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46" w:type="dxa"/>
            <w:tcBorders/>
            <w:vAlign w:val="center"/>
          </w:tcPr>
          <w:p>
            <w:pPr>
              <w:pStyle w:val="TableContents"/>
              <w:bidi w:val="0"/>
              <w:spacing w:before="0" w:after="0"/>
              <w:ind w:left="0" w:right="0" w:hanging="0"/>
              <w:jc w:val="center"/>
              <w:rPr/>
            </w:pPr>
            <w:r>
              <w:rPr/>
              <w:t>  ​ ​ ​</w:t>
            </w:r>
          </w:p>
        </w:tc>
        <w:tc>
          <w:tcPr>
            <w:tcW w:w="14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12/31/2025</w:t>
            </w:r>
          </w:p>
        </w:tc>
      </w:tr>
      <w:tr>
        <w:trP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208,003</w:t>
            </w:r>
          </w:p>
        </w:tc>
        <w:tc>
          <w:tcPr>
            <w:tcW w:w="34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110,270</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12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262,887</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197,794</w:t>
            </w:r>
          </w:p>
        </w:tc>
        <w:tc>
          <w:tcPr>
            <w:tcW w:w="34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117,739</w:t>
            </w:r>
          </w:p>
        </w:tc>
        <w:tc>
          <w:tcPr>
            <w:tcW w:w="109"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(112,009)</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46" w:type="dxa"/>
            <w:tcBorders/>
            <w:vAlign w:val="center"/>
          </w:tcPr>
          <w:p>
            <w:pPr>
              <w:pStyle w:val="TableContents"/>
              <w:bidi w:val="0"/>
              <w:spacing w:before="0" w:after="0"/>
              <w:ind w:left="0" w:right="0" w:hanging="0"/>
              <w:jc w:val="left"/>
              <w:rPr/>
            </w:pPr>
            <w:r>
              <w:rPr/>
              <w:t>​</w:t>
            </w:r>
          </w:p>
        </w:tc>
        <w:tc>
          <w:tcPr>
            <w:tcW w:w="1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203,252</w:t>
            </w:r>
          </w:p>
        </w:tc>
      </w:tr>
      <w:tr>
        <w:trP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405,797</w:t>
            </w:r>
          </w:p>
        </w:tc>
        <w:tc>
          <w:tcPr>
            <w:tcW w:w="34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228,009</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(167,395)</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46" w:type="dxa"/>
            <w:tcBorders/>
            <w:shd w:fill="CCEEFF" w:val="clear"/>
            <w:vAlign w:val="center"/>
          </w:tcPr>
          <w:p>
            <w:pPr>
              <w:pStyle w:val="TableContents"/>
              <w:bidi w:val="0"/>
              <w:spacing w:before="0" w:after="0"/>
              <w:ind w:left="0" w:right="0" w:hanging="0"/>
              <w:jc w:val="left"/>
              <w:rPr/>
            </w:pPr>
            <w:r>
              <w:rPr/>
              <w:t>​</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466,139</w:t>
            </w:r>
          </w:p>
        </w:tc>
      </w:tr>
    </w:tbl>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shd w:fill="FFFFFF" w:val="clear"/>
        <w:bidi w:val="0"/>
        <w:spacing w:before="0" w:after="0"/>
        <w:ind w:left="0" w:right="0" w:firstLine="547"/>
        <w:jc w:val="both"/>
        <w:rPr/>
      </w:pPr>
      <w:r>
        <w:rPr/>
        <w:t>​</w:t>
      </w:r>
    </w:p>
    <w:tbl>
      <w:tblPr>
        <w:tblW w:w="8260" w:type="dxa"/>
        <w:jc w:val="left"/>
        <w:tblInd w:w="0" w:type="dxa"/>
        <w:tblLayout w:type="fixed"/>
        <w:tblCellMar>
          <w:top w:w="0" w:type="dxa"/>
          <w:left w:w="0" w:type="dxa"/>
          <w:bottom w:w="0" w:type="dxa"/>
          <w:right w:w="0" w:type="dxa"/>
        </w:tblCellMar>
      </w:tblPr>
      <w:tblGrid>
        <w:gridCol w:w="4771"/>
        <w:gridCol w:w="346"/>
        <w:gridCol w:w="211"/>
        <w:gridCol w:w="571"/>
        <w:gridCol w:w="346"/>
        <w:gridCol w:w="211"/>
        <w:gridCol w:w="571"/>
        <w:gridCol w:w="346"/>
        <w:gridCol w:w="211"/>
        <w:gridCol w:w="67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029585" cy="175260"/>
                      <wp:effectExtent l="0" t="0" r="0" b="0"/>
                      <wp:wrapNone/>
                      <wp:docPr id="443" name="Frame442"/>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2585" cy="175260"/>
                      <wp:effectExtent l="0" t="0" r="0" b="0"/>
                      <wp:wrapNone/>
                      <wp:docPr id="446" name="Frame4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62585" cy="175260"/>
                      <wp:effectExtent l="0" t="0" r="0" b="0"/>
                      <wp:wrapNone/>
                      <wp:docPr id="449" name="Frame4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29260" cy="175260"/>
                      <wp:effectExtent l="0" t="0" r="0" b="0"/>
                      <wp:wrapNone/>
                      <wp:docPr id="452" name="Frame4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3,673</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110,270 performance shares during the year ended December 31, 2025.</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three-year service period is met.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2025, there was $1.9 million of unrecognized compensation cost, adjusted for estimated forfeitures, related to the outstanding performance share awards, which will be recognized over a remaining weighted average period of 1.8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640" w:name="Tc_UDA_HCcclk-tHGjh-td79g_17_5"/>
      <w:bookmarkStart w:id="1641" w:name="Tc_MkAYUWGCGkOo08p1Jc3CFA_17_0"/>
      <w:bookmarkStart w:id="1642" w:name="Tc_gv-uPTdmKk-p9Y2BEf1lVA_16_5"/>
      <w:bookmarkStart w:id="1643" w:name="Tc_nPolS2R4HkmkwtR_CjIoqQ_16_0"/>
      <w:bookmarkStart w:id="1644" w:name="Tc_MnFHhHQ9j0WoINMRwdZOHA_15_6"/>
      <w:bookmarkStart w:id="1645" w:name="Tc_VKNsrVLOaEOSxIi72-NmtA_15_3"/>
      <w:bookmarkStart w:id="1646" w:name="Tc_KgLYOzmLo0a2aWaxgUwH3Q_15_0"/>
      <w:bookmarkStart w:id="1647" w:name="Tc_MXh3sS13tEq8a-MKFdHFHg_14_5"/>
      <w:bookmarkStart w:id="1648" w:name="Tc_Am0fyBj9lU-CaTpcVUCdyg_14_0"/>
      <w:bookmarkStart w:id="1649" w:name="Tc_FU591wvvzEul_-4fGhLiIw_13_5"/>
      <w:bookmarkStart w:id="1650" w:name="Tc_TrDRUeHwMU-qzoB0IMbodA_13_0"/>
      <w:bookmarkStart w:id="1651" w:name="Tc_5D2JMbL5IUiqC2ACVvX1Ng_12_5"/>
      <w:bookmarkStart w:id="1652" w:name="Tc_6OLksbPLBECeFmebHm3i6g_12_0"/>
      <w:bookmarkStart w:id="1653" w:name="Tc_85d7gLlTK0CLY8jP2eQIIg_11_5"/>
      <w:bookmarkStart w:id="1654" w:name="Tc_zWuJWILUIUOBJ8MCjbFkbA_11_0"/>
      <w:bookmarkStart w:id="1655" w:name="Tc_ztrNTBAbrketNZJmQaNrdA_10_6"/>
      <w:bookmarkStart w:id="1656" w:name="Tc_7_mWX-8ZiEaY1kLW3Uzgcg_10_3"/>
      <w:bookmarkStart w:id="1657" w:name="Tc_cHH10J3wMk2u0dbj2EwSfg_10_0"/>
      <w:bookmarkStart w:id="1658" w:name="Tc_oDJouanbCUyFCGFNhtkVfw_9_5"/>
      <w:bookmarkStart w:id="1659" w:name="Tc_7XeeQYELLEaczyh67n-dYw_9_0"/>
      <w:bookmarkStart w:id="1660" w:name="Tc_UuAmnXXcqECw4FDNY8Szyg_8_5"/>
      <w:bookmarkStart w:id="1661" w:name="Tc_UwO-GtUuAkGUC169k0Y6Cg_8_0"/>
      <w:bookmarkStart w:id="1662" w:name="Tc_pyXWCtVgq0Ol-LpJs5cUAQ_7_5"/>
      <w:bookmarkStart w:id="1663" w:name="Tc_Xy58z_vjuEGNJQXuBCbFAg_7_0"/>
      <w:bookmarkStart w:id="1664" w:name="Tc_o0dUukRmbkSWbC7Aq9gTrA_6_5"/>
      <w:bookmarkStart w:id="1665" w:name="Tc_WecaVH7A_Uy2K6nbTbayWQ_6_0"/>
      <w:bookmarkStart w:id="1666" w:name="Tc_NFZDjg5GUUmS3DjwexfQwg_5_6"/>
      <w:bookmarkStart w:id="1667" w:name="Tc_C3_tS4qZqEOOTxjhiN3c6A_5_3"/>
      <w:bookmarkStart w:id="1668" w:name="Tc_PIVGojUiz0GQck7wbe0J_A_5_0"/>
      <w:bookmarkStart w:id="1669" w:name="Tc_ahjnrwYQjkWq4S8uGsyeyA_4_5"/>
      <w:bookmarkStart w:id="1670" w:name="Tc_k7NIAn1KUEW-0s-jwEJcUw_4_0"/>
      <w:bookmarkStart w:id="1671" w:name="Tc_e321qpUcIUOUCMfCsHqPuw_3_5"/>
      <w:bookmarkStart w:id="1672" w:name="Tc_8C8yF_2fl0SBmSQzNMLV3A_3_0"/>
      <w:bookmarkStart w:id="1673" w:name="Tc_ocAyYJbGcUK2StSbPCKgSg_2_5"/>
      <w:bookmarkStart w:id="1674" w:name="Tc_uZUDV04EU0W3DXJcAjm_OA_2_0"/>
      <w:bookmarkStart w:id="1675" w:name="Tc_VxmO3f1upEWDxoJZFxnDNA_1_5"/>
      <w:bookmarkStart w:id="1676" w:name="Tc_Ihac18cyukaz8oOQJaWSmw_1_2"/>
      <w:bookmarkStart w:id="1677" w:name="Tc_7y4My8f80kOwPswOZInL8Q_1_0"/>
      <w:bookmarkStart w:id="1678" w:name="Tc_TFGXMTKkeUadfzVQCF5kxQ_17_5"/>
      <w:bookmarkStart w:id="1679" w:name="Tc_8c9EhyB9JE2AclmgqAAMMQ_17_0"/>
      <w:bookmarkStart w:id="1680" w:name="Tc_L1P8IkRq2EK--bqs0PNIbA_16_6"/>
      <w:bookmarkStart w:id="1681" w:name="Tc_kpLq7a8PXEiyM_-ltm2a7w_16_3"/>
      <w:bookmarkStart w:id="1682" w:name="Tc_ZZzh0rk1DkWFIxWs9YQKeA_16_0"/>
      <w:bookmarkStart w:id="1683" w:name="Tc_tFlcSxTjzUmPVbLR_SfkcA_15_6"/>
      <w:bookmarkStart w:id="1684" w:name="Tc_MzpfiPsp00qU6c57-YSWmA_15_3"/>
      <w:bookmarkStart w:id="1685" w:name="Tc_V1HEK1w6f0CjBeA_GpmcPA_15_0"/>
      <w:bookmarkStart w:id="1686" w:name="Tc_PsNiwXcCVUmqV7gjukS_cw_14_5"/>
      <w:bookmarkStart w:id="1687" w:name="Tc_dXiXV_OaR0-6-yJQ8wKSYw_14_0"/>
      <w:bookmarkStart w:id="1688" w:name="Tc_pToaH-7d2ECM964_4YxFNQ_13_5"/>
      <w:bookmarkStart w:id="1689" w:name="Tc_zbI3TqQuOEy9OqVVaqVCwQ_13_0"/>
      <w:bookmarkStart w:id="1690" w:name="Tc_BldV1i2ZQE6WHXyXO1AnAw_12_5"/>
      <w:bookmarkStart w:id="1691" w:name="Tc_JPq6EKkZm0epf9HZq5-c5A_12_0"/>
      <w:bookmarkStart w:id="1692" w:name="Tc_Upq5PC14HkaMjkcLQnqLYA_11_5"/>
      <w:bookmarkStart w:id="1693" w:name="Tc_7oKnPsIKvUKNCxRx3TZMug_11_0"/>
      <w:bookmarkStart w:id="1694" w:name="Tc_-ALl8jHbr0WqqPt5sLpFeQ_10_6"/>
      <w:bookmarkStart w:id="1695" w:name="Tc_DvamQtMsJ0Cr6SeQPh91fQ_10_3"/>
      <w:bookmarkStart w:id="1696" w:name="Tc_r56IQ4_xckSG0jROTPvlxQ_10_0"/>
      <w:bookmarkStart w:id="1697" w:name="Tc_V3ogOx5_4km4CaGa33gQEA_9_5"/>
      <w:bookmarkStart w:id="1698" w:name="Tc_Wzy1GiSA4EOk7jvbWRlVoA_9_0"/>
      <w:bookmarkStart w:id="1699" w:name="Tc_aXjTS6ZEPUee0R0w7m7EiQ_8_5"/>
      <w:bookmarkStart w:id="1700" w:name="Tc_3uUsuDuktkeR14-xd9PXEg_8_0"/>
      <w:bookmarkStart w:id="1701" w:name="Tc_GoAGy3SHn0WBUNCeMSPhDA_7_5"/>
      <w:bookmarkStart w:id="1702" w:name="Tc_qmGdCR1eP0OH2ecQs03IJw_7_0"/>
      <w:bookmarkStart w:id="1703" w:name="Tc_om9xkDngLEihgkRqEmLiTA_6_5"/>
      <w:bookmarkStart w:id="1704" w:name="Tc_Q1vdzS9oM0S5U121r5TXaQ_6_0"/>
      <w:bookmarkStart w:id="1705" w:name="Tc_NkZDwmtAwEqAYq2Ck16Fcw_5_6"/>
      <w:bookmarkStart w:id="1706" w:name="Tc_INamZ-t6Uk2bpxo3AeOpGA_5_3"/>
      <w:bookmarkStart w:id="1707" w:name="Tc_UT4EGFbaFkqpI-ArOowD9g_5_0"/>
      <w:bookmarkStart w:id="1708" w:name="Tc_JPZKpXLDrECMZ81hrd9Ogw_4_5"/>
      <w:bookmarkStart w:id="1709" w:name="Tc_dN4RrRzhUk6N9BSnkXrieA_4_0"/>
      <w:bookmarkStart w:id="1710" w:name="Tc_aEMbX0wwak6SyJCi0wbSVw_3_5"/>
      <w:bookmarkStart w:id="1711" w:name="Tc_xPABHec2NkOj6QofUWPclg_3_0"/>
      <w:bookmarkStart w:id="1712" w:name="Tc_1D3RI5kyUEeVA3vFzcsKBw_2_5"/>
      <w:bookmarkStart w:id="1713" w:name="Tc_mXQosgW8rk6OeYWzVOu0gw_2_0"/>
      <w:bookmarkStart w:id="1714" w:name="Tc_88Mak5BlQUqM7zGXIoeHRQ_1_5"/>
      <w:bookmarkStart w:id="1715" w:name="Tc_SMPl4LQ8ZUOPRnyCsIv0MQ_1_2"/>
      <w:bookmarkStart w:id="1716" w:name="Tc_TJzyx4aJz0KNveAA_6Lj7g_1_0"/>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r>
        <w:rPr>
          <w:rFonts w:ascii="Times New Roman;Times;serif" w:hAnsi="Times New Roman;Times;serif"/>
          <w:sz w:val="20"/>
        </w:rPr>
        <w:t>A summary of the activity for these awards during the years ended December 31, 2025, 2024, and 2023 is presented below: </w:t>
      </w:r>
    </w:p>
    <w:p>
      <w:pPr>
        <w:pStyle w:val="TextBody"/>
        <w:bidi w:val="0"/>
        <w:spacing w:before="0" w:after="0"/>
        <w:ind w:left="0" w:right="0" w:hanging="0"/>
        <w:jc w:val="left"/>
        <w:rPr/>
      </w:pPr>
      <w:r>
        <w:rPr/>
        <w:t>​</w:t>
      </w:r>
    </w:p>
    <w:tbl>
      <w:tblPr>
        <w:tblW w:w="8141" w:type="dxa"/>
        <w:jc w:val="left"/>
        <w:tblInd w:w="0" w:type="dxa"/>
        <w:tblLayout w:type="fixed"/>
        <w:tblCellMar>
          <w:top w:w="0" w:type="dxa"/>
          <w:left w:w="0" w:type="dxa"/>
          <w:bottom w:w="0" w:type="dxa"/>
          <w:right w:w="0" w:type="dxa"/>
        </w:tblCellMar>
      </w:tblPr>
      <w:tblGrid>
        <w:gridCol w:w="3946"/>
        <w:gridCol w:w="346"/>
        <w:gridCol w:w="109"/>
        <w:gridCol w:w="796"/>
        <w:gridCol w:w="109"/>
        <w:gridCol w:w="674"/>
        <w:gridCol w:w="2161"/>
      </w:tblGrid>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05460" cy="175260"/>
                      <wp:effectExtent l="0" t="0" r="0" b="0"/>
                      <wp:wrapNone/>
                      <wp:docPr id="455" name="Frame4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27990" cy="175260"/>
                      <wp:effectExtent l="0" t="0" r="0" b="0"/>
                      <wp:wrapNone/>
                      <wp:docPr id="457" name="Frame45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72235" cy="175260"/>
                      <wp:effectExtent l="0" t="0" r="0" b="0"/>
                      <wp:wrapNone/>
                      <wp:docPr id="458" name="Frame45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230,247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88,754</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(72,141)</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(9,485)</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237,375</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100,391</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(85,938)</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(43,825)</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208,003</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110,270</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262,887</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18.29</w:t>
            </w:r>
          </w:p>
        </w:tc>
      </w:tr>
    </w:tbl>
    <w:p>
      <w:pPr>
        <w:pStyle w:val="TextBody"/>
        <w:bidi w:val="0"/>
        <w:spacing w:before="0" w:after="0"/>
        <w:ind w:left="0" w:right="0" w:firstLine="547"/>
        <w:jc w:val="both"/>
        <w:rPr/>
      </w:pPr>
      <w:r>
        <w:rPr/>
        <w:t>​</w:t>
      </w:r>
    </w:p>
    <w:p>
      <w:pPr>
        <w:pStyle w:val="TextBody"/>
        <w:bidi w:val="0"/>
        <w:spacing w:lineRule="auto" w:line="256" w:before="0" w:after="220"/>
        <w:ind w:left="0" w:right="0" w:hanging="0"/>
        <w:jc w:val="both"/>
        <w:rPr>
          <w:rFonts w:ascii="Times New Roman;Times;serif" w:hAnsi="Times New Roman;Times;serif"/>
          <w:b/>
          <w:i/>
          <w:sz w:val="20"/>
        </w:rPr>
      </w:pPr>
      <w:r>
        <w:rPr>
          <w:rFonts w:ascii="Times New Roman;Times;serif" w:hAnsi="Times New Roman;Times;serif"/>
          <w:b/>
          <w:i/>
          <w:sz w:val="20"/>
        </w:rPr>
        <w:t>Three Year Vest Restricted Shares</w:t>
      </w:r>
    </w:p>
    <w:p>
      <w:pPr>
        <w:pStyle w:val="TextBody"/>
        <w:bidi w:val="0"/>
        <w:spacing w:lineRule="auto" w:line="266" w:before="0" w:after="22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In addition, any unvested portion of the restricted shares will vest upon a change in control. Certain other restricted share awards, granted on July 1, 2022, vested entirely on the third anniversary of the grant date, or July 1, 2025. The Company granted a total of 117,739 shares of restricted Company common stock during the year ended December 31, 2025. </w:t>
      </w:r>
    </w:p>
    <w:p>
      <w:pPr>
        <w:pStyle w:val="TextBody"/>
        <w:bidi w:val="0"/>
        <w:spacing w:lineRule="auto" w:line="266" w:before="0" w:after="220"/>
        <w:ind w:left="0" w:right="0" w:firstLine="547"/>
        <w:jc w:val="both"/>
        <w:rPr>
          <w:rFonts w:ascii="Times New Roman;Times;serif" w:hAnsi="Times New Roman;Times;serif"/>
          <w:sz w:val="20"/>
        </w:rPr>
      </w:pPr>
      <w:r>
        <w:rPr>
          <w:rFonts w:ascii="Times New Roman;Times;serif" w:hAnsi="Times New Roman;Times;serif"/>
          <w:sz w:val="20"/>
        </w:rPr>
        <w:t>During the years ended December 31, 2025, 2024, and 2023 the Company’s determination of the fair value of the three-year vest restricted stock awards was calculated by multiplying the number of shares issued by the Company’s stock price at the grant date. Compensation cost is recognized on a straight-line basis over the applicable vesting period.</w:t>
      </w:r>
    </w:p>
    <w:p>
      <w:pPr>
        <w:pStyle w:val="TextBody"/>
        <w:bidi w:val="0"/>
        <w:spacing w:lineRule="auto" w:line="266" w:before="0" w:after="220"/>
        <w:ind w:left="0" w:right="0" w:firstLine="490"/>
        <w:jc w:val="both"/>
        <w:rPr>
          <w:rFonts w:ascii="Times New Roman;Times;serif" w:hAnsi="Times New Roman;Times;serif"/>
          <w:sz w:val="20"/>
        </w:rPr>
      </w:pPr>
      <w:r>
        <w:rPr>
          <w:rFonts w:ascii="Times New Roman;Times;serif" w:hAnsi="Times New Roman;Times;serif"/>
          <w:sz w:val="20"/>
        </w:rPr>
        <w:t>As of December 31, 2025, there was $2.2 million of unrecognized compensation cost, adjusted for estimated forfeitures, related to the three-year vest non-vested restricted shares, which will be recognized over a remaining weighted average period of 1.8 years.</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years ended December 31, 2025, 2024, and 2023 is presented below: </w:t>
      </w:r>
    </w:p>
    <w:p>
      <w:pPr>
        <w:pStyle w:val="TextBody"/>
        <w:bidi w:val="0"/>
        <w:spacing w:before="0" w:after="0"/>
        <w:ind w:left="0" w:right="0" w:hanging="0"/>
        <w:jc w:val="left"/>
        <w:rPr/>
      </w:pPr>
      <w:r>
        <w:rPr/>
        <w:t>​</w:t>
      </w:r>
    </w:p>
    <w:tbl>
      <w:tblPr>
        <w:tblW w:w="7433" w:type="dxa"/>
        <w:jc w:val="left"/>
        <w:tblInd w:w="0" w:type="dxa"/>
        <w:tblLayout w:type="fixed"/>
        <w:tblCellMar>
          <w:top w:w="0" w:type="dxa"/>
          <w:left w:w="0" w:type="dxa"/>
          <w:bottom w:w="0" w:type="dxa"/>
          <w:right w:w="0" w:type="dxa"/>
        </w:tblCellMar>
      </w:tblPr>
      <w:tblGrid>
        <w:gridCol w:w="2896"/>
        <w:gridCol w:w="346"/>
        <w:gridCol w:w="109"/>
        <w:gridCol w:w="901"/>
        <w:gridCol w:w="346"/>
        <w:gridCol w:w="674"/>
        <w:gridCol w:w="2161"/>
      </w:tblGrid>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72135" cy="175260"/>
                      <wp:effectExtent l="0" t="0" r="0" b="0"/>
                      <wp:wrapNone/>
                      <wp:docPr id="461" name="Frame4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27990" cy="175260"/>
                      <wp:effectExtent l="0" t="0" r="0" b="0"/>
                      <wp:wrapNone/>
                      <wp:docPr id="463" name="Frame462"/>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72235" cy="175260"/>
                      <wp:effectExtent l="0" t="0" r="0" b="0"/>
                      <wp:wrapNone/>
                      <wp:docPr id="464" name="Frame46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46" w:type="dxa"/>
            <w:tcBorders/>
            <w:vAlign w:val="center"/>
          </w:tcPr>
          <w:p>
            <w:pPr>
              <w:pStyle w:val="TableContents"/>
              <w:bidi w:val="0"/>
              <w:spacing w:before="0" w:after="0"/>
              <w:ind w:left="0" w:right="0" w:hanging="0"/>
              <w:jc w:val="left"/>
              <w:rPr/>
            </w:pPr>
            <w:r>
              <w:rPr/>
              <w:t>  ​ ​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0"/>
              <w:ind w:left="0" w:right="0" w:hanging="0"/>
              <w:jc w:val="left"/>
              <w:rPr/>
            </w:pPr>
            <w:r>
              <w:rPr/>
              <w:t>  ​ ​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212,079</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96,453</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(74,229)</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(17,946)</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216,357</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108,391</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(75,434)</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(51,520)</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197,794</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117,739</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(112,009)</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203,252</w:t>
            </w:r>
          </w:p>
        </w:tc>
        <w:tc>
          <w:tcPr>
            <w:tcW w:w="346"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pStyle w:val="TextBody"/>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Each non-employee director serving as of the beginning of each calendar year shall receive an annual award of the Company’s common stock. The value of such award totaled $62,500</w:t>
      </w:r>
      <w:r>
        <w:rPr>
          <w:rFonts w:ascii="Times New Roman;Times;serif" w:hAnsi="Times New Roman;Times;serif"/>
          <w:sz w:val="24"/>
        </w:rPr>
        <w:t xml:space="preserve"> </w:t>
      </w:r>
      <w:r>
        <w:rPr>
          <w:rFonts w:ascii="Times New Roman;Times;serif" w:hAnsi="Times New Roman;Times;serif"/>
          <w:sz w:val="20"/>
        </w:rPr>
        <w:t>for the years ended December 31, 2025 and 2024, and $35,000</w:t>
      </w:r>
      <w:r>
        <w:rPr>
          <w:rFonts w:ascii="Times New Roman;Times;serif" w:hAnsi="Times New Roman;Times;serif"/>
          <w:sz w:val="24"/>
        </w:rPr>
        <w:t xml:space="preserve"> </w:t>
      </w:r>
      <w:r>
        <w:rPr>
          <w:rFonts w:ascii="Times New Roman;Times;serif" w:hAnsi="Times New Roman;Times;serif"/>
          <w:sz w:val="20"/>
        </w:rPr>
        <w:t>for the year ended December 31, 2023 (the “Annual Award”). The number of shares awarded is calculated based on the trailing 20-day average price of the Company’s common stock as of the date two</w:t>
      </w:r>
      <w:r>
        <w:rPr>
          <w:rFonts w:ascii="Times New Roman;Times;serif" w:hAnsi="Times New Roman;Times;serif"/>
          <w:sz w:val="24"/>
        </w:rPr>
        <w:t xml:space="preserve"> </w:t>
      </w:r>
      <w:r>
        <w:rPr>
          <w:rFonts w:ascii="Times New Roman;Times;serif" w:hAnsi="Times New Roman;Times;serif"/>
          <w:sz w:val="20"/>
        </w:rPr>
        <w:t>business days prior to the date of the award, rounded down to the nearest whole number of shares. Commencing in 2021, non-employee directors no longer receive meeting fees, but receive additional retainers for service on Board committees, as set forth in the Company’s Non-Employee Director Compensation Policy available on the Company’s website (www.ctoreit.com).</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During the years ended December 31, 2025, 2024, and 2023, the expense recognized for the value of the Company’s common stock received by non-employee directors totaled $0.7 million, or 33,466 shares, $0.7 million or 38,068 shares, and $0.4 million or 25,147 shares, respectively. The expense recognized during the years ended December 31, 2025, 2024, and 2023 includes the Annual Award received during the first quarter of each year.</w:t>
      </w:r>
    </w:p>
    <w:p>
      <w:pPr>
        <w:pStyle w:val="TextBody"/>
        <w:pBdr/>
        <w:bidi w:val="0"/>
        <w:spacing w:before="280" w:after="240"/>
        <w:ind w:left="0" w:right="0" w:hanging="490"/>
        <w:jc w:val="both"/>
        <w:rPr>
          <w:rFonts w:ascii="Times New Roman;Times;serif" w:hAnsi="Times New Roman;Times;serif"/>
          <w:b/>
          <w:sz w:val="20"/>
        </w:rPr>
      </w:pPr>
      <w:r>
        <w:rPr>
          <w:rFonts w:ascii="Times New Roman;Times;serif" w:hAnsi="Times New Roman;Times;serif"/>
          <w:b/>
          <w:sz w:val="20"/>
        </w:rPr>
        <w:t>NOTE 21.       INCOME TAXES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Effective on January 1, 2024 and through December 31, 2025, the Company owns one TRS, which is subject to federal and applicable state income taxation. The TRS is required to file a separate corporate income tax return. Income taxes related to the Company’s TRS do not materially impact the consolidated financial statements of the Company.</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sz w:val="20"/>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was subject to corporate income taxes related to assets held by it that it sold during the 5-year period following the date of conversion to the extent such sold assets had a built-in gain as of January 1, 2020. The Company disposed of certain, primarily single-tenant REIT assets after the REIT conversion within the 5-year period. All such sales were completed using 1031 Exchanges or other deferred tax structures to mitigate the built-in gain tax liability of conversion.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717" w:name="Tc_uXYyzEIZ_UaGkUWakmP5sQ_12_5"/>
      <w:bookmarkStart w:id="1718" w:name="Tc_W7wLEcjlGU6g1t2canTLtQ_12_2"/>
      <w:bookmarkStart w:id="1719" w:name="Tc__vRNiPHfxkq9FkfDvSr4BQ_12_0"/>
      <w:bookmarkStart w:id="1720" w:name="Tc_z20Uhrv_M0aSOj4aogz5vg_11_0"/>
      <w:bookmarkStart w:id="1721" w:name="Tc_FOZgmqRTm0GEDM7Cc1G7cw_10_0"/>
      <w:bookmarkStart w:id="1722" w:name="Tc_F-ZQ_IcBnkuF8XMeC_5FlQ_9_0"/>
      <w:bookmarkStart w:id="1723" w:name="Tc_LI7-lT5lIEyexhnSdUtweg_8_0"/>
      <w:bookmarkStart w:id="1724" w:name="Tc_CQl4Fq2RIkm67e8J5xuCZg_7_0"/>
      <w:bookmarkStart w:id="1725" w:name="Tc_mr-tDXNY8E-VfQ-JtZ-xng_6_0"/>
      <w:bookmarkStart w:id="1726" w:name="Tc_-50rzPkw3kau8l_qIL_fjQ_5_0"/>
      <w:bookmarkStart w:id="1727" w:name="Tc_HYMYS8zxakiK_-hiwC0y1A_4_5"/>
      <w:bookmarkStart w:id="1728" w:name="Tc_D9IEEOzWd0G_biVuqMY5KQ_4_2"/>
      <w:bookmarkStart w:id="1729" w:name="Tc_cC1EjncNiUiOdl_77FWzBw_4_0"/>
      <w:bookmarkStart w:id="1730" w:name="Tc_xuBPFsmv0k6e2L09Rg7kBw_3_0"/>
      <w:bookmarkStart w:id="1731" w:name="Tc_VnOWOvHu-kCl4QxEEoY8Xw_2_5"/>
      <w:bookmarkStart w:id="1732" w:name="Tc_1Hs7pqexU0irj1PhEqS5Ew_2_2"/>
      <w:bookmarkStart w:id="1733" w:name="Tc_FqD5uU9aeUagIfnsNKZUlw_1_2"/>
      <w:bookmarkStart w:id="1734" w:name="_edce0663_2dec_4fe6_8752_fec891da1b87"/>
      <w:bookmarkStart w:id="1735" w:name="Tc_LK2H0AVdD0adZyMtbbC8Tg_12_8"/>
      <w:bookmarkStart w:id="1736" w:name="Tc_KFz7vTvqm0uA2nHq7jv4VQ_12_5"/>
      <w:bookmarkStart w:id="1737" w:name="Tc_uxuGVu6xOEy0Rd1Cwaux2w_12_2"/>
      <w:bookmarkStart w:id="1738" w:name="Tc_qVNltpuuMUi2UNmzd5j92w_12_0"/>
      <w:bookmarkStart w:id="1739" w:name="Tc_F2mTAEQsCUqE2EGYWt5BRg_11_0"/>
      <w:bookmarkStart w:id="1740" w:name="Tc_cCp2zgGbu0OAyOSNRtLeqw_10_0"/>
      <w:bookmarkStart w:id="1741" w:name="Tc_2r7mcI7b70axZEx0AYvCqQ_9_0"/>
      <w:bookmarkStart w:id="1742" w:name="Tc_-3atyoKmDkOs1BE1MtmC2Q_8_0"/>
      <w:bookmarkStart w:id="1743" w:name="Tc_ElQlhPrmoUG5ucfc4x4G6w_7_0"/>
      <w:bookmarkStart w:id="1744" w:name="Tc_A82mUQ04wE6qjdsi-zyTtA_6_9"/>
      <w:bookmarkStart w:id="1745" w:name="Tc_hRkSM4uH40uFHEeELE0-pw_6_6"/>
      <w:bookmarkStart w:id="1746" w:name="Tc_YsyVXaC0W0-b-pXg7jkecw_6_3"/>
      <w:bookmarkStart w:id="1747" w:name="Tc_VYawkGVxJ0ObkajZoE6Sxg_6_0"/>
      <w:bookmarkStart w:id="1748" w:name="Tc_O70oHtq9ake926qg6sDBiA_5_8"/>
      <w:bookmarkStart w:id="1749" w:name="Tc_3WzuzcMqJEKZuPCa0ML4LQ_5_5"/>
      <w:bookmarkStart w:id="1750" w:name="Tc_zUbbRc35iUqHz4L22EzjzQ_5_2"/>
      <w:bookmarkStart w:id="1751" w:name="Tc_B_xd7p9y0U6jj7x7aLA_6A_5_0"/>
      <w:bookmarkStart w:id="1752" w:name="Tc_IskMlKrjI0mlVAOD7RrtUg_4_0"/>
      <w:bookmarkStart w:id="1753" w:name="Tc_pAKtzE1w-kScdIt09-SAUQ_3_0"/>
      <w:bookmarkStart w:id="1754" w:name="Tc_kgeL_qqngkK4TZNfvJh2WQ_2_8"/>
      <w:bookmarkStart w:id="1755" w:name="Tc_6FAQqqRoFkStCYcev4RqIA_2_5"/>
      <w:bookmarkStart w:id="1756" w:name="Tc_fpCaCXG4mUKbYQ17FIzKMA_2_2"/>
      <w:bookmarkStart w:id="1757" w:name="Tc_RMOp94Da9Uu2srOje7wbTg_1_2"/>
      <w:bookmarkStart w:id="1758" w:name="_013c611a_4e3f_4b01_a753_37bc3e2a578f"/>
      <w:bookmarkStart w:id="1759" w:name="Tc_tJEFIZ0450SlKz0t_RYTtw_3_8"/>
      <w:bookmarkStart w:id="1760" w:name="Tc_kvRLcWO6tku0KBtj4YFFmw_3_5"/>
      <w:bookmarkStart w:id="1761" w:name="Tc_TntpccCBGUWcfASqG0fo2g_3_2"/>
      <w:bookmarkStart w:id="1762" w:name="Tc_MPkUdrgczE6p_HXIKou89A_3_0"/>
      <w:bookmarkStart w:id="1763" w:name="Tc_sF5Q3s8In02CfP6sEG1jcQ_2_8"/>
      <w:bookmarkStart w:id="1764" w:name="Tc_25CJarX_ikOwIjVrAhgbdg_2_5"/>
      <w:bookmarkStart w:id="1765" w:name="Tc_fLGmx59MtE68wUpOulDZCQ_2_2"/>
      <w:bookmarkStart w:id="1766" w:name="Tc_TbtZYCV95USZ1kD8xOM-OA_1_2"/>
      <w:bookmarkStart w:id="1767" w:name="_336f22ca_3cb9_4c13_b88e_3c80a4f270c5"/>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r>
        <w:rPr>
          <w:rFonts w:ascii="Times New Roman;Times;serif" w:hAnsi="Times New Roman;Times;serif"/>
          <w:sz w:val="20"/>
        </w:rPr>
        <w:t>Total income tax benefit (expense) is summarized as follows (in thousands):</w:t>
      </w:r>
    </w:p>
    <w:tbl>
      <w:tblPr>
        <w:tblW w:w="5800" w:type="dxa"/>
        <w:jc w:val="left"/>
        <w:tblInd w:w="0" w:type="dxa"/>
        <w:tblLayout w:type="fixed"/>
        <w:tblCellMar>
          <w:top w:w="0" w:type="dxa"/>
          <w:left w:w="0" w:type="dxa"/>
          <w:bottom w:w="0" w:type="dxa"/>
          <w:right w:w="0" w:type="dxa"/>
        </w:tblCellMar>
      </w:tblPr>
      <w:tblGrid>
        <w:gridCol w:w="2581"/>
        <w:gridCol w:w="346"/>
        <w:gridCol w:w="211"/>
        <w:gridCol w:w="541"/>
        <w:gridCol w:w="346"/>
        <w:gridCol w:w="211"/>
        <w:gridCol w:w="421"/>
        <w:gridCol w:w="346"/>
        <w:gridCol w:w="211"/>
        <w:gridCol w:w="586"/>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43535" cy="175260"/>
                      <wp:effectExtent l="0" t="0" r="0" b="0"/>
                      <wp:wrapNone/>
                      <wp:docPr id="467" name="Frame46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67335" cy="175260"/>
                      <wp:effectExtent l="0" t="0" r="0" b="0"/>
                      <wp:wrapNone/>
                      <wp:docPr id="470" name="Frame46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72110" cy="175260"/>
                      <wp:effectExtent l="0" t="0" r="0" b="0"/>
                      <wp:wrapNone/>
                      <wp:docPr id="473" name="Frame47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2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bl>
    <w:p>
      <w:pPr>
        <w:pStyle w:val="TextBody"/>
        <w:bidi w:val="0"/>
        <w:spacing w:before="0" w:after="0"/>
        <w:ind w:left="0" w:right="0" w:hanging="0"/>
        <w:jc w:val="left"/>
        <w:rPr/>
      </w:pPr>
      <w:r>
        <w:rPr/>
        <w:t>​</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provisions for income tax benefit (expense) are summarized as follows (in thousands):</w:t>
      </w:r>
    </w:p>
    <w:tbl>
      <w:tblPr>
        <w:tblW w:w="6460" w:type="dxa"/>
        <w:jc w:val="left"/>
        <w:tblInd w:w="0" w:type="dxa"/>
        <w:tblLayout w:type="fixed"/>
        <w:tblCellMar>
          <w:top w:w="0" w:type="dxa"/>
          <w:left w:w="0" w:type="dxa"/>
          <w:bottom w:w="0" w:type="dxa"/>
          <w:right w:w="0" w:type="dxa"/>
        </w:tblCellMar>
      </w:tblPr>
      <w:tblGrid>
        <w:gridCol w:w="3121"/>
        <w:gridCol w:w="346"/>
        <w:gridCol w:w="211"/>
        <w:gridCol w:w="541"/>
        <w:gridCol w:w="346"/>
        <w:gridCol w:w="211"/>
        <w:gridCol w:w="541"/>
        <w:gridCol w:w="346"/>
        <w:gridCol w:w="211"/>
        <w:gridCol w:w="586"/>
      </w:tblGrid>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43535" cy="175260"/>
                      <wp:effectExtent l="0" t="0" r="0" b="0"/>
                      <wp:wrapNone/>
                      <wp:docPr id="476" name="Frame47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43535" cy="175260"/>
                      <wp:effectExtent l="0" t="0" r="0" b="0"/>
                      <wp:wrapNone/>
                      <wp:docPr id="479" name="Frame47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72110" cy="175260"/>
                      <wp:effectExtent l="0" t="0" r="0" b="0"/>
                      <wp:wrapNone/>
                      <wp:docPr id="482" name="Frame4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31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the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sources of these differences and the related deferred income tax assets (liabilities) are summarized as follows (in thousands):</w:t>
      </w:r>
    </w:p>
    <w:tbl>
      <w:tblPr>
        <w:tblW w:w="6180" w:type="dxa"/>
        <w:jc w:val="left"/>
        <w:tblInd w:w="0" w:type="dxa"/>
        <w:tblLayout w:type="fixed"/>
        <w:tblCellMar>
          <w:top w:w="0" w:type="dxa"/>
          <w:left w:w="0" w:type="dxa"/>
          <w:bottom w:w="0" w:type="dxa"/>
          <w:right w:w="0" w:type="dxa"/>
        </w:tblCellMar>
      </w:tblPr>
      <w:tblGrid>
        <w:gridCol w:w="3481"/>
        <w:gridCol w:w="346"/>
        <w:gridCol w:w="226"/>
        <w:gridCol w:w="741"/>
        <w:gridCol w:w="371"/>
        <w:gridCol w:w="226"/>
        <w:gridCol w:w="789"/>
      </w:tblGrid>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43510" cy="175260"/>
                      <wp:effectExtent l="0" t="0" r="0" b="0"/>
                      <wp:wrapNone/>
                      <wp:docPr id="484" name="Frame4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70535" cy="175260"/>
                      <wp:effectExtent l="0" t="0" r="0" b="0"/>
                      <wp:wrapNone/>
                      <wp:docPr id="485" name="Frame484"/>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35585" cy="175260"/>
                      <wp:effectExtent l="0" t="0" r="0" b="0"/>
                      <wp:wrapNone/>
                      <wp:docPr id="486" name="Frame48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43510" cy="175260"/>
                      <wp:effectExtent l="0" t="0" r="0" b="0"/>
                      <wp:wrapNone/>
                      <wp:docPr id="487" name="Frame4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01015" cy="175260"/>
                      <wp:effectExtent l="0" t="0" r="0" b="0"/>
                      <wp:wrapNone/>
                      <wp:docPr id="488" name="Frame48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3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1" w:type="dxa"/>
            <w:tcBorders/>
            <w:vAlign w:val="center"/>
          </w:tcPr>
          <w:p>
            <w:pPr>
              <w:pStyle w:val="TableContents"/>
              <w:bidi w:val="0"/>
              <w:spacing w:before="0" w:after="0"/>
              <w:ind w:left="0" w:right="0" w:hanging="0"/>
              <w:jc w:val="left"/>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Loss Carryforward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Deferred Income Tax Assets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 Valuation Allowance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7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Investment Securities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7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Deferred Income Tax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Deferred Income Tax Liabilities </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71"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2025 and 2024, the Company had $2.4 million and $2.5 million in deferred tax assets related to net operating loss (“NOL”) carryforwards, respectively. The Tax Cuts and Jobs Act allows for indefinite carryforwards for all NOLs generated in taxable years beginning after December 31, 2017. Accordingly, as of December 31, 2025 and 2024, no valuation allowance was considered necessary related to the Company’s NOL carryforwards. The Company had a capital loss carryforwards totaling $5.9 million for each of the years ended December 31, 2025 and 2024. Although the Company utilized less than $0.1 million, $0.4 million, and $0.6 million of the capital loss carryforwards during the years ended December 31, 2025, 2024, and 2023, respectively, the Company does not currently anticipate being able to fully utilize the remaining capital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68" w:name="Tc_rv5EHbK9pEmeCv-_e_OvIw_10_18"/>
      <w:bookmarkStart w:id="1769" w:name="Tc_6a8Tc7b5aEaj08-IcLTv7w_10_14"/>
      <w:bookmarkStart w:id="1770" w:name="Tc_jyQLhLMM2kCbDf5dwHk0KA_10_12"/>
      <w:bookmarkStart w:id="1771" w:name="Tc_qBjFEbe2vkChPzamc2eAmQ_10_8"/>
      <w:bookmarkStart w:id="1772" w:name="Tc_DHDlwDcpxESDsovKlFCJng_10_6"/>
      <w:bookmarkStart w:id="1773" w:name="Tc_PNAnfoaiAUahXSPJizDhrA_10_2"/>
      <w:bookmarkStart w:id="1774" w:name="Tc_11hGpk_j_0-tEgJL-kYiLw_9_18"/>
      <w:bookmarkStart w:id="1775" w:name="Tc_fv-AJ3LZOkm0JuqlB_GTsQ_9_12"/>
      <w:bookmarkStart w:id="1776" w:name="Tc_5dEwrbXr-0eeiU76iC7xHw_9_6"/>
      <w:bookmarkStart w:id="1777" w:name="Tc_VV88YM0xIE6ZXwqhs2puPw_9_0"/>
      <w:bookmarkStart w:id="1778" w:name="Tc_udTHIR6Y9kWBuKhAmHsN8g_8_18"/>
      <w:bookmarkStart w:id="1779" w:name="Tc_8wxS4TlGfEmDRfj1VoTriA_8_15"/>
      <w:bookmarkStart w:id="1780" w:name="Tc_PVod86EROE6efuaPaj_85A_8_12"/>
      <w:bookmarkStart w:id="1781" w:name="Tc_21HZPl_wQUuGVJBhpRGRsg_8_9"/>
      <w:bookmarkStart w:id="1782" w:name="Tc_wzlPE1WI7UaM6DTXDrB7Bg_8_6"/>
      <w:bookmarkStart w:id="1783" w:name="Tc_e8KRsnBpG0GFwR3VZEHAug_8_0"/>
      <w:bookmarkStart w:id="1784" w:name="Tc_AeYi_fFP_Ue6URqzPTcFCg_7_18"/>
      <w:bookmarkStart w:id="1785" w:name="Tc_m4EdUzNe7EejxaI53wC06g_7_12"/>
      <w:bookmarkStart w:id="1786" w:name="Tc_0DfZM7VnbE25rjoYlvK-tQ_7_6"/>
      <w:bookmarkStart w:id="1787" w:name="Tc_uXiVUnGpI0uxW3wg8vm40A_7_0"/>
      <w:bookmarkStart w:id="1788" w:name="Tc_-mobNLPJz0u-lPadaepgCg_6_18"/>
      <w:bookmarkStart w:id="1789" w:name="Tc_M0OlpSsYY063kGXcWz8QyA_6_12"/>
      <w:bookmarkStart w:id="1790" w:name="Tc_XTRHKATE30-xtoNMDBPkAw_6_6"/>
      <w:bookmarkStart w:id="1791" w:name="Tc_O8SM3x6CaEq1A_3Z8ljVWg_6_0"/>
      <w:bookmarkStart w:id="1792" w:name="Tc_CMQzvoAku0maTUPNKYQ72A_5_18"/>
      <w:bookmarkStart w:id="1793" w:name="Tc_cgZaQKruRUCzjAcEYAGw7A_5_12"/>
      <w:bookmarkStart w:id="1794" w:name="Tc_FFG-Dd4fIU2EcQ-F--xP0w_5_6"/>
      <w:bookmarkStart w:id="1795" w:name="Tc_Ad3HnRWYBU-sqvgt2mreVw_5_0"/>
      <w:bookmarkStart w:id="1796" w:name="Tc_9f9qCNLuAUGmXKy9r3p8LA_4_0"/>
      <w:bookmarkStart w:id="1797" w:name="Tc_I_y44HhvhU6A6tH4Tosx8w_3_18"/>
      <w:bookmarkStart w:id="1798" w:name="Tc_-RYrR4-1o0aTMoelG7X1Ew_3_14"/>
      <w:bookmarkStart w:id="1799" w:name="Tc_NlDY05HomEOefvoocfNolA_3_12"/>
      <w:bookmarkStart w:id="1800" w:name="Tc_XM_WxUmNKUmjIV7COzDOJg_3_8"/>
      <w:bookmarkStart w:id="1801" w:name="Tc_Bg9PCrX7UECDNJxeCrpngA_3_6"/>
      <w:bookmarkStart w:id="1802" w:name="Tc_BjVIvTGvu0WLcxHtnH3qTg_3_2"/>
      <w:bookmarkStart w:id="1803" w:name="Tc_2W9kOGwK-0-eVSfEGsa7tA_3_0"/>
      <w:bookmarkStart w:id="1804" w:name="Tc_6nUThPqaDkWbte69JD98xw_2_14"/>
      <w:bookmarkStart w:id="1805" w:name="Tc_7fXJHKjizEawG7cLS1NWWg_2_8"/>
      <w:bookmarkStart w:id="1806" w:name="Tc_PSA6_o9eEEqWlpESb9dbyw_2_2"/>
      <w:bookmarkStart w:id="1807" w:name="Tc_js_Y-Zipdk2OsGxBU3ihdQ_1_2"/>
      <w:bookmarkStart w:id="1808" w:name="_17e7f8da_aae1_4f93_a88a_414b162c1996"/>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r>
        <w:rPr>
          <w:rFonts w:ascii="Times New Roman;Times;serif" w:hAnsi="Times New Roman;Times;serif"/>
          <w:sz w:val="20"/>
        </w:rPr>
        <w:t>carryforwards prior to their expiration on December 31, 2026 and, accordingly, has allowed for the $1.5 million deferred tax asset in full for each of the years ending December 31, 2025 and 2024.</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Following is a reconciliation of the income tax computed at the federal statutory rate of 21% for 2025, 2024, and 2023, individually, for continuing operations (in thousands):</w:t>
      </w:r>
    </w:p>
    <w:tbl>
      <w:tblPr>
        <w:tblW w:w="10205" w:type="dxa"/>
        <w:jc w:val="left"/>
        <w:tblInd w:w="0" w:type="dxa"/>
        <w:tblLayout w:type="fixed"/>
        <w:tblCellMar>
          <w:top w:w="0" w:type="dxa"/>
          <w:left w:w="0" w:type="dxa"/>
          <w:bottom w:w="0" w:type="dxa"/>
          <w:right w:w="0" w:type="dxa"/>
        </w:tblCellMar>
      </w:tblPr>
      <w:tblGrid>
        <w:gridCol w:w="4367"/>
        <w:gridCol w:w="346"/>
        <w:gridCol w:w="211"/>
        <w:gridCol w:w="521"/>
        <w:gridCol w:w="109"/>
        <w:gridCol w:w="461"/>
        <w:gridCol w:w="271"/>
        <w:gridCol w:w="346"/>
        <w:gridCol w:w="211"/>
        <w:gridCol w:w="521"/>
        <w:gridCol w:w="109"/>
        <w:gridCol w:w="496"/>
        <w:gridCol w:w="271"/>
        <w:gridCol w:w="346"/>
        <w:gridCol w:w="211"/>
        <w:gridCol w:w="521"/>
        <w:gridCol w:w="109"/>
        <w:gridCol w:w="461"/>
        <w:gridCol w:w="317"/>
      </w:tblGrid>
      <w:tr>
        <w:trPr/>
        <w:tc>
          <w:tcPr>
            <w:tcW w:w="4367"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895"/>
                      <wp:effectExtent l="0" t="0" r="0" b="0"/>
                      <wp:wrapNone/>
                      <wp:docPr id="489" name="Frame48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895"/>
                      <wp:effectExtent l="0" t="0" r="0" b="0"/>
                      <wp:wrapNone/>
                      <wp:docPr id="490" name="Frame48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30835" cy="175895"/>
                      <wp:effectExtent l="0" t="0" r="0" b="0"/>
                      <wp:wrapNone/>
                      <wp:docPr id="491" name="Frame490"/>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9215" cy="175895"/>
                      <wp:effectExtent l="0" t="0" r="0" b="0"/>
                      <wp:wrapNone/>
                      <wp:docPr id="492" name="Frame49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92735" cy="175895"/>
                      <wp:effectExtent l="0" t="0" r="0" b="0"/>
                      <wp:wrapNone/>
                      <wp:docPr id="493" name="Frame492"/>
                      <a:graphic xmlns:a="http://schemas.openxmlformats.org/drawingml/2006/main">
                        <a:graphicData uri="http://schemas.microsoft.com/office/word/2010/wordprocessingShape">
                          <wps:wsp>
                            <wps:cNvSpPr txBox="1"/>
                            <wps:spPr>
                              <a:xfrm>
                                <a:off x="0" y="0"/>
                                <a:ext cx="29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2085" cy="175895"/>
                      <wp:effectExtent l="0" t="0" r="0" b="0"/>
                      <wp:wrapNone/>
                      <wp:docPr id="494" name="Frame493"/>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895"/>
                      <wp:effectExtent l="0" t="0" r="0" b="0"/>
                      <wp:wrapNone/>
                      <wp:docPr id="495" name="Frame49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895"/>
                      <wp:effectExtent l="0" t="0" r="0" b="0"/>
                      <wp:wrapNone/>
                      <wp:docPr id="496" name="Frame49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30835" cy="175895"/>
                      <wp:effectExtent l="0" t="0" r="0" b="0"/>
                      <wp:wrapNone/>
                      <wp:docPr id="497" name="Frame496"/>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9215" cy="175895"/>
                      <wp:effectExtent l="0" t="0" r="0" b="0"/>
                      <wp:wrapNone/>
                      <wp:docPr id="498" name="Frame49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14960" cy="175895"/>
                      <wp:effectExtent l="0" t="0" r="0" b="0"/>
                      <wp:wrapNone/>
                      <wp:docPr id="499" name="Frame498"/>
                      <a:graphic xmlns:a="http://schemas.openxmlformats.org/drawingml/2006/main">
                        <a:graphicData uri="http://schemas.microsoft.com/office/word/2010/wordprocessingShape">
                          <wps:wsp>
                            <wps:cNvSpPr txBox="1"/>
                            <wps:spPr>
                              <a:xfrm>
                                <a:off x="0" y="0"/>
                                <a:ext cx="3149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72085" cy="175895"/>
                      <wp:effectExtent l="0" t="0" r="0" b="0"/>
                      <wp:wrapNone/>
                      <wp:docPr id="500" name="Frame499"/>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895"/>
                      <wp:effectExtent l="0" t="0" r="0" b="0"/>
                      <wp:wrapNone/>
                      <wp:docPr id="501" name="Frame50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895"/>
                      <wp:effectExtent l="0" t="0" r="0" b="0"/>
                      <wp:wrapNone/>
                      <wp:docPr id="502" name="Frame50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30835" cy="175895"/>
                      <wp:effectExtent l="0" t="0" r="0" b="0"/>
                      <wp:wrapNone/>
                      <wp:docPr id="503" name="Frame502"/>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895"/>
                      <wp:effectExtent l="0" t="0" r="0" b="0"/>
                      <wp:wrapNone/>
                      <wp:docPr id="504" name="Frame50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92735" cy="175895"/>
                      <wp:effectExtent l="0" t="0" r="0" b="0"/>
                      <wp:wrapNone/>
                      <wp:docPr id="505" name="Frame504"/>
                      <a:graphic xmlns:a="http://schemas.openxmlformats.org/drawingml/2006/main">
                        <a:graphicData uri="http://schemas.microsoft.com/office/word/2010/wordprocessingShape">
                          <wps:wsp>
                            <wps:cNvSpPr txBox="1"/>
                            <wps:spPr>
                              <a:xfrm>
                                <a:off x="0" y="0"/>
                                <a:ext cx="29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1295" cy="175895"/>
                      <wp:effectExtent l="0" t="0" r="0" b="0"/>
                      <wp:wrapNone/>
                      <wp:docPr id="506" name="Frame505"/>
                      <a:graphic xmlns:a="http://schemas.openxmlformats.org/drawingml/2006/main">
                        <a:graphicData uri="http://schemas.microsoft.com/office/word/2010/wordprocessingShape">
                          <wps:wsp>
                            <wps:cNvSpPr txBox="1"/>
                            <wps:spPr>
                              <a:xfrm>
                                <a:off x="0" y="0"/>
                                <a:ext cx="2012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367"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5492" w:type="dxa"/>
            <w:gridSpan w:val="17"/>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4367"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157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1" w:after="1"/>
              <w:ind w:left="0" w:right="0" w:hanging="0"/>
              <w:jc w:val="left"/>
              <w:rPr/>
            </w:pPr>
            <w:r>
              <w:rPr/>
              <w:t>  ​ ​ ​</w:t>
            </w:r>
          </w:p>
        </w:tc>
        <w:tc>
          <w:tcPr>
            <w:tcW w:w="160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1" w:after="1"/>
              <w:ind w:left="0" w:right="0" w:hanging="0"/>
              <w:jc w:val="left"/>
              <w:rPr/>
            </w:pPr>
            <w:r>
              <w:rPr/>
              <w:t>  ​ ​ ​</w:t>
            </w:r>
          </w:p>
        </w:tc>
        <w:tc>
          <w:tcPr>
            <w:tcW w:w="1619"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36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Computed at Federal Statutory Rate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109" w:type="dxa"/>
            <w:tcBorders/>
            <w:shd w:fill="CCEEFF" w:val="clear"/>
            <w:vAlign w:val="center"/>
          </w:tcPr>
          <w:p>
            <w:pPr>
              <w:pStyle w:val="TableContents"/>
              <w:bidi w:val="0"/>
              <w:spacing w:before="1" w:after="1"/>
              <w:ind w:left="0" w:right="0" w:hanging="0"/>
              <w:jc w:val="right"/>
              <w:rPr/>
            </w:pPr>
            <w:r>
              <w:rPr/>
              <w:t>​</w:t>
            </w:r>
          </w:p>
        </w:tc>
        <w:tc>
          <w:tcPr>
            <w:tcW w:w="4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16.7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Increase (Decrease) Resulting from:</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96"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pPr>
            <w:r>
              <w:rPr/>
              <w:t>​</w:t>
            </w:r>
          </w:p>
        </w:tc>
        <w:tc>
          <w:tcPr>
            <w:tcW w:w="317" w:type="dxa"/>
            <w:tcBorders/>
            <w:vAlign w:val="center"/>
          </w:tcPr>
          <w:p>
            <w:pPr>
              <w:pStyle w:val="TableContents"/>
              <w:bidi w:val="0"/>
              <w:spacing w:before="1" w:after="1"/>
              <w:ind w:left="0" w:right="0" w:hanging="0"/>
              <w:jc w:val="left"/>
              <w:rPr/>
            </w:pPr>
            <w:r>
              <w:rPr/>
              <w:t>​</w:t>
            </w:r>
          </w:p>
        </w:tc>
      </w:tr>
      <w:tr>
        <w:trPr/>
        <w:tc>
          <w:tcPr>
            <w:tcW w:w="4367"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State Income Tax, Net of Federal Income Tax Benefit </w:t>
            </w:r>
            <w:r>
              <w:rPr>
                <w:rFonts w:ascii="Times New Roman;Times;serif" w:hAnsi="Times New Roman;Times;serif"/>
                <w:sz w:val="15"/>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before="1" w:after="1"/>
              <w:ind w:left="0" w:right="0" w:hanging="0"/>
              <w:jc w:val="right"/>
              <w:rPr/>
            </w:pPr>
            <w:r>
              <w:rPr/>
              <w:t>​</w:t>
            </w:r>
          </w:p>
        </w:tc>
        <w:tc>
          <w:tcPr>
            <w:tcW w:w="4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4.4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on Permanently Non-Deductible Items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109" w:type="dxa"/>
            <w:tcBorders/>
            <w:vAlign w:val="center"/>
          </w:tcPr>
          <w:p>
            <w:pPr>
              <w:pStyle w:val="TableContents"/>
              <w:bidi w:val="0"/>
              <w:spacing w:before="1" w:after="1"/>
              <w:ind w:left="0" w:right="0" w:hanging="0"/>
              <w:jc w:val="right"/>
              <w:rPr/>
            </w:pPr>
            <w:r>
              <w:rPr/>
              <w:t>​</w:t>
            </w:r>
          </w:p>
        </w:tc>
        <w:tc>
          <w:tcPr>
            <w:tcW w:w="4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1" w:after="1"/>
              <w:ind w:left="0" w:right="0" w:hanging="0"/>
              <w:jc w:val="right"/>
              <w:rPr/>
            </w:pPr>
            <w:r>
              <w:rPr/>
              <w:t>​</w:t>
            </w:r>
          </w:p>
        </w:tc>
        <w:tc>
          <w:tcPr>
            <w:tcW w:w="4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6.8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3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State Franchise Tax Expense of REIT </w:t>
            </w:r>
            <w:r>
              <w:rPr>
                <w:rFonts w:ascii="Times New Roman;Times;serif" w:hAnsi="Times New Roman;Times;serif"/>
                <w:sz w:val="15"/>
              </w:rPr>
              <w:t>(2)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1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Other Reconciling Items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1" w:after="1"/>
              <w:ind w:left="0" w:right="0" w:hanging="0"/>
              <w:jc w:val="righ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27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shd w:fill="CCEEFF" w:val="clear"/>
            <w:vAlign w:val="center"/>
          </w:tcPr>
          <w:p>
            <w:pPr>
              <w:pStyle w:val="TableContents"/>
              <w:bidi w:val="0"/>
              <w:spacing w:before="1" w:after="1"/>
              <w:ind w:left="0" w:right="0" w:hanging="0"/>
              <w:jc w:val="righ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7" w:type="dxa"/>
            <w:tcBorders/>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Benefit (Expense) for Income Taxes </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109" w:type="dxa"/>
            <w:tcBorders/>
            <w:vAlign w:val="center"/>
          </w:tcPr>
          <w:p>
            <w:pPr>
              <w:pStyle w:val="TableContents"/>
              <w:bidi w:val="0"/>
              <w:spacing w:before="1" w:after="1"/>
              <w:ind w:left="0" w:right="0" w:hanging="0"/>
              <w:jc w:val="right"/>
              <w:rPr/>
            </w:pPr>
            <w:r>
              <w:rPr/>
              <w:t>​</w:t>
            </w:r>
          </w:p>
        </w:tc>
        <w:tc>
          <w:tcPr>
            <w:tcW w:w="46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109" w:type="dxa"/>
            <w:tcBorders/>
            <w:vAlign w:val="center"/>
          </w:tcPr>
          <w:p>
            <w:pPr>
              <w:pStyle w:val="TableContents"/>
              <w:bidi w:val="0"/>
              <w:spacing w:before="1" w:after="1"/>
              <w:ind w:left="0" w:right="0" w:hanging="0"/>
              <w:jc w:val="right"/>
              <w:rPr/>
            </w:pPr>
            <w:r>
              <w:rPr/>
              <w:t>​</w:t>
            </w:r>
          </w:p>
        </w:tc>
        <w:tc>
          <w:tcPr>
            <w:tcW w:w="4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14.7 </w:t>
            </w:r>
          </w:p>
        </w:tc>
        <w:tc>
          <w:tcPr>
            <w:tcW w:w="27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109" w:type="dxa"/>
            <w:tcBorders/>
            <w:vAlign w:val="center"/>
          </w:tcPr>
          <w:p>
            <w:pPr>
              <w:pStyle w:val="TableContents"/>
              <w:bidi w:val="0"/>
              <w:spacing w:before="1" w:after="1"/>
              <w:ind w:left="0" w:right="0" w:hanging="0"/>
              <w:jc w:val="right"/>
              <w:rPr/>
            </w:pPr>
            <w:r>
              <w:rPr/>
              <w:t>​</w:t>
            </w:r>
          </w:p>
        </w:tc>
        <w:tc>
          <w:tcPr>
            <w:tcW w:w="46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1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4266" w:type="dxa"/>
        <w:jc w:val="left"/>
        <w:tblInd w:w="0" w:type="dxa"/>
        <w:tblLayout w:type="fixed"/>
        <w:tblCellMar>
          <w:top w:w="28" w:type="dxa"/>
          <w:left w:w="28" w:type="dxa"/>
          <w:bottom w:w="28" w:type="dxa"/>
          <w:right w:w="28" w:type="dxa"/>
        </w:tblCellMar>
      </w:tblPr>
      <w:tblGrid>
        <w:gridCol w:w="124"/>
        <w:gridCol w:w="271"/>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state income taxes in the State of Florida.</w:t>
            </w:r>
          </w:p>
        </w:tc>
      </w:tr>
    </w:tbl>
    <w:tbl>
      <w:tblPr>
        <w:tblW w:w="10205" w:type="dxa"/>
        <w:jc w:val="left"/>
        <w:tblInd w:w="0" w:type="dxa"/>
        <w:tblLayout w:type="fixed"/>
        <w:tblCellMar>
          <w:top w:w="28" w:type="dxa"/>
          <w:left w:w="28" w:type="dxa"/>
          <w:bottom w:w="28" w:type="dxa"/>
          <w:right w:w="28"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State franchise tax expense of the REIT is included in Other Reconciling Items for the years ended December 31, 2024 and 2023, prior to the adoption of ASU 2023-09.</w:t>
            </w:r>
          </w:p>
        </w:tc>
      </w:tr>
    </w:tbl>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effective income tax rate assumes a blended rate for estimated state and local taxes on its income and property. The effective income tax rate for the years ended December 31, 2025, 2024, and 2023 was (4.2)%, 14.7%, and (9.8)%, respectively. The provision for income taxes reflects the Company’s estimate of the effective rate expected to be applicable for the full fiscal year, adjusted for any discrete events, which are reported in the period that they occur. There were no discrete events during the years ended December 31, 2025, 2024 or 2023.</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For prior taxable years through the year ended December 31, 2024, the Company has filed a consolidated income tax return in the United States Federal jurisdiction, and in all required states. The Internal Revenue Service (“IRS”) has audited the federal tax returns through the year 2013, with all proposed adjustments settled. The Florida Department of Revenue has audited the Florida tax returns through the year 2015, with all proposed adjustments settled. For the years ended December 31, 2025, 2024, and 2023,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Income tax payments, net of refunds received, totaled $0.2 million during the year ended December 31, 2025. Income tax refunds received, net of payments made, totaled $0.1 million in each of the years ended December 31, 2024 and 2023.</w:t>
      </w:r>
    </w:p>
    <w:p>
      <w:pPr>
        <w:pStyle w:val="TextBody"/>
        <w:pBdr/>
        <w:bidi w:val="0"/>
        <w:spacing w:before="280" w:after="0"/>
        <w:ind w:left="0" w:right="0" w:hanging="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490"/>
        <w:jc w:val="both"/>
        <w:rPr>
          <w:rFonts w:ascii="Times New Roman;Times;serif" w:hAnsi="Times New Roman;Times;serif"/>
          <w:b/>
          <w:sz w:val="20"/>
        </w:rPr>
      </w:pPr>
      <w:bookmarkStart w:id="1809" w:name="Tc_4Kvzic3oi0WJA4Zz0UTwzA_4_2"/>
      <w:bookmarkStart w:id="1810" w:name="Tc_NUA3mFW1ZUuVcsEzOPmZjw_4_0"/>
      <w:bookmarkStart w:id="1811" w:name="Tc_lOoehgltD0Cg9yA61Ifj4Q_3_0"/>
      <w:bookmarkStart w:id="1812" w:name="Tc_b3AVMpCw2UOjkmDJFYjTnQ_2_2"/>
      <w:bookmarkStart w:id="1813" w:name="Tc_Z_vLFaJ2K0KTysQWoaZ5fg_2_0"/>
      <w:bookmarkStart w:id="1814" w:name="Tc_lSC9nFIESEGmAuXGlgXDtg_1_2"/>
      <w:bookmarkStart w:id="1815" w:name="_68ef4c7e_b428_4abf_b566_cc0e13a4692e"/>
      <w:bookmarkStart w:id="1816" w:name="Tc_gAut_pYEG0WtsMPNIlu_7g_10_2"/>
      <w:bookmarkStart w:id="1817" w:name="Tc_DMdie6wvZUiHaorz4GnSpg_10_0"/>
      <w:bookmarkStart w:id="1818" w:name="Tc_8jz3IyNHo0iFxMPUHyZQpA_9_0"/>
      <w:bookmarkStart w:id="1819" w:name="Tc_WRbZ2ll1pUunNgl4w7FI4w_8_2"/>
      <w:bookmarkStart w:id="1820" w:name="Tc_NxrfMOeGQkS0kSt2HkE6iA_8_0"/>
      <w:bookmarkStart w:id="1821" w:name="Tc_iGjp072dWkOl-0A3HaGhcA_7_3"/>
      <w:bookmarkStart w:id="1822" w:name="Tc_JL4eZ03q9ku50_l92iLe2g_7_0"/>
      <w:bookmarkStart w:id="1823" w:name="Tc_rJnESEXh4Eu15iR4SOkMbA_6_3"/>
      <w:bookmarkStart w:id="1824" w:name="Tc_vQpAugsH1U6wIGaac4x77g_6_0"/>
      <w:bookmarkStart w:id="1825" w:name="Tc_jfWrY-Yrx0yv2avvrYTA7Q_5_0"/>
      <w:bookmarkStart w:id="1826" w:name="Tc_r78zUIIYyk6x5QTuW8hXzg_4_0"/>
      <w:bookmarkStart w:id="1827" w:name="Tc_j6lQIeLC60CMEUrDTIIodg_3_0"/>
      <w:bookmarkStart w:id="1828" w:name="Tc_HDZU16rIFEOH9ei4d9J6LQ_2_2"/>
      <w:bookmarkStart w:id="1829" w:name="Tc_0XJLGnrcbk-F6ERu7NGJtg_2_0"/>
      <w:bookmarkStart w:id="1830" w:name="Tc_AZYnCZ2zWE6mUqi6C2urTA_1_2"/>
      <w:bookmarkStart w:id="1831" w:name="Tc_kr6hf9UquUOGWXN-v3TUIg_1_0"/>
      <w:bookmarkStart w:id="1832" w:name="_c619c925_a674_43c8_b7ba_515584a032f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r>
        <w:rPr>
          <w:rFonts w:ascii="Times New Roman;Times;serif" w:hAnsi="Times New Roman;Times;serif"/>
          <w:b/>
          <w:sz w:val="20"/>
        </w:rPr>
        <w:t>NOTE 22.       COMMITMENTS AND CONTINGENCIES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MINIMUM FUTURE RENTAL PAYMENTS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leases, as lessee, certain equipment under operating leases. Minimum future rental payments under non-cancelable operating leases having remaining terms in excess of one year as of December 31, 2025, are summarized as follows (in thousands):</w:t>
      </w:r>
    </w:p>
    <w:tbl>
      <w:tblPr>
        <w:tblW w:w="4172" w:type="dxa"/>
        <w:jc w:val="left"/>
        <w:tblInd w:w="0" w:type="dxa"/>
        <w:tblLayout w:type="fixed"/>
        <w:tblCellMar>
          <w:top w:w="0" w:type="dxa"/>
          <w:left w:w="0" w:type="dxa"/>
          <w:bottom w:w="0" w:type="dxa"/>
          <w:right w:w="0" w:type="dxa"/>
        </w:tblCellMar>
      </w:tblPr>
      <w:tblGrid>
        <w:gridCol w:w="2881"/>
        <w:gridCol w:w="346"/>
        <w:gridCol w:w="269"/>
        <w:gridCol w:w="676"/>
      </w:tblGrid>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9260" cy="175260"/>
                      <wp:effectExtent l="0" t="0" r="0" b="0"/>
                      <wp:wrapNone/>
                      <wp:docPr id="507"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 (Cumulative)</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Rental expense under all operating leases amounted to $0.1 million for each of the years ended December 31, 2025, 2024, and 2023.</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COMMITMENTS – EXPENDITURES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December 31, 2025, are as follows (in thousands):</w:t>
      </w:r>
      <w:r>
        <w:rPr>
          <w:rFonts w:ascii="Times New Roman;Times;serif" w:hAnsi="Times New Roman;Times;serif"/>
          <w:color w:val="EE0000"/>
          <w:sz w:val="20"/>
        </w:rPr>
        <w:t xml:space="preserve"> </w:t>
      </w:r>
    </w:p>
    <w:p>
      <w:pPr>
        <w:pStyle w:val="TextBody"/>
        <w:bidi w:val="0"/>
        <w:spacing w:lineRule="auto" w:line="256" w:before="0" w:after="0"/>
        <w:ind w:left="0" w:right="0" w:firstLine="360"/>
        <w:jc w:val="both"/>
        <w:rPr/>
      </w:pPr>
      <w:r>
        <w:rPr/>
        <w:t>​</w:t>
      </w:r>
    </w:p>
    <w:tbl>
      <w:tblPr>
        <w:tblW w:w="4475" w:type="dxa"/>
        <w:jc w:val="left"/>
        <w:tblInd w:w="0" w:type="dxa"/>
        <w:tblLayout w:type="fixed"/>
        <w:tblCellMar>
          <w:top w:w="0" w:type="dxa"/>
          <w:left w:w="0" w:type="dxa"/>
          <w:bottom w:w="0" w:type="dxa"/>
          <w:right w:w="0" w:type="dxa"/>
        </w:tblCellMar>
      </w:tblPr>
      <w:tblGrid>
        <w:gridCol w:w="2131"/>
        <w:gridCol w:w="109"/>
        <w:gridCol w:w="474"/>
        <w:gridCol w:w="176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53185" cy="175260"/>
                      <wp:effectExtent l="0" t="0" r="0" b="0"/>
                      <wp:wrapNone/>
                      <wp:docPr id="508" name="Frame50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00990" cy="175260"/>
                      <wp:effectExtent l="0" t="0" r="0" b="0"/>
                      <wp:wrapNone/>
                      <wp:docPr id="510" name="Frame509"/>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118235" cy="175260"/>
                      <wp:effectExtent l="0" t="0" r="0" b="0"/>
                      <wp:wrapNone/>
                      <wp:docPr id="511" name="Frame510"/>
                      <a:graphic xmlns:a="http://schemas.openxmlformats.org/drawingml/2006/main">
                        <a:graphicData uri="http://schemas.microsoft.com/office/word/2010/wordprocessingShape">
                          <wps:wsp>
                            <wps:cNvSpPr txBox="1"/>
                            <wps:spPr>
                              <a:xfrm>
                                <a:off x="0" y="0"/>
                                <a:ext cx="111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20,493</w:t>
            </w:r>
          </w:p>
        </w:tc>
      </w:tr>
    </w:tbl>
    <w:tbl>
      <w:tblPr>
        <w:tblW w:w="9392" w:type="dxa"/>
        <w:jc w:val="left"/>
        <w:tblInd w:w="0" w:type="dxa"/>
        <w:tblLayout w:type="fixed"/>
        <w:tblCellMar>
          <w:top w:w="0" w:type="dxa"/>
          <w:left w:w="0" w:type="dxa"/>
          <w:bottom w:w="0" w:type="dxa"/>
          <w:right w:w="0" w:type="dxa"/>
        </w:tblCellMar>
      </w:tblPr>
      <w:tblGrid>
        <w:gridCol w:w="271"/>
        <w:gridCol w:w="912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 includes tenant improvements, leasing commissions, rebranding, facility expansion and other capital improvements.</w:t>
            </w:r>
          </w:p>
        </w:tc>
      </w:tr>
    </w:tbl>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The Company has unfunded loan commitments under two construction loans as described in Note 4, “Commercial Loans and Investments.” The unfunded portion of these construction loans totaled $51.6 million as of December 31, 2025.</w:t>
      </w:r>
    </w:p>
    <w:p>
      <w:pPr>
        <w:pStyle w:val="TextBody"/>
        <w:bidi w:val="0"/>
        <w:spacing w:before="0" w:after="0"/>
        <w:ind w:left="0" w:right="0" w:firstLine="547"/>
        <w:jc w:val="both"/>
        <w:rPr>
          <w:rFonts w:ascii="Times New Roman;Times;serif" w:hAnsi="Times New Roman;Times;serif"/>
          <w:sz w:val="2"/>
        </w:rPr>
      </w:pPr>
      <w:r>
        <w:rPr>
          <w:rFonts w:ascii="Times New Roman;Times;serif" w:hAnsi="Times New Roman;Times;serif"/>
          <w:sz w:val="20"/>
        </w:rPr>
        <w:t>As of December 31, 2025, we have no other contractual requirements to make capital expenditures.</w:t>
      </w:r>
      <w:r>
        <w:rPr>
          <w:rFonts w:ascii="Times New Roman;Times;serif" w:hAnsi="Times New Roman;Times;serif"/>
          <w:sz w:val="2"/>
        </w:rPr>
        <w:t> </w:t>
      </w:r>
    </w:p>
    <w:p>
      <w:pPr>
        <w:pStyle w:val="TextBody"/>
        <w:bidi w:val="0"/>
        <w:spacing w:before="0" w:after="0"/>
        <w:ind w:left="720" w:right="0" w:hanging="0"/>
        <w:jc w:val="both"/>
        <w:rPr/>
      </w:pPr>
      <w:r>
        <w:rPr/>
        <w:t> </w:t>
      </w:r>
    </w:p>
    <w:p>
      <w:pPr>
        <w:pStyle w:val="TextBody"/>
        <w:pBdr/>
        <w:bidi w:val="0"/>
        <w:spacing w:before="240" w:after="240"/>
        <w:ind w:left="0" w:right="0" w:hanging="490"/>
        <w:jc w:val="both"/>
        <w:rPr>
          <w:rFonts w:ascii="Times New Roman;Times;serif" w:hAnsi="Times New Roman;Times;serif"/>
          <w:b/>
          <w:sz w:val="20"/>
        </w:rPr>
      </w:pPr>
      <w:r>
        <w:rPr>
          <w:rFonts w:ascii="Times New Roman;Times;serif" w:hAnsi="Times New Roman;Times;serif"/>
          <w:b/>
          <w:sz w:val="20"/>
        </w:rPr>
        <w:t>NOTE 23.       BUSINESS SEGMENT DATA</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833" w:name="Tc_0pT1RhnDkUuq1MdRwdFLNg_26_11"/>
      <w:bookmarkStart w:id="1834" w:name="Tc_PNWYIL1W5UeAlS2t535XXQ_26_0"/>
      <w:bookmarkStart w:id="1835" w:name="Tc_EgeApOhHokupuUFgTpg0pg_25_0"/>
      <w:bookmarkStart w:id="1836" w:name="Tc_P4afih4F_0e_VYh45y9vuA_24_11"/>
      <w:bookmarkStart w:id="1837" w:name="Tc_MQel1exRPESrf_-I7ClqDw_24_0"/>
      <w:bookmarkStart w:id="1838" w:name="Tc_yW5_LtWbR0-B-QNCXieZvQ_23_0"/>
      <w:bookmarkStart w:id="1839" w:name="Tc_dWrdjrJqy0i_BWcIdyEd8g_22_0"/>
      <w:bookmarkStart w:id="1840" w:name="Tc_Tqk6n_7bXkOBDJsJn4ZKyA_21_0"/>
      <w:bookmarkStart w:id="1841" w:name="Tc_GgzxoQ1VY0CzfJXRx3ratA_20_0"/>
      <w:bookmarkStart w:id="1842" w:name="Tc_duV7WQ-bhUKP20KsKV6SEA_19_0"/>
      <w:bookmarkStart w:id="1843" w:name="Tc_RjNUpwZpwkCXojx8y-tODw_18_0"/>
      <w:bookmarkStart w:id="1844" w:name="Tc_lxosYzCdtEaaYaJCMJu7vQ_16_11"/>
      <w:bookmarkStart w:id="1845" w:name="Tc_NnnRkWEID0OIIvrweatg9g_16_8"/>
      <w:bookmarkStart w:id="1846" w:name="Tc_xl4RlCxNEUGb7Pu2Cm0oBA_16_5"/>
      <w:bookmarkStart w:id="1847" w:name="Tc_xpT_KMDAt0C_TczBKdAJpw_16_2"/>
      <w:bookmarkStart w:id="1848" w:name="Tc_y6PcXBJ7HUeZ4DgrIXcKKQ_16_0"/>
      <w:bookmarkStart w:id="1849" w:name="Tc_FfgeMyo27kmraSHiJUEutA_15_9"/>
      <w:bookmarkStart w:id="1850" w:name="Tc_WJnApmj4CUqXtsDXweTyrg_15_6"/>
      <w:bookmarkStart w:id="1851" w:name="Tc_1XWVb7FF8U-tiR2B63qfhg_15_0"/>
      <w:bookmarkStart w:id="1852" w:name="Tc_vBKBwXPWMkyLMHlr3fx-Wg_14_11"/>
      <w:bookmarkStart w:id="1853" w:name="Tc_IrhYuAiUlU-kp6AgDocJKQ_14_8"/>
      <w:bookmarkStart w:id="1854" w:name="Tc_K7DaN25dF06nqwKriOm1Eg_14_5"/>
      <w:bookmarkStart w:id="1855" w:name="Tc_3ElH6swnTUun6mKwlg1qfA_14_2"/>
      <w:bookmarkStart w:id="1856" w:name="Tc__WQSsht860CmnM7TbB-FAw_14_0"/>
      <w:bookmarkStart w:id="1857" w:name="Tc_Z1Uchr5OFEOoNBUSi1jJhw_13_9"/>
      <w:bookmarkStart w:id="1858" w:name="Tc_XD_9cjCugUiknYxpQ0VkLw_13_6"/>
      <w:bookmarkStart w:id="1859" w:name="Tc_yayx9p05_kSUV0Y7CkvWNw_13_0"/>
      <w:bookmarkStart w:id="1860" w:name="Tc_7OsTyIY0rkSnyEOrwj6hbQ_12_6"/>
      <w:bookmarkStart w:id="1861" w:name="Tc_eIJV6rO6JkSIumdqf3UckA_12_3"/>
      <w:bookmarkStart w:id="1862" w:name="Tc_YCiGAgn-h0Cf1aEjof57nw_12_0"/>
      <w:bookmarkStart w:id="1863" w:name="Tc_7FD8iCD4qEqmpOyhBYcqCQ_11_11"/>
      <w:bookmarkStart w:id="1864" w:name="Tc_g79mHl2UvU6HdUafKdyZYA_11_8"/>
      <w:bookmarkStart w:id="1865" w:name="Tc_A9fv4QRfbkWpo8lZTUK0Xw_11_5"/>
      <w:bookmarkStart w:id="1866" w:name="Tc_mA5kTx9q-UOm4bWBAo4KNw_11_2"/>
      <w:bookmarkStart w:id="1867" w:name="Tc_vGa1AairO0GbzKJ_y_g4uw_11_0"/>
      <w:bookmarkStart w:id="1868" w:name="Tc_X8JryGOwDk2Aq2IKtShEqA_10_11"/>
      <w:bookmarkStart w:id="1869" w:name="Tc_Trve10g7GUWUlXUmzrZXJQ_10_9"/>
      <w:bookmarkStart w:id="1870" w:name="Tc_itKpkgDpK0-P4n5EQN_5qA_10_8"/>
      <w:bookmarkStart w:id="1871" w:name="Tc_q_H-tKHzz0CljsO4EQs9nA_10_6"/>
      <w:bookmarkStart w:id="1872" w:name="Tc_lf1uwEbE10CCgGoTYpfseA_10_5"/>
      <w:bookmarkStart w:id="1873" w:name="Tc__OT_Znt9qEClMnzIix1R3A_10_2"/>
      <w:bookmarkStart w:id="1874" w:name="Tc_tSGwwEBkHkCp33AoI9Tieg_10_0"/>
      <w:bookmarkStart w:id="1875" w:name="Tc_ERr9lWVApE-iPHu2p7-8YA_9_0"/>
      <w:bookmarkStart w:id="1876" w:name="Tc_lJ3R1HwzikqO_CEqse2EIg_7_11"/>
      <w:bookmarkStart w:id="1877" w:name="Tc_CMTU4pn6vEWh6RUP_NPK7Q_7_8"/>
      <w:bookmarkStart w:id="1878" w:name="Tc_HjqBcSc_yE2smbR21vVQVQ_7_5"/>
      <w:bookmarkStart w:id="1879" w:name="Tc_kES_DuqPX0aGRVZIK4uzUA_7_2"/>
      <w:bookmarkStart w:id="1880" w:name="Tc_WrkenMYuZE6JfINIwK4J7A_7_0"/>
      <w:bookmarkStart w:id="1881" w:name="Tc_akLryy0mPUmAEIgTRBuJ-g_6_6"/>
      <w:bookmarkStart w:id="1882" w:name="Tc_A7QsNMs5GEuYM09luqMMyA_6_3"/>
      <w:bookmarkStart w:id="1883" w:name="Tc_Lg4WAhbWbEuWonzhcYeYkg_6_0"/>
      <w:bookmarkStart w:id="1884" w:name="Tc_1GqR0o-5g0uQkU3BbWp5HQ_5_9"/>
      <w:bookmarkStart w:id="1885" w:name="Tc_DdyKTjNlM0WnqwzUKLzwLw_5_3"/>
      <w:bookmarkStart w:id="1886" w:name="Tc_akyWTE2G00iuORqy2HCLoA_5_0"/>
      <w:bookmarkStart w:id="1887" w:name="Tc_etntqulyDUaiUdoV_H3cnw_4_11"/>
      <w:bookmarkStart w:id="1888" w:name="Tc_K_gcfzdWqEuwB7nVcEd_Wg_4_9"/>
      <w:bookmarkStart w:id="1889" w:name="Tc_PfowOMY53EWcQUUSZMvkDA_4_8"/>
      <w:bookmarkStart w:id="1890" w:name="Tc_KjFUGmY9y0uC9_-ItXliCw_4_6"/>
      <w:bookmarkStart w:id="1891" w:name="Tc_jIN2lLINKUiIL1xY5to8vQ_4_5"/>
      <w:bookmarkStart w:id="1892" w:name="Tc_7x2AQnHx706OV33aLV6ZXg_4_2"/>
      <w:bookmarkStart w:id="1893" w:name="Tc_V9gjy6cpKEaFCQTP1r6sTQ_4_0"/>
      <w:bookmarkStart w:id="1894" w:name="Tc__e-1oMophkyxxIaD7g6shA_3_0"/>
      <w:bookmarkStart w:id="1895" w:name="Tc_sL_mRI9whU2Kb9DQqxWH1w_2_11"/>
      <w:bookmarkStart w:id="1896" w:name="Tc_COKcYHRfF0SyIxRQdUg-6w_2_8"/>
      <w:bookmarkStart w:id="1897" w:name="Tc_8UMujX5ZyUuh2_dQmu0DnA_2_5"/>
      <w:bookmarkStart w:id="1898" w:name="Tc_9Q7qWXeyWkiG6TcQ0dZHoQ_2_2"/>
      <w:bookmarkStart w:id="1899" w:name="_9256d8a3_ed04_47cb_88ef_b018d90829f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r>
        <w:rPr>
          <w:rFonts w:ascii="Times New Roman;Times;serif" w:hAnsi="Times New Roman;Times;serif"/>
          <w:sz w:val="20"/>
        </w:rPr>
        <w:t>Our income property operations consist of income-producing properties, and our business plan is focused on investing in additional income-producing properties. Our income property operations accounted for 87.2% and 88.0% of our identifiable assets as of December 31, 2025 and 2024, respectively, and 88.4%, 88.8%, and 88.6%, of our consolidated revenues for the years ended December 31, 2025, 2024, and 2023, respectively. Our management fee income consists primarily of the management fees earned for the management of PINE during the three years ended December 31, 2025, 2024, and 2023, as well as from the Portfolio Management Agreement during the three years ended December 31, 2025, 2024, and 2023, and the Subsurface Management Agreement during the years ended December 31, 2025 and 2024. As of December 31, 2025, our commercial loan and investment portfolio consisted of four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 The Company’s assets underlying its real estate operations were sold during the year ended December 31, 2024, therefore, no further revenues are expected from this segment.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evaluates segment performance based on operating income. The Company’s reportable segments are strategic business units that offer different products. They are managed separately because each segment requires different management techniques, knowledge, and skills.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year ended December 31, 2025 is as follows (in thousands):</w:t>
      </w:r>
    </w:p>
    <w:tbl>
      <w:tblPr>
        <w:tblW w:w="10205" w:type="dxa"/>
        <w:jc w:val="left"/>
        <w:tblInd w:w="0" w:type="dxa"/>
        <w:tblLayout w:type="fixed"/>
        <w:tblCellMar>
          <w:top w:w="0" w:type="dxa"/>
          <w:left w:w="0" w:type="dxa"/>
          <w:bottom w:w="0" w:type="dxa"/>
          <w:right w:w="0" w:type="dxa"/>
        </w:tblCellMar>
      </w:tblPr>
      <w:tblGrid>
        <w:gridCol w:w="3176"/>
        <w:gridCol w:w="346"/>
        <w:gridCol w:w="270"/>
        <w:gridCol w:w="1010"/>
        <w:gridCol w:w="346"/>
        <w:gridCol w:w="414"/>
        <w:gridCol w:w="1122"/>
        <w:gridCol w:w="346"/>
        <w:gridCol w:w="479"/>
        <w:gridCol w:w="1540"/>
        <w:gridCol w:w="109"/>
        <w:gridCol w:w="211"/>
        <w:gridCol w:w="836"/>
      </w:tblGrid>
      <w:tr>
        <w:trPr/>
        <w:tc>
          <w:tcPr>
            <w:tcW w:w="3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16760" cy="175260"/>
                      <wp:effectExtent l="0" t="0" r="0" b="0"/>
                      <wp:wrapNone/>
                      <wp:docPr id="512" name="Frame511"/>
                      <a:graphic xmlns:a="http://schemas.openxmlformats.org/drawingml/2006/main">
                        <a:graphicData uri="http://schemas.microsoft.com/office/word/2010/wordprocessingShape">
                          <wps:wsp>
                            <wps:cNvSpPr txBox="1"/>
                            <wps:spPr>
                              <a:xfrm>
                                <a:off x="0" y="0"/>
                                <a:ext cx="201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71450" cy="175260"/>
                      <wp:effectExtent l="0" t="0" r="0" b="0"/>
                      <wp:wrapNone/>
                      <wp:docPr id="514" name="Frame51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1350" cy="175260"/>
                      <wp:effectExtent l="0" t="0" r="0" b="0"/>
                      <wp:wrapNone/>
                      <wp:docPr id="515" name="Frame514"/>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62890" cy="175260"/>
                      <wp:effectExtent l="0" t="0" r="0" b="0"/>
                      <wp:wrapNone/>
                      <wp:docPr id="517" name="Frame51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712470" cy="175260"/>
                      <wp:effectExtent l="0" t="0" r="0" b="0"/>
                      <wp:wrapNone/>
                      <wp:docPr id="518" name="Frame517"/>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04165" cy="175260"/>
                      <wp:effectExtent l="0" t="0" r="0" b="0"/>
                      <wp:wrapNone/>
                      <wp:docPr id="520" name="Frame519"/>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77900" cy="175260"/>
                      <wp:effectExtent l="0" t="0" r="0" b="0"/>
                      <wp:wrapNone/>
                      <wp:docPr id="521" name="Frame520"/>
                      <a:graphic xmlns:a="http://schemas.openxmlformats.org/drawingml/2006/main">
                        <a:graphicData uri="http://schemas.microsoft.com/office/word/2010/wordprocessingShape">
                          <wps:wsp>
                            <wps:cNvSpPr txBox="1"/>
                            <wps:spPr>
                              <a:xfrm>
                                <a:off x="0" y="0"/>
                                <a:ext cx="977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30860" cy="175260"/>
                      <wp:effectExtent l="0" t="0" r="0" b="0"/>
                      <wp:wrapNone/>
                      <wp:docPr id="524" name="Frame52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31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0"/>
              <w:ind w:left="0" w:right="0" w:hanging="0"/>
              <w:jc w:val="center"/>
              <w:rPr/>
            </w:pPr>
            <w:r>
              <w:rPr/>
              <w:t>  ​ ​ ​</w:t>
            </w:r>
          </w:p>
        </w:tc>
        <w:tc>
          <w:tcPr>
            <w:tcW w:w="15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0"/>
              <w:ind w:left="0" w:right="0" w:hanging="0"/>
              <w:jc w:val="left"/>
              <w:rPr/>
            </w:pPr>
            <w:r>
              <w:rPr/>
              <w:t>  ​ ​ ​</w:t>
            </w:r>
          </w:p>
        </w:tc>
        <w:tc>
          <w:tcPr>
            <w:tcW w:w="2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132,156</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149,545</w:t>
            </w:r>
          </w:p>
        </w:tc>
      </w:tr>
      <w:tr>
        <w:trPr/>
        <w:tc>
          <w:tcPr>
            <w:tcW w:w="3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(37,923)</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(37,923)</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94,233</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111,622</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(59,947)</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(59,947)</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34,286</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51,607</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21,452</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55,738</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73,059</w:t>
            </w:r>
          </w:p>
        </w:tc>
      </w:tr>
      <w:tr>
        <w:trPr/>
        <w:tc>
          <w:tcPr>
            <w:tcW w:w="31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(18,527)</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(26,928)</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10,538</w:t>
            </w:r>
          </w:p>
        </w:tc>
      </w:tr>
      <w:tr>
        <w:trPr/>
        <w:tc>
          <w:tcPr>
            <w:tcW w:w="3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1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15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154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10,092</w:t>
            </w:r>
          </w:p>
        </w:tc>
      </w:tr>
    </w:tbl>
    <w:p>
      <w:pPr>
        <w:pStyle w:val="TextBody"/>
        <w:bidi w:val="0"/>
        <w:spacing w:before="240" w:after="24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900" w:name="Tc_yJzASsj0cUqb1pMkoJsH3Q_27_14"/>
      <w:bookmarkStart w:id="1901" w:name="Tc_-UzfJtuqt0aJ6-A9ZuKj0Q_27_0"/>
      <w:bookmarkStart w:id="1902" w:name="Tc_2evENJDwfEKTKLfQ6nzQzg_26_0"/>
      <w:bookmarkStart w:id="1903" w:name="Tc_u8d5_xr_ske5ccL4_6xH9Q_25_14"/>
      <w:bookmarkStart w:id="1904" w:name="Tc_mRuv8MImLUe3NcxN7hsT5Q_25_0"/>
      <w:bookmarkStart w:id="1905" w:name="Tc_vlrcq5hU5EKhj3r0t4Ovuw_24_0"/>
      <w:bookmarkStart w:id="1906" w:name="Tc_NLLVNvGQJ06gjMX8vLJbMg_23_0"/>
      <w:bookmarkStart w:id="1907" w:name="Tc_DTf4wrs5mUijD5-9wmM5yA_22_0"/>
      <w:bookmarkStart w:id="1908" w:name="Tc_B7FFkGijtkiBa8wy272ZSA_21_0"/>
      <w:bookmarkStart w:id="1909" w:name="Tc_IPedAgYtmEC3NuWuf1vn8g_20_0"/>
      <w:bookmarkStart w:id="1910" w:name="Tc_xso7C1FCukOHbKw1nWUjaw_18_14"/>
      <w:bookmarkStart w:id="1911" w:name="Tc_VFddMRozh0mvObRpn7RsIA_18_11"/>
      <w:bookmarkStart w:id="1912" w:name="Tc_-Urn02AiKEa_6yCLrjIOGQ_18_8"/>
      <w:bookmarkStart w:id="1913" w:name="Tc_uFDpgCaJs0WOkjzWoPah4w_18_5"/>
      <w:bookmarkStart w:id="1914" w:name="Tc_WTtFPoGMCEWEWY2gTrDWhg_18_2"/>
      <w:bookmarkStart w:id="1915" w:name="Tc_CsUFWb0B2UmdC2GbFigONg_18_0"/>
      <w:bookmarkStart w:id="1916" w:name="Tc_JJmPCTxsy0OLRwriOQVLjA_17_9"/>
      <w:bookmarkStart w:id="1917" w:name="Tc_qg4hJOOxL0igwsHoyn9H7Q_17_6"/>
      <w:bookmarkStart w:id="1918" w:name="Tc_uxEMB7-2vEiQQu6YSQOPMQ_17_0"/>
      <w:bookmarkStart w:id="1919" w:name="Tc_0q_8l58YAUi_OLzy7kwBtg_16_14"/>
      <w:bookmarkStart w:id="1920" w:name="Tc_k5wJgFZR70OtVxTHUSsiTw_16_11"/>
      <w:bookmarkStart w:id="1921" w:name="Tc_U_Io6ixFx06W4oh9daFO3g_16_8"/>
      <w:bookmarkStart w:id="1922" w:name="Tc_L72EU1FYFE6bcN_ta8hiOQ_16_5"/>
      <w:bookmarkStart w:id="1923" w:name="Tc_3e0w2OhI1Ua8ueHHCVcbPA_16_2"/>
      <w:bookmarkStart w:id="1924" w:name="Tc_dnT2ZHvv40OitNi72XwCgA_16_0"/>
      <w:bookmarkStart w:id="1925" w:name="Tc_Rhvyeg3it0aREeCdr96XXA_15_12"/>
      <w:bookmarkStart w:id="1926" w:name="Tc_8pukCsqGb0mRshOAAB8ZDg_15_9"/>
      <w:bookmarkStart w:id="1927" w:name="Tc_aXWBfHg7pEifVYO51FbENw_15_6"/>
      <w:bookmarkStart w:id="1928" w:name="Tc_PWAGd1qgSkG5PSHs3C3YoA_15_0"/>
      <w:bookmarkStart w:id="1929" w:name="Tc_lUiuglcVek2G4Tze7LuGuA_14_12"/>
      <w:bookmarkStart w:id="1930" w:name="Tc_89sgBbwCF0ubha0HWPgMZw_14_6"/>
      <w:bookmarkStart w:id="1931" w:name="Tc_ft2O56T3LUKdoVOEr4Bu9w_14_3"/>
      <w:bookmarkStart w:id="1932" w:name="Tc_tletXJ0PyEGTDPuTIBSA6Q_14_0"/>
      <w:bookmarkStart w:id="1933" w:name="Tc_tntL_9-peU22NZIx4lYPzg_13_14"/>
      <w:bookmarkStart w:id="1934" w:name="Tc_Ru342QJwykmImkHtwAVjFA_13_11"/>
      <w:bookmarkStart w:id="1935" w:name="Tc_5NkxgE7kAUiF3RbPsShXCw_13_8"/>
      <w:bookmarkStart w:id="1936" w:name="Tc_pjuODsRWR0m30L9LdUln1w_13_5"/>
      <w:bookmarkStart w:id="1937" w:name="Tc_Tljz-VdqN0eE_W2aqHbjEA_13_2"/>
      <w:bookmarkStart w:id="1938" w:name="Tc_Hc7V68xxC0Of6vTmclmPXQ_13_0"/>
      <w:bookmarkStart w:id="1939" w:name="Tc_BtOYVoTpOUSs9MmvVkMHOA_12_9"/>
      <w:bookmarkStart w:id="1940" w:name="Tc_XE6AsJ-KBUuEVSrTbx_OIA_12_6"/>
      <w:bookmarkStart w:id="1941" w:name="Tc_ZYU_wD45WEqjthX6q-KaaA_12_3"/>
      <w:bookmarkStart w:id="1942" w:name="Tc_jCaeXdQhXUSFADGr3I9JGA_12_0"/>
      <w:bookmarkStart w:id="1943" w:name="Tc_ku0x2MQpykuv9c3bjn6Wcg_11_14"/>
      <w:bookmarkStart w:id="1944" w:name="Tc_gN53ht7vDEi547VBh0xBbw_11_12"/>
      <w:bookmarkStart w:id="1945" w:name="Tc_z7mT7qNSdECkx_mUMzu_5w_11_11"/>
      <w:bookmarkStart w:id="1946" w:name="Tc_HtZPob9dBECVC0cWyIlNYA_11_9"/>
      <w:bookmarkStart w:id="1947" w:name="Tc_juOuSZz7FkW-lWX8ChcCMQ_11_8"/>
      <w:bookmarkStart w:id="1948" w:name="Tc_gPCbqZl9ekSuxgK7H-qvRA_11_6"/>
      <w:bookmarkStart w:id="1949" w:name="Tc_Q-LJ3v9d4Uiw1yY2RCw-lA_11_5"/>
      <w:bookmarkStart w:id="1950" w:name="Tc_85itsyn-rEalmXuzQekH2w_11_2"/>
      <w:bookmarkStart w:id="1951" w:name="Tc_RSZoBc-Jp0CV1O7xrKBUBA_11_0"/>
      <w:bookmarkStart w:id="1952" w:name="Tc__o3p3qwZT0OVM4uo-MdSuQ_10_0"/>
      <w:bookmarkStart w:id="1953" w:name="Tc_ia-e0ed6VkeFciMvTAFYag_8_14"/>
      <w:bookmarkStart w:id="1954" w:name="Tc_MBAVCyCpvEOxC0ZIMMyRJQ_8_11"/>
      <w:bookmarkStart w:id="1955" w:name="Tc_zwHf3TAyvUWhBU8qkKdKmQ_8_8"/>
      <w:bookmarkStart w:id="1956" w:name="Tc_9il8i6gCOUSA9RHnbIAq4Q_8_5"/>
      <w:bookmarkStart w:id="1957" w:name="Tc_8W1hQI-_kE25c-GI3vb-dA_8_2"/>
      <w:bookmarkStart w:id="1958" w:name="Tc_DcIhMEuZrECT7ut6twyxtQ_8_0"/>
      <w:bookmarkStart w:id="1959" w:name="Tc_iSQIbo7qJ02qfckH8pghhg_7_9"/>
      <w:bookmarkStart w:id="1960" w:name="Tc_fYKXwukK8UWwm06j_onQpg_7_6"/>
      <w:bookmarkStart w:id="1961" w:name="Tc_6XJ9elfjBkSM4Pn_JTFUMw_7_3"/>
      <w:bookmarkStart w:id="1962" w:name="Tc_N-5L3PUl_EOx8hGvND4RYA_7_0"/>
      <w:bookmarkStart w:id="1963" w:name="Tc_EpL5MVMfSkaOBwR4amistg_6_12"/>
      <w:bookmarkStart w:id="1964" w:name="Tc_cC_-zjf9IkOC8UzzNc7LTQ_6_6"/>
      <w:bookmarkStart w:id="1965" w:name="Tc_1S2xr6wGr0-HH4IOyfyZ_w_6_3"/>
      <w:bookmarkStart w:id="1966" w:name="Tc_ShzoqxbN4EaHlfJyhBHVIQ_6_0"/>
      <w:bookmarkStart w:id="1967" w:name="Tc_8lmLN26NVE24t_HGeXt-6Q_5_12"/>
      <w:bookmarkStart w:id="1968" w:name="Tc_J9Z42LNHsUu31ncW6R1WrA_5_9"/>
      <w:bookmarkStart w:id="1969" w:name="Tc_4M6KW1mkuUShAK6PUWqjkg_5_3"/>
      <w:bookmarkStart w:id="1970" w:name="Tc__CcxLJf_sEi69FHt7xSFHQ_5_0"/>
      <w:bookmarkStart w:id="1971" w:name="Tc_mSJlZM7kBESxxNTUnT7Pbg_4_14"/>
      <w:bookmarkStart w:id="1972" w:name="Tc_3avPshdQpEuw0olfuqp98w_4_12"/>
      <w:bookmarkStart w:id="1973" w:name="Tc_kZ9JJA247E6AvNQmPWEkrA_4_11"/>
      <w:bookmarkStart w:id="1974" w:name="Tc_v8Fg3xNmbEW5wgTkykCd0w_4_9"/>
      <w:bookmarkStart w:id="1975" w:name="Tc_hxdGSPMsnEyeJ6xvIpv7Hw_4_8"/>
      <w:bookmarkStart w:id="1976" w:name="Tc_D15CsFQEoEWjdgly31dJRw_4_6"/>
      <w:bookmarkStart w:id="1977" w:name="Tc_AW5q8B942EGlj4PdzDZrFA_4_5"/>
      <w:bookmarkStart w:id="1978" w:name="Tc__HxK4Bt-3EOMhrLMBKyb3w_4_2"/>
      <w:bookmarkStart w:id="1979" w:name="Tc_6N0WMoF7yE-lhZoeMc1Qkw_4_0"/>
      <w:bookmarkStart w:id="1980" w:name="Tc_qt82OSSBCEOW7slbk1Gzeg_3_0"/>
      <w:bookmarkStart w:id="1981" w:name="Tc_FQp4SH1DmU-fTSUoXQXseQ_2_14"/>
      <w:bookmarkStart w:id="1982" w:name="Tc_BZnaPgxUIUmZfH_WGnMLTg_2_11"/>
      <w:bookmarkStart w:id="1983" w:name="Tc_Ls5vWqJq4EK_m4-LtgvVoA_2_8"/>
      <w:bookmarkStart w:id="1984" w:name="Tc_1EDholfkiE-yeKJf5_-z3g_2_5"/>
      <w:bookmarkStart w:id="1985" w:name="Tc_Z5kuSOskhUe1DQGa-rkSww_2_2"/>
      <w:bookmarkStart w:id="1986" w:name="_ae04d0b0_b6b1_43b6_b57f_09ef4ead4265"/>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r>
        <w:rPr>
          <w:rFonts w:ascii="Times New Roman;Times;serif" w:hAnsi="Times New Roman;Times;serif"/>
          <w:sz w:val="20"/>
        </w:rPr>
        <w:t>Information about the Company’s operations in different segments for the year ended December 31, 2024 is as follows (in thousands):</w:t>
      </w:r>
    </w:p>
    <w:tbl>
      <w:tblPr>
        <w:tblW w:w="10205" w:type="dxa"/>
        <w:jc w:val="left"/>
        <w:tblInd w:w="0" w:type="dxa"/>
        <w:tblLayout w:type="fixed"/>
        <w:tblCellMar>
          <w:top w:w="0" w:type="dxa"/>
          <w:left w:w="0" w:type="dxa"/>
          <w:bottom w:w="0" w:type="dxa"/>
          <w:right w:w="0" w:type="dxa"/>
        </w:tblCellMar>
      </w:tblPr>
      <w:tblGrid>
        <w:gridCol w:w="2377"/>
        <w:gridCol w:w="346"/>
        <w:gridCol w:w="245"/>
        <w:gridCol w:w="914"/>
        <w:gridCol w:w="346"/>
        <w:gridCol w:w="378"/>
        <w:gridCol w:w="1024"/>
        <w:gridCol w:w="346"/>
        <w:gridCol w:w="447"/>
        <w:gridCol w:w="1217"/>
        <w:gridCol w:w="109"/>
        <w:gridCol w:w="325"/>
        <w:gridCol w:w="976"/>
        <w:gridCol w:w="109"/>
        <w:gridCol w:w="211"/>
        <w:gridCol w:w="835"/>
      </w:tblGrid>
      <w:tr>
        <w:trPr/>
        <w:tc>
          <w:tcPr>
            <w:tcW w:w="2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509395" cy="175260"/>
                      <wp:effectExtent l="0" t="0" r="0" b="0"/>
                      <wp:wrapNone/>
                      <wp:docPr id="525" name="Frame524"/>
                      <a:graphic xmlns:a="http://schemas.openxmlformats.org/drawingml/2006/main">
                        <a:graphicData uri="http://schemas.microsoft.com/office/word/2010/wordprocessingShape">
                          <wps:wsp>
                            <wps:cNvSpPr txBox="1"/>
                            <wps:spPr>
                              <a:xfrm>
                                <a:off x="0" y="0"/>
                                <a:ext cx="150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55575" cy="175260"/>
                      <wp:effectExtent l="0" t="0" r="0" b="0"/>
                      <wp:wrapNone/>
                      <wp:docPr id="527" name="Frame52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80390" cy="175260"/>
                      <wp:effectExtent l="0" t="0" r="0" b="0"/>
                      <wp:wrapNone/>
                      <wp:docPr id="528" name="Frame527"/>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40030" cy="175260"/>
                      <wp:effectExtent l="0" t="0" r="0" b="0"/>
                      <wp:wrapNone/>
                      <wp:docPr id="530" name="Frame529"/>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50240" cy="175260"/>
                      <wp:effectExtent l="0" t="0" r="0" b="0"/>
                      <wp:wrapNone/>
                      <wp:docPr id="531" name="Frame530"/>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2"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83845" cy="175260"/>
                      <wp:effectExtent l="0" t="0" r="0" b="0"/>
                      <wp:wrapNone/>
                      <wp:docPr id="533" name="Frame532"/>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72795" cy="175260"/>
                      <wp:effectExtent l="0" t="0" r="0" b="0"/>
                      <wp:wrapNone/>
                      <wp:docPr id="534" name="Frame533"/>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6375" cy="175260"/>
                      <wp:effectExtent l="0" t="0" r="0" b="0"/>
                      <wp:wrapNone/>
                      <wp:docPr id="536" name="Frame53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19760" cy="175260"/>
                      <wp:effectExtent l="0" t="0" r="0" b="0"/>
                      <wp:wrapNone/>
                      <wp:docPr id="537" name="Frame53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5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30225" cy="175260"/>
                      <wp:effectExtent l="0" t="0" r="0" b="0"/>
                      <wp:wrapNone/>
                      <wp:docPr id="540" name="Frame53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r>
      <w:tr>
        <w:trPr/>
        <w:tc>
          <w:tcPr>
            <w:tcW w:w="23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0"/>
              <w:ind w:left="0" w:right="0" w:hanging="0"/>
              <w:jc w:val="center"/>
              <w:rPr/>
            </w:pPr>
            <w:r>
              <w:rPr/>
              <w:t>  ​ ​ ​</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0"/>
              <w:ind w:left="0" w:right="0" w:hanging="0"/>
              <w:jc w:val="left"/>
              <w:rPr/>
            </w:pPr>
            <w:r>
              <w:rPr/>
              <w:t>  ​ ​ ​</w:t>
            </w:r>
          </w:p>
        </w:tc>
        <w:tc>
          <w:tcPr>
            <w:tcW w:w="1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0"/>
              <w:ind w:left="0" w:right="0" w:hanging="0"/>
              <w:jc w:val="center"/>
              <w:rPr/>
            </w:pPr>
            <w:r>
              <w:rPr/>
              <w:t>​</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110,591</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124,519</w:t>
            </w:r>
          </w:p>
        </w:tc>
      </w:tr>
      <w:tr>
        <w:trPr/>
        <w:tc>
          <w:tcPr>
            <w:tcW w:w="23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(31,785)</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(31,785)</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78,806</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91,297</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(64,981)</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(64,981)</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13,825</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25,640</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17,588</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33,948</w:t>
            </w:r>
          </w:p>
        </w:tc>
      </w:tr>
      <w:tr>
        <w:trPr/>
        <w:tc>
          <w:tcPr>
            <w:tcW w:w="23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(16,269)</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(22,521)</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r>
    </w:tbl>
    <w:p>
      <w:pPr>
        <w:pStyle w:val="TextBody"/>
        <w:bidi w:val="0"/>
        <w:spacing w:before="240" w:after="24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987" w:name="Tc_tB8dhft1K0CCPLOJVCe2vg_7_8"/>
      <w:bookmarkStart w:id="1988" w:name="Tc_Jm7-wyvnhE-8ZqSPUSvR-g_7_5"/>
      <w:bookmarkStart w:id="1989" w:name="Tc_nfystXi0RUSz1tjTnozFkg_7_2"/>
      <w:bookmarkStart w:id="1990" w:name="Tc_vAQHnCNn2EGwB2IAfSHMQw_7_0"/>
      <w:bookmarkStart w:id="1991" w:name="Tc_4FpNunuwJEO5KIP93YRf6Q_6_0"/>
      <w:bookmarkStart w:id="1992" w:name="Tc_H7-NflSpL0i7E0ByCLxaoQ_5_0"/>
      <w:bookmarkStart w:id="1993" w:name="Tc_o0mkG6EmHUusaNKrxP5aMw_4_8"/>
      <w:bookmarkStart w:id="1994" w:name="Tc_FbkoedWK3UKieC9cMOXVBQ_4_5"/>
      <w:bookmarkStart w:id="1995" w:name="Tc_fqL4s2TUNUqgWSdw4-2MrA_4_2"/>
      <w:bookmarkStart w:id="1996" w:name="Tc_QBKCd7JcwEuBwnWdECN6eA_4_0"/>
      <w:bookmarkStart w:id="1997" w:name="Tc_DAogJKXe5UmfgTlarsr5cA_3_0"/>
      <w:bookmarkStart w:id="1998" w:name="Tc_pazW-edUOUmb-4W7RFVI0A_2_8"/>
      <w:bookmarkStart w:id="1999" w:name="Tc_4Biu2t8spkSj3cwCjhinVw_2_5"/>
      <w:bookmarkStart w:id="2000" w:name="Tc_FXngX56Lf0atS3c6vd2pzQ_2_2"/>
      <w:bookmarkStart w:id="2001" w:name="Tc_XD_ZJkZOVkGeKFtlw-pRWQ_1_2"/>
      <w:bookmarkStart w:id="2002" w:name="_02ec69e2_13a4_4b97_8ba6_71bf2ad60aad"/>
      <w:bookmarkStart w:id="2003" w:name="Tc_bUn2HLlJKECmSKoEQR-_ig_27_14"/>
      <w:bookmarkStart w:id="2004" w:name="Tc_YlvxNcPMD0KuGQdvkGpw_g_27_0"/>
      <w:bookmarkStart w:id="2005" w:name="Tc_N6lJLrZlCUOVAVna4C54pw_26_0"/>
      <w:bookmarkStart w:id="2006" w:name="Tc_jKhORy6z-kajWki36xb9sw_25_14"/>
      <w:bookmarkStart w:id="2007" w:name="Tc_fEVmEu94OU2GSu2DfhVSFA_25_0"/>
      <w:bookmarkStart w:id="2008" w:name="Tc_1bl899ubpkyxYWmDRjFM9Q_24_0"/>
      <w:bookmarkStart w:id="2009" w:name="Tc_himfX_VtOk-7LD27n_mIYw_23_0"/>
      <w:bookmarkStart w:id="2010" w:name="Tc_PYB_i_aSWUGTEy7CHUYWnw_22_0"/>
      <w:bookmarkStart w:id="2011" w:name="Tc_bbxGGFLNZ02lfR6w8W_iDQ_21_0"/>
      <w:bookmarkStart w:id="2012" w:name="Tc_APug4XctyU-zWd-4Q2vuOw_20_0"/>
      <w:bookmarkStart w:id="2013" w:name="Tc_6ucNYG5h_0Gn2MFWQzSiHw_18_14"/>
      <w:bookmarkStart w:id="2014" w:name="Tc_iU84R5JJwkCn-imSFGfW8Q_18_11"/>
      <w:bookmarkStart w:id="2015" w:name="Tc_REjoNxeAR0mJFjpTwSpRBg_18_8"/>
      <w:bookmarkStart w:id="2016" w:name="Tc_jki_v3fU1k6TNRy4jx6Oig_18_5"/>
      <w:bookmarkStart w:id="2017" w:name="Tc_TIL0O9AB9U2FCxLx7Gfeug_18_2"/>
      <w:bookmarkStart w:id="2018" w:name="Tc_ycaLMSYVkkuOSJgIADpzdQ_18_0"/>
      <w:bookmarkStart w:id="2019" w:name="Tc_FxOd69wcBUWfSnbObnOZow_17_12"/>
      <w:bookmarkStart w:id="2020" w:name="Tc_F8k8uUPyrEKj5pgMEHStIg_17_9"/>
      <w:bookmarkStart w:id="2021" w:name="Tc_Hg-GsL19NEeFq52RXZEPow_17_6"/>
      <w:bookmarkStart w:id="2022" w:name="Tc_xORdmxk6XUK38UyRsGGa2g_17_0"/>
      <w:bookmarkStart w:id="2023" w:name="Tc_MrF_xY0L4UapVYQM9liMSQ_16_14"/>
      <w:bookmarkStart w:id="2024" w:name="Tc_08gouyi6D0SPYqMh3-tglg_16_11"/>
      <w:bookmarkStart w:id="2025" w:name="Tc_D5XvLonSOEeLx2wCZbLg9A_16_8"/>
      <w:bookmarkStart w:id="2026" w:name="Tc_B1XuqFTArUiUjSXKddKYOw_16_5"/>
      <w:bookmarkStart w:id="2027" w:name="Tc_3pJ0GIAPvUWRAqreSJwBng_16_2"/>
      <w:bookmarkStart w:id="2028" w:name="Tc_3dZIgGqPZUWrNvFXN7W9JQ_16_0"/>
      <w:bookmarkStart w:id="2029" w:name="Tc_Czztbs-LP0mEWl1rSwdY8A_15_12"/>
      <w:bookmarkStart w:id="2030" w:name="Tc_juiLZxjB1k2XLoI7r3uBmA_15_9"/>
      <w:bookmarkStart w:id="2031" w:name="Tc_KCbjl5FWXEmVeQNVBI4OUg_15_6"/>
      <w:bookmarkStart w:id="2032" w:name="Tc_qZDMNBs27E24n66eu8b6Xw_15_0"/>
      <w:bookmarkStart w:id="2033" w:name="Tc_GTv-2Nf2V0yycY5EP_8LaQ_14_12"/>
      <w:bookmarkStart w:id="2034" w:name="Tc_R87V7QQfcEmI7huZYChTrQ_14_6"/>
      <w:bookmarkStart w:id="2035" w:name="Tc_auAhd6gN_06KATqs9BMGCw_14_0"/>
      <w:bookmarkStart w:id="2036" w:name="Tc_l59YLTdnYEeqqMAt55EvSw_13_14"/>
      <w:bookmarkStart w:id="2037" w:name="Tc_RYXdvNMjRk6uBX77jfbkSQ_13_11"/>
      <w:bookmarkStart w:id="2038" w:name="Tc_qtpkZMxuYE2rkCxfROTTIg_13_8"/>
      <w:bookmarkStart w:id="2039" w:name="Tc_ve5oVwa2NkmwVSaZVeaDew_13_5"/>
      <w:bookmarkStart w:id="2040" w:name="Tc_u52JlQ3ZuUy3JuhgIAOeQw_13_2"/>
      <w:bookmarkStart w:id="2041" w:name="Tc_iYCePNBJXUemjpECcVJ-Rw_13_0"/>
      <w:bookmarkStart w:id="2042" w:name="Tc_0sKsfhAtjkS0E0Uvm5XK0Q_12_9"/>
      <w:bookmarkStart w:id="2043" w:name="Tc_iEJZoU2OvkaQzXbeDUpUYw_12_6"/>
      <w:bookmarkStart w:id="2044" w:name="Tc_9nuGhvOcZkyCm8hGMTfMzg_12_3"/>
      <w:bookmarkStart w:id="2045" w:name="Tc_3f7htX0SRkqjXu5Q0yfcjw_12_0"/>
      <w:bookmarkStart w:id="2046" w:name="Tc_hnWCV0K0vUegZ0h3kdczGA_11_14"/>
      <w:bookmarkStart w:id="2047" w:name="Tc_su93rc194U-3zS7s4ztIqA_11_12"/>
      <w:bookmarkStart w:id="2048" w:name="Tc_28cgK_xbB0OA8J9d1jKFcQ_11_11"/>
      <w:bookmarkStart w:id="2049" w:name="Tc_opZiEdQhN066PNxA3hQBIA_11_9"/>
      <w:bookmarkStart w:id="2050" w:name="Tc_7i7k2xsPSkWTwzLntfrBXA_11_8"/>
      <w:bookmarkStart w:id="2051" w:name="Tc_nO-6axyuf0yPF7SpPSTfkg_11_6"/>
      <w:bookmarkStart w:id="2052" w:name="Tc__s8zrQMz8U6oDbBWJM0K-Q_11_5"/>
      <w:bookmarkStart w:id="2053" w:name="Tc_9j7Gh9Cxm065djZSHFQp6w_11_2"/>
      <w:bookmarkStart w:id="2054" w:name="Tc_x3SpeXbmEkuisPGyDl4scA_11_0"/>
      <w:bookmarkStart w:id="2055" w:name="Tc_VrQVd7W180CS3goS5AlSTg_10_0"/>
      <w:bookmarkStart w:id="2056" w:name="Tc_u5tnXtNflkaIuYtju1uS2g_8_14"/>
      <w:bookmarkStart w:id="2057" w:name="Tc_0hxH4CfB6UOwLFBH3mzcRg_8_11"/>
      <w:bookmarkStart w:id="2058" w:name="Tc_eLpkEG2FI02ABPQl6op4hQ_8_8"/>
      <w:bookmarkStart w:id="2059" w:name="Tc_1nsV5_U6t0yUSNpWEz2JMg_8_5"/>
      <w:bookmarkStart w:id="2060" w:name="Tc_TsAqTkM_6kqrWsRxrPS4bQ_8_2"/>
      <w:bookmarkStart w:id="2061" w:name="Tc_zVzdNmrB3Ea8hB47y8hdCQ_8_0"/>
      <w:bookmarkStart w:id="2062" w:name="Tc_ImddplQ9WEODTdR0TSrMfA_7_9"/>
      <w:bookmarkStart w:id="2063" w:name="Tc_4wi9cSukB0mvz6Gs7F-eFw_7_6"/>
      <w:bookmarkStart w:id="2064" w:name="Tc_nl8uoKBVU0Sq8oJTctPZ1Q_7_3"/>
      <w:bookmarkStart w:id="2065" w:name="Tc_oqdjqQ6fW02A2eaVLlNLgw_7_0"/>
      <w:bookmarkStart w:id="2066" w:name="Tc_Ho6v1CJ_NUOzLm9Q_gIj7g_6_12"/>
      <w:bookmarkStart w:id="2067" w:name="Tc_B1v_XKujTkirA1HL8PjphA_6_6"/>
      <w:bookmarkStart w:id="2068" w:name="Tc_ItbvoHHHB0K3pwnLeqe3IQ_6_3"/>
      <w:bookmarkStart w:id="2069" w:name="Tc_j6XARrkU_kSiYEzVDqcu7w_6_0"/>
      <w:bookmarkStart w:id="2070" w:name="Tc_sscqdzoIA0Cyu9IRa42FVA_5_12"/>
      <w:bookmarkStart w:id="2071" w:name="Tc_T16C6iYZZU-xFuxtpJnb-Q_5_9"/>
      <w:bookmarkStart w:id="2072" w:name="Tc_qkGjUDRNOU--ZednW81Q1w_5_3"/>
      <w:bookmarkStart w:id="2073" w:name="Tc_D93Wij67Qk-Fcbxqhq0pPQ_5_0"/>
      <w:bookmarkStart w:id="2074" w:name="Tc_68GKYcP_VUe35m2apaOYbg_4_14"/>
      <w:bookmarkStart w:id="2075" w:name="Tc__NYPu59r60O9EQ6-UcHGjA_4_12"/>
      <w:bookmarkStart w:id="2076" w:name="Tc_XRRdsYfSlU2r69m70lg92Q_4_11"/>
      <w:bookmarkStart w:id="2077" w:name="Tc_hWmZ2ChKNEuVy1kozaww-Q_4_9"/>
      <w:bookmarkStart w:id="2078" w:name="Tc_yourkmbmGUOrToXG7Ewojw_4_8"/>
      <w:bookmarkStart w:id="2079" w:name="Tc_BRKuljIEFUao_q_1N5h2AQ_4_6"/>
      <w:bookmarkStart w:id="2080" w:name="Tc_0lrZAO0bl0isiy8zo-Sgmg_4_5"/>
      <w:bookmarkStart w:id="2081" w:name="Tc_1qs_LRjGG0yy3rxOqGlrjw_4_2"/>
      <w:bookmarkStart w:id="2082" w:name="Tc_WsnxF0GB5Uib9GD5JQM3hw_4_0"/>
      <w:bookmarkStart w:id="2083" w:name="Tc_S8yhbGK5zEGT8idmQ5usDA_3_0"/>
      <w:bookmarkStart w:id="2084" w:name="Tc_4ByC3yTVH02oMj7Yw2Vohg_2_14"/>
      <w:bookmarkStart w:id="2085" w:name="Tc_WXvOPfKORkms-aNhz8oTSQ_2_11"/>
      <w:bookmarkStart w:id="2086" w:name="Tc_6OrQw1BYAkywdCMr5NLZ_Q_2_8"/>
      <w:bookmarkStart w:id="2087" w:name="Tc_m-kLcn8CjkmUyY3KJSgkmw_2_5"/>
      <w:bookmarkStart w:id="2088" w:name="Tc_4WV21DbjYkORa72lsiIAvA_2_2"/>
      <w:bookmarkStart w:id="2089" w:name="_bb97afbf_b987_4b4c_b235_88983bf05a41"/>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r>
        <w:rPr>
          <w:rFonts w:ascii="Times New Roman;Times;serif" w:hAnsi="Times New Roman;Times;serif"/>
          <w:sz w:val="20"/>
        </w:rPr>
        <w:t>Information about the Company’s operations in different segments for the year ended December 31, 2023 is as follows (in thousands):</w:t>
      </w:r>
    </w:p>
    <w:tbl>
      <w:tblPr>
        <w:tblW w:w="10205" w:type="dxa"/>
        <w:jc w:val="left"/>
        <w:tblInd w:w="0" w:type="dxa"/>
        <w:tblLayout w:type="fixed"/>
        <w:tblCellMar>
          <w:top w:w="0" w:type="dxa"/>
          <w:left w:w="0" w:type="dxa"/>
          <w:bottom w:w="0" w:type="dxa"/>
          <w:right w:w="0" w:type="dxa"/>
        </w:tblCellMar>
      </w:tblPr>
      <w:tblGrid>
        <w:gridCol w:w="2378"/>
        <w:gridCol w:w="346"/>
        <w:gridCol w:w="245"/>
        <w:gridCol w:w="913"/>
        <w:gridCol w:w="346"/>
        <w:gridCol w:w="378"/>
        <w:gridCol w:w="1024"/>
        <w:gridCol w:w="346"/>
        <w:gridCol w:w="447"/>
        <w:gridCol w:w="1217"/>
        <w:gridCol w:w="109"/>
        <w:gridCol w:w="325"/>
        <w:gridCol w:w="976"/>
        <w:gridCol w:w="109"/>
        <w:gridCol w:w="211"/>
        <w:gridCol w:w="835"/>
      </w:tblGrid>
      <w:tr>
        <w:trPr/>
        <w:tc>
          <w:tcPr>
            <w:tcW w:w="23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55575" cy="175260"/>
                      <wp:effectExtent l="0" t="0" r="0" b="0"/>
                      <wp:wrapNone/>
                      <wp:docPr id="542" name="Frame54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79755" cy="175260"/>
                      <wp:effectExtent l="0" t="0" r="0" b="0"/>
                      <wp:wrapNone/>
                      <wp:docPr id="543" name="Frame542"/>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40030" cy="175260"/>
                      <wp:effectExtent l="0" t="0" r="0" b="0"/>
                      <wp:wrapNone/>
                      <wp:docPr id="545" name="Frame54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50240" cy="175260"/>
                      <wp:effectExtent l="0" t="0" r="0" b="0"/>
                      <wp:wrapNone/>
                      <wp:docPr id="546" name="Frame545"/>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83845" cy="175260"/>
                      <wp:effectExtent l="0" t="0" r="0" b="0"/>
                      <wp:wrapNone/>
                      <wp:docPr id="548" name="Frame54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772795" cy="175260"/>
                      <wp:effectExtent l="0" t="0" r="0" b="0"/>
                      <wp:wrapNone/>
                      <wp:docPr id="549" name="Frame548"/>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50" name="Frame5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6375" cy="175260"/>
                      <wp:effectExtent l="0" t="0" r="0" b="0"/>
                      <wp:wrapNone/>
                      <wp:docPr id="551" name="Frame550"/>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19760" cy="175260"/>
                      <wp:effectExtent l="0" t="0" r="0" b="0"/>
                      <wp:wrapNone/>
                      <wp:docPr id="552" name="Frame5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9215" cy="175260"/>
                      <wp:effectExtent l="0" t="0" r="0" b="0"/>
                      <wp:wrapNone/>
                      <wp:docPr id="553" name="Frame5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4"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30225" cy="175260"/>
                      <wp:effectExtent l="0" t="0" r="0" b="0"/>
                      <wp:wrapNone/>
                      <wp:docPr id="555" name="Frame55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481" w:type="dxa"/>
            <w:gridSpan w:val="14"/>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3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46" w:type="dxa"/>
            <w:tcBorders/>
            <w:vAlign w:val="center"/>
          </w:tcPr>
          <w:p>
            <w:pPr>
              <w:pStyle w:val="TableContents"/>
              <w:bidi w:val="0"/>
              <w:spacing w:before="0" w:after="0"/>
              <w:ind w:left="0" w:right="0" w:hanging="0"/>
              <w:jc w:val="center"/>
              <w:rPr/>
            </w:pPr>
            <w:r>
              <w:rPr/>
              <w:t>  ​ ​ ​</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46" w:type="dxa"/>
            <w:tcBorders/>
            <w:vAlign w:val="center"/>
          </w:tcPr>
          <w:p>
            <w:pPr>
              <w:pStyle w:val="TableContents"/>
              <w:bidi w:val="0"/>
              <w:spacing w:before="0" w:after="0"/>
              <w:ind w:left="0" w:right="0" w:hanging="0"/>
              <w:jc w:val="left"/>
              <w:rPr/>
            </w:pPr>
            <w:r>
              <w:rPr/>
              <w:t>  ​ ​ ​</w:t>
            </w:r>
          </w:p>
        </w:tc>
        <w:tc>
          <w:tcPr>
            <w:tcW w:w="1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0"/>
              <w:ind w:left="0" w:right="0" w:hanging="0"/>
              <w:jc w:val="center"/>
              <w:rPr/>
            </w:pPr>
            <w:r>
              <w:rPr/>
              <w:t>​</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r>
      <w:tr>
        <w:trPr/>
        <w:tc>
          <w:tcPr>
            <w:tcW w:w="23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(28,455)</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(28,455)</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68,208</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78,941</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(44,107)</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(44,107)</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33,278</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30,715</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40,821</w:t>
            </w:r>
          </w:p>
        </w:tc>
      </w:tr>
      <w:tr>
        <w:trPr/>
        <w:tc>
          <w:tcPr>
            <w:tcW w:w="23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(22,359)</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w:t>
            </w:r>
          </w:p>
        </w:tc>
      </w:tr>
      <w:tr>
        <w:trPr/>
        <w:tc>
          <w:tcPr>
            <w:tcW w:w="2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2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5,530</w:t>
            </w:r>
          </w:p>
        </w:tc>
      </w:tr>
    </w:tbl>
    <w:p>
      <w:pPr>
        <w:pStyle w:val="TextBody"/>
        <w:bidi w:val="0"/>
        <w:spacing w:lineRule="auto" w:line="280" w:before="0" w:after="0"/>
        <w:ind w:left="0" w:right="0" w:hanging="0"/>
        <w:jc w:val="both"/>
        <w:rPr/>
      </w:pPr>
      <w:r>
        <w:rPr/>
        <w:t>​</w:t>
      </w:r>
    </w:p>
    <w:p>
      <w:pPr>
        <w:pStyle w:val="TextBody"/>
        <w:bidi w:val="0"/>
        <w:spacing w:lineRule="auto" w:line="280" w:before="0" w:after="0"/>
        <w:ind w:left="0" w:right="0" w:firstLine="547"/>
        <w:jc w:val="both"/>
        <w:rPr/>
      </w:pPr>
      <w:r>
        <w:rPr/>
        <w:t>​</w:t>
      </w:r>
    </w:p>
    <w:p>
      <w:pPr>
        <w:pStyle w:val="TextBody"/>
        <w:bidi w:val="0"/>
        <w:spacing w:before="0" w:after="120"/>
        <w:ind w:left="0" w:right="0" w:firstLine="547"/>
        <w:jc w:val="left"/>
        <w:rPr>
          <w:rFonts w:ascii="Times New Roman;Times;serif" w:hAnsi="Times New Roman;Times;serif"/>
          <w:sz w:val="20"/>
        </w:rPr>
      </w:pPr>
      <w:r>
        <w:rPr>
          <w:rFonts w:ascii="Times New Roman;Times;serif" w:hAnsi="Times New Roman;Times;serif"/>
          <w:sz w:val="20"/>
        </w:rPr>
        <w:t>Capital expenditures of each segment as of December 31, 2025, 2024, and 2023 are as follows (in thousands):</w:t>
      </w:r>
    </w:p>
    <w:tbl>
      <w:tblPr>
        <w:tblW w:w="8563" w:type="dxa"/>
        <w:jc w:val="left"/>
        <w:tblInd w:w="0" w:type="dxa"/>
        <w:tblLayout w:type="fixed"/>
        <w:tblCellMar>
          <w:top w:w="0" w:type="dxa"/>
          <w:left w:w="0" w:type="dxa"/>
          <w:bottom w:w="0" w:type="dxa"/>
          <w:right w:w="0" w:type="dxa"/>
        </w:tblCellMar>
      </w:tblPr>
      <w:tblGrid>
        <w:gridCol w:w="3016"/>
        <w:gridCol w:w="109"/>
        <w:gridCol w:w="366"/>
        <w:gridCol w:w="1359"/>
        <w:gridCol w:w="109"/>
        <w:gridCol w:w="366"/>
        <w:gridCol w:w="1359"/>
        <w:gridCol w:w="109"/>
        <w:gridCol w:w="340"/>
        <w:gridCol w:w="1430"/>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56"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32410" cy="175260"/>
                      <wp:effectExtent l="0" t="0" r="0" b="0"/>
                      <wp:wrapNone/>
                      <wp:docPr id="557" name="Frame556"/>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862965" cy="175260"/>
                      <wp:effectExtent l="0" t="0" r="0" b="0"/>
                      <wp:wrapNone/>
                      <wp:docPr id="558" name="Frame557"/>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32410" cy="175260"/>
                      <wp:effectExtent l="0" t="0" r="0" b="0"/>
                      <wp:wrapNone/>
                      <wp:docPr id="560" name="Frame55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862965" cy="175260"/>
                      <wp:effectExtent l="0" t="0" r="0" b="0"/>
                      <wp:wrapNone/>
                      <wp:docPr id="561" name="Frame560"/>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9215" cy="175260"/>
                      <wp:effectExtent l="0" t="0" r="0" b="0"/>
                      <wp:wrapNone/>
                      <wp:docPr id="562" name="Frame5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5900" cy="175260"/>
                      <wp:effectExtent l="0" t="0" r="0" b="0"/>
                      <wp:wrapNone/>
                      <wp:docPr id="563" name="Frame56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908050" cy="175260"/>
                      <wp:effectExtent l="0" t="0" r="0" b="0"/>
                      <wp:wrapNone/>
                      <wp:docPr id="564" name="Frame563"/>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160,189</w:t>
            </w:r>
          </w:p>
        </w:tc>
        <w:tc>
          <w:tcPr>
            <w:tcW w:w="10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241,859</w:t>
            </w:r>
          </w:p>
        </w:tc>
        <w:tc>
          <w:tcPr>
            <w:tcW w:w="10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102,688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center"/>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14,339</w:t>
            </w:r>
          </w:p>
        </w:tc>
        <w:tc>
          <w:tcPr>
            <w:tcW w:w="10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63,930</w:t>
            </w:r>
          </w:p>
        </w:tc>
        <w:tc>
          <w:tcPr>
            <w:tcW w:w="109" w:type="dxa"/>
            <w:tcBorders/>
            <w:shd w:fill="CCEEFF" w:val="clear"/>
            <w:vAlign w:val="center"/>
          </w:tcPr>
          <w:p>
            <w:pPr>
              <w:pStyle w:val="TableContents"/>
              <w:bidi w:val="0"/>
              <w:spacing w:before="0" w:after="0"/>
              <w:ind w:left="0" w:right="0" w:hanging="0"/>
              <w:jc w:val="right"/>
              <w:rPr/>
            </w:pPr>
            <w:r>
              <w:rPr/>
              <w:t>​</w:t>
            </w:r>
          </w:p>
        </w:tc>
        <w:tc>
          <w:tcPr>
            <w:tcW w:w="340" w:type="dxa"/>
            <w:tcBorders/>
            <w:shd w:fill="CCEEFF" w:val="clear"/>
            <w:vAlign w:val="center"/>
          </w:tcPr>
          <w:p>
            <w:pPr>
              <w:pStyle w:val="TableContents"/>
              <w:bidi w:val="0"/>
              <w:spacing w:before="0" w:after="0"/>
              <w:ind w:left="0" w:right="0" w:hanging="0"/>
              <w:jc w:val="center"/>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righ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righ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174,566</w:t>
            </w:r>
          </w:p>
        </w:tc>
        <w:tc>
          <w:tcPr>
            <w:tcW w:w="109" w:type="dxa"/>
            <w:tcBorders/>
            <w:shd w:fill="CCEEFF" w:val="clear"/>
            <w:vAlign w:val="center"/>
          </w:tcPr>
          <w:p>
            <w:pPr>
              <w:pStyle w:val="TableContents"/>
              <w:bidi w:val="0"/>
              <w:spacing w:before="0" w:after="0"/>
              <w:ind w:left="0" w:right="0" w:hanging="0"/>
              <w:jc w:val="righ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305,828</w:t>
            </w:r>
          </w:p>
        </w:tc>
        <w:tc>
          <w:tcPr>
            <w:tcW w:w="109" w:type="dxa"/>
            <w:tcBorders/>
            <w:shd w:fill="CCEEFF" w:val="clear"/>
            <w:vAlign w:val="center"/>
          </w:tcPr>
          <w:p>
            <w:pPr>
              <w:pStyle w:val="TableContents"/>
              <w:bidi w:val="0"/>
              <w:spacing w:before="0" w:after="0"/>
              <w:ind w:left="0" w:right="0" w:hanging="0"/>
              <w:jc w:val="righ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135,818</w:t>
            </w:r>
          </w:p>
        </w:tc>
      </w:tr>
    </w:tbl>
    <w:p>
      <w:pPr>
        <w:pStyle w:val="TextBody"/>
        <w:bidi w:val="0"/>
        <w:spacing w:lineRule="auto" w:line="280" w:before="0" w:after="0"/>
        <w:ind w:left="0" w:right="0" w:firstLine="547"/>
        <w:jc w:val="both"/>
        <w:rPr/>
      </w:pPr>
      <w:r>
        <w:rPr/>
        <w:t>​</w:t>
      </w:r>
    </w:p>
    <w:p>
      <w:pPr>
        <w:pStyle w:val="TextBody"/>
        <w:bidi w:val="0"/>
        <w:spacing w:lineRule="auto" w:line="280" w:before="0" w:after="0"/>
        <w:ind w:left="0" w:right="0" w:firstLine="54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0" w:before="0" w:after="0"/>
        <w:ind w:left="0" w:right="0" w:firstLine="547"/>
        <w:jc w:val="both"/>
        <w:rPr>
          <w:rFonts w:ascii="Times New Roman;Times;serif" w:hAnsi="Times New Roman;Times;serif"/>
          <w:sz w:val="20"/>
        </w:rPr>
      </w:pPr>
      <w:bookmarkStart w:id="2090" w:name="Tc_b8Tvkfn0T0Cx4gKEsd1c9g_9_5"/>
      <w:bookmarkStart w:id="2091" w:name="Tc_LkmME_pxhkK9nFS_SkHqwA_9_2"/>
      <w:bookmarkStart w:id="2092" w:name="Tc_MMd7OlYyhEShPS-jg-Sw9Q_9_0"/>
      <w:bookmarkStart w:id="2093" w:name="Tc_u0twoIPjWkadbRHmgVqjqg_8_0"/>
      <w:bookmarkStart w:id="2094" w:name="Tc_Ru1KxRUl1USRAlT4lmhS1Q_7_0"/>
      <w:bookmarkStart w:id="2095" w:name="Tc_dqpEXsxvlEW428zhBVgVPQ_6_0"/>
      <w:bookmarkStart w:id="2096" w:name="Tc_GpTA3y5ez0eeDtnB3idZ3g_5_0"/>
      <w:bookmarkStart w:id="2097" w:name="Tc_MmbdFr1jek6FGBtURBKmBQ_4_5"/>
      <w:bookmarkStart w:id="2098" w:name="Tc_DNAMaGFn0UG2OwiiIHub6g_4_2"/>
      <w:bookmarkStart w:id="2099" w:name="Tc_PmkKITngI0W-Md2WjTdXcA_4_0"/>
      <w:bookmarkStart w:id="2100" w:name="Tc_wtTp8Mmx_kixC5QhLrmRiQ_3_0"/>
      <w:bookmarkStart w:id="2101" w:name="Tc_ZfAG4B9MZk-9vyTU0P8pzg_2_5"/>
      <w:bookmarkStart w:id="2102" w:name="Tc_GXVKKJ2S3EqxuPpzjxHrHQ_2_2"/>
      <w:bookmarkStart w:id="2103" w:name="Tc_v6qhSZ1Uz0aCHCTgE5tlyw_1_2"/>
      <w:bookmarkStart w:id="2104" w:name="_71959021_7f30_4f96_bea2_5e813c77b373"/>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r>
        <w:rPr>
          <w:rFonts w:ascii="Times New Roman;Times;serif" w:hAnsi="Times New Roman;Times;serif"/>
          <w:sz w:val="20"/>
        </w:rPr>
        <w:t xml:space="preserve">Identifiable assets of each segment as of December 31, 2025 and 2024 are as follows (in thousands): </w:t>
      </w:r>
    </w:p>
    <w:p>
      <w:pPr>
        <w:pStyle w:val="TextBody"/>
        <w:bidi w:val="0"/>
        <w:spacing w:lineRule="auto" w:line="280" w:before="0" w:after="0"/>
        <w:ind w:left="0" w:right="0" w:firstLine="547"/>
        <w:jc w:val="both"/>
        <w:rPr/>
      </w:pPr>
      <w:r>
        <w:rPr/>
        <w:t>​</w:t>
      </w:r>
    </w:p>
    <w:tbl>
      <w:tblPr>
        <w:tblW w:w="7203" w:type="dxa"/>
        <w:jc w:val="left"/>
        <w:tblInd w:w="0" w:type="dxa"/>
        <w:tblLayout w:type="fixed"/>
        <w:tblCellMar>
          <w:top w:w="0" w:type="dxa"/>
          <w:left w:w="0" w:type="dxa"/>
          <w:bottom w:w="0" w:type="dxa"/>
          <w:right w:w="0" w:type="dxa"/>
        </w:tblCellMar>
      </w:tblPr>
      <w:tblGrid>
        <w:gridCol w:w="3016"/>
        <w:gridCol w:w="346"/>
        <w:gridCol w:w="317"/>
        <w:gridCol w:w="1408"/>
        <w:gridCol w:w="346"/>
        <w:gridCol w:w="298"/>
        <w:gridCol w:w="1472"/>
      </w:tblGrid>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5"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1295" cy="175260"/>
                      <wp:effectExtent l="0" t="0" r="0" b="0"/>
                      <wp:wrapNone/>
                      <wp:docPr id="566" name="Frame56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894080" cy="175260"/>
                      <wp:effectExtent l="0" t="0" r="0" b="0"/>
                      <wp:wrapNone/>
                      <wp:docPr id="567" name="Frame566"/>
                      <a:graphic xmlns:a="http://schemas.openxmlformats.org/drawingml/2006/main">
                        <a:graphicData uri="http://schemas.microsoft.com/office/word/2010/wordprocessingShape">
                          <wps:wsp>
                            <wps:cNvSpPr txBox="1"/>
                            <wps:spPr>
                              <a:xfrm>
                                <a:off x="0" y="0"/>
                                <a:ext cx="894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8"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89230" cy="175260"/>
                      <wp:effectExtent l="0" t="0" r="0" b="0"/>
                      <wp:wrapNone/>
                      <wp:docPr id="569" name="Frame568"/>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934720" cy="175260"/>
                      <wp:effectExtent l="0" t="0" r="0" b="0"/>
                      <wp:wrapNone/>
                      <wp:docPr id="570" name="Frame569"/>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8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1,102,631</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1,039,466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4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118,129</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114,107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40,222</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1,263,902</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lineRule="auto" w:line="280" w:before="0" w:after="0"/>
        <w:ind w:left="0" w:right="0" w:firstLine="547"/>
        <w:jc w:val="both"/>
        <w:rPr/>
      </w:pPr>
      <w:r>
        <w:rPr/>
        <w:t>​</w:t>
      </w:r>
    </w:p>
    <w:p>
      <w:pPr>
        <w:pStyle w:val="TextBody"/>
        <w:bidi w:val="0"/>
        <w:spacing w:lineRule="auto" w:line="271" w:before="0" w:after="0"/>
        <w:ind w:left="0" w:right="0" w:firstLine="547"/>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Real Estate Operations includes the identifiable assets of certain real estate operations receivables as well as Subsurface Interests and mitigation credits. Corporate and other assets consist primarily of cash and restricted cash, property, plant, and equipment related to the other operations, as well as the general and corporate operations.</w:t>
      </w:r>
    </w:p>
    <w:p>
      <w:pPr>
        <w:pStyle w:val="TextBody"/>
        <w:bidi w:val="0"/>
        <w:spacing w:lineRule="auto" w:line="271" w:before="0" w:after="0"/>
        <w:ind w:left="0" w:right="0" w:firstLine="547"/>
        <w:jc w:val="both"/>
        <w:rPr/>
      </w:pPr>
      <w:r>
        <w:rPr/>
        <w:t>​</w:t>
      </w:r>
    </w:p>
    <w:p>
      <w:pPr>
        <w:pStyle w:val="TextBody"/>
        <w:bidi w:val="0"/>
        <w:spacing w:lineRule="auto" w:line="271" w:before="0" w:after="0"/>
        <w:ind w:left="0" w:right="0" w:firstLine="547"/>
        <w:jc w:val="both"/>
        <w:rPr>
          <w:rFonts w:ascii="Times New Roman;Times;serif" w:hAnsi="Times New Roman;Times;serif"/>
          <w:sz w:val="20"/>
        </w:rPr>
      </w:pPr>
      <w:r>
        <w:rPr>
          <w:rFonts w:ascii="Times New Roman;Times;serif" w:hAnsi="Times New Roman;Times;serif"/>
          <w:sz w:val="20"/>
        </w:rPr>
        <w:t>The Management Services and Real Estate Operations segments had no capital expenditures during the years ended December 31, 2025, 2024 or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24.     SUBSEQUENT EVENTS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February 19, 2026, the date the consolidated financial statements were issued. There were no reportable subsequent events or transactions. </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05" w:name="Tc_OLwtfJwdbEuLp1M2dHmC8g_26_15"/>
      <w:bookmarkStart w:id="2106" w:name="Tc_1ckMhfRApU-cowBa2ca-UA_26_14"/>
      <w:bookmarkStart w:id="2107" w:name="Tc_okWeKbz0DUW21-98_5I-2g_26_11"/>
      <w:bookmarkStart w:id="2108" w:name="Tc_mAzjARRYdUW6Ld2kh5sBUg_26_8"/>
      <w:bookmarkStart w:id="2109" w:name="Tc_qhRavcrFc0eLCAmM_x7Dlg_26_5"/>
      <w:bookmarkStart w:id="2110" w:name="Tc_NYjaJtgbfEKYskaASdS50w_26_2"/>
      <w:bookmarkStart w:id="2111" w:name="Tc_IVVAoNmhZU6rNvAmDyD2CA_25_15"/>
      <w:bookmarkStart w:id="2112" w:name="Tc_Injda3pkrEyUCuNe0DWpeg_25_12"/>
      <w:bookmarkStart w:id="2113" w:name="Tc_CXiok9ZaEkq28qB6LFkjHg_25_3"/>
      <w:bookmarkStart w:id="2114" w:name="Tc_Vuw2aZ7Zlkie3DHEkiYAtw_25_0"/>
      <w:bookmarkStart w:id="2115" w:name="Tc_G1TquLQk1kCoI26rzLyldA_24_15"/>
      <w:bookmarkStart w:id="2116" w:name="Tc_54i1bDQgRE29SQgJOBhubg_24_3"/>
      <w:bookmarkStart w:id="2117" w:name="Tc_rP4vFGnGQU-bt8RB6l4lHg_24_0"/>
      <w:bookmarkStart w:id="2118" w:name="Tc_BPnaxvAcI0aNSWvZSPVSqQ_23_15"/>
      <w:bookmarkStart w:id="2119" w:name="Tc_JBryBeZFyE-ITEpAVOFmBw_23_12"/>
      <w:bookmarkStart w:id="2120" w:name="Tc_R2lUaeNGD0uuIS7aBaGMDw_23_3"/>
      <w:bookmarkStart w:id="2121" w:name="Tc_ucOacupJ_EugqbOG7OZp8Q_23_0"/>
      <w:bookmarkStart w:id="2122" w:name="Tc_ooFksFWG-EeZNxIcBr1-8A_22_15"/>
      <w:bookmarkStart w:id="2123" w:name="Tc_0snZoIRQ-UOKZOOQ-zewSA_22_12"/>
      <w:bookmarkStart w:id="2124" w:name="Tc_GU-LJ0i2LUydW4BUuxjhxw_22_3"/>
      <w:bookmarkStart w:id="2125" w:name="Tc_bHxAAHr6gkGHAC0ceQCxww_22_0"/>
      <w:bookmarkStart w:id="2126" w:name="Tc_jgJ7umXaZUOfJNjHiUc8NA_21_15"/>
      <w:bookmarkStart w:id="2127" w:name="Tc_NGywppRdQkWCas6RGETxDg_21_12"/>
      <w:bookmarkStart w:id="2128" w:name="Tc_sckvm-isrE2P1gegmr-SZg_21_3"/>
      <w:bookmarkStart w:id="2129" w:name="Tc_QPyPWCC5J0upAEgWhu-nlg_21_0"/>
      <w:bookmarkStart w:id="2130" w:name="Tc_tRJcgQWEyEedXzuGSVh9SA_20_15"/>
      <w:bookmarkStart w:id="2131" w:name="Tc_fJtGRYD_Z0aNr-zqoaSjTQ_20_3"/>
      <w:bookmarkStart w:id="2132" w:name="Tc_1wAIuICZkU-ZCm9-QTDgTw_20_0"/>
      <w:bookmarkStart w:id="2133" w:name="Tc_2BRD2N5c60SwqcsLDd7gxQ_19_15"/>
      <w:bookmarkStart w:id="2134" w:name="Tc_AuV8jQiy9EenFZQRHNeMRQ_19_3"/>
      <w:bookmarkStart w:id="2135" w:name="Tc_AQZaZBdCbUWcP38Nr34ujQ_19_0"/>
      <w:bookmarkStart w:id="2136" w:name="Tc_3ALShLLhc0q47sz-LuvbPw_18_15"/>
      <w:bookmarkStart w:id="2137" w:name="Tc_Oi9l4DOYt0ic3nPkmROrJQ_18_3"/>
      <w:bookmarkStart w:id="2138" w:name="Tc_398WF9qlSUOYjGhDT-GGUA_18_0"/>
      <w:bookmarkStart w:id="2139" w:name="Tc_VbGT3tAYok2d8cOFa1WJMA_17_15"/>
      <w:bookmarkStart w:id="2140" w:name="Tc_jrJ-cO8ZGE28YAKvQ5Q0gA_17_3"/>
      <w:bookmarkStart w:id="2141" w:name="Tc_n0vmEy1gJUmSO52LsSMdnQ_17_0"/>
      <w:bookmarkStart w:id="2142" w:name="Tc_Ez672CxslkWguGAW7LEiZg_16_15"/>
      <w:bookmarkStart w:id="2143" w:name="Tc_JFxp-wESuEeSAieim1USrA_16_3"/>
      <w:bookmarkStart w:id="2144" w:name="Tc_gbeG0fV4b0C4CcCZRi_IYg_16_0"/>
      <w:bookmarkStart w:id="2145" w:name="Tc_9zoN59gaP0uCgHZEsPOtnw_15_15"/>
      <w:bookmarkStart w:id="2146" w:name="Tc_wzDQxW3W80uSiL66Rtwm7w_15_3"/>
      <w:bookmarkStart w:id="2147" w:name="Tc_o0YuDx-WKkq9vB-SdtDoTQ_15_0"/>
      <w:bookmarkStart w:id="2148" w:name="Tc_2p9RnRCoTEmkOMX0zydIRw_14_15"/>
      <w:bookmarkStart w:id="2149" w:name="Tc_ZRctHLypHECgsrNwq6HNkQ_14_0"/>
      <w:bookmarkStart w:id="2150" w:name="Tc_I2ysnLDnMESxkFzoEN3Atg_13_15"/>
      <w:bookmarkStart w:id="2151" w:name="Tc_ssgWWLtraUGYTySBs-uycQ_13_3"/>
      <w:bookmarkStart w:id="2152" w:name="Tc_yaAqFQgZOkCjAvlSN1-Peg_13_0"/>
      <w:bookmarkStart w:id="2153" w:name="Tc_12TFI0kfbkSGiw6TlTZ48w_12_15"/>
      <w:bookmarkStart w:id="2154" w:name="Tc_x29bpb8kkkaoPZud5Ww9PA_12_3"/>
      <w:bookmarkStart w:id="2155" w:name="Tc_JvO77uifQkenjSVr3Yj8gQ_12_0"/>
      <w:bookmarkStart w:id="2156" w:name="Tc_zCBdNCgbdUGk2z4hr-W_aQ_11_15"/>
      <w:bookmarkStart w:id="2157" w:name="Tc_8Vmv_iAPo0aOhGnZ1nrhSg_11_3"/>
      <w:bookmarkStart w:id="2158" w:name="Tc_o00pidAfZ0C_9Jv42NA_PA_11_0"/>
      <w:bookmarkStart w:id="2159" w:name="Tc_pYHKnXaAjUy3LIxMdrFi_Q_10_15"/>
      <w:bookmarkStart w:id="2160" w:name="Tc_9yMMWgb4zk-2vECslJHPUA_10_3"/>
      <w:bookmarkStart w:id="2161" w:name="Tc_yR9H_6dFbE-QG3OYaSO6aA_10_0"/>
      <w:bookmarkStart w:id="2162" w:name="Tc_kaG-7Ad0Ekmr7c0xfPu-Dw_9_15"/>
      <w:bookmarkStart w:id="2163" w:name="Tc_NJmWl66Fl0u5-3I1YOqw6w_9_3"/>
      <w:bookmarkStart w:id="2164" w:name="Tc_WLhDlDyYjk6uXFWc2l1NJg_9_0"/>
      <w:bookmarkStart w:id="2165" w:name="Tc_o4turklO3kWke6AUXHQ7yw_8_15"/>
      <w:bookmarkStart w:id="2166" w:name="Tc_xggFRNG6fUuZL2NKMQQUeg_8_3"/>
      <w:bookmarkStart w:id="2167" w:name="Tc_mZ27lkpH1Eq5rKEaxtPYag_8_0"/>
      <w:bookmarkStart w:id="2168" w:name="Tc_Ff9lHL32pEynX7cS33v4iQ_7_15"/>
      <w:bookmarkStart w:id="2169" w:name="Tc_11zvpoDvz02GhU7aU8D6oQ_7_3"/>
      <w:bookmarkStart w:id="2170" w:name="Tc_U_sJa6FuQUaEM2tMR26_DA_7_0"/>
      <w:bookmarkStart w:id="2171" w:name="Tc_vcWpe_pqH0ajSfkVS446Yg_6_15"/>
      <w:bookmarkStart w:id="2172" w:name="Tc_3odmfvnMo0Chi_rPe2DUSQ_6_3"/>
      <w:bookmarkStart w:id="2173" w:name="Tc_sRZ1wtWjnkC7FrSQM1EfFA_6_0"/>
      <w:bookmarkStart w:id="2174" w:name="Tc_MpCpfu5uTk6kp9n7MwMhAQ_5_15"/>
      <w:bookmarkStart w:id="2175" w:name="Tc_jPKkRPnnjEy-KtE54xaE1Q_5_3"/>
      <w:bookmarkStart w:id="2176" w:name="Tc_u6mYnOIEYkKagEoXAmPJDQ_5_0"/>
      <w:bookmarkStart w:id="2177" w:name="Tc_DY11jbffckymuWDOxpwFpg_4_0"/>
      <w:bookmarkStart w:id="2178" w:name="Tc_elnUTEBVz0GZ0jJQZDtMqw_3_14"/>
      <w:bookmarkStart w:id="2179" w:name="Tc_ZZBpb1hxNE2c7pvS1uRvwg_3_11"/>
      <w:bookmarkStart w:id="2180" w:name="Tc_bW1eDHOdA0CmMCOU_JNZOg_3_8"/>
      <w:bookmarkStart w:id="2181" w:name="Tc_K_O-M1nAy0aWp1tpolIR0g_3_5"/>
      <w:bookmarkStart w:id="2182" w:name="Tc_Xcghyiu-cEmmD_pUAFxb7Q_3_2"/>
      <w:bookmarkStart w:id="2183" w:name="Tc_tM5h7fMrakepsaBziuH-qw_3_0"/>
      <w:bookmarkStart w:id="2184" w:name="Tc_9qqN-WYhq0GO9V32OHL4ig_2_11"/>
      <w:bookmarkStart w:id="2185" w:name="Tc_92oH0XHdvkWjIUzSbu2zXw_2_5"/>
      <w:bookmarkStart w:id="2186" w:name="Tc_ZnO4BcF67kGs4BWQnwSN_Q_1_11"/>
      <w:bookmarkStart w:id="2187" w:name="_bb0732d6_3bc6_4705_afa8_b7c13630b07b"/>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r>
        <w:rPr>
          <w:rFonts w:ascii="Times New Roman;Times;serif" w:hAnsi="Times New Roman;Times;serif"/>
          <w:b/>
          <w:sz w:val="20"/>
        </w:rPr>
        <w:t>SCHEDULE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REAL ESTATE AND ACCUMULATED DEPRECIATION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YEAR ENDED DECEMBER 31, 2025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975"/>
        <w:gridCol w:w="109"/>
        <w:gridCol w:w="317"/>
        <w:gridCol w:w="972"/>
        <w:gridCol w:w="109"/>
        <w:gridCol w:w="206"/>
        <w:gridCol w:w="726"/>
        <w:gridCol w:w="114"/>
        <w:gridCol w:w="432"/>
        <w:gridCol w:w="1534"/>
        <w:gridCol w:w="109"/>
        <w:gridCol w:w="309"/>
        <w:gridCol w:w="950"/>
        <w:gridCol w:w="139"/>
        <w:gridCol w:w="371"/>
        <w:gridCol w:w="833"/>
      </w:tblGrid>
      <w:tr>
        <w:trPr/>
        <w:tc>
          <w:tcPr>
            <w:tcW w:w="29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1295" cy="175260"/>
                      <wp:effectExtent l="0" t="0" r="0" b="0"/>
                      <wp:wrapNone/>
                      <wp:docPr id="571" name="Frame57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17220" cy="175260"/>
                      <wp:effectExtent l="0" t="0" r="0" b="0"/>
                      <wp:wrapNone/>
                      <wp:docPr id="572" name="Frame571"/>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9215" cy="175260"/>
                      <wp:effectExtent l="0" t="0" r="0" b="0"/>
                      <wp:wrapNone/>
                      <wp:docPr id="573"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0810" cy="175260"/>
                      <wp:effectExtent l="0" t="0" r="0" b="0"/>
                      <wp:wrapNone/>
                      <wp:docPr id="574" name="Frame57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61010" cy="175260"/>
                      <wp:effectExtent l="0" t="0" r="0" b="0"/>
                      <wp:wrapNone/>
                      <wp:docPr id="575" name="Frame57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2390" cy="175260"/>
                      <wp:effectExtent l="0" t="0" r="0" b="0"/>
                      <wp:wrapNone/>
                      <wp:docPr id="576" name="Frame575"/>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74320" cy="175260"/>
                      <wp:effectExtent l="0" t="0" r="0" b="0"/>
                      <wp:wrapNone/>
                      <wp:docPr id="577" name="Frame57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974090" cy="175260"/>
                      <wp:effectExtent l="0" t="0" r="0" b="0"/>
                      <wp:wrapNone/>
                      <wp:docPr id="578" name="Frame577"/>
                      <a:graphic xmlns:a="http://schemas.openxmlformats.org/drawingml/2006/main">
                        <a:graphicData uri="http://schemas.microsoft.com/office/word/2010/wordprocessingShape">
                          <wps:wsp>
                            <wps:cNvSpPr txBox="1"/>
                            <wps:spPr>
                              <a:xfrm>
                                <a:off x="0" y="0"/>
                                <a:ext cx="974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79"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96215" cy="175260"/>
                      <wp:effectExtent l="0" t="0" r="0" b="0"/>
                      <wp:wrapNone/>
                      <wp:docPr id="580" name="Frame57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03250" cy="175260"/>
                      <wp:effectExtent l="0" t="0" r="0" b="0"/>
                      <wp:wrapNone/>
                      <wp:docPr id="581" name="Frame580"/>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88265" cy="175260"/>
                      <wp:effectExtent l="0" t="0" r="0" b="0"/>
                      <wp:wrapNone/>
                      <wp:docPr id="582" name="Frame581"/>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35585" cy="175260"/>
                      <wp:effectExtent l="0" t="0" r="0" b="0"/>
                      <wp:wrapNone/>
                      <wp:docPr id="583" name="Frame58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28955" cy="175260"/>
                      <wp:effectExtent l="0" t="0" r="0" b="0"/>
                      <wp:wrapNone/>
                      <wp:docPr id="584" name="Frame58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114" w:type="dxa"/>
            <w:tcBorders/>
            <w:vAlign w:val="center"/>
          </w:tcPr>
          <w:p>
            <w:pPr>
              <w:pStyle w:val="TableContents"/>
              <w:bidi w:val="0"/>
              <w:spacing w:before="0" w:after="0"/>
              <w:ind w:left="0" w:right="0" w:hanging="0"/>
              <w:jc w:val="center"/>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2"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Costs Capitalized</w:t>
            </w:r>
          </w:p>
        </w:tc>
      </w:tr>
      <w:tr>
        <w:trPr/>
        <w:tc>
          <w:tcPr>
            <w:tcW w:w="297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Initial Cost to Company</w:t>
            </w:r>
          </w:p>
        </w:tc>
        <w:tc>
          <w:tcPr>
            <w:tcW w:w="109" w:type="dxa"/>
            <w:tcBorders/>
            <w:vAlign w:val="center"/>
          </w:tcPr>
          <w:p>
            <w:pPr>
              <w:pStyle w:val="TableContents"/>
              <w:bidi w:val="0"/>
              <w:spacing w:before="0" w:after="0"/>
              <w:ind w:left="0" w:right="0" w:hanging="0"/>
              <w:jc w:val="center"/>
              <w:rPr/>
            </w:pPr>
            <w:r>
              <w:rPr/>
              <w:t>​</w:t>
            </w:r>
          </w:p>
        </w:tc>
        <w:tc>
          <w:tcPr>
            <w:tcW w:w="26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Subsequent to Acquisition </w:t>
            </w:r>
          </w:p>
        </w:tc>
      </w:tr>
      <w:tr>
        <w:trPr/>
        <w:tc>
          <w:tcPr>
            <w:tcW w:w="29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Description</w:t>
            </w:r>
          </w:p>
        </w:tc>
        <w:tc>
          <w:tcPr>
            <w:tcW w:w="109" w:type="dxa"/>
            <w:tcBorders/>
            <w:vAlign w:val="center"/>
          </w:tcPr>
          <w:p>
            <w:pPr>
              <w:pStyle w:val="TableContents"/>
              <w:bidi w:val="0"/>
              <w:spacing w:before="0" w:after="0"/>
              <w:ind w:left="0" w:right="0" w:hanging="0"/>
              <w:jc w:val="left"/>
              <w:rPr/>
            </w:pPr>
            <w:r>
              <w:rPr/>
              <w:t>​</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Encumbrances </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Land </w:t>
            </w:r>
          </w:p>
        </w:tc>
        <w:tc>
          <w:tcPr>
            <w:tcW w:w="114" w:type="dxa"/>
            <w:tcBorders/>
            <w:vAlign w:val="center"/>
          </w:tcPr>
          <w:p>
            <w:pPr>
              <w:pStyle w:val="TableContents"/>
              <w:bidi w:val="0"/>
              <w:spacing w:before="0" w:after="0"/>
              <w:ind w:left="0" w:right="0" w:hanging="0"/>
              <w:jc w:val="center"/>
              <w:rPr/>
            </w:pPr>
            <w:r>
              <w:rPr/>
              <w:t>​</w:t>
            </w:r>
          </w:p>
        </w:tc>
        <w:tc>
          <w:tcPr>
            <w:tcW w:w="1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Buildings &amp; Improvements </w:t>
            </w:r>
          </w:p>
        </w:tc>
        <w:tc>
          <w:tcPr>
            <w:tcW w:w="109"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Improvements </w:t>
            </w:r>
          </w:p>
        </w:tc>
        <w:tc>
          <w:tcPr>
            <w:tcW w:w="139" w:type="dxa"/>
            <w:tcBorders/>
            <w:vAlign w:val="center"/>
          </w:tcPr>
          <w:p>
            <w:pPr>
              <w:pStyle w:val="TableContents"/>
              <w:bidi w:val="0"/>
              <w:spacing w:before="0" w:after="0"/>
              <w:ind w:left="0" w:right="0" w:hanging="0"/>
              <w:jc w:val="center"/>
              <w:rPr/>
            </w:pPr>
            <w:r>
              <w:rPr/>
              <w:t>​</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Carrying Costs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Crabby's Oceanside, Daytona Beach, FL</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5,836</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4,249</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LandShark Bar &amp; Grill, Daytona Beach, FL</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5,836</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4,577</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5401 Watson Dr. SE, Albuquerque, NM</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5,739</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29,537</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Strand at St. Johns Town Center, Jacksonville, FL</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12,551</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36,431</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Crossroads Towne Center, Chandler, AZ</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5,842</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38,881</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Ashford Lane,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37,717</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33,422</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32,039</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Beaver Creek Crossings, Apex, NC</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21,391</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39,194</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5,362</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369 N. New York Ave., Winter Park, FL</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8,537</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6,023</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Exchange at Gwinnett, Buford, GA</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6,980</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38,100</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Price Plaza, Katy, TX</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17,800</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15,633</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17,978</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Madison Yards, Atlanta, GA</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19,780</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47,938</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West Broad Village, Glen Allen, VA</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13,650</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65,829</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4,087</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Collection at Forsyth, Cummings, GA</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13,156</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75,286</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5,619</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Plaza at Rockwall, Rockwall, TX</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14,793</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42,391</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2,738</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Marketplace at Seminole Towne Center, Sanford, FL</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12,555</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50,336</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Carolina Pavilion, Charlotte, NC</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18,666</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64,106</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Lake Brandon Village, Brandon, FL</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4,426</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9,718</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Millenia Crossing, Orlando, FL </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4,971</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18,957</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Granada Plaza, Dunedin, FL </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4,010</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11,921</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Ashley Park, Newnan, GA</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26,004</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40,964</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29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Pompano Citi Centre, Pompano Beach, FL </w:t>
            </w:r>
          </w:p>
        </w:tc>
        <w:tc>
          <w:tcPr>
            <w:tcW w:w="109"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30,939</w:t>
            </w:r>
          </w:p>
        </w:tc>
        <w:tc>
          <w:tcPr>
            <w:tcW w:w="114" w:type="dxa"/>
            <w:tcBorders/>
            <w:vAlign w:val="center"/>
          </w:tcPr>
          <w:p>
            <w:pPr>
              <w:pStyle w:val="TableContents"/>
              <w:bidi w:val="0"/>
              <w:spacing w:before="0" w:after="0"/>
              <w:ind w:left="0" w:right="0" w:hanging="0"/>
              <w:jc w:val="righ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32,369</w:t>
            </w:r>
          </w:p>
        </w:tc>
        <w:tc>
          <w:tcPr>
            <w:tcW w:w="109" w:type="dxa"/>
            <w:tcBorders/>
            <w:vAlign w:val="center"/>
          </w:tcPr>
          <w:p>
            <w:pPr>
              <w:pStyle w:val="TableContents"/>
              <w:bidi w:val="0"/>
              <w:spacing w:before="0" w:after="0"/>
              <w:ind w:left="0" w:right="0" w:hanging="0"/>
              <w:jc w:val="righ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9" w:type="dxa"/>
            <w:tcBorders/>
            <w:vAlign w:val="center"/>
          </w:tcPr>
          <w:p>
            <w:pPr>
              <w:pStyle w:val="TableContents"/>
              <w:bidi w:val="0"/>
              <w:spacing w:before="0" w:after="0"/>
              <w:ind w:left="0" w:right="0" w:hanging="0"/>
              <w:jc w:val="righ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17,800</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289,012</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708,207</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58,164</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4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aggregate cost, net of deferred tax liabilities, of Income Properties, Land, Buildings, and Improvements for Federal income tax purposes at December 31, 2025 is approximately $844.1</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88" w:name="Tc_SyMhqUb1_EuMAy1-8aX0lg_24_11"/>
      <w:bookmarkStart w:id="2189" w:name="Tc_XB3JGkLddUeGB_vKHljmGQ_24_8"/>
      <w:bookmarkStart w:id="2190" w:name="Tc_ElYK1v-LdEeIPfv-FW3kaA_24_5"/>
      <w:bookmarkStart w:id="2191" w:name="Tc_UX6RfYPAD0SdVieXsPKrtQ_24_2"/>
      <w:bookmarkStart w:id="2192" w:name="Tc_7lyYThW1-kaTw3YxFpMRuw_23_18"/>
      <w:bookmarkStart w:id="2193" w:name="Tc_w8HFhuUNmUuNPzjVRAMkpg_23_14"/>
      <w:bookmarkStart w:id="2194" w:name="Tc_yMoFK5mhXkSCJFIbj_3SJA_23_12"/>
      <w:bookmarkStart w:id="2195" w:name="Tc_H7IlK7sBdUqmp8erT3nd9w_23_0"/>
      <w:bookmarkStart w:id="2196" w:name="Tc_4rmbdPh9CkOrukwvMHQniQ_22_18"/>
      <w:bookmarkStart w:id="2197" w:name="Tc_phUW0JdHt0aBUCtPvqleXg_22_14"/>
      <w:bookmarkStart w:id="2198" w:name="Tc_b09k7mPoSE2niwe1gIGFUg_22_0"/>
      <w:bookmarkStart w:id="2199" w:name="Tc_drzSdbopwUuNdXHBvYxOKg_21_18"/>
      <w:bookmarkStart w:id="2200" w:name="Tc_n7ePmkAKHUybi_DKGghymg_21_14"/>
      <w:bookmarkStart w:id="2201" w:name="Tc_YpoIjeN02UG_1Aw2-03HuA_21_0"/>
      <w:bookmarkStart w:id="2202" w:name="Tc_GLtIUxpU1k6-0yfkE-By7w_20_18"/>
      <w:bookmarkStart w:id="2203" w:name="Tc_Ow6IZoldF0GwVM3haxn8Bg_20_14"/>
      <w:bookmarkStart w:id="2204" w:name="Tc_ELkP40flTUaMZN4Ri5o2Wg_20_0"/>
      <w:bookmarkStart w:id="2205" w:name="Tc_ss_5XioMWUmqlbymPI2ctA_19_18"/>
      <w:bookmarkStart w:id="2206" w:name="Tc_1BRLMQ9LuEeXa5WY8nSkmQ_19_14"/>
      <w:bookmarkStart w:id="2207" w:name="Tc_mBfz6RaM1Ei-EewuHW0Txg_19_0"/>
      <w:bookmarkStart w:id="2208" w:name="Tc_xjm7aiZh-E6CkHvDs2cT3Q_18_18"/>
      <w:bookmarkStart w:id="2209" w:name="Tc_rBhRBY2Z_UeN77wGSmQI1A_18_14"/>
      <w:bookmarkStart w:id="2210" w:name="Tc_p_qOn8_cFkK3zZOaBWxUSA_18_0"/>
      <w:bookmarkStart w:id="2211" w:name="Tc_jNe3QEQ7yka4K_mESFe2rg_17_18"/>
      <w:bookmarkStart w:id="2212" w:name="Tc_aPR6FKcNQES_eiynpxpnlQ_17_14"/>
      <w:bookmarkStart w:id="2213" w:name="Tc_hVQ-aNr_EUSYAR_GpCWryw_17_0"/>
      <w:bookmarkStart w:id="2214" w:name="Tc_bsrRcBtNqUSOH5QH6v_sHg_16_18"/>
      <w:bookmarkStart w:id="2215" w:name="Tc_FrlAXcmRjkmYPHtUsrNiOw_16_14"/>
      <w:bookmarkStart w:id="2216" w:name="Tc_7H_x7qcvHUad9ajMMT3Hmg_16_0"/>
      <w:bookmarkStart w:id="2217" w:name="Tc_CmbiHScL_kCwpwOk-pTKEw_15_18"/>
      <w:bookmarkStart w:id="2218" w:name="Tc_V9hU8cHBUkeDHTkFoF1BRg_15_14"/>
      <w:bookmarkStart w:id="2219" w:name="Tc_XNhp0gSqFUOFvFNoT6WQyw_15_0"/>
      <w:bookmarkStart w:id="2220" w:name="Tc_59CLwvcT8UqtAprnqY1Fcg_14_18"/>
      <w:bookmarkStart w:id="2221" w:name="Tc_EI19tezqfEyrUmglclgp9w_14_14"/>
      <w:bookmarkStart w:id="2222" w:name="Tc_fvMS2zUQ4EWSHUaMWx2oEw_14_0"/>
      <w:bookmarkStart w:id="2223" w:name="Tc_sesu3XlRekO2Aw-c6xz_-A_13_18"/>
      <w:bookmarkStart w:id="2224" w:name="Tc_ktQUPw9ibkOIEcqpgKZS3A_13_14"/>
      <w:bookmarkStart w:id="2225" w:name="Tc_R6E4gQD3ckuHq44dTJv5kw_13_0"/>
      <w:bookmarkStart w:id="2226" w:name="Tc_ubjXJRhQYEWoArI2Hi999w_12_18"/>
      <w:bookmarkStart w:id="2227" w:name="Tc_v1YKHeJhfEq17iNq-fdcfg_12_14"/>
      <w:bookmarkStart w:id="2228" w:name="Tc_AGCJTRFkWE-_s0vOIXvvjg_12_0"/>
      <w:bookmarkStart w:id="2229" w:name="Tc_ljLF3kySfUq7wHANm1OSiA_11_18"/>
      <w:bookmarkStart w:id="2230" w:name="Tc_I4VPtgNc106-fEqiHFjnkw_11_14"/>
      <w:bookmarkStart w:id="2231" w:name="Tc_CVUPIqZ5oUSyQ3iVyRYDww_11_0"/>
      <w:bookmarkStart w:id="2232" w:name="Tc_c4EhkO3uwkia9mTQwpS94g_10_18"/>
      <w:bookmarkStart w:id="2233" w:name="Tc_PXpBJvTzNkW_MVp92SxmrQ_10_14"/>
      <w:bookmarkStart w:id="2234" w:name="Tc_fV0-aOjGBkKDUVxSegxcGw_10_0"/>
      <w:bookmarkStart w:id="2235" w:name="Tc_FMi28l5Iu0Cdp6yZsPSlUQ_9_18"/>
      <w:bookmarkStart w:id="2236" w:name="Tc_2duBd1sSqkyLWnv11M_EaA_9_14"/>
      <w:bookmarkStart w:id="2237" w:name="Tc_jppXCfG1UkWG4uFuRozV5A_9_0"/>
      <w:bookmarkStart w:id="2238" w:name="Tc_gsDN2zrcBUCsbh2P6qm-4g_8_18"/>
      <w:bookmarkStart w:id="2239" w:name="Tc_SZJ6ThYrQkiOoywwMC9leA_8_14"/>
      <w:bookmarkStart w:id="2240" w:name="Tc_Jh9MHNBYsU618XAA7Y466A_8_0"/>
      <w:bookmarkStart w:id="2241" w:name="Tc_Ao5oY16fqkSmbo_7edASxg_7_18"/>
      <w:bookmarkStart w:id="2242" w:name="Tc_3it4JFVP_USigfNnAgg_QQ_7_14"/>
      <w:bookmarkStart w:id="2243" w:name="Tc_NjO8435PyUqSN0OBg22j7A_7_0"/>
      <w:bookmarkStart w:id="2244" w:name="Tc_sbt-zYn8y0eoqZfaR7sUVQ_6_18"/>
      <w:bookmarkStart w:id="2245" w:name="Tc_ZI-woNcEP0OidVNVPLYRCg_6_14"/>
      <w:bookmarkStart w:id="2246" w:name="Tc_p1hRr5I_xUSwuxRQHliAVg_6_0"/>
      <w:bookmarkStart w:id="2247" w:name="Tc_iT6GVIZKBkSeZwP8ATqoaA_5_18"/>
      <w:bookmarkStart w:id="2248" w:name="Tc_NGqqmh_Bo0mL1F5k3FgPAw_5_14"/>
      <w:bookmarkStart w:id="2249" w:name="Tc_Tqk0pm9q-ESifedBd4T2ig_5_0"/>
      <w:bookmarkStart w:id="2250" w:name="Tc_t5L_6x9nuUOeJVon36bnog_4_18"/>
      <w:bookmarkStart w:id="2251" w:name="Tc_DVh-kXDoRkCe4ipu86jHOg_4_16"/>
      <w:bookmarkStart w:id="2252" w:name="Tc_ejZHIGbZT02Y2zLxveHA3g_4_0"/>
      <w:bookmarkStart w:id="2253" w:name="Tc_7p59seRz9EK3ay50beAFvg_3_18"/>
      <w:bookmarkStart w:id="2254" w:name="Tc_vqfD2ZKnJECqqCB0MEQzMQ_3_16"/>
      <w:bookmarkStart w:id="2255" w:name="Tc_Yv4tiU3KzU-XYVwvCqCDAQ_3_0"/>
      <w:bookmarkStart w:id="2256" w:name="Tc_vAwrrZLUD06pufPuz6BCeg_2_0"/>
      <w:bookmarkStart w:id="2257" w:name="Tc_awcRV9wGZkGH2VBej_c5_A_1_18"/>
      <w:bookmarkStart w:id="2258" w:name="Tc_tCDpVgZqDEWBMIEztUixsg_1_16"/>
      <w:bookmarkStart w:id="2259" w:name="Tc_RLegMT-FDEu8iEsbrrHOOw_1_14"/>
      <w:bookmarkStart w:id="2260" w:name="Tc_zUebaVQFI0-q24P_4EGnaw_1_11"/>
      <w:bookmarkStart w:id="2261" w:name="Tc_MoptCH4JOEeqdTSqHR74kw_1_8"/>
      <w:bookmarkStart w:id="2262" w:name="Tc_8PltkeNgBk2bydIcHfADMg_1_5"/>
      <w:bookmarkStart w:id="2263" w:name="Tc_OuQhWWj8O0Ke7vopoUYw7Q_1_2"/>
      <w:bookmarkStart w:id="2264" w:name="_f60652fe_6a3b_4656_ba25_d142d19d5f2e"/>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r>
        <w:rPr>
          <w:rFonts w:ascii="Times New Roman;Times;serif" w:hAnsi="Times New Roman;Times;serif"/>
          <w:b/>
          <w:sz w:val="20"/>
        </w:rPr>
        <w:t>Gross Amount at Which</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Carried at Close of Period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478"/>
        <w:gridCol w:w="109"/>
        <w:gridCol w:w="196"/>
        <w:gridCol w:w="691"/>
        <w:gridCol w:w="109"/>
        <w:gridCol w:w="317"/>
        <w:gridCol w:w="1125"/>
        <w:gridCol w:w="109"/>
        <w:gridCol w:w="196"/>
        <w:gridCol w:w="826"/>
        <w:gridCol w:w="109"/>
        <w:gridCol w:w="271"/>
        <w:gridCol w:w="956"/>
        <w:gridCol w:w="346"/>
        <w:gridCol w:w="1347"/>
        <w:gridCol w:w="346"/>
        <w:gridCol w:w="841"/>
        <w:gridCol w:w="346"/>
        <w:gridCol w:w="487"/>
      </w:tblGrid>
      <w:tr>
        <w:trPr/>
        <w:tc>
          <w:tcPr>
            <w:tcW w:w="1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24460" cy="175260"/>
                      <wp:effectExtent l="0" t="0" r="0" b="0"/>
                      <wp:wrapNone/>
                      <wp:docPr id="585" name="Frame5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38785" cy="175260"/>
                      <wp:effectExtent l="0" t="0" r="0" b="0"/>
                      <wp:wrapNone/>
                      <wp:docPr id="586" name="Frame5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1295" cy="175260"/>
                      <wp:effectExtent l="0" t="0" r="0" b="0"/>
                      <wp:wrapNone/>
                      <wp:docPr id="588" name="Frame58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24460" cy="175260"/>
                      <wp:effectExtent l="0" t="0" r="0" b="0"/>
                      <wp:wrapNone/>
                      <wp:docPr id="589" name="Frame5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72085" cy="175260"/>
                      <wp:effectExtent l="0" t="0" r="0" b="0"/>
                      <wp:wrapNone/>
                      <wp:docPr id="590" name="Frame58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1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Land</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left"/>
              <w:rPr/>
            </w:pPr>
            <w:r>
              <w:rPr/>
              <w:t>​</w:t>
            </w:r>
          </w:p>
        </w:tc>
        <w:tc>
          <w:tcPr>
            <w:tcW w:w="14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Buildings</w:t>
            </w:r>
            <w:r>
              <w:rPr>
                <w:rFonts w:ascii="Times New Roman;Times;serif" w:hAnsi="Times New Roman;Times;serif"/>
                <w:sz w:val="16"/>
              </w:rPr>
              <w:t xml:space="preserve"> </w:t>
            </w:r>
            <w:r>
              <w:rPr>
                <w:rFonts w:ascii="Times New Roman;Times;serif" w:hAnsi="Times New Roman;Times;serif"/>
                <w:b/>
                <w:sz w:val="16"/>
              </w:rPr>
              <w:t>&amp; Improvements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center"/>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Accumulated Depreciation</w:t>
            </w:r>
            <w:r>
              <w:rPr>
                <w:rFonts w:ascii="Times New Roman;Times;serif" w:hAnsi="Times New Roman;Times;serif"/>
                <w:sz w:val="16"/>
              </w:rPr>
              <w:t xml:space="preserve"> </w:t>
            </w:r>
          </w:p>
        </w:tc>
        <w:tc>
          <w:tcPr>
            <w:tcW w:w="346" w:type="dxa"/>
            <w:tcBorders/>
            <w:vAlign w:val="center"/>
          </w:tcPr>
          <w:p>
            <w:pPr>
              <w:pStyle w:val="TableContents"/>
              <w:bidi w:val="0"/>
              <w:spacing w:before="0" w:after="0"/>
              <w:ind w:left="0" w:right="0" w:hanging="0"/>
              <w:jc w:val="left"/>
              <w:rPr/>
            </w:pPr>
            <w:r>
              <w:rPr/>
              <w:t>  ​ ​ ​</w:t>
            </w:r>
          </w:p>
        </w:tc>
        <w:tc>
          <w:tcPr>
            <w:tcW w:w="1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of Completion of Construction</w:t>
            </w:r>
            <w:r>
              <w:rPr>
                <w:rFonts w:ascii="Times New Roman;Times;serif" w:hAnsi="Times New Roman;Times;serif"/>
                <w:sz w:val="16"/>
              </w:rPr>
              <w:t xml:space="preserve"> </w:t>
            </w:r>
          </w:p>
        </w:tc>
        <w:tc>
          <w:tcPr>
            <w:tcW w:w="346" w:type="dxa"/>
            <w:tcBorders/>
            <w:vAlign w:val="center"/>
          </w:tcPr>
          <w:p>
            <w:pPr>
              <w:pStyle w:val="TableContents"/>
              <w:bidi w:val="0"/>
              <w:spacing w:before="0" w:after="0"/>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Acquired</w:t>
            </w:r>
            <w:r>
              <w:rPr>
                <w:rFonts w:ascii="Times New Roman;Times;serif" w:hAnsi="Times New Roman;Times;serif"/>
                <w:sz w:val="16"/>
              </w:rPr>
              <w:t xml:space="preserve"> </w:t>
            </w:r>
          </w:p>
        </w:tc>
        <w:tc>
          <w:tcPr>
            <w:tcW w:w="346" w:type="dxa"/>
            <w:tcBorders/>
            <w:vAlign w:val="center"/>
          </w:tcPr>
          <w:p>
            <w:pPr>
              <w:pStyle w:val="TableContents"/>
              <w:bidi w:val="0"/>
              <w:spacing w:before="0" w:after="0"/>
              <w:ind w:left="0" w:right="0" w:hanging="0"/>
              <w:jc w:val="left"/>
              <w:rPr/>
            </w:pPr>
            <w:r>
              <w:rPr/>
              <w:t>  ​ ​ ​</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xml:space="preserve"> </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left"/>
              <w:rPr/>
            </w:pPr>
            <w:r>
              <w:rPr/>
              <w:t>​</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Crabby's Oceanside, Daytona Beach,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10,345</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01/25/18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LandShark Bar &amp; Grill, Daytona Beach, FL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10,423</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01/25/18</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5401 Watson Dr. SE, Albuquerque, 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5,739</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29,549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35,288</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8,152</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10/4/2018</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Strand at St. Johns Town Center, Jacksonville, FL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50,480</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8,767</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12/9/2019</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48</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Crossroads Towne Center, Chandler, AZ</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44,907</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7,754</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1/24/2020</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Ashford Lane,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37,717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103,176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15,018</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3/18/2020</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36</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Beaver Creek Crossings, Apex, NC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21,391</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44,556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65,947</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7,896</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12/2/2021</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369 N. New York Ave., Winter Park, FL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16,102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12/20/2021</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Exchange at Gwinnett, Buford, GA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6,980</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38,185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45,165</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4,309</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12/30/2021</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Price Plaza, Katy, TX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15,633</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34,738</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4,218</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3/3/2022</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25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Madison Yards, Atlanta, GA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19,780</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68,466</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7/8/2022</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42</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West Broad Village, Glen Allen, VA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13,650</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83,566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9,263</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10/14/2022</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Collection at Forsyth, Cummings, GA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13,156</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80,905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94,061</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12,258</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12/29/2022</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31</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Plaza at Rockwall, Rockwall, TX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14,793</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59,922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5,242</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6/9/2023</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Marketplace at Seminole Towne Center, Sanford,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12,555</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50,922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63,477</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3,026</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3/20/2024</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Carolina Pavilion, Charlotte, NC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18,666</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84,371</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5,944</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8/20/2024</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25</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Lake Brandon Village, Brandon,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4,426</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14,144</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8/20/2024</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20</w:t>
            </w:r>
            <w:r>
              <w:rPr>
                <w:rFonts w:ascii="Times New Roman;Times;serif" w:hAnsi="Times New Roman;Times;serif"/>
                <w:sz w:val="20"/>
              </w:rPr>
              <w:t xml:space="preserve"> </w:t>
            </w:r>
            <w:r>
              <w:rPr>
                <w:rFonts w:ascii="Times New Roman;Times;serif" w:hAnsi="Times New Roman;Times;serif"/>
                <w:sz w:val="16"/>
              </w:rPr>
              <w:t xml:space="preserve">Yrs. </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Millenia Crossing, Orlando, FL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23,928</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8/20/2024</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Granada Plaza, Dunedin, FL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4,010</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15,931</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12/16/2024</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35</w:t>
            </w:r>
            <w:r>
              <w:rPr>
                <w:rFonts w:ascii="Times New Roman;Times;serif" w:hAnsi="Times New Roman;Times;serif"/>
                <w:sz w:val="20"/>
              </w:rPr>
              <w:t xml:space="preserve"> </w:t>
            </w:r>
            <w:r>
              <w:rPr>
                <w:rFonts w:ascii="Times New Roman;Times;serif" w:hAnsi="Times New Roman;Times;serif"/>
                <w:sz w:val="16"/>
              </w:rPr>
              <w:t xml:space="preserve">Yrs. </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Ashley Park, Newnan,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26,004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67,638</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3/3/2025</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31</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Pompano Citi Centre, Pompano Beach, FL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30,939</w:t>
            </w:r>
          </w:p>
        </w:tc>
        <w:tc>
          <w:tcPr>
            <w:tcW w:w="109"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32,369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63,308</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12/17/2025</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4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289,012</w:t>
            </w:r>
          </w:p>
        </w:tc>
        <w:tc>
          <w:tcPr>
            <w:tcW w:w="109" w:type="dxa"/>
            <w:tcBorders/>
            <w:shd w:fill="CCEEFF" w:val="clear"/>
            <w:vAlign w:val="center"/>
          </w:tcPr>
          <w:p>
            <w:pPr>
              <w:pStyle w:val="TableContents"/>
              <w:bidi w:val="0"/>
              <w:spacing w:before="0" w:after="0"/>
              <w:ind w:left="0" w:right="0" w:hanging="0"/>
              <w:jc w:val="righ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766,371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1,055,383</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107,268</w:t>
            </w:r>
          </w:p>
        </w:tc>
        <w:tc>
          <w:tcPr>
            <w:tcW w:w="346" w:type="dxa"/>
            <w:tcBorders/>
            <w:shd w:fill="CCEEFF" w:val="clear"/>
            <w:vAlign w:val="center"/>
          </w:tcPr>
          <w:p>
            <w:pPr>
              <w:pStyle w:val="TableContents"/>
              <w:bidi w:val="0"/>
              <w:spacing w:before="0" w:after="0"/>
              <w:ind w:left="0" w:right="0" w:hanging="0"/>
              <w:jc w:val="left"/>
              <w:rPr/>
            </w:pPr>
            <w:r>
              <w:rPr/>
              <w:t>​</w:t>
            </w:r>
          </w:p>
        </w:tc>
        <w:tc>
          <w:tcPr>
            <w:tcW w:w="13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65" w:name="Tc_oB4hpkYiLkqgl3r6Npt7dw_18_5"/>
      <w:bookmarkStart w:id="2266" w:name="Tc_H9DzmYiBdE2ohr9psPwLSQ_18_2"/>
      <w:bookmarkStart w:id="2267" w:name="Tc_a2YfaMb7rUe2OaRAhQ2XKA_18_0"/>
      <w:bookmarkStart w:id="2268" w:name="Tc_4_BSB7b9P0iK5QyngTrjkw_17_6"/>
      <w:bookmarkStart w:id="2269" w:name="Tc_9US-zlqFXUGeXAI8hbktRA_17_3"/>
      <w:bookmarkStart w:id="2270" w:name="Tc_jlqFfxI2wkCpb-trYmy-Pw_17_0"/>
      <w:bookmarkStart w:id="2271" w:name="Tc_iJwYhOkWxUudLIwqHGevUQ_15_5"/>
      <w:bookmarkStart w:id="2272" w:name="Tc_Bf__VVu4AkuxbEwEULwA7A_15_2"/>
      <w:bookmarkStart w:id="2273" w:name="Tc_Wua4dSoFpECKbaNAHMLM1A_15_0"/>
      <w:bookmarkStart w:id="2274" w:name="Tc_UUZW_rZSsE2ldJbOL8AwLw_14_0"/>
      <w:bookmarkStart w:id="2275" w:name="Tc_e_-hNU4ZG0qvZ_TDgetMUA_12_8"/>
      <w:bookmarkStart w:id="2276" w:name="Tc_g1AJL8FG1ESiJPi6nGyNOw_12_5"/>
      <w:bookmarkStart w:id="2277" w:name="Tc_buzioU01ZECVwriNWrDQZQ_12_2"/>
      <w:bookmarkStart w:id="2278" w:name="Tc_a4LSyP7xj0WzenHvGLglUg_12_0"/>
      <w:bookmarkStart w:id="2279" w:name="Tc_7_-DW7x-L0GSbOSUSSq24Q_11_0"/>
      <w:bookmarkStart w:id="2280" w:name="Tc_zuyivwcbhECygGhOx1I1ng_10_0"/>
      <w:bookmarkStart w:id="2281" w:name="Tc_QmkYRGhw-06tq4bmLsgtHA_9_0"/>
      <w:bookmarkStart w:id="2282" w:name="Tc__XHoiBTWy0iczjXUk5y0gw_8_0"/>
      <w:bookmarkStart w:id="2283" w:name="Tc_oF575bABg0qymoqKfXnxRw_6_8"/>
      <w:bookmarkStart w:id="2284" w:name="Tc_gaFn50-ltEekUWRj7i6cAA_6_5"/>
      <w:bookmarkStart w:id="2285" w:name="Tc_aJMaFumurUWTHPL1WfIHmQ_6_2"/>
      <w:bookmarkStart w:id="2286" w:name="Tc_Gu1O6hHGxEGqGpzvgA5Ung_6_0"/>
      <w:bookmarkStart w:id="2287" w:name="Tc_UsYntGorCUmOgVrFjrHOqA_5_0"/>
      <w:bookmarkStart w:id="2288" w:name="Tc_YeQ7hn9wDEimf2F0WVsqxw_4_0"/>
      <w:bookmarkStart w:id="2289" w:name="Tc_BWb3I7wBpUCiorvFKet40A_3_8"/>
      <w:bookmarkStart w:id="2290" w:name="Tc_F4OGM1FppEe_8nBRt0f06A_3_5"/>
      <w:bookmarkStart w:id="2291" w:name="Tc_cV-QrQuZTUyh2hjLMVAN-A_3_2"/>
      <w:bookmarkStart w:id="2292" w:name="Tc_-3rUnQtb8kiEgGjsrs-Y7A_3_0"/>
      <w:bookmarkStart w:id="2293" w:name="Tc_ozbL34fSDUWSYf8EqVdc1A_2_0"/>
      <w:bookmarkStart w:id="2294" w:name="Tc_7NwKj72-C0azV6zTpu4FGg_1_8"/>
      <w:bookmarkStart w:id="2295" w:name="Tc_85A1YkCVJUCJWJBf4CQ_gA_1_5"/>
      <w:bookmarkStart w:id="2296" w:name="Tc_4OSNWHzhP0ObWKg_k3lYDg_1_2"/>
      <w:bookmarkStart w:id="2297" w:name="_f5741186_2d50_41bf_82ab_0814e2a7c8f5"/>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r>
        <w:rPr>
          <w:rFonts w:ascii="Times New Roman;Times;serif" w:hAnsi="Times New Roman;Times;serif"/>
          <w:b/>
          <w:sz w:val="20"/>
        </w:rPr>
        <w:t>REAL ESTATE AND ACCUMULATED DEPRECIATION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color w:val="FF0000"/>
        </w:rPr>
      </w:pPr>
      <w:r>
        <w:rPr>
          <w:color w:val="FF0000"/>
        </w:rPr>
        <w:t>​</w:t>
      </w:r>
    </w:p>
    <w:tbl>
      <w:tblPr>
        <w:tblW w:w="9289" w:type="dxa"/>
        <w:jc w:val="left"/>
        <w:tblInd w:w="0" w:type="dxa"/>
        <w:tblLayout w:type="fixed"/>
        <w:tblCellMar>
          <w:top w:w="0" w:type="dxa"/>
          <w:left w:w="0" w:type="dxa"/>
          <w:bottom w:w="0" w:type="dxa"/>
          <w:right w:w="0" w:type="dxa"/>
        </w:tblCellMar>
      </w:tblPr>
      <w:tblGrid>
        <w:gridCol w:w="5761"/>
        <w:gridCol w:w="109"/>
        <w:gridCol w:w="211"/>
        <w:gridCol w:w="931"/>
        <w:gridCol w:w="109"/>
        <w:gridCol w:w="211"/>
        <w:gridCol w:w="796"/>
        <w:gridCol w:w="109"/>
        <w:gridCol w:w="211"/>
        <w:gridCol w:w="841"/>
      </w:tblGrid>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Beginning of Year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978,228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Additions and Improvements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227,843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97,772</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Sold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(68,477)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(80,110)</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End of Year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978,228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Beginning of Year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35,512</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25,664</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on Real Estate Sold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(9,751)</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End of Year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107,268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51,425</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Consolidated Balance Sheet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 Land, Buildings, and Improvements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1,055,383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978,228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978,228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Basis of Assets Classified as Held for Sale on Balance Sheet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Per Schedule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978,228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98" w:name="Tc_XK9O35QTw0KZNkV72h3rsA_11_17"/>
      <w:bookmarkStart w:id="2299" w:name="Tc_Ww0oitPPs0S2lZ9bmqoYtg_11_0"/>
      <w:bookmarkStart w:id="2300" w:name="Tc_IXLpVDMaWUuKM84SkR-beA_10_0"/>
      <w:bookmarkStart w:id="2301" w:name="Tc_6h9LqNzxWEKBXLmt8Ua4GQ_9_21"/>
      <w:bookmarkStart w:id="2302" w:name="Tc_FfWrKI6ppkuNYdyPFlQyuA_9_20"/>
      <w:bookmarkStart w:id="2303" w:name="Tc_p6viTiSOCEOfzd3QCY4-lg_9_17"/>
      <w:bookmarkStart w:id="2304" w:name="Tc_SpeNLLSllUKr4dxtGW0l-w_9_14"/>
      <w:bookmarkStart w:id="2305" w:name="Tc_IeTHwR97UEmDm9GHqFqPIw_9_12"/>
      <w:bookmarkStart w:id="2306" w:name="Tc_WW7BhY6trUKU7ZJG4sRbOg_9_11"/>
      <w:bookmarkStart w:id="2307" w:name="Tc_2tZARXfmF0qdd4P6qRdp3g_9_0"/>
      <w:bookmarkStart w:id="2308" w:name="Tc_B830dYybiki6RJ8hydVHFw_7_21"/>
      <w:bookmarkStart w:id="2309" w:name="Tc_2pq7uB69O0a3nnOBD6cg1A_7_12"/>
      <w:bookmarkStart w:id="2310" w:name="Tc_UWrT3oWrQEWZrGt9e84tSQ_7_9"/>
      <w:bookmarkStart w:id="2311" w:name="Tc_A7shqjlkLUiqIPUmNqjKbw_7_6"/>
      <w:bookmarkStart w:id="2312" w:name="Tc_QmvfexSAr0yEZXIqe8NiaA_7_0"/>
      <w:bookmarkStart w:id="2313" w:name="Tc_ZBsl9cHrA0aU-ri9qc0UsA_6_21"/>
      <w:bookmarkStart w:id="2314" w:name="Tc_6nYY0jLtL0eXkwC3OXwNyA_6_12"/>
      <w:bookmarkStart w:id="2315" w:name="Tc_xC99X7WmOk26RNH9La27UQ_6_9"/>
      <w:bookmarkStart w:id="2316" w:name="Tc_El93mB7x2E2E7OWH48reyQ_6_6"/>
      <w:bookmarkStart w:id="2317" w:name="Tc_W0ilydGR_ECN_gZpkIhsEg_6_0"/>
      <w:bookmarkStart w:id="2318" w:name="Tc_2OhA8npv70qw5n2HJyRQOA_5_21"/>
      <w:bookmarkStart w:id="2319" w:name="Tc_EOGNQ6LXdEWy3iEq1YC1uw_5_12"/>
      <w:bookmarkStart w:id="2320" w:name="Tc_xFA0avYtmkCINnRA5fsSFA_5_9"/>
      <w:bookmarkStart w:id="2321" w:name="Tc_u_-McKwQ7kCWE_h-Op3NUg_5_6"/>
      <w:bookmarkStart w:id="2322" w:name="Tc_sVLPxgHA9U-8f-qrF6URmg_5_0"/>
      <w:bookmarkStart w:id="2323" w:name="Tc_KMS0mm_TaEGxflTWhBsRUQ_4_21"/>
      <w:bookmarkStart w:id="2324" w:name="Tc__cJp2ifvcEKrsjuGf6_HJA_4_12"/>
      <w:bookmarkStart w:id="2325" w:name="Tc_VTiWWfBWXkGSQkBnv2UWtA_4_9"/>
      <w:bookmarkStart w:id="2326" w:name="Tc_M4_MXNCtQU6e8_qPvuQ3EQ_4_6"/>
      <w:bookmarkStart w:id="2327" w:name="Tc_Yt3o07k010SYaJjHEJEw3g_4_0"/>
      <w:bookmarkStart w:id="2328" w:name="Tc_z7VD7w6F6EmHj5Qv2ymjtw_3_21"/>
      <w:bookmarkStart w:id="2329" w:name="Tc__n4JdKtuGkqbB5b-aLDKWg_3_12"/>
      <w:bookmarkStart w:id="2330" w:name="Tc_xnBgrtR-jUKBqpl46Ucirg_3_9"/>
      <w:bookmarkStart w:id="2331" w:name="Tc_yhAiPkwfUUulqIotXK-rzQ_3_6"/>
      <w:bookmarkStart w:id="2332" w:name="Tc_3GVihBPHw0Stm4gWA7XNJw_3_0"/>
      <w:bookmarkStart w:id="2333" w:name="Tc_-_0klCWUp0e3D0BHj3SsFw_2_21"/>
      <w:bookmarkStart w:id="2334" w:name="Tc_0De18bhI5kajmsN_ocEKOQ_2_20"/>
      <w:bookmarkStart w:id="2335" w:name="Tc_qX7KvhNppkq62T1XS3s6Zw_2_17"/>
      <w:bookmarkStart w:id="2336" w:name="Tc_46jEWTC6TUiafJqb-c-UEw_2_14"/>
      <w:bookmarkStart w:id="2337" w:name="Tc_NqWs2iWNV0iWU-6q3yUnAA_2_12"/>
      <w:bookmarkStart w:id="2338" w:name="Tc_0qjUIqgj5Ue5weAvvMMZWQ_2_11"/>
      <w:bookmarkStart w:id="2339" w:name="Tc_V-Nxc2GSYkq3PTENGj1ZGg_2_9"/>
      <w:bookmarkStart w:id="2340" w:name="Tc_cBQbjxkzwU-pZOtf9-35pw_2_6"/>
      <w:bookmarkStart w:id="2341" w:name="Tc_dAhnx3bBcUWAi55lRS2FjQ_2_0"/>
      <w:bookmarkStart w:id="2342" w:name="Tc_zx_PxOuxoU6U1JGqLSQOvA_1_20"/>
      <w:bookmarkStart w:id="2343" w:name="Tc_WE8y8y-nRk-BF9ksrZA-YQ_1_17"/>
      <w:bookmarkStart w:id="2344" w:name="Tc_moOQ2gwEQESdnzJ4LFG52g_1_14"/>
      <w:bookmarkStart w:id="2345" w:name="Tc_I2QvKkF2OkOcyy-vGGxSXg_1_11"/>
      <w:bookmarkStart w:id="2346" w:name="Tc_dgFKDV0bOUGZIAP95B80Hw_1_9"/>
      <w:bookmarkStart w:id="2347" w:name="Tc_DOgpDW_BVUehNFJoT9JKog_1_6"/>
      <w:bookmarkStart w:id="2348" w:name="Tc_ftX_2MF2z0-MB3XV_l4AMw_1_3"/>
      <w:bookmarkStart w:id="2349" w:name="Tc_r8SRBobRAEuj3Hwk5FUgGQ_1_0"/>
      <w:bookmarkStart w:id="2350" w:name="_69c0501c_148e_4572_9bef_62cdff21c878"/>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r>
        <w:rPr>
          <w:rFonts w:ascii="Times New Roman;Times;serif" w:hAnsi="Times New Roman;Times;serif"/>
          <w:b/>
          <w:sz w:val="20"/>
        </w:rPr>
        <w:t>SCHEDULE IV</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MORTGAGE LOANS ON REAL ESTATE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color w:val="FF0000"/>
        </w:rPr>
      </w:pPr>
      <w:r>
        <w:rPr>
          <w:color w:val="FF000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was a portfolio of four commercial loan investments and two preferred equity investments which are classified as a commercial loan investments as of December 31, 2025 (in thousands). </w:t>
      </w:r>
    </w:p>
    <w:p>
      <w:pPr>
        <w:pStyle w:val="TextBody"/>
        <w:bidi w:val="0"/>
        <w:spacing w:before="0" w:after="0"/>
        <w:ind w:left="0" w:right="0" w:hanging="0"/>
        <w:jc w:val="left"/>
        <w:rPr/>
      </w:pPr>
      <w:r>
        <w:rPr/>
        <w:t>​</w:t>
      </w:r>
    </w:p>
    <w:tbl>
      <w:tblPr>
        <w:tblW w:w="11575" w:type="dxa"/>
        <w:jc w:val="left"/>
        <w:tblInd w:w="0" w:type="dxa"/>
        <w:tblLayout w:type="fixed"/>
        <w:tblCellMar>
          <w:top w:w="0" w:type="dxa"/>
          <w:left w:w="0" w:type="dxa"/>
          <w:bottom w:w="0" w:type="dxa"/>
          <w:right w:w="0" w:type="dxa"/>
        </w:tblCellMar>
      </w:tblPr>
      <w:tblGrid>
        <w:gridCol w:w="1006"/>
        <w:gridCol w:w="109"/>
        <w:gridCol w:w="346"/>
        <w:gridCol w:w="1111"/>
        <w:gridCol w:w="109"/>
        <w:gridCol w:w="346"/>
        <w:gridCol w:w="1231"/>
        <w:gridCol w:w="109"/>
        <w:gridCol w:w="346"/>
        <w:gridCol w:w="1441"/>
        <w:gridCol w:w="109"/>
        <w:gridCol w:w="196"/>
        <w:gridCol w:w="346"/>
        <w:gridCol w:w="109"/>
        <w:gridCol w:w="252"/>
        <w:gridCol w:w="889"/>
        <w:gridCol w:w="109"/>
        <w:gridCol w:w="348"/>
        <w:gridCol w:w="1228"/>
        <w:gridCol w:w="109"/>
        <w:gridCol w:w="576"/>
        <w:gridCol w:w="1150"/>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38810" cy="175260"/>
                      <wp:effectExtent l="0" t="0" r="0" b="0"/>
                      <wp:wrapNone/>
                      <wp:docPr id="594" name="Frame59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705485" cy="175260"/>
                      <wp:effectExtent l="0" t="0" r="0" b="0"/>
                      <wp:wrapNone/>
                      <wp:docPr id="595" name="Frame59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781685" cy="175260"/>
                      <wp:effectExtent l="0" t="0" r="0" b="0"/>
                      <wp:wrapNone/>
                      <wp:docPr id="596" name="Frame59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64515" cy="175260"/>
                      <wp:effectExtent l="0" t="0" r="0" b="0"/>
                      <wp:wrapNone/>
                      <wp:docPr id="599" name="Frame59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9215" cy="175260"/>
                      <wp:effectExtent l="0" t="0" r="0" b="0"/>
                      <wp:wrapNone/>
                      <wp:docPr id="600"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79780" cy="175260"/>
                      <wp:effectExtent l="0" t="0" r="0" b="0"/>
                      <wp:wrapNone/>
                      <wp:docPr id="601" name="Frame600"/>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602" name="Frame6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730250" cy="175260"/>
                      <wp:effectExtent l="0" t="0" r="0" b="0"/>
                      <wp:wrapNone/>
                      <wp:docPr id="603" name="Frame602"/>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Description</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Interest Rate</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Final Maturity </w:t>
              <w:br/>
              <w:t>Date</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Periodic Payment</w:t>
              <w:br/>
              <w:t>Terms</w:t>
            </w:r>
          </w:p>
        </w:tc>
        <w:tc>
          <w:tcPr>
            <w:tcW w:w="109" w:type="dxa"/>
            <w:tcBorders/>
            <w:vAlign w:val="center"/>
          </w:tcPr>
          <w:p>
            <w:pPr>
              <w:pStyle w:val="TableContents"/>
              <w:bidi w:val="0"/>
              <w:spacing w:before="0" w:after="0"/>
              <w:ind w:left="0" w:right="0" w:hanging="0"/>
              <w:jc w:val="center"/>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Prior</w:t>
              <w:br/>
              <w:t>Liens</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Face Amount</w:t>
              <w:br/>
              <w:t>of Mortgages</w:t>
            </w:r>
          </w:p>
        </w:tc>
        <w:tc>
          <w:tcPr>
            <w:tcW w:w="109" w:type="dxa"/>
            <w:tcBorders/>
            <w:vAlign w:val="center"/>
          </w:tcPr>
          <w:p>
            <w:pPr>
              <w:pStyle w:val="TableContents"/>
              <w:bidi w:val="0"/>
              <w:spacing w:before="0" w:after="0"/>
              <w:ind w:left="0" w:right="0" w:hanging="0"/>
              <w:jc w:val="center"/>
              <w:rPr/>
            </w:pPr>
            <w:r>
              <w:rPr/>
              <w:t>​</w:t>
            </w:r>
          </w:p>
        </w:tc>
        <w:tc>
          <w:tcPr>
            <w:tcW w:w="157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Carrying Amounts</w:t>
              <w:br/>
              <w:t xml:space="preserve">of Mortgages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center"/>
              <w:rPr/>
            </w:pPr>
            <w:r>
              <w:rPr/>
              <w:t>​</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Principal</w:t>
            </w:r>
            <w:r>
              <w:rPr>
                <w:rFonts w:ascii="Times New Roman;Times;serif" w:hAnsi="Times New Roman;Times;serif"/>
                <w:sz w:val="18"/>
              </w:rPr>
              <w:t> </w:t>
            </w:r>
            <w:r>
              <w:rPr>
                <w:rFonts w:ascii="Times New Roman;Times;serif" w:hAnsi="Times New Roman;Times;serif"/>
                <w:b/>
                <w:sz w:val="18"/>
              </w:rPr>
              <w:t>Amount of</w:t>
              <w:br/>
              <w:t>Loans Subject to</w:t>
              <w:br/>
              <w:t>Delinquent</w:t>
              <w:br/>
              <w:t>Principal or Interest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29,980</w:t>
            </w:r>
          </w:p>
        </w:tc>
        <w:tc>
          <w:tcPr>
            <w:tcW w:w="109" w:type="dxa"/>
            <w:tcBorders/>
            <w:shd w:fill="CCEEFF" w:val="clear"/>
            <w:vAlign w:val="center"/>
          </w:tcPr>
          <w:p>
            <w:pPr>
              <w:pStyle w:val="TableContents"/>
              <w:bidi w:val="0"/>
              <w:spacing w:before="0" w:after="0"/>
              <w:ind w:left="0" w:right="0" w:hanging="0"/>
              <w:jc w:val="right"/>
              <w:rPr/>
            </w:pPr>
            <w:r>
              <w:rPr/>
              <w:t>​</w:t>
            </w:r>
          </w:p>
        </w:tc>
        <w:tc>
          <w:tcPr>
            <w:tcW w:w="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 (1)</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14,992</w:t>
            </w:r>
          </w:p>
        </w:tc>
        <w:tc>
          <w:tcPr>
            <w:tcW w:w="109" w:type="dxa"/>
            <w:tcBorders/>
            <w:vAlign w:val="center"/>
          </w:tcPr>
          <w:p>
            <w:pPr>
              <w:pStyle w:val="TableContents"/>
              <w:bidi w:val="0"/>
              <w:spacing w:before="0" w:after="0"/>
              <w:ind w:left="0" w:right="0" w:hanging="0"/>
              <w:jc w:val="right"/>
              <w:rPr/>
            </w:pPr>
            <w:r>
              <w:rPr/>
              <w:t>​</w:t>
            </w:r>
          </w:p>
        </w:tc>
        <w:tc>
          <w:tcPr>
            <w:tcW w:w="576"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9,929</w:t>
            </w:r>
          </w:p>
        </w:tc>
        <w:tc>
          <w:tcPr>
            <w:tcW w:w="109" w:type="dxa"/>
            <w:tcBorders/>
            <w:shd w:fill="CCEEFF" w:val="clear"/>
            <w:vAlign w:val="center"/>
          </w:tcPr>
          <w:p>
            <w:pPr>
              <w:pStyle w:val="TableContents"/>
              <w:bidi w:val="0"/>
              <w:spacing w:before="0" w:after="0"/>
              <w:ind w:left="0" w:right="0" w:hanging="0"/>
              <w:jc w:val="righ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Rivana - Herndon, VA (2)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59,450</w:t>
            </w:r>
          </w:p>
        </w:tc>
        <w:tc>
          <w:tcPr>
            <w:tcW w:w="109"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32,478</w:t>
            </w:r>
          </w:p>
        </w:tc>
        <w:tc>
          <w:tcPr>
            <w:tcW w:w="109" w:type="dxa"/>
            <w:tcBorders/>
            <w:vAlign w:val="center"/>
          </w:tcPr>
          <w:p>
            <w:pPr>
              <w:pStyle w:val="TableContents"/>
              <w:bidi w:val="0"/>
              <w:spacing w:before="0" w:after="0"/>
              <w:ind w:left="0" w:right="0" w:hanging="0"/>
              <w:jc w:val="right"/>
              <w:rPr/>
            </w:pPr>
            <w:r>
              <w:rPr/>
              <w:t>​</w:t>
            </w:r>
          </w:p>
        </w:tc>
        <w:tc>
          <w:tcPr>
            <w:tcW w:w="576"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40,200</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13,588</w:t>
            </w:r>
          </w:p>
        </w:tc>
        <w:tc>
          <w:tcPr>
            <w:tcW w:w="109" w:type="dxa"/>
            <w:tcBorders/>
            <w:shd w:fill="CCEEFF" w:val="clear"/>
            <w:vAlign w:val="center"/>
          </w:tcPr>
          <w:p>
            <w:pPr>
              <w:pStyle w:val="TableContents"/>
              <w:bidi w:val="0"/>
              <w:spacing w:before="0" w:after="0"/>
              <w:ind w:left="0" w:right="0" w:hanging="0"/>
              <w:jc w:val="righ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Mortgage Note - Mainstreet - Daytona Beach, FL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6.50%</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2030</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Monthly Interest Payments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4,977</w:t>
            </w:r>
          </w:p>
        </w:tc>
        <w:tc>
          <w:tcPr>
            <w:tcW w:w="109" w:type="dxa"/>
            <w:tcBorders/>
            <w:vAlign w:val="center"/>
          </w:tcPr>
          <w:p>
            <w:pPr>
              <w:pStyle w:val="TableContents"/>
              <w:bidi w:val="0"/>
              <w:spacing w:before="0" w:after="0"/>
              <w:ind w:left="0" w:right="0" w:hanging="0"/>
              <w:jc w:val="right"/>
              <w:rPr/>
            </w:pPr>
            <w:r>
              <w:rPr/>
              <w:t>​</w:t>
            </w:r>
          </w:p>
        </w:tc>
        <w:tc>
          <w:tcPr>
            <w:tcW w:w="576"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159,650</w:t>
            </w:r>
          </w:p>
        </w:tc>
        <w:tc>
          <w:tcPr>
            <w:tcW w:w="109"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105,944</w:t>
            </w:r>
          </w:p>
        </w:tc>
        <w:tc>
          <w:tcPr>
            <w:tcW w:w="109" w:type="dxa"/>
            <w:tcBorders/>
            <w:vAlign w:val="center"/>
          </w:tcPr>
          <w:p>
            <w:pPr>
              <w:pStyle w:val="TableContents"/>
              <w:bidi w:val="0"/>
              <w:spacing w:before="0" w:after="0"/>
              <w:ind w:left="0" w:right="0" w:hanging="0"/>
              <w:jc w:val="right"/>
              <w:rPr/>
            </w:pPr>
            <w:r>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5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109" w:type="dxa"/>
            <w:tcBorders/>
            <w:shd w:fill="CCEEFF" w:val="clear"/>
            <w:vAlign w:val="center"/>
          </w:tcPr>
          <w:p>
            <w:pPr>
              <w:pStyle w:val="TableContents"/>
              <w:bidi w:val="0"/>
              <w:spacing w:before="0" w:after="0"/>
              <w:ind w:left="0" w:right="0" w:hanging="0"/>
              <w:jc w:val="righ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104,804</w:t>
            </w:r>
          </w:p>
        </w:tc>
        <w:tc>
          <w:tcPr>
            <w:tcW w:w="109" w:type="dxa"/>
            <w:tcBorders/>
            <w:vAlign w:val="center"/>
          </w:tcPr>
          <w:p>
            <w:pPr>
              <w:pStyle w:val="TableContents"/>
              <w:bidi w:val="0"/>
              <w:spacing w:before="0" w:after="0"/>
              <w:ind w:left="0" w:right="0" w:hanging="0"/>
              <w:jc w:val="right"/>
              <w:rPr/>
            </w:pPr>
            <w:r>
              <w:rPr/>
              <w:t>​</w:t>
            </w:r>
          </w:p>
        </w:tc>
        <w:tc>
          <w:tcPr>
            <w:tcW w:w="576"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51" w:name="Tc_RReJwhaffEWW9VpZHgG34A_11_8"/>
      <w:bookmarkStart w:id="2352" w:name="Tc_HzE0AE17oEOczgBxO1melA_11_5"/>
      <w:bookmarkStart w:id="2353" w:name="Tc_FRrGEOKcsUC8FT3KpfspIg_11_2"/>
      <w:bookmarkStart w:id="2354" w:name="Tc_qNS4bjDxHUGb5e_jWICF1g_11_0"/>
      <w:bookmarkStart w:id="2355" w:name="Tc_1JBtSaRic0eY8ksCC8pNLA_10_0"/>
      <w:bookmarkStart w:id="2356" w:name="Tc_QcMKBdPzVUiek7b5BNmjuQ_9_6"/>
      <w:bookmarkStart w:id="2357" w:name="Tc_rhdmW9CsLECdYbojIsADxw_9_3"/>
      <w:bookmarkStart w:id="2358" w:name="Tc_NYlHOMnq4U-679QQLUdrsw_9_0"/>
      <w:bookmarkStart w:id="2359" w:name="Tc_mAcrPgdgLUOp37mgwTnucg_8_0"/>
      <w:bookmarkStart w:id="2360" w:name="Tc__dEzSdlXG02vqmZKNHbvhw_7_0"/>
      <w:bookmarkStart w:id="2361" w:name="Tc_Gi3u0kAqdUWww3rWfX2WSg_6_0"/>
      <w:bookmarkStart w:id="2362" w:name="Tc_x5cfaYm2E0aw9nhtZlx8mA_5_0"/>
      <w:bookmarkStart w:id="2363" w:name="Tc_jDp91sjBOUmGES3I0MxOUg_4_0"/>
      <w:bookmarkStart w:id="2364" w:name="Tc_p7BdSu0CAUuoHT5LQy_kgg_3_0"/>
      <w:bookmarkStart w:id="2365" w:name="Tc_QCK4QGUVJEm8tHLcl0Uj8g_2_8"/>
      <w:bookmarkStart w:id="2366" w:name="Tc_p2OuXyYkqUCUo1HGzUTdFQ_2_5"/>
      <w:bookmarkStart w:id="2367" w:name="Tc_rzpJfpzoBEKqmQgdxYftxA_2_2"/>
      <w:bookmarkStart w:id="2368" w:name="Tc__8fRg-aCU0i3CpRwVTAbSQ_2_0"/>
      <w:bookmarkStart w:id="2369" w:name="Tc_aiPVKST7rkSSShF2aCI7LQ_1_8"/>
      <w:bookmarkStart w:id="2370" w:name="Tc_KZ2Um-kzQkG0coF3maJizA_1_5"/>
      <w:bookmarkStart w:id="2371" w:name="Tc_g7y_0rrw902qcXWLjdhnHA_1_2"/>
      <w:bookmarkStart w:id="2372" w:name="_cc0f313b_4b8f_4a8c_abd4_d051647ea457"/>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r>
        <w:rPr>
          <w:rFonts w:ascii="Times New Roman;Times;serif" w:hAnsi="Times New Roman;Times;serif"/>
          <w:b/>
          <w:sz w:val="20"/>
        </w:rPr>
        <w:t>SCHEDULE IV</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MORTGAGE LOANS ON REAL ESTATE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represents the activity within the Company’s commercial loans and investments segment for the years ended December 31, 2025, 2024, and 2023 (in thousands):</w:t>
      </w:r>
    </w:p>
    <w:p>
      <w:pPr>
        <w:pStyle w:val="TextBody"/>
        <w:bidi w:val="0"/>
        <w:spacing w:before="0" w:after="0"/>
        <w:ind w:left="0" w:right="0" w:hanging="0"/>
        <w:jc w:val="left"/>
        <w:rPr/>
      </w:pPr>
      <w:r>
        <w:rPr/>
        <w:t>​</w:t>
      </w:r>
    </w:p>
    <w:tbl>
      <w:tblPr>
        <w:tblW w:w="6064" w:type="dxa"/>
        <w:jc w:val="left"/>
        <w:tblInd w:w="0" w:type="dxa"/>
        <w:tblLayout w:type="fixed"/>
        <w:tblCellMar>
          <w:top w:w="0" w:type="dxa"/>
          <w:left w:w="0" w:type="dxa"/>
          <w:bottom w:w="0" w:type="dxa"/>
          <w:right w:w="0" w:type="dxa"/>
        </w:tblCellMar>
      </w:tblPr>
      <w:tblGrid>
        <w:gridCol w:w="2731"/>
        <w:gridCol w:w="109"/>
        <w:gridCol w:w="211"/>
        <w:gridCol w:w="796"/>
        <w:gridCol w:w="109"/>
        <w:gridCol w:w="211"/>
        <w:gridCol w:w="796"/>
        <w:gridCol w:w="109"/>
        <w:gridCol w:w="211"/>
        <w:gridCol w:w="781"/>
      </w:tblGrid>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604"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05460" cy="175260"/>
                      <wp:effectExtent l="0" t="0" r="0" b="0"/>
                      <wp:wrapNone/>
                      <wp:docPr id="605" name="Frame6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606"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607"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05460" cy="175260"/>
                      <wp:effectExtent l="0" t="0" r="0" b="0"/>
                      <wp:wrapNone/>
                      <wp:docPr id="608" name="Frame6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609"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10"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95935" cy="175260"/>
                      <wp:effectExtent l="0" t="0" r="0" b="0"/>
                      <wp:wrapNone/>
                      <wp:docPr id="611" name="Frame6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During the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Mortgage Loans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of Origination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7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Accretion of Origination Fees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 During the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of Principal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Foreclosure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61,849</w:t>
            </w:r>
          </w:p>
        </w:tc>
      </w:tr>
    </w:tbl>
    <w:tbl>
      <w:tblPr>
        <w:tblW w:w="3572" w:type="dxa"/>
        <w:jc w:val="left"/>
        <w:tblInd w:w="0" w:type="dxa"/>
        <w:tblLayout w:type="fixed"/>
        <w:tblCellMar>
          <w:top w:w="0" w:type="dxa"/>
          <w:left w:w="0" w:type="dxa"/>
          <w:bottom w:w="0" w:type="dxa"/>
          <w:right w:w="0" w:type="dxa"/>
        </w:tblCellMar>
      </w:tblPr>
      <w:tblGrid>
        <w:gridCol w:w="286"/>
        <w:gridCol w:w="32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3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Non-cash accretion of loan origination fees. </w:t>
            </w:r>
          </w:p>
        </w:tc>
      </w:tr>
    </w:tbl>
    <w:tbl>
      <w:tblPr>
        <w:tblW w:w="9182" w:type="dxa"/>
        <w:jc w:val="left"/>
        <w:tblInd w:w="0" w:type="dxa"/>
        <w:tblLayout w:type="fixed"/>
        <w:tblCellMar>
          <w:top w:w="0" w:type="dxa"/>
          <w:left w:w="0" w:type="dxa"/>
          <w:bottom w:w="0" w:type="dxa"/>
          <w:right w:w="0" w:type="dxa"/>
        </w:tblCellMar>
      </w:tblPr>
      <w:tblGrid>
        <w:gridCol w:w="286"/>
        <w:gridCol w:w="889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8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aggregate carrying amount of mortgages for Federal income tax purposes at December 31, 2025 totaled $108.0</w:t>
            </w:r>
            <w:r>
              <w:rPr>
                <w:caps w:val="false"/>
                <w:smallCaps w:val="false"/>
              </w:rPr>
              <w:t xml:space="preserve"> </w:t>
            </w:r>
            <w:r>
              <w:rPr>
                <w:rFonts w:ascii="Times New Roman;Times;serif" w:hAnsi="Times New Roman;Times;serif"/>
                <w:b w:val="false"/>
                <w:i w:val="false"/>
                <w:caps w:val="false"/>
                <w:smallCaps w:val="false"/>
                <w:sz w:val="18"/>
              </w:rPr>
              <w:t>million.</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0"/>
        <w:ind w:left="0" w:right="0" w:hanging="0"/>
        <w:jc w:val="right"/>
        <w:rPr>
          <w:rFonts w:ascii="Times New Roman;Times;serif" w:hAnsi="Times New Roman;Times;serif"/>
          <w:b/>
          <w:sz w:val="24"/>
        </w:rPr>
      </w:pPr>
      <w:bookmarkStart w:id="2373" w:name="cto-20251231xex10d43.htm"/>
      <w:bookmarkStart w:id="2374" w:name="kscto20251231xex10d43"/>
      <w:bookmarkEnd w:id="2373"/>
      <w:bookmarkEnd w:id="2374"/>
      <w:r>
        <w:rPr>
          <w:rFonts w:ascii="Times New Roman;Times;serif" w:hAnsi="Times New Roman;Times;serif"/>
          <w:b/>
          <w:sz w:val="24"/>
        </w:rPr>
        <w:t>Exhibit 10.43</w:t>
      </w:r>
      <w:r>
        <w:br w:type="page"/>
      </w:r>
    </w:p>
    <w:p>
      <w:pPr>
        <w:pStyle w:val="TextBody"/>
        <w:bidi w:val="0"/>
        <w:spacing w:before="0" w:after="0"/>
        <w:ind w:left="0" w:right="0" w:hanging="0"/>
        <w:jc w:val="center"/>
        <w:rPr>
          <w:rFonts w:ascii="Times New Roman;Times;serif" w:hAnsi="Times New Roman;Times;serif"/>
          <w:b/>
          <w:sz w:val="24"/>
        </w:rPr>
      </w:pPr>
      <w:bookmarkStart w:id="2375" w:name="_dxtcompanion_actionscomplete"/>
      <w:bookmarkEnd w:id="2375"/>
      <w:r>
        <w:rPr>
          <w:rFonts w:ascii="Times New Roman;Times;serif" w:hAnsi="Times New Roman;Times;serif"/>
          <w:b/>
          <w:sz w:val="24"/>
        </w:rPr>
        <w:t>ALPINE INCOME PROPERTY MANAGER, LLC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369 N. New York Avenue, Suite 201</w:t>
      </w:r>
    </w:p>
    <w:p>
      <w:pPr>
        <w:pStyle w:val="TextBody"/>
        <w:bidi w:val="0"/>
        <w:spacing w:before="0" w:after="480"/>
        <w:ind w:left="0" w:right="0" w:hanging="0"/>
        <w:jc w:val="center"/>
        <w:rPr>
          <w:rFonts w:ascii="Times New Roman;Times;serif" w:hAnsi="Times New Roman;Times;serif"/>
          <w:b/>
          <w:sz w:val="24"/>
        </w:rPr>
      </w:pPr>
      <w:r>
        <w:rPr>
          <w:rFonts w:ascii="Times New Roman;Times;serif" w:hAnsi="Times New Roman;Times;serif"/>
          <w:b/>
          <w:sz w:val="24"/>
        </w:rPr>
        <w:t>Winter Park, Florida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December 5, 2025</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w:t>
        <w:br/>
        <w:t>369 N. New York Avenue, Suite 201</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Winter Park, Florida</w:t>
        <w:br/>
        <w:t xml:space="preserve">Attn: Independent Directors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Re:</w:t>
      </w:r>
      <w:r>
        <w:rPr>
          <w:rFonts w:ascii="Times New Roman;Times;serif" w:hAnsi="Times New Roman;Times;serif"/>
          <w:sz w:val="24"/>
        </w:rPr>
        <w:t xml:space="preserve">Management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Reference is made to that certain Management Agreement, dated November 26, 2019, and as amended on July 18, 2024 (as amended, the “</w:t>
      </w:r>
      <w:r>
        <w:rPr>
          <w:rFonts w:ascii="Times New Roman;Times;serif" w:hAnsi="Times New Roman;Times;serif"/>
          <w:sz w:val="24"/>
          <w:u w:val="single"/>
        </w:rPr>
        <w:t>Management Agreement</w:t>
      </w:r>
      <w:r>
        <w:rPr>
          <w:rFonts w:ascii="Times New Roman;Times;serif" w:hAnsi="Times New Roman;Times;serif"/>
          <w:sz w:val="24"/>
        </w:rPr>
        <w:t>”), among Alpine Income Property Trust, Inc. (the “</w:t>
      </w:r>
      <w:r>
        <w:rPr>
          <w:rFonts w:ascii="Times New Roman;Times;serif" w:hAnsi="Times New Roman;Times;serif"/>
          <w:sz w:val="24"/>
          <w:u w:val="single"/>
        </w:rPr>
        <w:t>Company</w:t>
      </w:r>
      <w:r>
        <w:rPr>
          <w:rFonts w:ascii="Times New Roman;Times;serif" w:hAnsi="Times New Roman;Times;serif"/>
          <w:sz w:val="24"/>
        </w:rPr>
        <w:t>”), Alpine Income Property OP, LP (the “</w:t>
      </w:r>
      <w:r>
        <w:rPr>
          <w:rFonts w:ascii="Times New Roman;Times;serif" w:hAnsi="Times New Roman;Times;serif"/>
          <w:sz w:val="24"/>
          <w:u w:val="single"/>
        </w:rPr>
        <w:t>Operating Partnership</w:t>
      </w:r>
      <w:r>
        <w:rPr>
          <w:rFonts w:ascii="Times New Roman;Times;serif" w:hAnsi="Times New Roman;Times;serif"/>
          <w:sz w:val="24"/>
        </w:rPr>
        <w:t>”) and Alpine Income Property Manager, LLC (the “</w:t>
      </w:r>
      <w:r>
        <w:rPr>
          <w:rFonts w:ascii="Times New Roman;Times;serif" w:hAnsi="Times New Roman;Times;serif"/>
          <w:sz w:val="24"/>
          <w:u w:val="single"/>
        </w:rPr>
        <w:t>Manager</w:t>
      </w:r>
      <w:r>
        <w:rPr>
          <w:rFonts w:ascii="Times New Roman;Times;serif" w:hAnsi="Times New Roman;Times;serif"/>
          <w:sz w:val="24"/>
        </w:rPr>
        <w:t>”). Capitalized terms used but not defined herein shall have the respective meanings ascribed to such terms in the Management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the Operating Partnership and the Manager have proposed to enter into separate equity distribution agreements with each of Raymond James &amp; Associates, Inc., A.G.P./Alliance Global Partners, Robert W. Baird &amp; Co. Incorporated, B. Riley Securities, Inc., Colliers Securities LLC, Jefferies LLC, JonesTrading Institutional Services LLC, Lucid Capital Markets, LLC, Stifel, Nicolaus &amp; Company, Incorporated and Truist Securities, Inc., pursuant to which the Company may issue and sell from time to time (the “</w:t>
      </w:r>
      <w:r>
        <w:rPr>
          <w:rFonts w:ascii="Times New Roman;Times;serif" w:hAnsi="Times New Roman;Times;serif"/>
          <w:sz w:val="24"/>
          <w:u w:val="single"/>
        </w:rPr>
        <w:t>Offering</w:t>
      </w:r>
      <w:r>
        <w:rPr>
          <w:rFonts w:ascii="Times New Roman;Times;serif" w:hAnsi="Times New Roman;Times;serif"/>
          <w:sz w:val="24"/>
        </w:rPr>
        <w:t>”) shares of 8.00% Series A Cumulative Redeemable Preferred Stock, having an aggregate gross sales price of up to $35,000,000 (the “</w:t>
      </w:r>
      <w:r>
        <w:rPr>
          <w:rFonts w:ascii="Times New Roman;Times;serif" w:hAnsi="Times New Roman;Times;serif"/>
          <w:sz w:val="24"/>
          <w:u w:val="single"/>
        </w:rPr>
        <w:t>Preferred Shares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Manager wishes to confirm certain matters, more fully set forth below, with respect to a partial waiver of the Base Management Fee attributable to the inclusion of the net cash proceeds from the issuance of the Preferred Shares in the Company’s Total Equity.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Management Fee</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In connection with the Offering, the Manager shall waive </w:t>
      </w:r>
      <w:bookmarkStart w:id="2376" w:name="_Hlk213324765"/>
      <w:bookmarkEnd w:id="2376"/>
      <w:r>
        <w:rPr>
          <w:rFonts w:ascii="Times New Roman;Times;serif" w:hAnsi="Times New Roman;Times;serif"/>
          <w:sz w:val="24"/>
        </w:rPr>
        <w:t>a portion of the Base Management Fee attributable to the inclusion of the net cash proceeds from the issuance of the Preferred Shares sold in the Offering in Total Equity (the “</w:t>
      </w:r>
      <w:r>
        <w:rPr>
          <w:rFonts w:ascii="Times New Roman;Times;serif" w:hAnsi="Times New Roman;Times;serif"/>
          <w:sz w:val="24"/>
          <w:u w:val="single"/>
        </w:rPr>
        <w:t>Incremental Equity Base</w:t>
      </w:r>
      <w:r>
        <w:rPr>
          <w:rFonts w:ascii="Times New Roman;Times;serif" w:hAnsi="Times New Roman;Times;serif"/>
          <w:sz w:val="24"/>
        </w:rPr>
        <w:t xml:space="preserve">”), such that the Base Management Fee rate on the Incremental Equity Base will equal </w:t>
      </w:r>
      <w:bookmarkStart w:id="2377" w:name="_Hlk212105083"/>
      <w:bookmarkEnd w:id="2377"/>
      <w:r>
        <w:rPr>
          <w:rFonts w:ascii="Times New Roman;Times;serif" w:hAnsi="Times New Roman;Times;serif"/>
          <w:sz w:val="24"/>
        </w:rPr>
        <w:t xml:space="preserve">0.75% per annum </w:t>
      </w:r>
      <w:bookmarkStart w:id="2378" w:name="_Hlk212105101"/>
      <w:bookmarkEnd w:id="2378"/>
      <w:r>
        <w:rPr>
          <w:rFonts w:ascii="Times New Roman;Times;serif" w:hAnsi="Times New Roman;Times;serif"/>
          <w:sz w:val="24"/>
        </w:rPr>
        <w:t>(0.1875% per fiscal quarter), instead of 1.50% per annum (0.375% per fiscal quarter) as provided in the Management Agreement (the “</w:t>
      </w:r>
      <w:r>
        <w:rPr>
          <w:rFonts w:ascii="Times New Roman;Times;serif" w:hAnsi="Times New Roman;Times;serif"/>
          <w:sz w:val="24"/>
          <w:u w:val="single"/>
        </w:rPr>
        <w:t>Waiver</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General</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Except as expressly set forth in this waiver letter, nothing herein shall operate as a waiver of any right or remedy under the Management Agreement, which otherwise remains in full force and effect.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4320" w:right="0" w:hanging="0"/>
        <w:jc w:val="left"/>
        <w:rPr>
          <w:rFonts w:ascii="Times New Roman;Times;serif" w:hAnsi="Times New Roman;Times;serif"/>
          <w:b/>
          <w:sz w:val="24"/>
        </w:rPr>
      </w:pPr>
      <w:r>
        <w:rPr>
          <w:rFonts w:ascii="Times New Roman;Times;serif" w:hAnsi="Times New Roman;Times;serif"/>
          <w:b/>
          <w:sz w:val="24"/>
        </w:rPr>
        <w:t>ALPINE INCOME PROPERTY MANAGER, LLC</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By:CTO Realty Growth, Inc.,</w:t>
      </w:r>
    </w:p>
    <w:p>
      <w:pPr>
        <w:pStyle w:val="TextBody"/>
        <w:bidi w:val="0"/>
        <w:spacing w:before="0" w:after="0"/>
        <w:ind w:left="4320" w:right="0" w:firstLine="450"/>
        <w:jc w:val="left"/>
        <w:rPr>
          <w:rFonts w:ascii="Times New Roman;Times;serif" w:hAnsi="Times New Roman;Times;serif"/>
          <w:sz w:val="24"/>
        </w:rPr>
      </w:pPr>
      <w:r>
        <w:rPr>
          <w:rFonts w:ascii="Times New Roman;Times;serif" w:hAnsi="Times New Roman;Times;serif"/>
          <w:sz w:val="24"/>
        </w:rPr>
        <w:t>its Sole Member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xml:space="preserve">/s/ Daniel E. Smith </w:t>
      </w:r>
    </w:p>
    <w:p>
      <w:pPr>
        <w:pStyle w:val="TextBody"/>
        <w:bidi w:val="0"/>
        <w:spacing w:before="0" w:after="0"/>
        <w:ind w:left="4320" w:right="0" w:firstLine="810"/>
        <w:jc w:val="left"/>
        <w:rPr>
          <w:rFonts w:ascii="Times New Roman;Times;serif" w:hAnsi="Times New Roman;Times;serif"/>
          <w:sz w:val="24"/>
        </w:rPr>
      </w:pPr>
      <w:r>
        <w:rPr>
          <w:rFonts w:ascii="Times New Roman;Times;serif" w:hAnsi="Times New Roman;Times;serif"/>
          <w:sz w:val="24"/>
        </w:rPr>
        <w:t xml:space="preserve">Name: Daniel E. Smith </w:t>
      </w:r>
    </w:p>
    <w:p>
      <w:pPr>
        <w:pStyle w:val="TextBody"/>
        <w:bidi w:val="0"/>
        <w:spacing w:before="0" w:after="480"/>
        <w:ind w:left="5130" w:right="0" w:hanging="0"/>
        <w:jc w:val="left"/>
        <w:rPr>
          <w:rFonts w:ascii="Times New Roman;Times;serif" w:hAnsi="Times New Roman;Times;serif"/>
          <w:sz w:val="24"/>
        </w:rPr>
      </w:pPr>
      <w:r>
        <w:rPr>
          <w:rFonts w:ascii="Times New Roman;Times;serif" w:hAnsi="Times New Roman;Times;serif"/>
          <w:sz w:val="24"/>
        </w:rPr>
        <w:t>Title: Senior Vice President, General Counsel and Corporate Secretary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CC:</w:t>
      </w:r>
      <w:r>
        <w:rPr>
          <w:rFonts w:ascii="Times New Roman;Times;serif" w:hAnsi="Times New Roman;Times;serif"/>
          <w:sz w:val="24"/>
        </w:rPr>
        <w:t>Andrew C. Richardson, Chairman of the Board</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John P. Albright, Director, President and Chief Executive Officer</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Philip R. Mays, Senior Vice President, Chief Financial Officer and Treasurer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Zach Swartz, Vinson &amp; Elkins L.L.P.</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379" w:name="cto-20251231xex10d44.htm"/>
      <w:bookmarkStart w:id="2380" w:name="kscto20251231xex10d44"/>
      <w:bookmarkEnd w:id="2379"/>
      <w:bookmarkEnd w:id="2380"/>
      <w:r>
        <w:rPr>
          <w:rFonts w:ascii="Times New Roman;Times;serif" w:hAnsi="Times New Roman;Times;serif"/>
          <w:b/>
          <w:sz w:val="24"/>
        </w:rPr>
        <w:t>Exhibit 10.44</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CTO REALTY GROWTH,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NON-EMPLOYEE DIRECTOR STOCK AWARD AGREEMENT</w:t>
      </w:r>
    </w:p>
    <w:p>
      <w:pPr>
        <w:pStyle w:val="TextBody"/>
        <w:bidi w:val="0"/>
        <w:spacing w:before="198" w:after="0"/>
        <w:ind w:left="0" w:right="0" w:firstLine="462"/>
        <w:jc w:val="both"/>
        <w:rPr>
          <w:rFonts w:ascii="Times New Roman;Times;serif" w:hAnsi="Times New Roman;Times;serif"/>
          <w:sz w:val="24"/>
        </w:rPr>
      </w:pPr>
      <w:r>
        <w:rPr>
          <w:rFonts w:ascii="Times New Roman;Times;serif" w:hAnsi="Times New Roman;Times;serif"/>
          <w:sz w:val="24"/>
        </w:rPr>
        <w:t>This NON-EMPLOYEE DIRECTOR STOCK AWARD AGREEMENT (this “Agreement”) is made as of the ___ day of ____________, 202__ (the “Grant Date”), by and between CTO REALTY GROWTH, INC., a Maryland corporation (the “Company”) and [NAME OF GRANTEE] (“Grantee”).</w:t>
      </w:r>
    </w:p>
    <w:p>
      <w:pPr>
        <w:pStyle w:val="TextBody"/>
        <w:bidi w:val="0"/>
        <w:spacing w:before="396" w:after="0"/>
        <w:ind w:left="0" w:right="0" w:hanging="0"/>
        <w:jc w:val="center"/>
        <w:rPr>
          <w:rFonts w:ascii="Times New Roman;Times;serif" w:hAnsi="Times New Roman;Times;serif"/>
          <w:b/>
          <w:sz w:val="24"/>
        </w:rPr>
      </w:pPr>
      <w:r>
        <w:rPr>
          <w:rFonts w:ascii="Times New Roman;Times;serif" w:hAnsi="Times New Roman;Times;serif"/>
          <w:b/>
          <w:sz w:val="24"/>
        </w:rPr>
        <w:t>Background</w:t>
      </w:r>
    </w:p>
    <w:p>
      <w:pPr>
        <w:pStyle w:val="TextBody"/>
        <w:bidi w:val="0"/>
        <w:spacing w:before="0" w:after="0"/>
        <w:ind w:left="0" w:right="0" w:firstLine="462"/>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bookmarkStart w:id="2381" w:name="_Hlk63258333"/>
      <w:bookmarkEnd w:id="2381"/>
      <w:r>
        <w:rPr>
          <w:rFonts w:ascii="Times New Roman;Times;serif" w:hAnsi="Times New Roman;Times;serif"/>
          <w:sz w:val="24"/>
        </w:rPr>
        <w:t>The Company has adopted the Fifth Amended and Restated CTO Realty Growth, Inc. 2010 Equity Incentive Plan (the “Plan”), which is administered by the Compensation Committee (the “Committee”) of the Company’s Board of Directors (the “Board”).  Section 10 of the Plan provides that the Committee shall have the discretion and right to grant a Stock Payment, subject to the terms and conditions of the Plan and any additional terms provided by the Committee.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Board has adopted the Non-Employee Director Compensation Policy (the “Policy”) which provides that the non-employee members of the Board shall receive, as part of their compensation for service on the Board, an annual award of restricted common stock of the Company, upon the terms more fully set forth in the Policy.</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Board has granted a Stock Payment (as defined in the Plan) to Grantee as of the Grant Date pursuant to the terms of the Plan and this Agreement.  Grantee desires to accept the grant of the Stock Payment and agrees to be bound by the terms and conditions of the Plan, the Policy and this Agreement.  Unless otherwise defined herein, capitalized terms used herein shall have the meaning ascribed to such terms in the Plan. </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Award of Stock Payment</w:t>
      </w:r>
      <w:r>
        <w:rPr>
          <w:rFonts w:ascii="Times New Roman;Times;serif" w:hAnsi="Times New Roman;Times;serif"/>
          <w:sz w:val="24"/>
        </w:rPr>
        <w:t xml:space="preserve">.  Subject to the terms and conditions provided in this Agreement, the Policy and the Plan, the Company hereby issues to Grantee __________________ ______________________ (______) Shares (the “Awarded Shares”) as of the Grant Date.  The grant of the Awarded Shares is made in consideration of the services heretofore rendered and to be rendered by Grantee to the Company as a Non-employee Director.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No Vesting Requirements</w:t>
      </w:r>
      <w:r>
        <w:rPr>
          <w:rFonts w:ascii="Times New Roman;Times;serif" w:hAnsi="Times New Roman;Times;serif"/>
          <w:sz w:val="24"/>
        </w:rPr>
        <w:t>.  The Awarded Shares are fully vested as of the Grant Date.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Holding Requirement</w:t>
      </w:r>
      <w:r>
        <w:rPr>
          <w:rFonts w:ascii="Times New Roman;Times;serif" w:hAnsi="Times New Roman;Times;serif"/>
          <w:sz w:val="24"/>
        </w:rPr>
        <w:t>.  Grantee acknowledges and agrees that the Awarded Shares are subject to a holding period beginning on the Grant Date and ending on the date Grantee ceases to serve as a member of the Board (the “Holding Period”).  During the Holding Period, the Awarded Shares may not be sold, pledged or otherwise transferred by Grantee.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Shareholder Rights</w:t>
      </w:r>
      <w:r>
        <w:rPr>
          <w:rFonts w:ascii="Times New Roman;Times;serif" w:hAnsi="Times New Roman;Times;serif"/>
          <w:sz w:val="24"/>
        </w:rPr>
        <w:t>.  </w:t>
      </w:r>
    </w:p>
    <w:p>
      <w:pPr>
        <w:pStyle w:val="TextBody"/>
        <w:bidi w:val="0"/>
        <w:spacing w:before="0" w:after="0"/>
        <w:ind w:left="0" w:right="0" w:firstLine="720"/>
        <w:jc w:val="both"/>
        <w:rPr/>
      </w:pPr>
      <w:r>
        <w:rPr/>
        <w:t>​</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the event of any distribution of common stock or other securities of the Company in respect of such shares of common stock, Grantee agrees that any certificate representing shares of such additional common stock or other securities of the Company issued as a result of any of the foregoing shall be subject to all of the provisions of this Agreement as if initially received hereunder.</w:t>
      </w:r>
    </w:p>
    <w:p>
      <w:pPr>
        <w:pStyle w:val="TextBody"/>
        <w:bidi w:val="0"/>
        <w:spacing w:before="0" w:after="0"/>
        <w:ind w:left="720" w:right="0" w:firstLine="720"/>
        <w:jc w:val="both"/>
        <w:rPr/>
      </w:pPr>
      <w:r>
        <w:rPr/>
        <w:t>​</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Grantee shall be a shareholder with respect to all of the Awarded Shares and shall have all of the rights of a shareholder with respect to the Awarded Shares, including the right to vote all the Awarded Shares and receive dividends with respect thereto.  The number of Awarded Shares set forth in Section 1 of this Agreement shall be the maximum number of Awarded Shares to which the voting rights described in this Section 4(b) shall be applicable.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Taxes</w:t>
      </w:r>
      <w:r>
        <w:rPr>
          <w:rFonts w:ascii="Times New Roman;Times;serif" w:hAnsi="Times New Roman;Times;serif"/>
          <w:sz w:val="24"/>
        </w:rPr>
        <w:t>.  </w:t>
      </w:r>
    </w:p>
    <w:p>
      <w:pPr>
        <w:pStyle w:val="TextBody"/>
        <w:bidi w:val="0"/>
        <w:spacing w:before="0" w:after="0"/>
        <w:ind w:left="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 xml:space="preserve">(a)Grantee acknowledges and agrees that the Fair Market Value of the Awarded Shares to which Grantee is entitled under Section 1 shall be included in Grantee’s gross income under Code Section 83 on the Grant Date. </w:t>
      </w:r>
    </w:p>
    <w:p>
      <w:pPr>
        <w:pStyle w:val="TextBody"/>
        <w:bidi w:val="0"/>
        <w:spacing w:before="0" w:after="0"/>
        <w:ind w:left="1440" w:right="0" w:hanging="0"/>
        <w:jc w:val="both"/>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(b)The Company has no obligation to pay any federal, state or local income and employment taxes (including taxes of any foreign jurisdiction) in connection with the grant of the Awarded Shares or the disposition of the Awarded Shares.  The Company shall report the Awarded Shares as ordinary income to Grantee to the appropriate tax authorities, and Grantee shall be responsible for the payment of any taxes required by applicable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No Effect on Relationship or Rights under Plan</w:t>
      </w:r>
      <w:r>
        <w:rPr>
          <w:rFonts w:ascii="Times New Roman;Times;serif" w:hAnsi="Times New Roman;Times;serif"/>
          <w:sz w:val="24"/>
        </w:rPr>
        <w:t>.  Nothing in the Plan, the Policy or this Agreement shall confer upon Grantee the right to continue as a Non-employee Director of the Company or affect any right which the Company may have to terminate the engagement of Grantee regardless of the effect of such termination of engagement on the rights of Grantee under the Plan, the Policy or this Agreement.  If Grantee’s engagement by the Company or any Subsidiary is terminated for any reason whatsoever (and whether lawful or otherwise), Grantee will not be entitled to claim any compensation for or in respect of any consequent diminution or extinction of Grantee’s rights or benefits (actual or prospective) under this Agreement or any Award or otherwise in connection with the Plan or the Policy.  The rights and obligations of Grantee under the terms of Grantee’s engagement by the Company or any Subsidiary will not be affected by Grantee’s participation in the Plan or this Agreement, and neither the Plan, the Policy nor this Agreement form part of any contract of engagement between Grantee and the Company or any Subsidiary.  The granting of Awards (including the Awarded Shares) under the Plan is entirely at the discretion of the Committee, and Grantee shall not in any circumstances have any right to be granted any other award concurrently or in the future.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Governing Law; Compliance with Law</w:t>
      </w:r>
      <w:r>
        <w:rPr>
          <w:rFonts w:ascii="Times New Roman;Times;serif" w:hAnsi="Times New Roman;Times;serif"/>
          <w:sz w:val="24"/>
        </w:rPr>
        <w:t>.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This Agreement shall be construed and enforced in accordance with the laws of the State of Maryland without regard to conflict of law principles.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issuance and transfer of Awarded Shares shall be subject to compliance by the Company and Grantee with all applicable requirements of federal and state securities laws and with all applicable requirements of any stock exchange on which the Company’s securities may be listed.  No Awarded Shares shall be issued or transferred unless and until any then applicable requirements of state and federal laws and regulatory agencies have been fully complied with to the satisfaction of the Company and its counsel.</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 legend may be placed on any certificate(s) or other document(s) delivered to Grantee indicating restrictions on transferability of the Awarded Shares pursuant to this Agreement or any other restrictions that the Committee may deem advisable under the rules, regulations and other requirements of any applicable federal or state securities laws or any stock exchange on which the Company’s securities may be listed.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Successors</w:t>
      </w:r>
      <w:r>
        <w:rPr>
          <w:rFonts w:ascii="Times New Roman;Times;serif" w:hAnsi="Times New Roman;Times;serif"/>
          <w:sz w:val="24"/>
        </w:rPr>
        <w:t>.  This Agreement shall inure to the benefit of, and be binding upon, the Company and Grantee and their heirs, legal representatives, successors and permitted assigns.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Severability</w:t>
      </w:r>
      <w:r>
        <w:rPr>
          <w:rFonts w:ascii="Times New Roman;Times;serif" w:hAnsi="Times New Roman;Times;serif"/>
          <w:sz w:val="24"/>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Entire Agreement</w:t>
      </w:r>
      <w:r>
        <w:rPr>
          <w:rFonts w:ascii="Times New Roman;Times;serif" w:hAnsi="Times New Roman;Times;serif"/>
          <w:sz w:val="24"/>
        </w:rPr>
        <w:t xml:space="preserve">.  Subject to the terms and conditions of the Plan, which are incorporated herein by reference, this Agreement expresses the entire understanding and agreement of the parties hereto with respect to such terms, restrictions and limitations.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Headings</w:t>
      </w:r>
      <w:r>
        <w:rPr>
          <w:rFonts w:ascii="Times New Roman;Times;serif" w:hAnsi="Times New Roman;Times;serif"/>
          <w:sz w:val="24"/>
        </w:rPr>
        <w:t>.   Section headings used herein are for convenience of reference only and shall not be considered in construing this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Additional Acknowledgements</w:t>
      </w:r>
      <w:r>
        <w:rPr>
          <w:rFonts w:ascii="Times New Roman;Times;serif" w:hAnsi="Times New Roman;Times;serif"/>
          <w:sz w:val="24"/>
        </w:rPr>
        <w:t xml:space="preserve">.  By their signatures below, Grantee and the Company agree that the Awarded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all provisions of the Plan and this Agreement.  Grantee hereby agrees to accept as binding, conclusive and final all decisions or interpretations of the Committee upon any questions relating to the Plan and this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 WITNESS WHEREOF, the Company and Grantee have executed this Agreement as of the Grant Date set forth above.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CTO REALTY GROWTH, INC.</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BY:________________________________</w:t>
      </w:r>
    </w:p>
    <w:p>
      <w:pPr>
        <w:pStyle w:val="TextBody"/>
        <w:bidi w:val="0"/>
        <w:spacing w:before="0" w:after="0"/>
        <w:ind w:left="4320" w:right="0" w:hanging="0"/>
        <w:jc w:val="both"/>
        <w:rPr/>
      </w:pPr>
      <w:r>
        <w:rPr/>
        <w:t>    </w:t>
      </w:r>
      <w:r>
        <w:rPr>
          <w:rFonts w:ascii="Times New Roman;Times;serif" w:hAnsi="Times New Roman;Times;serif"/>
          <w:sz w:val="24"/>
        </w:rPr>
        <w:t>Name:</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4320" w:right="0" w:hanging="0"/>
        <w:jc w:val="both"/>
        <w:rPr/>
      </w:pPr>
      <w:r>
        <w:rPr/>
        <w:t>​</w:t>
      </w:r>
    </w:p>
    <w:p>
      <w:pPr>
        <w:pStyle w:val="TextBody"/>
        <w:bidi w:val="0"/>
        <w:spacing w:before="0" w:after="0"/>
        <w:ind w:left="0" w:right="0" w:hanging="0"/>
        <w:jc w:val="both"/>
        <w:rPr/>
      </w:pPr>
      <w:r>
        <w:rPr/>
        <w:t>​</w:t>
      </w:r>
    </w:p>
    <w:p>
      <w:pPr>
        <w:pStyle w:val="TextBody"/>
        <w:bidi w:val="0"/>
        <w:spacing w:before="0" w:after="0"/>
        <w:ind w:left="477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 have read the Fifth Amended and Restated CTO Realty Growth, Inc. 2010 Equity Incentive Plan originally adopted by the Company’s stockholders on April 28, 2010, last amended June 21, 2023, and the Non-Employee Director Compensation Policy, and by my signature I agree to be bound by the terms and conditions of said Plan and Policy and this Agreement.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Date:_______________________________________________________________[NAME OF GRANTEE]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382" w:name="cto-20251231xex10d45.htm"/>
      <w:bookmarkStart w:id="2383" w:name="kscto20251231xex10d45"/>
      <w:bookmarkEnd w:id="2382"/>
      <w:bookmarkEnd w:id="2383"/>
      <w:r>
        <w:rPr>
          <w:rFonts w:ascii="Times New Roman;Times;serif" w:hAnsi="Times New Roman;Times;serif"/>
          <w:b/>
          <w:sz w:val="24"/>
        </w:rPr>
        <w:t>Exhibit 10.45</w:t>
      </w:r>
      <w:r>
        <w:br w:type="page"/>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CTO REALTY GROWTH, INC.</w:t>
        <w:br/>
        <w:t>PERFORMANCE SHARE AWARD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caps/>
          <w:sz w:val="24"/>
        </w:rPr>
        <w:t>Performance Share Award Agreement</w:t>
      </w:r>
      <w:r>
        <w:rPr>
          <w:rFonts w:ascii="Times New Roman;Times;serif" w:hAnsi="Times New Roman;Times;serif"/>
          <w:sz w:val="24"/>
        </w:rPr>
        <w:t xml:space="preserve"> (this “Agreement”) is made as of the ___</w:t>
      </w:r>
      <w:r>
        <w:rPr>
          <w:rFonts w:ascii="Times New Roman;Times;serif" w:hAnsi="Times New Roman;Times;serif"/>
          <w:sz w:val="18"/>
        </w:rPr>
        <w:t>th</w:t>
      </w:r>
      <w:r>
        <w:rPr>
          <w:rFonts w:ascii="Times New Roman;Times;serif" w:hAnsi="Times New Roman;Times;serif"/>
          <w:sz w:val="24"/>
        </w:rPr>
        <w:t xml:space="preserve"> day of February, 2026 (the “Grant Date”), by and between CTO REALTY GROWTH, INC., a Maryland corporation (the “Company”), and [GRANTEE NAME] (“Grantee”).</w:t>
      </w:r>
    </w:p>
    <w:p>
      <w:pPr>
        <w:pStyle w:val="TextBody"/>
        <w:bidi w:val="0"/>
        <w:spacing w:before="120" w:after="240"/>
        <w:ind w:left="0" w:right="0" w:hanging="0"/>
        <w:jc w:val="center"/>
        <w:rPr>
          <w:rFonts w:ascii="Times New Roman Bold" w:hAnsi="Times New Roman Bold"/>
          <w:b/>
          <w:caps/>
          <w:sz w:val="24"/>
        </w:rPr>
      </w:pPr>
      <w:r>
        <w:rPr>
          <w:rFonts w:ascii="Times New Roman Bold" w:hAnsi="Times New Roman Bold"/>
          <w:b/>
          <w:caps/>
          <w:sz w:val="24"/>
        </w:rPr>
        <w:t>Background</w:t>
      </w:r>
    </w:p>
    <w:p>
      <w:pPr>
        <w:pStyle w:val="TextBody"/>
        <w:bidi w:val="0"/>
        <w:spacing w:before="0" w:after="0"/>
        <w:ind w:left="0" w:right="0" w:firstLine="720"/>
        <w:jc w:val="both"/>
        <w:rPr>
          <w:rFonts w:ascii="Times New Roman;Times;serif" w:hAnsi="Times New Roman;Times;serif"/>
          <w:sz w:val="24"/>
        </w:rPr>
      </w:pPr>
      <w:bookmarkStart w:id="2384" w:name="_Hlk632583331"/>
      <w:bookmarkEnd w:id="2384"/>
      <w:r>
        <w:rPr>
          <w:rFonts w:ascii="Times New Roman;Times;serif" w:hAnsi="Times New Roman;Times;serif"/>
          <w:sz w:val="24"/>
        </w:rPr>
        <w:t xml:space="preserve">The Company has adopted the Fifth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has granted Performance Shares to Grantee as of the Grant Date pursuant to the terms of the Plan and this Agreement.  Grantee desires to accept the grant of Performance Shares and agrees to be bound by the terms and conditions of the Plan and this Agreement.  Unless otherwise defined herein, capitalized terms used herein shall have the meaning ascribed to such terms in the Plan. </w:t>
      </w:r>
    </w:p>
    <w:p>
      <w:pPr>
        <w:pStyle w:val="TextBody"/>
        <w:bidi w:val="0"/>
        <w:spacing w:before="120" w:after="240"/>
        <w:ind w:left="0" w:right="0" w:hanging="0"/>
        <w:jc w:val="center"/>
        <w:rPr>
          <w:rFonts w:ascii="Times New Roman Bold" w:hAnsi="Times New Roman Bold"/>
          <w:b/>
          <w:caps/>
          <w:sz w:val="24"/>
        </w:rPr>
      </w:pPr>
      <w:r>
        <w:rPr>
          <w:rFonts w:ascii="Times New Roman Bold" w:hAnsi="Times New Roman Bold"/>
          <w:b/>
          <w:caps/>
          <w:sz w:val="24"/>
        </w:rPr>
        <w:t>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Award of Performance Shares</w:t>
      </w:r>
      <w:r>
        <w:rPr>
          <w:rFonts w:ascii="Times New Roman;Times;serif" w:hAnsi="Times New Roman;Times;serif"/>
          <w:sz w:val="24"/>
        </w:rPr>
        <w:t>.  Subject to the terms and conditions provided in this Agreement and the Plan, the Company hereby grants to Grantee ________________________ ___________________ (________) Performance Shares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Performance Vesting</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vesting of Grantee’s rights and interest in the Performance Shares shall be determined in accordance with the performance vesting criteria set forth in </w:t>
      </w:r>
      <w:r>
        <w:rPr>
          <w:rFonts w:ascii="Times New Roman;Times;serif" w:hAnsi="Times New Roman;Times;serif"/>
          <w:b/>
          <w:sz w:val="24"/>
        </w:rPr>
        <w:t>Exhibit A</w:t>
      </w:r>
      <w:r>
        <w:rPr>
          <w:rFonts w:ascii="Times New Roman;Times;serif" w:hAnsi="Times New Roman;Times;serif"/>
          <w:sz w:val="24"/>
        </w:rPr>
        <w:t xml:space="preserve"> hereto.  In addition to such vesting criteria, Grantee must remain in continuous employment with the Company or one of its Subsidiaries from the Grant Date through either (i) the date of a “Qualifying Termination” (as defined below), (ii) the date of a “Qualifying CIC Termination” (as defined below) or (iii) the end of the Performance Period, as applicable, in order to have a vested and nonforfeitable right to the Performance Shares.  Any termination of employment, other than a Qualifying Termination or a Qualifying CIC Termination, prior to the end of the Performance Period shall result in the forfeiture of the Performance Shares.  The Performance Shares shall be settled in shares of the Company’s Common Stock, par value $0.01 per share, within sixty (60) days following either the end of the Performance Period or the date of the Qualifying Termination or the Qualifying CIC Termination, as applicable.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Cause</w:t>
      </w:r>
      <w:r>
        <w:rPr>
          <w:rFonts w:ascii="Times New Roman;Times;serif" w:hAnsi="Times New Roman;Times;serif"/>
          <w:sz w:val="24"/>
        </w:rPr>
        <w:t xml:space="preserve">” shall have the meaning ascribed to such term in Grantee’s employment or similar agreement with the Company; provided, that if Grantee is not a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party to such an agreement with the Company, then “Cause” shall mean (i) Grantee’s arrest or conviction for, plea of </w:t>
      </w:r>
      <w:r>
        <w:rPr>
          <w:rFonts w:ascii="Times New Roman;Times;serif" w:hAnsi="Times New Roman;Times;serif"/>
          <w:i/>
          <w:sz w:val="24"/>
        </w:rPr>
        <w:t>nolo contendere</w:t>
      </w:r>
      <w:r>
        <w:rPr>
          <w:rFonts w:ascii="Times New Roman;Times;serif" w:hAnsi="Times New Roman;Times;serif"/>
          <w:sz w:val="24"/>
        </w:rPr>
        <w:t xml:space="preserve"> to, or admission of the commission of, any act of fraud, misappropriation, or embezzlement, or a criminal felony involving dishonesty or moral turpitude; (ii) 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 (iv) 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Change in Control</w:t>
      </w:r>
      <w:r>
        <w:rPr>
          <w:rFonts w:ascii="Times New Roman;Times;serif" w:hAnsi="Times New Roman;Times;serif"/>
          <w:sz w:val="24"/>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Good Reason</w:t>
      </w:r>
      <w:r>
        <w:rPr>
          <w:rFonts w:ascii="Times New Roman;Times;serif" w:hAnsi="Times New Roman;Times;serif"/>
          <w:sz w:val="24"/>
        </w:rPr>
        <w:t xml:space="preserve">”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(60) days following the effective date of the occurrence of the Good Reason, and the Good Reason remains uncorrected by the Company for more than thirty (30) days following such written notice of the Good Reason from Grantee to the Company, and the effective date of Grantee’s termination of employment is within one (1) year following the effective date of the occurrence of the Good Reason.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Qualifying Termination</w:t>
      </w:r>
      <w:r>
        <w:rPr>
          <w:rFonts w:ascii="Times New Roman;Times;serif" w:hAnsi="Times New Roman;Times;serif"/>
          <w:sz w:val="24"/>
        </w:rPr>
        <w:t xml:space="preserve">” means, during the Performance Period, (i) the termination of Grantee’s employment by the Company or one of its Subsidiaries without “Cause” (as defined above) or (ii) Grantee </w:t>
      </w:r>
      <w:bookmarkStart w:id="2385" w:name="_Hlk106783269"/>
      <w:bookmarkEnd w:id="2385"/>
      <w:r>
        <w:rPr>
          <w:rFonts w:ascii="Times New Roman;Times;serif" w:hAnsi="Times New Roman;Times;serif"/>
          <w:sz w:val="24"/>
        </w:rPr>
        <w:t>voluntarily terminates employment for “Good Reason” (as defined above). The date of a Qualifying Termination will be the date that a “separation from service” occurs as such term is defined in Treasury Regulation 1.409A-1(h).</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Qualifying CIC Termination</w:t>
      </w:r>
      <w:r>
        <w:rPr>
          <w:rFonts w:ascii="Times New Roman;Times;serif" w:hAnsi="Times New Roman;Times;serif"/>
          <w:sz w:val="24"/>
        </w:rPr>
        <w:t>” means, during the Performance Period, (i) the termination of Grantee’s employment by the Company or one of its Subsidiaries without “Cause” (as defined above) or (ii) Grantee voluntarily terminates employment for “Good Reason” (as defined above), in each case, at any time during the 24-month period following a Change in Control (as defined above).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Shareholder Rights; Restrictions on Transfer</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(a)Grantee shall not have any right to vote any Performance Shares and shall not receive any dividends with respect to any unvested Performance Shares.  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Taxes</w:t>
      </w:r>
      <w:r>
        <w:rPr>
          <w:rFonts w:ascii="Times New Roman;Times;serif" w:hAnsi="Times New Roman;Times;serif"/>
          <w:sz w:val="24"/>
        </w:rPr>
        <w:t>.  Grantee shall pay to the Company all applicable federal, state and local income and employment taxes (including taxes of any foreign jurisdiction) which the Company is required to withhold at any time with respect to the Performance Shares.  Such payment shall be 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No Effect on Employment or Rights under Plan</w:t>
      </w:r>
      <w:r>
        <w:rPr>
          <w:rFonts w:ascii="Times New Roman;Times;serif" w:hAnsi="Times New Roman;Times;serif"/>
          <w:sz w:val="24"/>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Governing Law; Compliance with Law</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(a)This Agreement shall be construed and enforced in accordance with the laws of the State of Florida without regard to conflict of law principles.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Successors</w:t>
      </w:r>
      <w:r>
        <w:rPr>
          <w:rFonts w:ascii="Times New Roman;Times;serif" w:hAnsi="Times New Roman;Times;serif"/>
          <w:sz w:val="24"/>
        </w:rPr>
        <w:t>.  This Agreement shall inure to the benefit of, and be binding upon, the Company and Grantee and their heirs, legal representatives, successors and permitted assigns.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Severability</w:t>
      </w:r>
      <w:r>
        <w:rPr>
          <w:rFonts w:ascii="Times New Roman;Times;serif" w:hAnsi="Times New Roman;Times;serif"/>
          <w:sz w:val="24"/>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Entire Agreement</w:t>
      </w:r>
      <w:r>
        <w:rPr>
          <w:rFonts w:ascii="Times New Roman;Times;serif" w:hAnsi="Times New Roman;Times;serif"/>
          <w:sz w:val="24"/>
        </w:rPr>
        <w:t xml:space="preserve">.  Subject to the terms and conditions of the Plan, which are incorporated herein by reference, this Agreement expresses the entire understanding and agreement of the parties hereto with respect to such terms, restrictions and limitations.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Headings</w:t>
      </w:r>
      <w:r>
        <w:rPr>
          <w:rFonts w:ascii="Times New Roman;Times;serif" w:hAnsi="Times New Roman;Times;serif"/>
          <w:sz w:val="24"/>
        </w:rPr>
        <w:t>.  Section headings used herein are for convenience of reference only and shall not be considered in construing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No Impact on Other Benefits</w:t>
      </w:r>
      <w:r>
        <w:rPr>
          <w:rFonts w:ascii="Times New Roman;Times;serif" w:hAnsi="Times New Roman;Times;serif"/>
          <w:sz w:val="24"/>
        </w:rPr>
        <w:t>.  The value of the Performance Shares is not part of Grantee’s normal or expected compensation for purposes of calculating any severance, retirement, welfare, insurance or similar employee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Additional Acknowledgements</w:t>
      </w:r>
      <w:r>
        <w:rPr>
          <w:rFonts w:ascii="Times New Roman;Times;serif" w:hAnsi="Times New Roman;Times;serif"/>
          <w:sz w:val="24"/>
        </w:rPr>
        <w:t>.  By their signatures below, Grantee and the Company agree that the Performance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4"/>
        </w:rPr>
      </w:pPr>
      <w:r>
        <w:rPr>
          <w:rFonts w:ascii="Times New Roman;Times;serif" w:hAnsi="Times New Roman;Times;serif"/>
          <w:sz w:val="24"/>
        </w:rPr>
        <w:t>[The balance of this page is intentionally blank.]</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firstLine="720"/>
        <w:jc w:val="left"/>
        <w:rPr>
          <w:rFonts w:ascii="Times New Roman;Times;serif" w:hAnsi="Times New Roman;Times;serif"/>
          <w:sz w:val="24"/>
        </w:rPr>
      </w:pPr>
      <w:r>
        <w:rPr>
          <w:rFonts w:ascii="Times New Roman;Times;serif" w:hAnsi="Times New Roman;Times;serif"/>
          <w:sz w:val="24"/>
        </w:rPr>
        <w:t>IN WITNESS WHEREOF, the Company and Grantee have executed this Agreement as of the Grant Date set forth above.</w:t>
      </w:r>
    </w:p>
    <w:p>
      <w:pPr>
        <w:pStyle w:val="TextBody"/>
        <w:bidi w:val="0"/>
        <w:spacing w:before="0" w:after="0"/>
        <w:ind w:left="360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 xml:space="preserve">Name: </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240"/>
        <w:ind w:left="4507" w:right="0" w:firstLine="540"/>
        <w:jc w:val="left"/>
        <w:rPr/>
      </w:pPr>
      <w:r>
        <w:rPr/>
        <w:t>​</w:t>
      </w:r>
    </w:p>
    <w:p>
      <w:pPr>
        <w:pStyle w:val="TextBody"/>
        <w:bidi w:val="0"/>
        <w:spacing w:before="0" w:after="240"/>
        <w:ind w:left="4507" w:right="0" w:firstLine="540"/>
        <w:jc w:val="left"/>
        <w:rPr/>
      </w:pPr>
      <w:r>
        <w:rPr/>
        <w:t>​</w:t>
      </w:r>
    </w:p>
    <w:p>
      <w:pPr>
        <w:pStyle w:val="TextBody"/>
        <w:bidi w:val="0"/>
        <w:spacing w:before="0" w:after="480"/>
        <w:ind w:left="0" w:right="0" w:firstLine="720"/>
        <w:jc w:val="both"/>
        <w:rPr>
          <w:rFonts w:ascii="Times New Roman;Times;serif" w:hAnsi="Times New Roman;Times;serif"/>
          <w:sz w:val="24"/>
        </w:rPr>
      </w:pPr>
      <w:r>
        <w:rPr>
          <w:rFonts w:ascii="Times New Roman;Times;serif" w:hAnsi="Times New Roman;Times;serif"/>
          <w:sz w:val="24"/>
        </w:rPr>
        <w:t>I have read the Fifth Amended and Restated CTO Realty Growth, Inc. 2010 Equity Incentive Plan originally adopted by the Company’s stockholders on April 28, 2010, last amended, amended June 21, 2023, and by my signature I agree to be bound by the terms and conditions of said Plan and this Agreement.  I have also read the CTO Realty Growth, Inc. Clawback Policy adopted by the Committee on October 24, 2023 (the “Clawback Policy”), and by my signature I agree that all of my Incentive-Based Compensation (as defined in the Clawback Policy) is subject to the Clawback Policy.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b w:val="false"/>
          <w:i w:val="false"/>
          <w:caps w:val="false"/>
          <w:smallCaps w:val="false"/>
          <w:sz w:val="24"/>
          <w:shd w:fill="FFFFFF" w:val="clear"/>
        </w:rPr>
        <w:t>Date:</w:t>
      </w:r>
      <w:r>
        <w:rPr>
          <w:rFonts w:ascii="Times New Roman;Times;serif" w:hAnsi="Times New Roman;Times;serif"/>
          <w:sz w:val="24"/>
          <w:shd w:fill="FFFFFF" w:val="clear"/>
        </w:rPr>
        <w:tab/>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75895"/>
                <wp:effectExtent l="0" t="0" r="0" b="0"/>
                <wp:wrapNone/>
                <wp:docPr id="612" name="Frame6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5130" w:right="0" w:hanging="0"/>
        <w:jc w:val="left"/>
        <w:rPr>
          <w:rFonts w:ascii="Times New Roman;Times;serif" w:hAnsi="Times New Roman;Times;serif"/>
          <w:sz w:val="24"/>
        </w:rPr>
      </w:pPr>
      <w:r>
        <w:rPr>
          <w:rFonts w:ascii="Times New Roman;Times;serif" w:hAnsi="Times New Roman;Times;serif"/>
          <w:sz w:val="24"/>
        </w:rPr>
        <w:t>[GRANTEE NAME]</w:t>
      </w:r>
    </w:p>
    <w:p>
      <w:pPr>
        <w:pStyle w:val="TextBody"/>
        <w:bidi w:val="0"/>
        <w:spacing w:before="0" w:after="240"/>
        <w:ind w:left="5130" w:right="0" w:hanging="0"/>
        <w:jc w:val="left"/>
        <w:rPr/>
      </w:pPr>
      <w:r>
        <w:rPr/>
        <w:t>​</w:t>
      </w:r>
    </w:p>
    <w:p>
      <w:pPr>
        <w:pStyle w:val="TextBody"/>
        <w:bidi w:val="0"/>
        <w:spacing w:before="0" w:after="240"/>
        <w:ind w:left="513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VESTING OF PERFORMANCE SHARES (3-YEAR PERFORMANCE)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1.</w:t>
      </w:r>
      <w:r>
        <w:rPr>
          <w:rFonts w:ascii="Times New Roman;Times;serif" w:hAnsi="Times New Roman;Times;serif"/>
          <w:sz w:val="24"/>
          <w:u w:val="single"/>
        </w:rPr>
        <w:t>Vesting of Performance Shares</w:t>
      </w:r>
      <w:r>
        <w:rPr>
          <w:rFonts w:ascii="Times New Roman;Times;serif" w:hAnsi="Times New Roman;Times;serif"/>
          <w:sz w:val="24"/>
        </w:rPr>
        <w:t>:</w:t>
      </w:r>
    </w:p>
    <w:p>
      <w:pPr>
        <w:pStyle w:val="TextBody"/>
        <w:bidi w:val="0"/>
        <w:spacing w:before="0" w:after="240"/>
        <w:ind w:left="0" w:right="0" w:firstLine="810"/>
        <w:jc w:val="left"/>
        <w:rPr>
          <w:rFonts w:ascii="Times New Roman;Times;serif" w:hAnsi="Times New Roman;Times;serif"/>
          <w:sz w:val="24"/>
        </w:rPr>
      </w:pPr>
      <w:r>
        <w:rPr>
          <w:rFonts w:ascii="Times New Roman;Times;serif" w:hAnsi="Times New Roman;Times;serif"/>
          <w:sz w:val="24"/>
        </w:rPr>
        <w:t xml:space="preserve">Except in the event of a Qualifying Termination or a Qualifying CIC Termination (each as defined in the Agreement), 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Notwithstanding the foregoing, (a) in the case of a Qualifying Termination prior to the expiration of the Performance Period, the percentage of Performance Shares that vest pursuant to the Agreement shall be the greater of (i) the percentage of Performance Shares that would vest based on the Total Shareholder Return achieved by the Company as if the Performance Period had ended on the date of the Qualifying Termination, as determined and certified by the Committee, </w:t>
      </w:r>
      <w:r>
        <w:rPr>
          <w:rFonts w:ascii="Times New Roman;Times;serif" w:hAnsi="Times New Roman;Times;serif"/>
          <w:i/>
          <w:sz w:val="24"/>
        </w:rPr>
        <w:t>multiplied by</w:t>
      </w:r>
      <w:r>
        <w:rPr>
          <w:rFonts w:ascii="Times New Roman;Times;serif" w:hAnsi="Times New Roman;Times;serif"/>
          <w:sz w:val="24"/>
        </w:rPr>
        <w:t xml:space="preserve"> a fraction, the denominator of which is the total number of days in the original Performance Period and the numerator of which is the number of days from the beginning of the Performance Period to the date of the Qualifying Termination or (ii) 100% of the Performance Shares; and (b) in the case of a Qualifying CIC Termination prior to the expiration of the Performance Period, the number of Performance Shares that vest pursuant to the Agreement shall be 150% of the Performance Shares.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2.</w:t>
      </w:r>
      <w:r>
        <w:rPr>
          <w:rFonts w:ascii="Times New Roman;Times;serif" w:hAnsi="Times New Roman;Times;serif"/>
          <w:sz w:val="24"/>
          <w:u w:val="single"/>
        </w:rPr>
        <w:t>Determination of Comparison Group</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sz w:val="24"/>
          <w:u w:val="single"/>
        </w:rPr>
        <w:t>Comparison Group</w:t>
      </w:r>
      <w:r>
        <w:rPr>
          <w:rFonts w:ascii="Times New Roman;Times;serif" w:hAnsi="Times New Roman;Times;serif"/>
          <w:sz w:val="24"/>
        </w:rPr>
        <w:t xml:space="preserve">” used for purposes of this </w:t>
      </w:r>
      <w:r>
        <w:rPr>
          <w:rFonts w:ascii="Times New Roman;Times;serif" w:hAnsi="Times New Roman;Times;serif"/>
          <w:b/>
          <w:sz w:val="24"/>
        </w:rPr>
        <w:t>Exhibit A</w:t>
      </w:r>
      <w:r>
        <w:rPr>
          <w:rFonts w:ascii="Times New Roman;Times;serif" w:hAnsi="Times New Roman;Times;serif"/>
          <w:sz w:val="24"/>
        </w:rPr>
        <w:t xml:space="preserve"> shall consist of the companies comprising the MSCI US REIT Index as of the date of this Agreement, which companies are listed on the attached </w:t>
      </w:r>
      <w:r>
        <w:rPr>
          <w:rFonts w:ascii="Times New Roman;Times;serif" w:hAnsi="Times New Roman;Times;serif"/>
          <w:b/>
          <w:sz w:val="24"/>
        </w:rPr>
        <w:t>Schedule A-1</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is acquired by another company in the Comparison Group, the acquired company will be removed from the Comparison Group and the surviving company will remain in the Comparison Group.</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If a company in the Comparison Group is acquired by a company not in the Comparison Group, the acquired company will remain in the Comparison Group, and its Ending Stock Price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will be equal to the value per share of the consideration paid to the shareholders of the acquired company in the transaction.  The surviving company in such transaction will not be added to the Comparison Group.</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3.</w:t>
      </w:r>
      <w:r>
        <w:rPr>
          <w:rFonts w:ascii="Times New Roman;Times;serif" w:hAnsi="Times New Roman;Times;serif"/>
          <w:sz w:val="24"/>
          <w:u w:val="single"/>
        </w:rPr>
        <w:t>Calculation of Total Shareholder Return</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rPr>
        <w:t>Total Shareholder Return” for the Company and each company in the Comparison Group shall include dividends paid and shall be determined as follows:</w:t>
      </w:r>
    </w:p>
    <w:tbl>
      <w:tblPr>
        <w:tblW w:w="9083" w:type="dxa"/>
        <w:jc w:val="left"/>
        <w:tblInd w:w="0" w:type="dxa"/>
        <w:tblLayout w:type="fixed"/>
        <w:tblCellMar>
          <w:top w:w="0" w:type="dxa"/>
          <w:left w:w="0" w:type="dxa"/>
          <w:bottom w:w="0" w:type="dxa"/>
          <w:right w:w="0" w:type="dxa"/>
        </w:tblCellMar>
      </w:tblPr>
      <w:tblGrid>
        <w:gridCol w:w="2521"/>
        <w:gridCol w:w="241"/>
        <w:gridCol w:w="3931"/>
        <w:gridCol w:w="109"/>
        <w:gridCol w:w="2281"/>
      </w:tblGrid>
      <w:tr>
        <w:trPr/>
        <w:tc>
          <w:tcPr>
            <w:tcW w:w="252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Total Shareholder Return</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w:t>
            </w:r>
          </w:p>
        </w:tc>
        <w:tc>
          <w:tcPr>
            <w:tcW w:w="3931"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Change in Stock Price + Dividends Paid</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2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81"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Beginning Stock Price</w:t>
            </w:r>
          </w:p>
        </w:tc>
      </w:tr>
    </w:tbl>
    <w:p>
      <w:pPr>
        <w:pStyle w:val="TextBody"/>
        <w:bidi w:val="0"/>
        <w:spacing w:before="240" w:after="240"/>
        <w:ind w:left="0" w:right="0" w:firstLine="720"/>
        <w:jc w:val="both"/>
        <w:rPr/>
      </w:pPr>
      <w:r>
        <w:rPr/>
        <w:t>“</w:t>
      </w:r>
      <w:r>
        <w:rPr>
          <w:rFonts w:ascii="Times New Roman;Times;serif" w:hAnsi="Times New Roman;Times;serif"/>
          <w:sz w:val="24"/>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pStyle w:val="TextBody"/>
        <w:bidi w:val="0"/>
        <w:spacing w:before="0" w:after="240"/>
        <w:ind w:left="0" w:right="0" w:firstLine="720"/>
        <w:jc w:val="both"/>
        <w:rPr/>
      </w:pPr>
      <w:r>
        <w:rPr/>
        <w:t>“</w:t>
      </w:r>
      <w:r>
        <w:rPr>
          <w:rFonts w:ascii="Times New Roman;Times;serif" w:hAnsi="Times New Roman;Times;serif"/>
          <w:sz w:val="24"/>
        </w:rPr>
        <w:t>Change in Stock Price” shall mean the difference between the Ending Stock Price and the Beginning Stock Price.</w:t>
      </w:r>
    </w:p>
    <w:p>
      <w:pPr>
        <w:pStyle w:val="TextBody"/>
        <w:bidi w:val="0"/>
        <w:spacing w:before="0" w:after="240"/>
        <w:ind w:left="0" w:right="0" w:firstLine="720"/>
        <w:jc w:val="both"/>
        <w:rPr/>
      </w:pPr>
      <w:r>
        <w:rPr/>
        <w:t>“</w:t>
      </w:r>
      <w:r>
        <w:rPr>
          <w:rFonts w:ascii="Times New Roman;Times;serif" w:hAnsi="Times New Roman;Times;serif"/>
          <w:sz w:val="24"/>
        </w:rPr>
        <w:t xml:space="preserve">Dividends Paid” shall mean the total of all cash and in-kind dividends paid on (1) share of stock during the Performance Period. </w:t>
      </w:r>
    </w:p>
    <w:p>
      <w:pPr>
        <w:pStyle w:val="TextBody"/>
        <w:bidi w:val="0"/>
        <w:spacing w:before="0" w:after="240"/>
        <w:ind w:left="0" w:right="0" w:firstLine="720"/>
        <w:jc w:val="both"/>
        <w:rPr/>
      </w:pPr>
      <w:r>
        <w:rPr/>
        <w:t>“</w:t>
      </w:r>
      <w:r>
        <w:rPr>
          <w:rFonts w:ascii="Times New Roman;Times;serif" w:hAnsi="Times New Roman;Times;serif"/>
          <w:sz w:val="24"/>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pStyle w:val="TextBody"/>
        <w:bidi w:val="0"/>
        <w:spacing w:before="0" w:after="240"/>
        <w:ind w:left="0" w:right="0" w:firstLine="720"/>
        <w:jc w:val="both"/>
        <w:rPr/>
      </w:pPr>
      <w:r>
        <w:rPr/>
        <w:t>“</w:t>
      </w:r>
      <w:r>
        <w:rPr>
          <w:rFonts w:ascii="Times New Roman;Times;serif" w:hAnsi="Times New Roman;Times;serif"/>
          <w:sz w:val="24"/>
        </w:rPr>
        <w:t>Performance Period” shall mean the period commencing on January 1, 2026 and ending on December 31, 2028.</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4.</w:t>
      </w:r>
      <w:r>
        <w:rPr>
          <w:rFonts w:ascii="Times New Roman;Times;serif" w:hAnsi="Times New Roman;Times;serif"/>
          <w:sz w:val="24"/>
          <w:u w:val="single"/>
        </w:rPr>
        <w:t>Calculation of Percentile Rank</w:t>
      </w:r>
      <w:r>
        <w:rPr>
          <w:rFonts w:ascii="Times New Roman;Times;serif" w:hAnsi="Times New Roman;Times;serif"/>
          <w:sz w:val="24"/>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Following the Total Shareholder Return determination for the Company and the companies in the Comparison Group, the “Company Rank” within the Comparison Group shall be determined by listing each company in the Comparison Group (including the Company) from the highest Total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Shareholder Return to lowest Total Shareholder Return and counting up to the Company from the company with the lowest Total Shareholder Return.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Company’s “Percentile Rank” shall then be determined as follows:</w:t>
      </w:r>
    </w:p>
    <w:tbl>
      <w:tblPr>
        <w:tblW w:w="10205" w:type="dxa"/>
        <w:jc w:val="left"/>
        <w:tblInd w:w="0" w:type="dxa"/>
        <w:tblLayout w:type="fixed"/>
        <w:tblCellMar>
          <w:top w:w="0" w:type="dxa"/>
          <w:left w:w="0" w:type="dxa"/>
          <w:bottom w:w="0" w:type="dxa"/>
          <w:right w:w="0" w:type="dxa"/>
        </w:tblCellMar>
      </w:tblPr>
      <w:tblGrid>
        <w:gridCol w:w="2632"/>
        <w:gridCol w:w="241"/>
        <w:gridCol w:w="2569"/>
        <w:gridCol w:w="109"/>
        <w:gridCol w:w="4654"/>
      </w:tblGrid>
      <w:tr>
        <w:trPr/>
        <w:tc>
          <w:tcPr>
            <w:tcW w:w="2632"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Percentile Rank for Comparison Group</w:t>
            </w:r>
          </w:p>
          <w:p>
            <w:pPr>
              <w:pStyle w:val="TableContents"/>
              <w:bidi w:val="0"/>
              <w:spacing w:before="0" w:after="0"/>
              <w:ind w:left="0" w:right="0" w:hanging="0"/>
              <w:jc w:val="center"/>
              <w:rPr>
                <w:caps w:val="false"/>
                <w:smallCaps w:val="false"/>
                <w:color w:val="000000"/>
              </w:rPr>
            </w:pPr>
            <w:r>
              <w:rPr>
                <w:caps w:val="false"/>
                <w:smallCaps w:val="false"/>
                <w:color w:val="000000"/>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4"/>
              </w:rPr>
            </w:pPr>
            <w:r>
              <w:rPr>
                <w:rFonts w:ascii="Times New Roman;Times;serif" w:hAnsi="Times New Roman;Times;serif"/>
                <w:b w:val="false"/>
                <w:i w:val="false"/>
                <w:caps w:val="false"/>
                <w:smallCaps w:val="false"/>
                <w:color w:val="000000"/>
                <w:sz w:val="24"/>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2569"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 Rank in Comparison Group</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46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32"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256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654"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Total Number of Companies in the Comparison Group Including the Company</w:t>
            </w:r>
          </w:p>
          <w:p>
            <w:pPr>
              <w:pStyle w:val="TableContents"/>
              <w:bidi w:val="0"/>
              <w:spacing w:before="0" w:after="0"/>
              <w:ind w:left="0" w:right="0" w:hanging="0"/>
              <w:jc w:val="center"/>
              <w:rPr/>
            </w:pPr>
            <w:r>
              <w:rPr/>
              <w:t>​</w:t>
            </w:r>
          </w:p>
        </w:tc>
      </w:tr>
    </w:tbl>
    <w:p>
      <w:pPr>
        <w:pStyle w:val="TextBody"/>
        <w:bidi w:val="0"/>
        <w:spacing w:before="0" w:after="0"/>
        <w:ind w:left="0" w:right="0" w:firstLine="720"/>
        <w:jc w:val="both"/>
        <w:rPr>
          <w:rFonts w:ascii="Times New Roman;Times;serif" w:hAnsi="Times New Roman;Times;serif"/>
          <w:sz w:val="24"/>
        </w:rPr>
      </w:pPr>
      <w:bookmarkStart w:id="2386" w:name="_Hlk29569813"/>
      <w:bookmarkEnd w:id="2386"/>
      <w:r>
        <w:rPr>
          <w:rFonts w:ascii="Times New Roman;Times;serif" w:hAnsi="Times New Roman;Times;serif"/>
          <w:sz w:val="24"/>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pStyle w:val="TextBody"/>
        <w:bidi w:val="0"/>
        <w:spacing w:before="0" w:after="0"/>
        <w:ind w:left="0" w:right="0" w:firstLine="720"/>
        <w:jc w:val="left"/>
        <w:rPr/>
      </w:pPr>
      <w:r>
        <w:rPr/>
        <w:t>​</w:t>
      </w:r>
    </w:p>
    <w:p>
      <w:pPr>
        <w:pStyle w:val="TextBody"/>
        <w:bidi w:val="0"/>
        <w:spacing w:before="0" w:after="240"/>
        <w:ind w:left="630" w:right="0" w:hanging="0"/>
        <w:jc w:val="left"/>
        <w:rPr>
          <w:rFonts w:ascii="Times New Roman;Times;serif" w:hAnsi="Times New Roman;Times;serif"/>
          <w:sz w:val="24"/>
        </w:rPr>
      </w:pPr>
      <w:r>
        <w:rPr>
          <w:rFonts w:ascii="Times New Roman;Times;serif" w:hAnsi="Times New Roman;Times;serif"/>
          <w:color w:val="010000"/>
          <w:sz w:val="24"/>
        </w:rPr>
        <w:t>5.</w:t>
      </w:r>
      <w:r>
        <w:rPr>
          <w:rFonts w:ascii="Times New Roman;Times;serif" w:hAnsi="Times New Roman;Times;serif"/>
          <w:sz w:val="24"/>
          <w:u w:val="single"/>
        </w:rPr>
        <w:t>Calculation of Number of Vested Performance Shares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percent of Performance Shares that vest shall then be determined based on the following chart:</w:t>
      </w:r>
    </w:p>
    <w:tbl>
      <w:tblPr>
        <w:tblW w:w="6681" w:type="dxa"/>
        <w:jc w:val="left"/>
        <w:tblInd w:w="0" w:type="dxa"/>
        <w:tblLayout w:type="fixed"/>
        <w:tblCellMar>
          <w:top w:w="0" w:type="dxa"/>
          <w:left w:w="0" w:type="dxa"/>
          <w:bottom w:w="28" w:type="dxa"/>
          <w:right w:w="0" w:type="dxa"/>
        </w:tblCellMar>
      </w:tblPr>
      <w:tblGrid>
        <w:gridCol w:w="2776"/>
        <w:gridCol w:w="109"/>
        <w:gridCol w:w="3796"/>
      </w:tblGrid>
      <w:tr>
        <w:trPr/>
        <w:tc>
          <w:tcPr>
            <w:tcW w:w="2776"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Company’s Percentile Rank</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Percent of Performance Shares to Vest</w:t>
            </w:r>
          </w:p>
        </w:tc>
      </w:tr>
      <w:tr>
        <w:trPr/>
        <w:tc>
          <w:tcPr>
            <w:tcW w:w="2776"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75</w:t>
            </w:r>
            <w:r>
              <w:rPr>
                <w:rFonts w:ascii="Times New Roman;Times;serif" w:hAnsi="Times New Roman;Times;serif"/>
                <w:sz w:val="18"/>
              </w:rPr>
              <w:t>th</w:t>
            </w:r>
            <w:r>
              <w:rPr>
                <w:rFonts w:ascii="Times New Roman;Times;serif" w:hAnsi="Times New Roman;Times;serif"/>
                <w:sz w:val="24"/>
              </w:rPr>
              <w:t xml:space="preserve"> and above</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200%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51</w:t>
            </w:r>
            <w:r>
              <w:rPr>
                <w:rFonts w:ascii="Times New Roman;Times;serif" w:hAnsi="Times New Roman;Times;serif"/>
                <w:sz w:val="18"/>
              </w:rPr>
              <w:t>st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100%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Below 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before="240" w:after="240"/>
        <w:ind w:left="0" w:right="0" w:firstLine="720"/>
        <w:jc w:val="both"/>
        <w:rPr>
          <w:rFonts w:ascii="Times New Roman;Times;serif" w:hAnsi="Times New Roman;Times;serif"/>
          <w:sz w:val="24"/>
        </w:rPr>
      </w:pPr>
      <w:r>
        <w:rPr>
          <w:rFonts w:ascii="Times New Roman;Times;serif" w:hAnsi="Times New Roman;Times;serif"/>
          <w:sz w:val="24"/>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Times New Roman;Times;serif" w:hAnsi="Times New Roman;Times;serif"/>
          <w:b/>
          <w:sz w:val="24"/>
        </w:rPr>
        <w:t>Exhibit A</w:t>
      </w:r>
      <w:r>
        <w:rPr>
          <w:rFonts w:ascii="Times New Roman;Times;serif" w:hAnsi="Times New Roman;Times;serif"/>
          <w:sz w:val="24"/>
        </w:rPr>
        <w:t xml:space="preserve"> shall be automatically forfeited and canceled.</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Absolute TSR Governor</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100% of the number of Performance Shares granted.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i/>
          <w:sz w:val="24"/>
        </w:rPr>
      </w:pPr>
      <w:r>
        <w:rPr>
          <w:rFonts w:ascii="Times New Roman;Times;serif" w:hAnsi="Times New Roman;Times;serif"/>
          <w:b/>
          <w:i/>
          <w:sz w:val="24"/>
        </w:rPr>
        <w:t>UPDATED AS OF 2/2/2026</w:t>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SCHEDULE A-1</w:t>
      </w:r>
    </w:p>
    <w:p>
      <w:pPr>
        <w:pStyle w:val="TextBody"/>
        <w:bidi w:val="0"/>
        <w:spacing w:before="0" w:after="0"/>
        <w:ind w:left="1800" w:right="0" w:hanging="0"/>
        <w:jc w:val="left"/>
        <w:rPr>
          <w:rFonts w:ascii="Times New Roman;Times;serif" w:hAnsi="Times New Roman;Times;serif"/>
          <w:b/>
          <w:sz w:val="24"/>
        </w:rPr>
      </w:pPr>
      <w:r>
        <w:rPr>
          <w:rFonts w:ascii="Times New Roman;Times;serif" w:hAnsi="Times New Roman;Times;serif"/>
          <w:b/>
          <w:sz w:val="24"/>
        </w:rPr>
        <w:t>Company NameTicker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Acadia Realty TrustAKR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Agree Realty CorpADC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 &amp; Baldwin IncALEX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Alexander's IncALX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Alexandria Real Estate Equities, Inc.ARE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Assets Trust IncAAT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Healthcare REIT IncAHR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Homes 4 RentAMH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Americold Realty Trust IncCOLD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Apartment Investment &amp; Management CoAIV</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Apple Hospitality REIT IncAPLE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Armada Hoffler Properties IncAHH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AvalonBay Communities IncAVB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Boston Properties IncBXP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Brandywine Realty TrustBDN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Brixmor Property Group IncBRX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Broadstone Net Lease IncBNL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Camden Property TrustCPT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CareTrust REIT IncCTRE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CBL &amp; Associates Properties IncCBL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CenterspaceCSR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COPT Defense PropertiesCDP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Cousins Properties IncCUZ</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CubeSmartCUBE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Curbline Properties CorpCURB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DiamondRock Hospitality CoDRH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Digital Realty Trust IncDLR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Diversified Healthcare TrustDHC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Douglas Emmett IncDEI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Easterly Government Properties IncDEA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EastGroup Properties IncEGP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Empire State Realty Trust IncESRT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EPR PropertiesEPR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Equinix IncEQIX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Lifestyle Properties IncELS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ResidentialEQR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Essential Properties Realty Trust IncEPRT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Essex Property Trust IncESS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Extra Space Storage IncEXR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Federal Realty Investment TrustFRT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First Industrial Realty Trust IncFR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Four Corners Property Trust IncFCPT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1</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Gaming &amp; Leisure Properties IncGLPI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Getty Realty CorpGTY</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Gladstone Commercial CorpGOOD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Global Net Lease IncGNL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Healthcare Realty Trust IncHR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Healthpeak Properties IncDOC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Highwoods Properties IncHIW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Host Hotels &amp; ResortsHST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Hudson Pacific Properties IncHPP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Independence Realty Trust IncIRT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Innovative Industrial Properties IncIIPR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InvenTrust Properties CorpIVT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Invitation Homes IncINVH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Iron Mountain IncIRM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JBG Smith PropertiesJBGS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Kilroy Realty CorpKRC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Kimco Realty CorpKIM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Kite Realty Group TrustKRG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Lineage, Inc.LINE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LTC Properties IncLTC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LXP Industrial TrustLXP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Macerich Co, TheMAC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Medical Properties Trust IncMPW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Mid-America Apartment Communities IncMAA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Millrose Properties Inc.MRP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Health Investors IncNHI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Storage Affiliates TrustNSA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NETSTREIT CorpNTST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NexPoint Residential Trust IncNXRT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NNN REIT IncNNN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Omega Healthcare Investors IncOHI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Park Hotels &amp; Resorts IncPK</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Pebblebrook Hotel TrustPEB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Phillips Edison &amp; Co IncPECO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Piedmont Office Realty TrustPDM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Prologis IncPLD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Public StoragePSA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Realty Income CorpO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Regency Centers CorpREG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Rexford Industrial Realty IncREXR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RLJ Lodging TrustRLJ</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Ryman Hospitality PropertiesRHP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Sabra Health Care REIT IncSBRA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Safehold IncSAFE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Saul Centers IncBFS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Sila Realty Trust Inc.SILA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2</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Simon Property Group IncSPG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SL Green Realty CorpSLG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Smartshop Self Storage REIT, Inc.SMA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STAG Industrial IncSTAG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Summit Hotel Properties IncINN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 Communities IncSUI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Sunstone Hotel Investors IncSHO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Tanger IncSKT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Terreno Realty CorpTRNO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UDR IncUDR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UMH Properties IncUMH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Urban Edge PropertiesUE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Ventas IncVTR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Veris Residential IncVRE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VICI Properties IncVICI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Vornado Realty TrustVNO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W.P. Carey IncWPC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Welltower IncWELL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Whitestone REITWSR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Xenia Hotels &amp; Resorts IncXHR</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3</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387" w:name="cto-20251231xex19d1.htm"/>
      <w:bookmarkStart w:id="2388" w:name="kscto20251231xex19d1"/>
      <w:bookmarkEnd w:id="2387"/>
      <w:bookmarkEnd w:id="2388"/>
      <w:r>
        <w:rPr>
          <w:rFonts w:ascii="Times New Roman;Times;serif" w:hAnsi="Times New Roman;Times;serif"/>
          <w:b/>
          <w:sz w:val="24"/>
        </w:rPr>
        <w:t>Exhibit 19.1</w:t>
      </w:r>
      <w:r>
        <w:br w:type="page"/>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CTO REALTY GROWTH, INC.</w:t>
        <w:br/>
        <w:t>INSIDER TRADING COMPLIANCE PROGRAM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order to take an active role in the prevention of insider trading violations by its directors, officers, employees and other related individuals, CTO Realty Growth, Inc. (the “Company”) has adopted the policies and procedures described in this memorandum.</w:t>
      </w:r>
    </w:p>
    <w:tbl>
      <w:tblPr>
        <w:tblW w:w="3760" w:type="dxa"/>
        <w:jc w:val="left"/>
        <w:tblInd w:w="0" w:type="dxa"/>
        <w:tblLayout w:type="fixed"/>
        <w:tblCellMar>
          <w:top w:w="0" w:type="dxa"/>
          <w:left w:w="0" w:type="dxa"/>
          <w:bottom w:w="0" w:type="dxa"/>
          <w:right w:w="0" w:type="dxa"/>
        </w:tblCellMar>
      </w:tblPr>
      <w:tblGrid>
        <w:gridCol w:w="170"/>
        <w:gridCol w:w="3590"/>
      </w:tblGrid>
      <w:tr>
        <w:trPr/>
        <w:tc>
          <w:tcPr>
            <w:tcW w:w="17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w:t>
            </w:r>
          </w:p>
        </w:tc>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Adoption of Insider Trading Policy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adopted the Insider Trading Policy attached hereto as </w:t>
      </w:r>
      <w:r>
        <w:rPr>
          <w:rFonts w:ascii="Times New Roman;Times;serif" w:hAnsi="Times New Roman;Times;serif"/>
          <w:sz w:val="24"/>
          <w:u w:val="single"/>
        </w:rPr>
        <w:t>Exhibit A</w:t>
      </w:r>
      <w:r>
        <w:rPr>
          <w:rFonts w:ascii="Times New Roman;Times;serif" w:hAnsi="Times New Roman;Times;serif"/>
          <w:sz w:val="24"/>
        </w:rPr>
        <w:t xml:space="preserve"> (the “Policy”), which prohibits trading in the common stock of the Company or of Alpine Income Property Trust, Inc (“Alpine”), or any other traded security of the Company or Alpine (collectively the “Covered Securities”) based on material, non-public information regarding the Company or Alpine (“Inside Information”). The Policy covers directors, officers and all other employees of the Company, as well as family members of such directors, officers and employees, and certain other persons, in each case where such persons have or may have access to Inside Information (“Insiders”). The Policy (and/or a summary thereof) is to be delivered to all new employees and consultants on the commencement of their relationships with the Company, and is to be circulated to all directors, officers and employees at least annually.</w:t>
      </w:r>
    </w:p>
    <w:tbl>
      <w:tblPr>
        <w:tblW w:w="3430" w:type="dxa"/>
        <w:jc w:val="left"/>
        <w:tblInd w:w="0" w:type="dxa"/>
        <w:tblLayout w:type="fixed"/>
        <w:tblCellMar>
          <w:top w:w="0" w:type="dxa"/>
          <w:left w:w="0" w:type="dxa"/>
          <w:bottom w:w="0" w:type="dxa"/>
          <w:right w:w="0" w:type="dxa"/>
        </w:tblCellMar>
      </w:tblPr>
      <w:tblGrid>
        <w:gridCol w:w="260"/>
        <w:gridCol w:w="3170"/>
      </w:tblGrid>
      <w:tr>
        <w:trPr/>
        <w:tc>
          <w:tcPr>
            <w:tcW w:w="26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w:t>
            </w:r>
          </w:p>
        </w:tc>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Designation of Certain Persons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determined that those persons listed on </w:t>
      </w:r>
      <w:r>
        <w:rPr>
          <w:rFonts w:ascii="Times New Roman;Times;serif" w:hAnsi="Times New Roman;Times;serif"/>
          <w:sz w:val="24"/>
          <w:u w:val="single"/>
        </w:rPr>
        <w:t>Exhibit B</w:t>
      </w:r>
      <w:r>
        <w:rPr>
          <w:rFonts w:ascii="Times New Roman;Times;serif" w:hAnsi="Times New Roman;Times;serif"/>
          <w:sz w:val="24"/>
        </w:rPr>
        <w:t xml:space="preserve"> attached hereto are the directors and officers of the Company who, with respect to Covered Securities, are subject to the reporting and penalty provisions of Section 16 of the Securities Exchange Act of 1934, as amended (the “Exchange Act”) and the rules and regulations promulgated thereunder (“Section 16 Individuals”). </w:t>
      </w:r>
      <w:r>
        <w:rPr>
          <w:rFonts w:ascii="Times New Roman;Times;serif" w:hAnsi="Times New Roman;Times;serif"/>
          <w:sz w:val="24"/>
          <w:u w:val="single"/>
        </w:rPr>
        <w:t>Exhibit B</w:t>
      </w:r>
      <w:r>
        <w:rPr>
          <w:rFonts w:ascii="Times New Roman;Times;serif" w:hAnsi="Times New Roman;Times;serif"/>
          <w:sz w:val="24"/>
        </w:rPr>
        <w:t xml:space="preserve"> may be amended by the Company from time to time.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 addition, under Section 13 of the Exchange Act, all Section 16 Individuals, together with the Company, may be considered members of a “group” under Section 13(d)(3) of the Exchange Act with respect to such persons’ ownership of Alpine securities.</w:t>
      </w:r>
    </w:p>
    <w:tbl>
      <w:tblPr>
        <w:tblW w:w="4015" w:type="dxa"/>
        <w:jc w:val="left"/>
        <w:tblInd w:w="0" w:type="dxa"/>
        <w:tblLayout w:type="fixed"/>
        <w:tblCellMar>
          <w:top w:w="0" w:type="dxa"/>
          <w:left w:w="0" w:type="dxa"/>
          <w:bottom w:w="0" w:type="dxa"/>
          <w:right w:w="0" w:type="dxa"/>
        </w:tblCellMar>
      </w:tblPr>
      <w:tblGrid>
        <w:gridCol w:w="350"/>
        <w:gridCol w:w="3665"/>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III.</w:t>
            </w:r>
          </w:p>
        </w:tc>
        <w:tc>
          <w:tcPr>
            <w:tcW w:w="366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Appointment of Compliance Person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Company has appointed the General Counsel &amp; Corporate Secretary (or his/her successor in office), or such other person to whom the General Counsel &amp; Corporate Secretary shall designate and oversee, as the Company’s insider trading compliance officer (the “Compliance Officer”).</w:t>
      </w:r>
    </w:p>
    <w:tbl>
      <w:tblPr>
        <w:tblW w:w="3685" w:type="dxa"/>
        <w:jc w:val="left"/>
        <w:tblInd w:w="0" w:type="dxa"/>
        <w:tblLayout w:type="fixed"/>
        <w:tblCellMar>
          <w:top w:w="0" w:type="dxa"/>
          <w:left w:w="0" w:type="dxa"/>
          <w:bottom w:w="0" w:type="dxa"/>
          <w:right w:w="0" w:type="dxa"/>
        </w:tblCellMar>
      </w:tblPr>
      <w:tblGrid>
        <w:gridCol w:w="350"/>
        <w:gridCol w:w="3335"/>
      </w:tblGrid>
      <w:tr>
        <w:trPr/>
        <w:tc>
          <w:tcPr>
            <w:tcW w:w="3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IV.</w:t>
            </w:r>
          </w:p>
        </w:tc>
        <w:tc>
          <w:tcPr>
            <w:tcW w:w="33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Duties of the Compliance Officer</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duties of the Compliance Officer shall include, but not be limited to, the following:</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Pre-clearance of (i) all transactions, other than transactions made in compliance with an outstanding pre-cleared Trading Plan (as defined below), involving Covered Securities by all Insiders, (ii) all contracts, instructions or written plans for </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purchase or sale of Covered Securities intended to satisfy the affirmative defense conditions of Rule 10b5-1(c) under the Exchange Act (“Rule 10b5-1 Plans”) established by Insiders, and (iii) all other contracts, instructions or written plans for the purchase or sale of Covered Securities (“Non-Rule 10b5-1 Plans” and, together with the Rule 10b5-1 Plans, “Trading Plans”) established by Insiders, in each case in order to ensure compliance with the Policy, insider trading laws, Sections 13 and 16 of the Exchange Act, Rule 144 promulgated under the Securities Act of 1933, as amended, and certain disclosure obligations related to Trading Plans. To ensure compliance, pre-clearance may require inquiry by the Compliance Officer and clearance may require up to 24 hours under normal circumstances.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Monitoring established Trading Plans for compliance with the terms of such Trading Plans, the Policy, insider trading laws, and certain disclosure obligations related to Trading Plans.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with the preparation of such disclosures regarding the Policy and the Trading Plans as may be required by the Exchange Act.</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preparation of reports in compliance with Sections 13 (Schedule 13D) and 16 (Forms 3, 4 and 5) of the Exchange Act for all Section 16 Individuals.</w:t>
            </w:r>
          </w:p>
        </w:tc>
      </w:tr>
    </w:tbl>
    <w:tbl>
      <w:tblPr>
        <w:tblW w:w="10068" w:type="dxa"/>
        <w:jc w:val="left"/>
        <w:tblInd w:w="0" w:type="dxa"/>
        <w:tblLayout w:type="fixed"/>
        <w:tblCellMar>
          <w:top w:w="0" w:type="dxa"/>
          <w:left w:w="0" w:type="dxa"/>
          <w:bottom w:w="0" w:type="dxa"/>
          <w:right w:w="0" w:type="dxa"/>
        </w:tblCellMar>
      </w:tblPr>
      <w:tblGrid>
        <w:gridCol w:w="23"/>
        <w:gridCol w:w="23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Annual distribution of reminders to all Section 16 Individuals regarding their SEC reporting obligations.</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Performance of cross-checks of available materials, which may include Director and Officer Questionnaires, Schedule 13D, Forms 3, 4 and 5, and Form 144, to determine trading activity by directors, officers and others who have, or may have, access to Inside Information.</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Circulation of the Policy (and/or a summary thereof) to all employees, including Section 16 Individuals, on an annual basis and provision of the Policy and other appropriate materials to new directors, officers and others who have, or may have, access to Inside Information. Each of the aforementioned persons shall provide signed confirmation of receipt that they have read and understood the Policy.</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H.</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the Company’s Board of Directors in the implementation of Sections I and II of this memorandum.</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A​</w:t>
        <w:br/>
        <w:t>​</w:t>
        <w:br/>
        <w:t>CTO REALTY GROWTH, INC.</w:t>
        <w:br/>
        <w:t>INSIDER TRADING POLICY</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and Guidelines with Respect to</w:t>
        <w:br/>
        <w:t>Certain Transactions in Covered Securities</w:t>
      </w:r>
    </w:p>
    <w:p>
      <w:pPr>
        <w:pStyle w:val="TextBody"/>
        <w:bidi w:val="0"/>
        <w:spacing w:before="0" w:after="240"/>
        <w:ind w:left="0" w:right="0" w:hanging="0"/>
        <w:jc w:val="both"/>
        <w:rPr/>
      </w:pPr>
      <w:r>
        <w:rPr>
          <w:u w:val="single"/>
        </w:rPr>
        <w:t>​ ​​ ​​ ​​ ​​ ​</w:t>
      </w: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Policy provides guidelines to directors, officers and employees of </w:t>
      </w:r>
      <w:r>
        <w:rPr>
          <w:rFonts w:ascii="Times New Roman;Times;serif" w:hAnsi="Times New Roman;Times;serif"/>
          <w:b/>
          <w:sz w:val="24"/>
        </w:rPr>
        <w:t xml:space="preserve">CTO REALTY GROWTH, INC. </w:t>
      </w:r>
      <w:r>
        <w:rPr>
          <w:rFonts w:ascii="Times New Roman;Times;serif" w:hAnsi="Times New Roman;Times;serif"/>
          <w:sz w:val="24"/>
        </w:rPr>
        <w:t>(the “Company”) with respect to transactions in the Covered Securities (as defined below).</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Applicability of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applies to all transactions in the securities of both (a) the Company and (b) Alpine Income Property Trust, Inc. (“Alpine”), including common stock, options for common stock and any other securities the Company or Alpine may issue from time to time, such as preferred stock, warrants and convertible debentures, as well as to derivative securities relating to stock of the Company or Alpine, whether or not issued by the Company or Alpine, such as exchange-traded options (collectively, the “Covered Securities”). It applies to all members of the Company’s Board of Directors, all officers of the Company, and all employees of, and consultants and contractors to, the Company and its subsidiaries who receive or have access to Material Nonpublic Information (as defined below) regarding the Company or Alpine. This group of people, members of their immediate families, and members of their households are sometimes referred to in this Policy as “Insiders.” This Policy also applies to any person who receives Material Nonpublic Information from any Insider.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who possesses Material Nonpublic Information regarding the Company or Alpine is an Insider for so long as the information is not publicly known. Any employee can be an Insider from time to time, and would at those times be subject to this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Statement of Policy</w:t>
        <w:br/>
        <w:t>General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the policy of the Company to prevent the unauthorized disclosure of any Material Nonpublic Information acquired in the workplace and the misuse of Material Nonpublic Information in securities trading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 is also the policy of the Company that the Company will not engage in transactions in the Company’s equity securities (as defined in the Securities Exchange Act of 1934 (the “</w:t>
      </w:r>
      <w:r>
        <w:rPr>
          <w:rFonts w:ascii="Times New Roman;Times;serif" w:hAnsi="Times New Roman;Times;serif"/>
          <w:sz w:val="24"/>
          <w:u w:val="single"/>
        </w:rPr>
        <w:t>Exchange Act</w:t>
      </w:r>
      <w:r>
        <w:rPr>
          <w:rFonts w:ascii="Times New Roman;Times;serif" w:hAnsi="Times New Roman;Times;serif"/>
          <w:sz w:val="24"/>
        </w:rPr>
        <w:t>”)) while aware of Material Nonpublic Information relating to the Company or its securities, except for: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plan participants (or their permitted assignees) pursuant to an equity-based compensation plan of the Company;</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1</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made pursuant to written plans for transacting in the Company’s securities that, at the time adopted, conform to all of the requirements of Exchange Act Rule 10b5-1 as then in effect;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other transaction expressly authorized by the Board or any committee thereof, or by senior management in consultation with the Company’s Insider Trading Compliance Officer (the “Compliance Officer”).</w:t>
            </w:r>
          </w:p>
        </w:tc>
      </w:tr>
    </w:tbl>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1. Specific Policies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Trading on Material Nonpublic Information. </w:t>
      </w:r>
      <w:r>
        <w:rPr>
          <w:rFonts w:ascii="Times New Roman;Times;serif" w:hAnsi="Times New Roman;Times;serif"/>
          <w:sz w:val="24"/>
        </w:rPr>
        <w:t>No Insider shall engage in any transaction involving a purchase, sale or gift of the Covered Securities, including any offer to purchase or offer to sell, during any period commencing with the date that such Insider possesses Material Nonpublic Information concerning the Company or Alpine, and ending at the close of business on the second Trading Day following the date of public disclosure of that information, or at such time as such nonpublic information is no longer material. As used herein, the term “Trading Day” shall mean a day on which national stock exchanges are open for trading. In addition, no Insider shall engage in any transaction involving a purchase, sale or gift of the securities of any other company if such person is aware of Material Nonpublic Information about such other company which the Insider obtained in the course of such Insider’s employment with the Company. For example, no Insider may trade in the securities of another company with which the Company may be negotiating a major transaction while in possession of Material Nonpublic Information about such other company or the Company. Information that is not Material Nonpublic Information with respect to the Company or Alpine may still be material to such other companies, and vice versa.</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Tipping. </w:t>
      </w:r>
      <w:r>
        <w:rPr>
          <w:rFonts w:ascii="Times New Roman;Times;serif" w:hAnsi="Times New Roman;Times;serif"/>
          <w:sz w:val="24"/>
        </w:rPr>
        <w:t>No Insider shall disclose (“tip”) Material Nonpublic Information to any other person (including but not limited to any of the Insider’s family members) where such information may be used by such person to his or her profit by trading in the Covered Securities or the securities of other companies to which such information relates, nor shall such Insider or related person make recommendations or express opinions on the basis of Material Nonpublic Information as to trading in the Covered Securities.</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b/>
          <w:sz w:val="24"/>
        </w:rPr>
        <w:t xml:space="preserve">Confidentiality of Nonpublic Information. </w:t>
      </w:r>
      <w:r>
        <w:rPr>
          <w:rFonts w:ascii="Times New Roman;Times;serif" w:hAnsi="Times New Roman;Times;serif"/>
          <w:sz w:val="24"/>
        </w:rPr>
        <w:t xml:space="preserve">Nonpublic information relating to the Company or Alpine is the property of the Company, and the unauthorized disclosure of such information is strictly forbidden. In addition, the Company is required under Regulation FD of the federal securities laws and the Company’s Regulation FD Policy to avoid the selective disclosure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2</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Material Nonpublic Information. The Company has established procedures for releasing Material Nonpublic Information in a manner that is designed to achieve broad public dissemination of the information immediately upon its release, which is consistent with the legal requirements applicable to the Company. Therefore, no Insider may disclose Material Nonpublic Information to anyone outside the Company, including family members and friends, other than in accordance with those procedures. Also, no Insider may discuss Material Nonpublic Information in an internet “chat room” or message board or similar internet-based forum, or on any social media of any kind.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Hedging Activities Prohibited</w:t>
      </w:r>
      <w:r>
        <w:rPr>
          <w:rFonts w:ascii="Times New Roman;Times;serif" w:hAnsi="Times New Roman;Times;serif"/>
          <w:sz w:val="24"/>
        </w:rPr>
        <w:t>. No director, officer or employee, or any designee of such person, is permitted to purchase financial instruments (including prepaid variable forward contracts, equity swaps, collars, and exchange funds) that are designed to hedge or offset any decrease in the market value of any Covered Securities, that have been granted to such person by the Company as part of his/her compensation or that are directly or indirectly held by such person.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Pledging Activities Prohibited</w:t>
      </w:r>
      <w:r>
        <w:rPr>
          <w:rFonts w:ascii="Times New Roman;Times;serif" w:hAnsi="Times New Roman;Times;serif"/>
          <w:sz w:val="24"/>
        </w:rPr>
        <w:t>. No director, officer or employee, or any designee of such person, is permitted to purchase on margin, borrow against on margin or pledge as collateral for a loan the Covered Securities that have been granted to such person by the Company as part of his/her compensation or that are directly or indirectly held by such person.</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2. Potential Criminal and Civil Liability and/or Disciplinary Action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Liability for Insider Trading</w:t>
      </w:r>
      <w:r>
        <w:rPr>
          <w:rFonts w:ascii="Times New Roman;Times;serif" w:hAnsi="Times New Roman;Times;serif"/>
          <w:sz w:val="24"/>
        </w:rPr>
        <w:t>. Insiders may be subject to disgorging of the profit made or the loss avoided, civil penalties of up to three times the profit made or loss avoided, prejudgment interest, criminal fines of up to $5,000,000 and up to twenty years in jail when engaging in transactions in the Covered Securities at a time when they possess Material Nonpublic Information regarding the Company or Alpine.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Liability for Tipping. </w:t>
      </w:r>
      <w:r>
        <w:rPr>
          <w:rFonts w:ascii="Times New Roman;Times;serif" w:hAnsi="Times New Roman;Times;serif"/>
          <w:sz w:val="24"/>
        </w:rPr>
        <w:t>Insiders may also be liable for improper transactions by any person (commonly referred to as a “tippee”) to whom they have disclosed Material Nonpublic Information regarding the Company or Alpine, or to whom they have made recommendations or expressed opinions on the basis of such information as to trading in the Covered Securities. The Securities and Exchange Commission (the “SEC”) has imposed large penalties even when the disclosing person did not profit from the trading. The SEC, the stock exchanges and the Financial Industry Regulatory Authority, Inc. use sophisticated electronic surveillance techniques to uncover insider trading.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Possible Disciplinary Actions. </w:t>
      </w:r>
      <w:r>
        <w:rPr>
          <w:rFonts w:ascii="Times New Roman;Times;serif" w:hAnsi="Times New Roman;Times;serif"/>
          <w:sz w:val="24"/>
        </w:rPr>
        <w:t>Employees of the Company who violate this Policy may also be subject to disciplinary action by the Company up to and including termination.</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3. Recommended Guidelines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Trading Window. </w:t>
      </w:r>
      <w:r>
        <w:rPr>
          <w:rFonts w:ascii="Times New Roman;Times;serif" w:hAnsi="Times New Roman;Times;serif"/>
          <w:sz w:val="24"/>
        </w:rPr>
        <w:t>To ensure compliance with this Policy and applicable federal and state securities laws, all directors, officers and employees having access to the Company’s and Alpine’s internal financial statements, financial information, transactional documents or materials, financial models or projections or other materials that qualify as Material Nonpublic Information, must refrain from conducting transactions involving the purchase, sale or gift of the Covered Securities other than during the following period (hereinafter referred to as the “Trading Window”):</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3</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720" w:right="720" w:hanging="0"/>
        <w:jc w:val="both"/>
        <w:rPr>
          <w:rFonts w:ascii="Times New Roman;Times;serif" w:hAnsi="Times New Roman;Times;serif"/>
          <w:sz w:val="24"/>
        </w:rPr>
      </w:pPr>
      <w:r>
        <w:rPr>
          <w:rFonts w:ascii="Times New Roman;Times;serif" w:hAnsi="Times New Roman;Times;serif"/>
          <w:sz w:val="24"/>
          <w:u w:val="single"/>
        </w:rPr>
        <w:t>Trading Window</w:t>
      </w:r>
      <w:r>
        <w:rPr>
          <w:rFonts w:ascii="Times New Roman;Times;serif" w:hAnsi="Times New Roman;Times;serif"/>
          <w:sz w:val="24"/>
        </w:rPr>
        <w:t>: The period in the current fiscal quarter commencing at the close of business on the second Trading Day following the date of public disclosure of the financial results for the prior fiscal quarter or year (in the case of the first fiscal quarter of the following year), and ending at the close of business on the last calendar day of the current fiscal quarter. If such public disclosure occurs on a Trading Day after the market open but before the market close, then such date of disclosure shall be considered the first Trading Day following such public disclosure. If such public disclosure occurs on a Trading Day before the market open, then for purposes of determining the Trading Window, the public disclosure shall be deemed to have occurred on such Trading Day.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It should be noted that even during the Trading Window, any person possessing Material Nonpublic Information concerning the Company or Alpine should not engage in any transactions in the Covered Securities until such information has been known publicly for at least two Trading Days. Although the Company may from time to time recommend during a Trading Window that directors, officers, selected employees and others suspend trading because of developments known to the Company and not yet disclosed to the public, each person is individually responsible at all times for compliance with the prohibitions against insider trading. Trading in the Covered Securities during the Trading Window should </w:t>
      </w:r>
      <w:r>
        <w:rPr>
          <w:rFonts w:ascii="Times New Roman;Times;serif" w:hAnsi="Times New Roman;Times;serif"/>
          <w:sz w:val="24"/>
          <w:u w:val="single"/>
        </w:rPr>
        <w:t>not</w:t>
      </w:r>
      <w:r>
        <w:rPr>
          <w:rFonts w:ascii="Times New Roman;Times;serif" w:hAnsi="Times New Roman;Times;serif"/>
          <w:sz w:val="24"/>
        </w:rPr>
        <w:t xml:space="preserve"> be considered a “safe harbor,” and all directors, officers, employees and other persons should use good judgment at all times in addition to adhering to the specific requirements of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Pre-clearance of Trades. </w:t>
      </w:r>
      <w:r>
        <w:rPr>
          <w:rFonts w:ascii="Times New Roman;Times;serif" w:hAnsi="Times New Roman;Times;serif"/>
          <w:sz w:val="24"/>
        </w:rPr>
        <w:t>The Company has determined that all directors, officers and employees of the Company must refrain from trading in the Covered Securities, even during the Trading Window, without first complying with the Company’s “pre-clearance” process. Each such employee and director must contact the Compliance Officer prior to commencing any purchase, sale or gift of the Covered Securities, including the exercise of any stock options. The Compliance Officer will evaluate all proposed transactions to determine if such transaction raises concerns regarding insider trading and this Policy or other concerns under federal or state securities laws and regulations. Any response to the pre-clearance request by Company personnel will relate solely to the restraints imposed by law and will not constitute advice regarding any aspect of the investment transaction, including the merit of executing the transaction or not. Clearance of a transaction is valid only for a 48-hour period. If the transaction order is not placed within that 48-hour period, clearance of the transaction must be re-requested. If clearance is denied by the Compliance Officer, the fact of such denial must be kept confidential by the person requesting such clearance.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Clearance of a proposed trade by the Compliance Officer does not constitute legal advice or otherwise acknowledge that the recipient of clearance to trade does not possess Material Nonpublic Information. Insiders must ultimately make their own judgments regarding, and are personally responsible for determining, whether they are in possession of Material Nonpublic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may also find it necessary, from time to time, to require compliance with the pre-clearance process from certain consultants and contractors other than and in addition to directors, officers and employees.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4</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Individual Responsibility. </w:t>
      </w:r>
      <w:r>
        <w:rPr>
          <w:rFonts w:ascii="Times New Roman;Times;serif" w:hAnsi="Times New Roman;Times;serif"/>
          <w:sz w:val="24"/>
        </w:rPr>
        <w:t>Every officer, director and employee has the individual responsibility to comply with this Policy to protect against insider trading, regardless of whether the Trading Window is open. Violations of this Policy will be viewed seriously, and may provide grounds for disciplinary actions up to and including dismissal.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may, from time to time, be required to forego a proposed transaction in the Covered Securities, even if he or she planned to enter into such transaction before learning of the Material Nonpublic Information, and/or even though the Insider believes he or she may suffer an economic loss or forego anticipated profit by delaying or foregoing consummation of the proposed transaction.</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4. Definition of Material Nonpublic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not possible to define all categories of information that would qualify as material. However, information should be regarded as material if (i) there is a reasonable likelihood that it would be considered important to a reasonable investor in making an investment decision regarding the purchase, sale or gift of the Covered Securities, or (ii) if disclosed, such information could be viewed by a reasonable investor as having significantly altered the total mix of information publicly available regarding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While it may be difficult under this standard to determine whether particular information is material, there are various categories of information that are particularly sensitive and, as a general rule, should always be considered material. Some examples of information pertaining to the Company or Alpine that ordinarily would be regarded as material are:</w:t>
      </w:r>
    </w:p>
    <w:p>
      <w:pPr>
        <w:pStyle w:val="TextBody"/>
        <w:bidi w:val="0"/>
        <w:spacing w:before="0" w:after="240"/>
        <w:ind w:left="720" w:right="0" w:hanging="0"/>
        <w:jc w:val="both"/>
        <w:rPr/>
      </w:pPr>
      <w:r>
        <w:rPr/>
        <w:t>●</w:t>
      </w:r>
      <w:r>
        <w:rPr>
          <w:rFonts w:ascii="Times New Roman;Times;serif" w:hAnsi="Times New Roman;Times;serif"/>
          <w:sz w:val="24"/>
        </w:rPr>
        <w:t>Projections of future earnings or losses, or other metrics associated with earnings guidance;</w:t>
      </w:r>
    </w:p>
    <w:p>
      <w:pPr>
        <w:pStyle w:val="TextBody"/>
        <w:bidi w:val="0"/>
        <w:spacing w:before="0" w:after="240"/>
        <w:ind w:left="720" w:right="0" w:hanging="0"/>
        <w:jc w:val="both"/>
        <w:rPr/>
      </w:pPr>
      <w:r>
        <w:rPr/>
        <w:t>●</w:t>
      </w:r>
      <w:r>
        <w:rPr>
          <w:rFonts w:ascii="Times New Roman;Times;serif" w:hAnsi="Times New Roman;Times;serif"/>
          <w:sz w:val="24"/>
        </w:rPr>
        <w:t>Earnings that are inconsistent with the consensus expectations of the investment community;</w:t>
      </w:r>
    </w:p>
    <w:p>
      <w:pPr>
        <w:pStyle w:val="TextBody"/>
        <w:bidi w:val="0"/>
        <w:spacing w:before="0" w:after="240"/>
        <w:ind w:left="720" w:right="0" w:hanging="0"/>
        <w:jc w:val="both"/>
        <w:rPr/>
      </w:pPr>
      <w:r>
        <w:rPr/>
        <w:t>●</w:t>
      </w:r>
      <w:r>
        <w:rPr>
          <w:rFonts w:ascii="Times New Roman;Times;serif" w:hAnsi="Times New Roman;Times;serif"/>
          <w:sz w:val="24"/>
        </w:rPr>
        <w:t>A pending or proposed merger, acquisition or tender offer;</w:t>
      </w:r>
    </w:p>
    <w:p>
      <w:pPr>
        <w:pStyle w:val="TextBody"/>
        <w:bidi w:val="0"/>
        <w:spacing w:before="0" w:after="240"/>
        <w:ind w:left="720" w:right="0" w:hanging="0"/>
        <w:jc w:val="both"/>
        <w:rPr/>
      </w:pPr>
      <w:r>
        <w:rPr/>
        <w:t>●</w:t>
      </w:r>
      <w:r>
        <w:rPr>
          <w:rFonts w:ascii="Times New Roman;Times;serif" w:hAnsi="Times New Roman;Times;serif"/>
          <w:sz w:val="24"/>
        </w:rPr>
        <w:t>A pending or proposed joint venture or acquisition or disposition of a significant asset, or operating segment;</w:t>
      </w:r>
    </w:p>
    <w:p>
      <w:pPr>
        <w:pStyle w:val="TextBody"/>
        <w:bidi w:val="0"/>
        <w:spacing w:before="0" w:after="240"/>
        <w:ind w:left="720" w:right="0" w:hanging="0"/>
        <w:jc w:val="both"/>
        <w:rPr/>
      </w:pPr>
      <w:r>
        <w:rPr/>
        <w:t>●</w:t>
      </w:r>
      <w:r>
        <w:rPr>
          <w:rFonts w:ascii="Times New Roman;Times;serif" w:hAnsi="Times New Roman;Times;serif"/>
          <w:sz w:val="24"/>
        </w:rPr>
        <w:t>The placement or pay-down or pay-off of any significant debt instrument, amendments thereto, or compliance matters involving one or more debt instruments;</w:t>
      </w:r>
    </w:p>
    <w:p>
      <w:pPr>
        <w:pStyle w:val="TextBody"/>
        <w:bidi w:val="0"/>
        <w:spacing w:before="0" w:after="240"/>
        <w:ind w:left="720" w:right="0" w:hanging="0"/>
        <w:jc w:val="both"/>
        <w:rPr/>
      </w:pPr>
      <w:r>
        <w:rPr/>
        <w:t>●</w:t>
      </w:r>
      <w:r>
        <w:rPr>
          <w:rFonts w:ascii="Times New Roman;Times;serif" w:hAnsi="Times New Roman;Times;serif"/>
          <w:sz w:val="24"/>
        </w:rPr>
        <w:t>A change in executive management or composition of the Board of Directors;</w:t>
      </w:r>
    </w:p>
    <w:p>
      <w:pPr>
        <w:pStyle w:val="TextBody"/>
        <w:bidi w:val="0"/>
        <w:spacing w:before="0" w:after="240"/>
        <w:ind w:left="720" w:right="0" w:hanging="0"/>
        <w:jc w:val="both"/>
        <w:rPr/>
      </w:pPr>
      <w:r>
        <w:rPr/>
        <w:t>●</w:t>
      </w:r>
      <w:r>
        <w:rPr>
          <w:rFonts w:ascii="Times New Roman;Times;serif" w:hAnsi="Times New Roman;Times;serif"/>
          <w:sz w:val="24"/>
        </w:rPr>
        <w:t>Impending bankruptcy or the existence of severe liquidity problems;</w:t>
      </w:r>
    </w:p>
    <w:p>
      <w:pPr>
        <w:pStyle w:val="TextBody"/>
        <w:bidi w:val="0"/>
        <w:spacing w:before="0" w:after="240"/>
        <w:ind w:left="720" w:right="0" w:hanging="0"/>
        <w:jc w:val="both"/>
        <w:rPr/>
      </w:pPr>
      <w:r>
        <w:rPr/>
        <w:t>●</w:t>
      </w:r>
      <w:r>
        <w:rPr>
          <w:rFonts w:ascii="Times New Roman;Times;serif" w:hAnsi="Times New Roman;Times;serif"/>
          <w:sz w:val="24"/>
        </w:rPr>
        <w:t>Cybersecurity risks and incidents;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5</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720" w:right="0" w:hanging="0"/>
        <w:jc w:val="both"/>
        <w:rPr/>
      </w:pPr>
      <w:r>
        <w:rPr/>
        <w:t>●</w:t>
      </w:r>
      <w:r>
        <w:rPr>
          <w:rFonts w:ascii="Times New Roman;Times;serif" w:hAnsi="Times New Roman;Times;serif"/>
          <w:sz w:val="24"/>
        </w:rPr>
        <w:t>Changes in the independent public accountant or auditor of a company or auditor notification that a company may no longer rely on an audit report issued by the auditor;</w:t>
      </w:r>
    </w:p>
    <w:p>
      <w:pPr>
        <w:pStyle w:val="TextBody"/>
        <w:bidi w:val="0"/>
        <w:spacing w:before="0" w:after="240"/>
        <w:ind w:left="720" w:right="0" w:hanging="0"/>
        <w:jc w:val="both"/>
        <w:rPr/>
      </w:pPr>
      <w:r>
        <w:rPr/>
        <w:t>●</w:t>
      </w:r>
      <w:r>
        <w:rPr>
          <w:rFonts w:ascii="Times New Roman;Times;serif" w:hAnsi="Times New Roman;Times;serif"/>
          <w:sz w:val="24"/>
        </w:rPr>
        <w:t>Events regarding a company’s securities (e.g., defaults on senior securities, calls of securities for redemption, repurchase plans, stock splits or changes in dividends, changes to rights of security holders, public or private sales of additional securities or information related to any additional funding);</w:t>
      </w:r>
    </w:p>
    <w:p>
      <w:pPr>
        <w:pStyle w:val="TextBody"/>
        <w:bidi w:val="0"/>
        <w:spacing w:before="0" w:after="240"/>
        <w:ind w:left="720" w:right="0" w:hanging="0"/>
        <w:jc w:val="both"/>
        <w:rPr/>
      </w:pPr>
      <w:r>
        <w:rPr/>
        <w:t>●</w:t>
      </w:r>
      <w:r>
        <w:rPr>
          <w:rFonts w:ascii="Times New Roman;Times;serif" w:hAnsi="Times New Roman;Times;serif"/>
          <w:sz w:val="24"/>
        </w:rPr>
        <w:t>Regulatory approvals, denials or notifications of violation or non-compliance, or changes in regulations; or</w:t>
      </w:r>
    </w:p>
    <w:p>
      <w:pPr>
        <w:pStyle w:val="TextBody"/>
        <w:bidi w:val="0"/>
        <w:ind w:left="720" w:right="0" w:hanging="0"/>
        <w:jc w:val="both"/>
        <w:rPr/>
      </w:pPr>
      <w:r>
        <w:rPr/>
        <w:t>●</w:t>
      </w:r>
      <w:r>
        <w:rPr>
          <w:rFonts w:ascii="Times New Roman;Times;serif" w:hAnsi="Times New Roman;Times;serif"/>
          <w:sz w:val="24"/>
        </w:rPr>
        <w:t>Significant exposure due to actual or threatened litigation or other contingencies. Either favorable or unfavorable information may be deemed material.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Nonpublic information is information that has not been previously disclosed, and is otherwise not available, to the general public. In order for information to be considered public, it must be widely disseminated, in a manner which makes it generally available to all investors. The circulation of rumors, even if accurate and reported in the media, does not constitute effective or appropriate public dissemination. In addition, even after a public announcement of material information, a reasonable period of time must elapse in order for the market to react to the information. In order to ensure adequate public dissemination of information, directors, officers and employees of the Company may not engage in transactions in the Covered Securities until the close of business on the second Trading Day following the date of public disclosure of the Material Nonpublic Information.</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5. Certain Exceptions—Equity Incentive Plan Shares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purposes of this Policy, the Company considers the exercise of stock options under the Company’s or Alpine’s equity incentive plans to constitute an investment decision and thus would not be exempt from this Policy, even where the total option exercise price is paid in cash. However, upon the vesting of restricted stock under the Company’s or Alpine’s equity incentive plans, where such vesting is not a voluntary decision of the recipient of such award, then the tendering to the Company or Alpine, as applicable, of a portion of such shares to pay the payroll taxes resulting from such vesting would be exempt from this Policy and is therefore permitted.</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6. Pre-Cleared Trading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Rule 10b5-1 Plans.</w:t>
      </w:r>
      <w:r>
        <w:rPr>
          <w:rFonts w:ascii="Times New Roman;Times;serif" w:hAnsi="Times New Roman;Times;serif"/>
          <w:sz w:val="24"/>
        </w:rPr>
        <w:t xml:space="preserve">  Rule 10b5-1 (“Rule 10b5-1”) under the Exchange Act, provides a defense from insider trading liability if trades in Covered Securities occur pursuant to a pre-arranged “trading plan” that meets certain conditions specified in Rule 10b5-1 (a “Rule 10b5-1 Plan”), including, but not limited to: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2389" w:name="_Hlk124518628"/>
            <w:bookmarkEnd w:id="2389"/>
            <w:r>
              <w:rPr>
                <w:rFonts w:ascii="Times New Roman;Times;serif" w:hAnsi="Times New Roman;Times;serif"/>
                <w:b w:val="false"/>
                <w:i w:val="false"/>
                <w:caps w:val="false"/>
                <w:smallCaps w:val="false"/>
                <w:sz w:val="24"/>
              </w:rPr>
              <w:t>The Rule 10b5-1 Plan must have been entered into at a time when the Insider was not in possession of Material Nonpublic Information;</w:t>
            </w:r>
          </w:p>
        </w:tc>
      </w:tr>
    </w:tbl>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6</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include a written formula or algorithm, or computer program, for determining the amount of securities to be purchased or sold and the price at which and the date on which the securities were to be purchased or sold; or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Rule 10b5-1 Plan, did exercise such influence must not have been aware of Material Nonpublic Information when doing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 be entered into in good faith and not as part of a plan or scheme to evade the prohibitions of Rule 10b5-1, and the Insider must have acted in good faith with respect to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under the Exchange Act (“Rule 16a-1(f)”)) of the Company, no purchases or sales may occur until expiration of a cooling-off period consisting of the later of:</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90 days after the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two business days following the disclosure of the Company’s financial results in a Form 10-Q or Form 10-K for the completed fiscal quarter in which the Rule 10b5-1 Plan was adopted (but, in any event, this required cooling-off period is subject to a maximum of 120 days after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not a director or officer (as defined in Rule 16a-1(f)) of the Company, no purchases or sales may occur until the expiration of a cooling-off period that is 30 days after the adoption of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of the Company, such director or officer included a representation in the Rule 10b5-1 Plan certifying that, on the date of adoption of the Rule 10b5-1 Plan:</w:t>
            </w:r>
          </w:p>
        </w:tc>
      </w:tr>
    </w:tbl>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not aware of any Material Nonpublic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adopting the plan in good faith and not as part of a plan or scheme to evade the prohibitions of Rule 10b5-1;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person who entered into the Rule 10b5-1 Plan has no outstanding (and does not subsequently enter into any additional) Rule 10b5-1 Plan that would qualify for the affirmative defense under paragraph (c)(1) of Rule 10b5-1 for purchases or sales of the Company’s securities on the open market (subject to certain exceptions set forth in Rule 10b5-1).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7</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Additionally, Rule 10b5-1 limits the ability of Insiders to rely on the affirmative defense for a single-trade plan to one such plan during any consecutive 12-month period.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with a Rule 10b5-1 Plan that satisfies the applicable conditions set forth in Rule 10b5-1 may claim an affirmative defense to insider trading liability if the transactions under such Rule 10b5-1 Plan occur at a time when such Insider has subsequently learned Material Nonpublic Information. The details of the rules and regulations regarding 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Non-Rule 10b5-1 Plans.</w:t>
      </w:r>
      <w:r>
        <w:rPr>
          <w:rFonts w:ascii="Times New Roman;Times;serif" w:hAnsi="Times New Roman;Times;serif"/>
          <w:sz w:val="24"/>
        </w:rPr>
        <w:t xml:space="preserve">  In addition to the affirmative defense provided under Rule 10b5-1, Insiders may assert other defenses to liability under the Exchange Act for trades of Covered Securities that occur when an Insider is in possession of Material Nonpublic Information. Accordingly, Insiders may choose to establish trading plans that are not Rule 10b5-1 Plans (a “Non-Rule 10b5-1 Plan” and, collectively with Rule 10b5-1 Plans, “Trading Plans”).  Non-Rule 10b5-1 Plans must meet the requirements for a “non-Rule 10b5-1 trading arrangement” as defined in Item 408(c) of Regulation S-K under the Exchange Act,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 have been entered into at a time when the Insider was not in possession of Material Nonpublic Information; and</w:t>
            </w:r>
          </w:p>
        </w:tc>
      </w:tr>
    </w:tbl>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algorithm, or computer program, for determining the amount of securities to be purchased or sold and the price at which and the date on which the securities were to be purchased or sold;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non-Rule 10b5-1 trading arrangement, did exercise such influence must not have been aware of Material Nonpublic Information when doing so.</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rules and regulations regarding Non-Rule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Disclosure Requirements</w:t>
      </w:r>
      <w:r>
        <w:rPr>
          <w:rFonts w:ascii="Times New Roman;Times;serif" w:hAnsi="Times New Roman;Times;serif"/>
          <w:sz w:val="24"/>
        </w:rPr>
        <w:t>. The SEC has adopted certain disclosure requirements related to the use of Trading Plans, including with respect to the adoption and termination (including modification) of such plans. In addition, Forms 4 and 5 require filers to identify transactions made pursuant to Rule 10b5-1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Pre-Clearance of Trading Plans.</w:t>
      </w:r>
      <w:r>
        <w:rPr>
          <w:rFonts w:ascii="Times New Roman;Times;serif" w:hAnsi="Times New Roman;Times;serif"/>
          <w:sz w:val="24"/>
        </w:rPr>
        <w:t xml:space="preserve">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Any person subject to the pre-clearance requirements set forth in Section 3 of this Policy who wishes to implement, amend, modify, or terminate a Trading Plan (a “Trading Plan Action”) must first pre-clear the proposed Trading Plan Action with the Compliance Officer (such Trading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8</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Plan Action, as cleared by the Compliance Officer, a “Pre-Cleared Trading Plan”). To ensure compliance, pre-clearance may require inquiry by the Compliance Officer and clearance may require up to 24 hours under normal circumstances. Transactions that comply with a properly implemented Pre-Cleared Trading Plan will not require further pre-clearance at the time of the transaction. A purchase or sale of Covered Securities in accordance with a properly implemented Pre-Cleared Trading Plan shall not be deemed to be a violation of this Policy even though such trade takes place during a blackout period or while the director, officer or employee making such trade was aware of Material Nonpublic Information. Notwithstanding any pre-clearance of a Trading Plan Action, the Company, its officers and directors assume no liability for the consequences of any transaction made pursuant to a Pre-Cleared Trading Plan.</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7. Additional Information - Directors and Officers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Directors and executive officers of the Company must also comply with the reporting obligations and limitations on short-swing transactions set forth in Section 16 of the Exchange Act. The practical effect of these provisions is that directors and officers who purchase and sell (or sell and purchase) the Covered Securities within a six-month period must disgorge all profits to the Company whether or not they had knowledge of any Material Nonpublic Information. Under these provisions, and so long as certain other criteria are met, neither the receipt of an option under the Company’s or Alpine’s equity incentive plan(s), nor the exercise of that option is deemed a purchase under Section 16 of the Exchange Act; however, the sale of any such underlying shares is a sale under Section 16 of the Exchange Act. Moreover, no director or officer may ever make a short sale of the Company’s or Alpine’s common stock. The Company has provided, or will provide, separate memoranda and other appropriate materials to its directors and officers regarding compliance with Section 16 of the Exchange Act and its related rules.</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8. Inquiries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Please direct your questions as to any of the provisions or procedures discussed in this Policy to the Compliance Officer. The Compliance Officer has full and exclusive power to construe and interpret this Policy.</w:t>
      </w:r>
    </w:p>
    <w:p>
      <w:pPr>
        <w:pStyle w:val="TextBody"/>
        <w:bidi w:val="0"/>
        <w:spacing w:before="0" w:after="240"/>
        <w:ind w:left="0" w:right="0" w:firstLine="720"/>
        <w:jc w:val="center"/>
        <w:rPr>
          <w:rFonts w:ascii="Times New Roman;Times;serif" w:hAnsi="Times New Roman;Times;serif"/>
          <w:b/>
          <w:sz w:val="24"/>
        </w:rPr>
      </w:pPr>
      <w:r>
        <w:rPr>
          <w:rFonts w:ascii="Times New Roman;Times;serif" w:hAnsi="Times New Roman;Times;serif"/>
          <w:b/>
          <w:sz w:val="24"/>
        </w:rPr>
        <w:t>9. Updates and Amendments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reserves the right to update or amend this Policy at any time.</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9</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B​</w:t>
        <w:br/>
        <w:t>​</w:t>
        <w:b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Directors and Officers who are subject to the reporting and penalty provisions of Section 16 of the Securities Exchange Act of 1934, as amended, and the rules and regulations promulgated thereunder, include the following:</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John P. AlbrightDirector, President &amp; Chief Executive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Philip R. MaysSenior Vice President, Chief Financial Officer &amp;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Daniel E. SmithSenior Vice President, General Counsel &amp; Corporate Secretary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Steven R. GreathouseSenior Vice President &amp; Chief Investment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Lisa M. VorakounSenior Vice President &amp; Chief Accounting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George R. BrokawDirector, Vice Chairman of the Board</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Christopher J. DrewDirector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Laura M. FranklinDirector, Chairman of the Board</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R. Blakeslee GableDirector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Christopher W. HagaDirector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Last Amended: February 11,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Last Reviewed: February 11, 2026</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B, Page 1</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0" w:name="cto-20251231xex21d1.htm"/>
      <w:bookmarkStart w:id="2391" w:name="kscto20251231xex21d1"/>
      <w:bookmarkEnd w:id="2390"/>
      <w:bookmarkEnd w:id="2391"/>
      <w:r>
        <w:rPr>
          <w:rFonts w:ascii="Times New Roman;Times;serif" w:hAnsi="Times New Roman;Times;serif"/>
          <w:b/>
          <w:sz w:val="20"/>
        </w:rPr>
        <w:t>Exhibit 21.1</w:t>
      </w:r>
      <w:r>
        <w:br w:type="page"/>
      </w:r>
    </w:p>
    <w:p>
      <w:pPr>
        <w:pStyle w:val="TextBody"/>
        <w:bidi w:val="0"/>
        <w:spacing w:lineRule="auto" w:line="285" w:before="100" w:after="100"/>
        <w:ind w:left="0" w:right="0" w:hanging="0"/>
        <w:jc w:val="right"/>
        <w:rPr/>
      </w:pPr>
      <w:r>
        <w:rPr/>
        <w:t>​</w:t>
      </w:r>
    </w:p>
    <w:p>
      <w:pPr>
        <w:pStyle w:val="TextBody"/>
        <w:bidi w:val="0"/>
        <w:spacing w:lineRule="auto" w:line="285" w:before="0" w:after="0"/>
        <w:ind w:left="0" w:right="0" w:firstLine="490"/>
        <w:jc w:val="both"/>
        <w:rPr>
          <w:rFonts w:ascii="Times New Roman;Times;serif" w:hAnsi="Times New Roman;Times;serif"/>
          <w:b/>
          <w:sz w:val="20"/>
        </w:rPr>
      </w:pPr>
      <w:r>
        <w:rPr>
          <w:rFonts w:ascii="Times New Roman;Times;serif" w:hAnsi="Times New Roman;Times;serif"/>
          <w:b/>
          <w:sz w:val="20"/>
        </w:rPr>
        <w:t>Subsidiaries of the Registrant: CTO Realty Growth, Inc.</w:t>
      </w:r>
    </w:p>
    <w:p>
      <w:pPr>
        <w:pStyle w:val="TextBody"/>
        <w:bidi w:val="0"/>
        <w:spacing w:lineRule="auto" w:line="285" w:before="0" w:after="0"/>
        <w:ind w:left="0" w:right="0" w:firstLine="490"/>
        <w:jc w:val="both"/>
        <w:rPr>
          <w:rFonts w:ascii="Times New Roman;Times;serif" w:hAnsi="Times New Roman;Times;serif"/>
          <w:sz w:val="18"/>
        </w:rPr>
      </w:pPr>
      <w:r>
        <w:rPr>
          <w:rFonts w:ascii="Times New Roman;Times;serif" w:hAnsi="Times New Roman;Times;serif"/>
          <w:b/>
          <w:sz w:val="20"/>
        </w:rPr>
        <w:t xml:space="preserve">as of December 31, 2025: </w:t>
      </w:r>
      <w:r>
        <w:rPr>
          <w:rFonts w:ascii="Times New Roman;Times;serif" w:hAnsi="Times New Roman;Times;serif"/>
          <w:sz w:val="18"/>
        </w:rPr>
        <w:t> </w:t>
      </w:r>
    </w:p>
    <w:p>
      <w:pPr>
        <w:pStyle w:val="TextBody"/>
        <w:bidi w:val="0"/>
        <w:spacing w:lineRule="auto" w:line="285"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3656"/>
        <w:gridCol w:w="109"/>
        <w:gridCol w:w="1806"/>
        <w:gridCol w:w="109"/>
        <w:gridCol w:w="4064"/>
        <w:gridCol w:w="461"/>
      </w:tblGrid>
      <w:tr>
        <w:trPr/>
        <w:tc>
          <w:tcPr>
            <w:tcW w:w="36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146810" cy="175260"/>
                      <wp:effectExtent l="0" t="0" r="0" b="0"/>
                      <wp:wrapNone/>
                      <wp:docPr id="613" name="Frame612"/>
                      <a:graphic xmlns:a="http://schemas.openxmlformats.org/drawingml/2006/main">
                        <a:graphicData uri="http://schemas.microsoft.com/office/word/2010/wordprocessingShape">
                          <wps:wsp>
                            <wps:cNvSpPr txBox="1"/>
                            <wps:spPr>
                              <a:xfrm>
                                <a:off x="0" y="0"/>
                                <a:ext cx="1146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580640" cy="175260"/>
                      <wp:effectExtent l="0" t="0" r="0" b="0"/>
                      <wp:wrapNone/>
                      <wp:docPr id="614" name="Frame613"/>
                      <a:graphic xmlns:a="http://schemas.openxmlformats.org/drawingml/2006/main">
                        <a:graphicData uri="http://schemas.microsoft.com/office/word/2010/wordprocessingShape">
                          <wps:wsp>
                            <wps:cNvSpPr txBox="1"/>
                            <wps:spPr>
                              <a:xfrm>
                                <a:off x="0" y="0"/>
                                <a:ext cx="2580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bottom w:val="single" w:sz="1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Organized Under Laws of</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bottom w:val="single" w:sz="1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Percentage of Voting Securities Owned by Immediate Parent</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Alpine Income Property Manager,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 TRS Crisp39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 TRS Mitigation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 TRS TBMB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CTO16 Atlantic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CTO17 Westcliff TX LLC (f/k/a CTO17 Westcliff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CTO18 Albuquerque NM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CTO18 Jacksonville FL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Oceanside NY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Reston VA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Strand Jax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Crossroads AZ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Hialeah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Perimeter II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Perimeter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Tampa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Acquisitions II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Acquisitions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AL Outparcel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Apex LLC (f/k/a CTO20 Falls Centre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Buford 1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Exchange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Santa Fe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Winter Park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Forsyth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Madison Yards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Short Pump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Waterstar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Watters Creek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CTO23 Founder DAL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CTO23 Rockwall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Brandon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Carolina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Forsyth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Hypoluxo LLC (f/k/a CTO20 Santa Fe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Millenia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CTO24 MSTC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CTO25 Main Street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Daytona JV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Beach Land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 Street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Mainland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(3)(8)</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Mainland Two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IGI18 Back 40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IGI20 Crossroads AZ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IGI20 Tampa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IGI21 Katy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IGL20 Tampa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Development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Group Inc.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Group Ltd. (A Limited Partnership)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LHC15 Atlantic DB JV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LHC15 Riverside FL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Palms Del Mar Inc.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Tomoka24 Granada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Tomoka24 Rivana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6327" w:type="dxa"/>
        <w:jc w:val="left"/>
        <w:tblInd w:w="0" w:type="dxa"/>
        <w:tblLayout w:type="fixed"/>
        <w:tblCellMar>
          <w:top w:w="0" w:type="dxa"/>
          <w:left w:w="0" w:type="dxa"/>
          <w:bottom w:w="0" w:type="dxa"/>
          <w:right w:w="0" w:type="dxa"/>
        </w:tblCellMar>
      </w:tblPr>
      <w:tblGrid>
        <w:gridCol w:w="4501"/>
        <w:gridCol w:w="109"/>
        <w:gridCol w:w="781"/>
        <w:gridCol w:w="109"/>
        <w:gridCol w:w="511"/>
        <w:gridCol w:w="316"/>
      </w:tblGrid>
      <w:tr>
        <w:trPr/>
        <w:tc>
          <w:tcPr>
            <w:tcW w:w="450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Tomoka25 Ashley Park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501"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Tomoka25 Las Palmas LLC (f/k/a CTO23 Forsyth Land LLC</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501"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Tomoka25 Pompano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501"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Tomoka Ag Inc. </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3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bl>
    <w:p>
      <w:pPr>
        <w:pStyle w:val="TextBody"/>
        <w:bidi w:val="0"/>
        <w:spacing w:lineRule="auto" w:line="285" w:before="100" w:after="100"/>
        <w:ind w:left="0" w:right="0" w:hanging="0"/>
        <w:jc w:val="both"/>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(1)</w:t>
            </w:r>
          </w:p>
        </w:tc>
        <w:tc>
          <w:tcPr>
            <w:tcW w:w="10048"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CTO Realty Growth, Inc. is a limited partner of Indigo Group Ltd., and owns 93.475% of the total partnership equity. Palms Del Mar, Inc. is the other limited partner and owns 5.065% of the total partnership equity. Indigo Group Inc. is the managing general partner and owns 1.46% of the partnership equity. </w:t>
            </w:r>
          </w:p>
        </w:tc>
      </w:tr>
    </w:tbl>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(2)</w:t>
            </w:r>
          </w:p>
        </w:tc>
        <w:tc>
          <w:tcPr>
            <w:tcW w:w="4400"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Tomoka Ag Inc. is 100% owned by Indigo Group Inc. </w:t>
            </w:r>
          </w:p>
        </w:tc>
      </w:tr>
    </w:tbl>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(3)</w:t>
            </w:r>
          </w:p>
        </w:tc>
        <w:tc>
          <w:tcPr>
            <w:tcW w:w="3320"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CTO Realty Growth, Inc. is the Member. </w:t>
            </w:r>
          </w:p>
        </w:tc>
      </w:tr>
    </w:tbl>
    <w:tbl>
      <w:tblPr>
        <w:tblW w:w="3775" w:type="dxa"/>
        <w:jc w:val="left"/>
        <w:tblInd w:w="0" w:type="dxa"/>
        <w:tblLayout w:type="fixed"/>
        <w:tblCellMar>
          <w:top w:w="0" w:type="dxa"/>
          <w:left w:w="0" w:type="dxa"/>
          <w:bottom w:w="0" w:type="dxa"/>
          <w:right w:w="0" w:type="dxa"/>
        </w:tblCellMar>
      </w:tblPr>
      <w:tblGrid>
        <w:gridCol w:w="185"/>
        <w:gridCol w:w="359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(6)</w:t>
            </w:r>
          </w:p>
        </w:tc>
        <w:tc>
          <w:tcPr>
            <w:tcW w:w="359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Indigo Group Inc. is the Managing Member.</w:t>
            </w:r>
          </w:p>
        </w:tc>
      </w:tr>
    </w:tbl>
    <w:tbl>
      <w:tblPr>
        <w:tblW w:w="8995" w:type="dxa"/>
        <w:jc w:val="left"/>
        <w:tblInd w:w="0" w:type="dxa"/>
        <w:tblLayout w:type="fixed"/>
        <w:tblCellMar>
          <w:top w:w="0" w:type="dxa"/>
          <w:left w:w="0" w:type="dxa"/>
          <w:bottom w:w="0" w:type="dxa"/>
          <w:right w:w="0" w:type="dxa"/>
        </w:tblCellMar>
      </w:tblPr>
      <w:tblGrid>
        <w:gridCol w:w="185"/>
        <w:gridCol w:w="881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(7)</w:t>
            </w:r>
          </w:p>
        </w:tc>
        <w:tc>
          <w:tcPr>
            <w:tcW w:w="881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 xml:space="preserve">LHC15 Atlantic DB JV LLC is the 50% Managing Member. CTO16 Atlantic LLC is the other 50% Member. </w:t>
            </w:r>
          </w:p>
        </w:tc>
      </w:tr>
    </w:tbl>
    <w:tbl>
      <w:tblPr>
        <w:tblW w:w="6400" w:type="dxa"/>
        <w:jc w:val="left"/>
        <w:tblInd w:w="0" w:type="dxa"/>
        <w:tblLayout w:type="fixed"/>
        <w:tblCellMar>
          <w:top w:w="0" w:type="dxa"/>
          <w:left w:w="0" w:type="dxa"/>
          <w:bottom w:w="0" w:type="dxa"/>
          <w:right w:w="0" w:type="dxa"/>
        </w:tblCellMar>
      </w:tblPr>
      <w:tblGrid>
        <w:gridCol w:w="185"/>
        <w:gridCol w:w="6215"/>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(8)</w:t>
            </w:r>
          </w:p>
        </w:tc>
        <w:tc>
          <w:tcPr>
            <w:tcW w:w="6215"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Formerly known as DB LAND LLC, formerly known as CTO17 Atlanta LLC.</w:t>
            </w:r>
          </w:p>
        </w:tc>
      </w:tr>
    </w:tbl>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(9)</w:t>
            </w:r>
          </w:p>
        </w:tc>
        <w:tc>
          <w:tcPr>
            <w:tcW w:w="332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CTO TRS CRISP 39 LLC is the Member.</w:t>
            </w:r>
          </w:p>
        </w:tc>
      </w:tr>
    </w:tbl>
    <w:tbl>
      <w:tblPr>
        <w:tblW w:w="4015" w:type="dxa"/>
        <w:jc w:val="left"/>
        <w:tblInd w:w="0" w:type="dxa"/>
        <w:tblLayout w:type="fixed"/>
        <w:tblCellMar>
          <w:top w:w="0" w:type="dxa"/>
          <w:left w:w="0" w:type="dxa"/>
          <w:bottom w:w="0" w:type="dxa"/>
          <w:right w:w="0" w:type="dxa"/>
        </w:tblCellMar>
      </w:tblPr>
      <w:tblGrid>
        <w:gridCol w:w="260"/>
        <w:gridCol w:w="3755"/>
      </w:tblGrid>
      <w:tr>
        <w:trPr/>
        <w:tc>
          <w:tcPr>
            <w:tcW w:w="260"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(10)</w:t>
            </w:r>
          </w:p>
        </w:tc>
        <w:tc>
          <w:tcPr>
            <w:tcW w:w="3755"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Indigo Group LTD is the Managing Member.  </w:t>
            </w:r>
          </w:p>
        </w:tc>
      </w:tr>
    </w:tbl>
    <w:p>
      <w:pPr>
        <w:pStyle w:val="TextBody"/>
        <w:pBdr/>
        <w:bidi w:val="0"/>
        <w:spacing w:lineRule="auto" w:line="285" w:before="100" w:after="100"/>
        <w:ind w:left="0" w:right="0" w:hanging="490"/>
        <w:jc w:val="left"/>
        <w:rPr/>
      </w:pPr>
      <w:r>
        <w:rPr/>
        <w:t>​</w:t>
      </w:r>
    </w:p>
    <w:p>
      <w:pPr>
        <w:pStyle w:val="TextBody"/>
        <w:pBdr/>
        <w:bidi w:val="0"/>
        <w:spacing w:lineRule="auto" w:line="285" w:before="100" w:after="100"/>
        <w:ind w:left="0" w:right="0" w:hanging="490"/>
        <w:jc w:val="left"/>
        <w:rPr/>
      </w:pPr>
      <w:r>
        <w:rPr/>
        <w:t>​</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All subsidiaries are included in the Consolidated Financial Statements of the Company and its subsidiaries appearing elsewhere herein.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392" w:name="cto-20251231xex23d1.htm"/>
      <w:bookmarkStart w:id="2393" w:name="kscto20251231xex23d1"/>
      <w:bookmarkEnd w:id="2392"/>
      <w:bookmarkEnd w:id="2393"/>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23.1 </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Consent of Independent Registered Public Accounting Firm </w:t>
      </w:r>
    </w:p>
    <w:p>
      <w:pPr>
        <w:pStyle w:val="TextBody"/>
        <w:bidi w:val="0"/>
        <w:spacing w:before="100" w:after="10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 dated February 19, 2026 with respect to the consolidated financial statements and internal control over financial reporting included in the Annual Report of CTO Realty Growth, Inc. on Form 10-K for the year ended December 31, 2025. We consent to the incorporation by reference of said reports in the Registration Statements of CTO Realty Growth, Inc. on Forms S-3 (File No. 333-282678 and File No. 333- 249209) and Forms S-8 (File No. 333-168379, File No. 333-176162, File No. 333-204875, File No. 333- 227885 and File No. 333- 274744).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/s/ GRANT THORNTON LLP </w:t>
      </w:r>
    </w:p>
    <w:p>
      <w:pPr>
        <w:pStyle w:val="TextBody"/>
        <w:bidi w:val="0"/>
        <w:spacing w:before="100" w:after="100"/>
        <w:ind w:left="0" w:right="0" w:hanging="0"/>
        <w:jc w:val="left"/>
        <w:rPr/>
      </w:pPr>
      <w: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Charlotte, North Carolina</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February 19, 2026</w:t>
      </w:r>
    </w:p>
    <w:p>
      <w:pPr>
        <w:pStyle w:val="TextBody"/>
        <w:bidi w:val="0"/>
        <w:spacing w:before="240" w:after="547"/>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4" w:name="cto-20251231xex31d1.htm"/>
      <w:bookmarkStart w:id="2395" w:name="kscto20251231xex31d1"/>
      <w:bookmarkEnd w:id="2394"/>
      <w:bookmarkEnd w:id="2395"/>
      <w:r>
        <w:rPr>
          <w:rFonts w:ascii="Times New Roman;Times;serif" w:hAnsi="Times New Roman;Times;serif"/>
          <w:b/>
          <w:sz w:val="20"/>
        </w:rPr>
        <w:t xml:space="preserve">Exhibit 31.1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CERTIFICATIONS </w:t>
      </w:r>
    </w:p>
    <w:p>
      <w:pPr>
        <w:pStyle w:val="TextBody"/>
        <w:bidi w:val="0"/>
        <w:spacing w:lineRule="auto" w:line="285" w:before="240" w:after="0"/>
        <w:ind w:left="0" w:right="0" w:hanging="0"/>
        <w:jc w:val="both"/>
        <w:rPr>
          <w:rFonts w:ascii="Times New Roman;Times;serif" w:hAnsi="Times New Roman;Times;serif"/>
          <w:sz w:val="20"/>
        </w:rPr>
      </w:pPr>
      <w:r>
        <w:rPr>
          <w:rFonts w:ascii="Times New Roman;Times;serif" w:hAnsi="Times New Roman;Times;serif"/>
          <w:sz w:val="20"/>
        </w:rPr>
        <w:t xml:space="preserve">I, John P. Albright, certify that: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1.       I have reviewed this annual report on Form 10-K of CTO Realty Growth, Inc.;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 </w:t>
      </w:r>
    </w:p>
    <w:tbl>
      <w:tblPr>
        <w:tblW w:w="5969" w:type="dxa"/>
        <w:jc w:val="center"/>
        <w:tblInd w:w="0" w:type="dxa"/>
        <w:tblLayout w:type="fixed"/>
        <w:tblCellMar>
          <w:top w:w="0" w:type="dxa"/>
          <w:left w:w="0" w:type="dxa"/>
          <w:bottom w:w="0" w:type="dxa"/>
          <w:right w:w="0" w:type="dxa"/>
        </w:tblCellMar>
      </w:tblPr>
      <w:tblGrid>
        <w:gridCol w:w="2086"/>
        <w:gridCol w:w="146"/>
        <w:gridCol w:w="406"/>
        <w:gridCol w:w="333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24610" cy="175260"/>
                      <wp:effectExtent l="0" t="0" r="0" b="0"/>
                      <wp:wrapNone/>
                      <wp:docPr id="615" name="Frame614"/>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57810" cy="175260"/>
                      <wp:effectExtent l="0" t="0" r="0" b="0"/>
                      <wp:wrapNone/>
                      <wp:docPr id="616" name="Frame6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15185" cy="175260"/>
                      <wp:effectExtent l="0" t="0" r="0" b="0"/>
                      <wp:wrapNone/>
                      <wp:docPr id="617" name="Frame616"/>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20"/>
              </w:rPr>
              <w:t>/s/    J</w:t>
            </w:r>
            <w:r>
              <w:rPr>
                <w:rFonts w:ascii="Times New Roman;Times;serif" w:hAnsi="Times New Roman;Times;serif"/>
                <w:sz w:val="15"/>
              </w:rPr>
              <w:t>OHN</w:t>
            </w:r>
            <w:r>
              <w:rPr>
                <w:rFonts w:ascii="Times New Roman;Times;serif" w:hAnsi="Times New Roman;Times;serif"/>
                <w:sz w:val="14"/>
              </w:rPr>
              <w:t xml:space="preserve"> </w:t>
            </w:r>
            <w:r>
              <w:rPr>
                <w:rFonts w:ascii="Times New Roman;Times;serif" w:hAnsi="Times New Roman;Times;serif"/>
                <w:sz w:val="20"/>
              </w:rPr>
              <w:t>P. A</w:t>
            </w:r>
            <w:r>
              <w:rPr>
                <w:rFonts w:ascii="Times New Roman;Times;serif" w:hAnsi="Times New Roman;Times;serif"/>
                <w:sz w:val="15"/>
              </w:rPr>
              <w:t>LBRIGHT</w:t>
            </w:r>
          </w:p>
        </w:tc>
      </w:tr>
      <w:tr>
        <w:trPr/>
        <w:tc>
          <w:tcPr>
            <w:tcW w:w="2086" w:type="dxa"/>
            <w:tcBorders/>
            <w:vAlign w:val="center"/>
          </w:tcPr>
          <w:p>
            <w:pPr>
              <w:pStyle w:val="TableContents"/>
              <w:bidi w:val="0"/>
              <w:spacing w:lineRule="auto" w:line="285" w:before="0" w:after="0"/>
              <w:ind w:left="0" w:right="0" w:hanging="0"/>
              <w:jc w:val="both"/>
              <w:rPr/>
            </w:pPr>
            <w:r>
              <w:rPr/>
              <w:t>​</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tLeast" w:line="142" w:before="0" w:after="0"/>
              <w:ind w:left="0" w:right="0" w:hanging="0"/>
              <w:jc w:val="both"/>
              <w:rPr/>
            </w:pPr>
            <w:r>
              <w:rPr/>
              <w:t> </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2086" w:type="dxa"/>
            <w:tcBorders/>
            <w:vAlign w:val="center"/>
          </w:tcPr>
          <w:p>
            <w:pPr>
              <w:pStyle w:val="TableContents"/>
              <w:bidi w:val="0"/>
              <w:spacing w:lineRule="auto" w:line="285" w:before="0" w:after="0"/>
              <w:ind w:left="0" w:right="0" w:hanging="0"/>
              <w:jc w:val="both"/>
              <w:rPr/>
            </w:pPr>
            <w:r>
              <w:rPr/>
              <w:t>​</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tLeast" w:line="142" w:before="0" w:after="0"/>
              <w:ind w:left="0" w:right="0" w:hanging="0"/>
              <w:jc w:val="both"/>
              <w:rPr/>
            </w:pPr>
            <w:r>
              <w:rPr/>
              <w:t> </w:t>
            </w:r>
          </w:p>
        </w:tc>
        <w:tc>
          <w:tcPr>
            <w:tcW w:w="33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6" w:name="cto-20251231xex31d2.htm"/>
      <w:bookmarkStart w:id="2397" w:name="kscto20251231xex31d2"/>
      <w:bookmarkEnd w:id="2396"/>
      <w:bookmarkEnd w:id="2397"/>
      <w:r>
        <w:rPr>
          <w:rFonts w:ascii="Times New Roman;Times;serif" w:hAnsi="Times New Roman;Times;serif"/>
          <w:b/>
          <w:sz w:val="20"/>
        </w:rPr>
        <w:t xml:space="preserve">Exhibit 31.2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CERTIFICATIONS </w:t>
      </w:r>
    </w:p>
    <w:p>
      <w:pPr>
        <w:pStyle w:val="TextBody"/>
        <w:bidi w:val="0"/>
        <w:spacing w:lineRule="auto" w:line="285" w:before="240" w:after="0"/>
        <w:ind w:left="0" w:right="0" w:hanging="0"/>
        <w:jc w:val="both"/>
        <w:rPr>
          <w:rFonts w:ascii="Times New Roman;Times;serif" w:hAnsi="Times New Roman;Times;serif"/>
          <w:sz w:val="20"/>
        </w:rPr>
      </w:pPr>
      <w:r>
        <w:rPr>
          <w:rFonts w:ascii="Times New Roman;Times;serif" w:hAnsi="Times New Roman;Times;serif"/>
          <w:sz w:val="20"/>
        </w:rPr>
        <w:t xml:space="preserve">I, Philip R. Mays, certify that: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1.       I have reviewed this annual report on Form 10-K of CTO Realty Growth, Inc.;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bidi w:val="0"/>
        <w:spacing w:lineRule="auto" w:line="285" w:before="120" w:after="0"/>
        <w:ind w:left="489" w:right="0" w:hanging="490"/>
        <w:jc w:val="both"/>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bidi w:val="0"/>
        <w:spacing w:lineRule="auto" w:line="285" w:before="120" w:after="0"/>
        <w:ind w:left="489" w:right="0" w:hanging="490"/>
        <w:jc w:val="both"/>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100" w:after="100"/>
        <w:ind w:left="0" w:right="0" w:hanging="0"/>
        <w:jc w:val="left"/>
        <w:rPr/>
      </w:pPr>
      <w:r>
        <w:rPr/>
        <w:t>​</w:t>
      </w:r>
    </w:p>
    <w:tbl>
      <w:tblPr>
        <w:tblW w:w="7919" w:type="dxa"/>
        <w:jc w:val="center"/>
        <w:tblInd w:w="0" w:type="dxa"/>
        <w:tblLayout w:type="fixed"/>
        <w:tblCellMar>
          <w:top w:w="0" w:type="dxa"/>
          <w:left w:w="0" w:type="dxa"/>
          <w:bottom w:w="0" w:type="dxa"/>
          <w:right w:w="0" w:type="dxa"/>
        </w:tblCellMar>
      </w:tblPr>
      <w:tblGrid>
        <w:gridCol w:w="2086"/>
        <w:gridCol w:w="146"/>
        <w:gridCol w:w="406"/>
        <w:gridCol w:w="528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24610" cy="175260"/>
                      <wp:effectExtent l="0" t="0" r="0" b="0"/>
                      <wp:wrapNone/>
                      <wp:docPr id="618" name="Frame617"/>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3353435" cy="175260"/>
                      <wp:effectExtent l="0" t="0" r="0" b="0"/>
                      <wp:wrapNone/>
                      <wp:docPr id="619" name="Frame618"/>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19, 2026</w:t>
            </w:r>
          </w:p>
        </w:tc>
        <w:tc>
          <w:tcPr>
            <w:tcW w:w="146" w:type="dxa"/>
            <w:tcBorders/>
            <w:vAlign w:val="center"/>
          </w:tcPr>
          <w:p>
            <w:pPr>
              <w:pStyle w:val="TableContents"/>
              <w:bidi w:val="0"/>
              <w:spacing w:lineRule="atLeast" w:line="142"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Philip R. Mays</w:t>
            </w:r>
          </w:p>
        </w:tc>
      </w:tr>
      <w:tr>
        <w:trPr/>
        <w:tc>
          <w:tcPr>
            <w:tcW w:w="2086"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406" w:type="dxa"/>
            <w:tcBorders/>
            <w:vAlign w:val="center"/>
          </w:tcPr>
          <w:p>
            <w:pPr>
              <w:pStyle w:val="TableContents"/>
              <w:bidi w:val="0"/>
              <w:spacing w:lineRule="atLeast" w:line="142" w:before="0" w:after="0"/>
              <w:ind w:left="0" w:right="0" w:hanging="0"/>
              <w:jc w:val="left"/>
              <w:rPr/>
            </w:pPr>
            <w:r>
              <w:rPr/>
              <w:t> </w:t>
            </w:r>
          </w:p>
        </w:tc>
        <w:tc>
          <w:tcPr>
            <w:tcW w:w="528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8" w:name="cto-20251231xex32d1.htm"/>
      <w:bookmarkStart w:id="2399" w:name="kscto20251231xex32d1"/>
      <w:bookmarkEnd w:id="2398"/>
      <w:bookmarkEnd w:id="2399"/>
      <w:r>
        <w:rPr>
          <w:rFonts w:ascii="Times New Roman;Times;serif" w:hAnsi="Times New Roman;Times;serif"/>
          <w:b/>
          <w:sz w:val="20"/>
        </w:rPr>
        <w:t xml:space="preserve">Exhibit 32.1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connection with the Annual Report of CTO Realty Growth, Inc. (the “Company”) on Form 10-K for the year ended December 31, 2025, as filed with the Securities and Exchange Commission on the date hereof (the “Report”), I, John P. Albright, President and Chief Executive Officer of the Company, certify, pursuant to 18 U.S.C. Section 1350, as adopted pursuant to Section 906 of the Sarbanes-Oxley Act of 2002, that: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(1)     The Report fully complies with the requirements of Section 13(a) or 15(d) of the Securities Exchange Act of 1934;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(2)     The information contained in the Report fairly presents, in all material respects, the financial condition and results of operations of the Company. </w:t>
      </w:r>
    </w:p>
    <w:p>
      <w:pPr>
        <w:pStyle w:val="TextBody"/>
        <w:bidi w:val="0"/>
        <w:spacing w:lineRule="auto" w:line="285" w:before="100" w:after="100"/>
        <w:ind w:left="0" w:right="0" w:hanging="0"/>
        <w:jc w:val="left"/>
        <w:rPr/>
      </w:pPr>
      <w:r>
        <w:rPr/>
        <w:t>​</w:t>
      </w:r>
    </w:p>
    <w:tbl>
      <w:tblPr>
        <w:tblW w:w="5046" w:type="dxa"/>
        <w:jc w:val="center"/>
        <w:tblInd w:w="0" w:type="dxa"/>
        <w:tblLayout w:type="fixed"/>
        <w:tblCellMar>
          <w:top w:w="0" w:type="dxa"/>
          <w:left w:w="0" w:type="dxa"/>
          <w:bottom w:w="0" w:type="dxa"/>
          <w:right w:w="0" w:type="dxa"/>
        </w:tblCellMar>
      </w:tblPr>
      <w:tblGrid>
        <w:gridCol w:w="1606"/>
        <w:gridCol w:w="109"/>
        <w:gridCol w:w="3331"/>
      </w:tblGrid>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20"/>
              </w:rPr>
              <w:t>/s/   J</w:t>
            </w:r>
            <w:r>
              <w:rPr>
                <w:rFonts w:ascii="Times New Roman;Times;serif" w:hAnsi="Times New Roman;Times;serif"/>
                <w:sz w:val="15"/>
              </w:rPr>
              <w:t>OHN</w:t>
            </w:r>
            <w:r>
              <w:rPr>
                <w:rFonts w:ascii="Times New Roman;Times;serif" w:hAnsi="Times New Roman;Times;serif"/>
                <w:sz w:val="14"/>
              </w:rPr>
              <w:t xml:space="preserve"> </w:t>
            </w:r>
            <w:r>
              <w:rPr>
                <w:rFonts w:ascii="Times New Roman;Times;serif" w:hAnsi="Times New Roman;Times;serif"/>
                <w:sz w:val="20"/>
              </w:rPr>
              <w:t>P. A</w:t>
            </w:r>
            <w:r>
              <w:rPr>
                <w:rFonts w:ascii="Times New Roman;Times;serif" w:hAnsi="Times New Roman;Times;serif"/>
                <w:sz w:val="15"/>
              </w:rPr>
              <w:t>LBRIGHT</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400" w:name="cto-20251231xex32d2.htm"/>
      <w:bookmarkStart w:id="2401" w:name="kscto20251231xex32d2"/>
      <w:bookmarkEnd w:id="2400"/>
      <w:bookmarkEnd w:id="2401"/>
      <w:r>
        <w:rPr>
          <w:rFonts w:ascii="Times New Roman;Times;serif" w:hAnsi="Times New Roman;Times;serif"/>
          <w:b/>
          <w:sz w:val="20"/>
        </w:rPr>
        <w:t xml:space="preserve">Exhibit 32.2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connection with the Annual Report of CTO Realty Growth, Inc. (the “Company”) on Form 10-K for the year ended December 31,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 </w:t>
      </w:r>
    </w:p>
    <w:tbl>
      <w:tblPr>
        <w:tblW w:w="9903" w:type="dxa"/>
        <w:jc w:val="left"/>
        <w:tblInd w:w="0" w:type="dxa"/>
        <w:tblLayout w:type="fixed"/>
        <w:tblCellMar>
          <w:top w:w="0" w:type="dxa"/>
          <w:left w:w="0" w:type="dxa"/>
          <w:bottom w:w="0" w:type="dxa"/>
          <w:right w:w="0" w:type="dxa"/>
        </w:tblCellMar>
      </w:tblPr>
      <w:tblGrid>
        <w:gridCol w:w="23"/>
        <w:gridCol w:w="245"/>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(1)</w:t>
            </w:r>
          </w:p>
        </w:tc>
        <w:tc>
          <w:tcPr>
            <w:tcW w:w="9635"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 xml:space="preserve">The Report fully complies with the requirements of Section 13(a) or 15(d) of the Securities Exchange Act of 1934; and </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 xml:space="preserve">The information contained in the Report fairly presents, in all material respects, the financial condition and results of operations of the Company. </w:t>
            </w:r>
          </w:p>
        </w:tc>
      </w:tr>
    </w:tbl>
    <w:p>
      <w:pPr>
        <w:pStyle w:val="TextBody"/>
        <w:bidi w:val="0"/>
        <w:spacing w:lineRule="auto" w:line="285" w:before="0" w:after="0"/>
        <w:ind w:left="0" w:right="0" w:hanging="0"/>
        <w:jc w:val="left"/>
        <w:rPr/>
      </w:pPr>
      <w:r>
        <w:rPr/>
        <w:t> </w:t>
      </w:r>
    </w:p>
    <w:tbl>
      <w:tblPr>
        <w:tblW w:w="6996" w:type="dxa"/>
        <w:jc w:val="center"/>
        <w:tblInd w:w="0" w:type="dxa"/>
        <w:tblLayout w:type="fixed"/>
        <w:tblCellMar>
          <w:top w:w="0" w:type="dxa"/>
          <w:left w:w="0" w:type="dxa"/>
          <w:bottom w:w="0" w:type="dxa"/>
          <w:right w:w="0" w:type="dxa"/>
        </w:tblCellMar>
      </w:tblPr>
      <w:tblGrid>
        <w:gridCol w:w="1606"/>
        <w:gridCol w:w="109"/>
        <w:gridCol w:w="5281"/>
      </w:tblGrid>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281" w:type="dxa"/>
            <w:tcBorders/>
            <w:vAlign w:val="center"/>
          </w:tcPr>
          <w:p>
            <w:pPr>
              <w:pStyle w:val="TableContents"/>
              <w:bidi w:val="0"/>
              <w:spacing w:lineRule="auto" w:line="285" w:before="0" w:after="0"/>
              <w:ind w:left="0" w:right="0" w:hanging="0"/>
              <w:jc w:val="left"/>
              <w:rPr/>
            </w:pPr>
            <w:r>
              <w:rPr/>
              <w:t>​</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19, 2026</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Philip R. Mays</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Helvetica">
    <w:altName w:val="Arial"/>
    <w:charset w:val="01"/>
    <w:family w:val="auto"/>
    <w:pitch w:val="default"/>
  </w:font>
  <w:font w:name="Impact">
    <w:charset w:val="01"/>
    <w:family w:val="auto"/>
    <w:pitch w:val="default"/>
  </w:font>
  <w:font w:name="TimesNewRoman">
    <w:charset w:val="01"/>
    <w:family w:val="auto"/>
    <w:pitch w:val="default"/>
  </w:font>
  <w:font w:name="Times New Roman Bold">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3795/000155837020010990/cto-20200903xex2d1.htm" TargetMode="External"/><Relationship Id="rId4" Type="http://schemas.openxmlformats.org/officeDocument/2006/relationships/hyperlink" Target="https://www.sec.gov/Archives/edgar/data/23795/000110465924087287/tm2421006d1_ex2-1.htm" TargetMode="External"/><Relationship Id="rId5" Type="http://schemas.openxmlformats.org/officeDocument/2006/relationships/hyperlink" Target="https://www.sec.gov/Archives/edgar/data/23795/000119312521023648/d113606dex31.htm" TargetMode="External"/><Relationship Id="rId6" Type="http://schemas.openxmlformats.org/officeDocument/2006/relationships/hyperlink" Target="https://www.sec.gov/Archives/edgar/data/23795/000155837023001536/cto-20230216xex3d1.htm" TargetMode="External"/><Relationship Id="rId7" Type="http://schemas.openxmlformats.org/officeDocument/2006/relationships/hyperlink" Target="https://www.sec.gov/Archives/edgar/data/23795/000119312521206336/d124719dex32.htm" TargetMode="External"/><Relationship Id="rId8" Type="http://schemas.openxmlformats.org/officeDocument/2006/relationships/hyperlink" Target="https://www.sec.gov/Archives/edgar/data/23795/000110465924043097/tm2410761d1_ex3-1.htm" TargetMode="External"/><Relationship Id="rId9" Type="http://schemas.openxmlformats.org/officeDocument/2006/relationships/hyperlink" Target="https://www.sec.gov/Archives/edgar/data/23795/000119312521023648/d113606dex42.htm" TargetMode="External"/><Relationship Id="rId10" Type="http://schemas.openxmlformats.org/officeDocument/2006/relationships/hyperlink" Target="http://www.sec.gov/Archives/edgar/data/23795/000155837019011237/ex-4d21.htm" TargetMode="External"/><Relationship Id="rId11" Type="http://schemas.openxmlformats.org/officeDocument/2006/relationships/hyperlink" Target="https://www.sec.gov/Archives/edgar/data/23795/000155837022001966/cto-20211231xex4d6.htm" TargetMode="External"/><Relationship Id="rId12" Type="http://schemas.openxmlformats.org/officeDocument/2006/relationships/hyperlink" Target="https://www.sec.gov/Archives/edgar/data/23795/000155837023012415/cto-20230630xex10d1.htm" TargetMode="External"/><Relationship Id="rId13" Type="http://schemas.openxmlformats.org/officeDocument/2006/relationships/hyperlink" Target="http://www.sec.gov/Archives/edgar/data/23795/000155837017001013/cto-20161231ex102844e3e.htm" TargetMode="External"/><Relationship Id="rId14" Type="http://schemas.openxmlformats.org/officeDocument/2006/relationships/hyperlink" Target="http://www.sec.gov/Archives/edgar/data/23795/000155837017001013/cto-20161231ex102844e3e.htm" TargetMode="External"/><Relationship Id="rId15" Type="http://schemas.openxmlformats.org/officeDocument/2006/relationships/hyperlink" Target="http://www.sec.gov/Archives/edgar/data/23795/000155837017001013/cto-20161231ex102844e3e.htm" TargetMode="External"/><Relationship Id="rId16" Type="http://schemas.openxmlformats.org/officeDocument/2006/relationships/hyperlink" Target="https://www.sec.gov/Archives/edgar/data/23795/000155837023016868/cto-20230930xex10d1.htm" TargetMode="External"/><Relationship Id="rId17" Type="http://schemas.openxmlformats.org/officeDocument/2006/relationships/hyperlink" Target="http://www.sec.gov/Archives/edgar/data/23795/000119312511063638/dex1016.htm" TargetMode="External"/><Relationship Id="rId18" Type="http://schemas.openxmlformats.org/officeDocument/2006/relationships/hyperlink" Target="https://www.sec.gov/Archives/edgar/data/23795/000155837022010516/cto-20220628xex10d1.htm" TargetMode="External"/><Relationship Id="rId19" Type="http://schemas.openxmlformats.org/officeDocument/2006/relationships/hyperlink" Target="https://www.sec.gov/Archives/edgar/data/23795/000155837022010516/cto-20220628xex10d2.htm" TargetMode="External"/><Relationship Id="rId20" Type="http://schemas.openxmlformats.org/officeDocument/2006/relationships/hyperlink" Target="https://www.sec.gov/Archives/edgar/data/0000023795/000155837021002457/cto-20201231xex10d17.htm" TargetMode="External"/><Relationship Id="rId21" Type="http://schemas.openxmlformats.org/officeDocument/2006/relationships/hyperlink" Target="https://www.sec.gov/Archives/edgar/data/23795/000155837022001966/cto-20211231xex10d8.htm" TargetMode="External"/><Relationship Id="rId22" Type="http://schemas.openxmlformats.org/officeDocument/2006/relationships/hyperlink" Target="https://www.sec.gov/Archives/edgar/data/23795/000155837023007068/cto-20230331xex10d1.htm" TargetMode="External"/><Relationship Id="rId23" Type="http://schemas.openxmlformats.org/officeDocument/2006/relationships/hyperlink" Target="https://www.sec.gov/Archives/edgar/data/23795/000155837022010516/cto-20220628xex10d3.htm" TargetMode="External"/><Relationship Id="rId24" Type="http://schemas.openxmlformats.org/officeDocument/2006/relationships/hyperlink" Target="https://www.sec.gov/Archives/edgar/data/23795/000155837020009002/cto-20200729xex10d1.htm" TargetMode="External"/><Relationship Id="rId25" Type="http://schemas.openxmlformats.org/officeDocument/2006/relationships/hyperlink" Target="http://www.sec.gov/Archives/edgar/data/23795/000119312515069704/d832402dex1024.htm" TargetMode="External"/><Relationship Id="rId26" Type="http://schemas.openxmlformats.org/officeDocument/2006/relationships/hyperlink" Target="http://www.sec.gov/Archives/edgar/data/23795/000155837017007053/ex-10d1.htm" TargetMode="External"/><Relationship Id="rId27" Type="http://schemas.openxmlformats.org/officeDocument/2006/relationships/hyperlink" Target="http://www.sec.gov/Archives/edgar/data/23795/000155837019005443/ex-10d1.htm" TargetMode="External"/><Relationship Id="rId28" Type="http://schemas.openxmlformats.org/officeDocument/2006/relationships/hyperlink" Target="http://www.sec.gov/Archives/edgar/data/23795/000155837019011237/ex-10d1.htm" TargetMode="External"/><Relationship Id="rId29" Type="http://schemas.openxmlformats.org/officeDocument/2006/relationships/hyperlink" Target="https://www.sec.gov/Archives/edgar/data/23795/000155837020009986/cto-20200630ex1034b7215.htm" TargetMode="External"/><Relationship Id="rId30" Type="http://schemas.openxmlformats.org/officeDocument/2006/relationships/hyperlink" Target="https://www.sec.gov/Archives/edgar/data/23795/000155837020013817/cto-20201109xex10d1.htm" TargetMode="External"/><Relationship Id="rId31" Type="http://schemas.openxmlformats.org/officeDocument/2006/relationships/hyperlink" Target="https://www.sec.gov/Archives/edgar/data/0000023795/000155837021002933/cto-20210310xex10d1.htm" TargetMode="External"/><Relationship Id="rId32" Type="http://schemas.openxmlformats.org/officeDocument/2006/relationships/hyperlink" Target="https://www.sec.gov/Archives/edgar/data/23795/000155837022001966/cto-20211231xex10d19.htm" TargetMode="External"/><Relationship Id="rId33" Type="http://schemas.openxmlformats.org/officeDocument/2006/relationships/hyperlink" Target="https://www.sec.gov/Archives/edgar/data/23795/000155837022014604/cto-20220920xex10d1.htm" TargetMode="External"/><Relationship Id="rId34" Type="http://schemas.openxmlformats.org/officeDocument/2006/relationships/hyperlink" Target="http://www.sec.gov/Archives/edgar/data/23795/000155837019011237/ex-10d4.htm" TargetMode="External"/><Relationship Id="rId35" Type="http://schemas.openxmlformats.org/officeDocument/2006/relationships/hyperlink" Target="http://www.sec.gov/Archives/edgar/data/23795/000155837019011237/ex-10d2.htm" TargetMode="External"/><Relationship Id="rId36" Type="http://schemas.openxmlformats.org/officeDocument/2006/relationships/hyperlink" Target="http://www.sec.gov/Archives/edgar/data/23795/000155837019011237/ex-10d3.htm" TargetMode="External"/><Relationship Id="rId37" Type="http://schemas.openxmlformats.org/officeDocument/2006/relationships/hyperlink" Target="https://www.sec.gov/Archives/edgar/data/23795/000155837024001534/cto-20231231xex10d28.htm" TargetMode="External"/><Relationship Id="rId38" Type="http://schemas.openxmlformats.org/officeDocument/2006/relationships/hyperlink" Target="https://www.sec.gov/Archives/edgar/data/23795/000155837024001534/cto-20231231xex10d29.htm" TargetMode="External"/><Relationship Id="rId39" Type="http://schemas.openxmlformats.org/officeDocument/2006/relationships/hyperlink" Target="https://www.sec.gov/Archives/edgar/data/23795/000155837024008832/cto-20240529xex10d1.htm" TargetMode="External"/><Relationship Id="rId40" Type="http://schemas.openxmlformats.org/officeDocument/2006/relationships/hyperlink" Target="https://www.sec.gov/Archives/edgar/data/23795/000155837024009918/cto-20240718xex10d1.htm" TargetMode="External"/><Relationship Id="rId41" Type="http://schemas.openxmlformats.org/officeDocument/2006/relationships/hyperlink" Target="https://www.sec.gov/Archives/edgar/data/23795/000155837024013628/cto-20240930xex10d2.htm" TargetMode="External"/><Relationship Id="rId42" Type="http://schemas.openxmlformats.org/officeDocument/2006/relationships/hyperlink" Target="https://www.sec.gov/Archives/edgar/data/23795/000155837024013628/cto-20240930xex10d3.htm" TargetMode="External"/><Relationship Id="rId43" Type="http://schemas.openxmlformats.org/officeDocument/2006/relationships/hyperlink" Target="https://www.sec.gov/Archives/edgar/data/23795/000155837024013628/cto-20240930xex10d4.htm" TargetMode="External"/><Relationship Id="rId44" Type="http://schemas.openxmlformats.org/officeDocument/2006/relationships/hyperlink" Target="https://www.sec.gov/Archives/edgar/data/23795/000155837024013628/cto-20240930xex10d5.htm" TargetMode="External"/><Relationship Id="rId45" Type="http://schemas.openxmlformats.org/officeDocument/2006/relationships/hyperlink" Target="https://www.sec.gov/Archives/edgar/data/23795/000155837024013628/cto-20240930xex10d6.htm" TargetMode="External"/><Relationship Id="rId46" Type="http://schemas.openxmlformats.org/officeDocument/2006/relationships/hyperlink" Target="https://www.sec.gov/Archives/edgar/data/23795/000155837025001229/cto-20241231xex10d34.htm" TargetMode="External"/><Relationship Id="rId47" Type="http://schemas.openxmlformats.org/officeDocument/2006/relationships/hyperlink" Target="https://www.sec.gov/Archives/edgar/data/23795/000155837025001229/cto-20241231xex10d35.htm" TargetMode="External"/><Relationship Id="rId48" Type="http://schemas.openxmlformats.org/officeDocument/2006/relationships/hyperlink" Target="https://www.sec.gov/Archives/edgar/data/23795/000155837025001229/cto-20241231xex10d36.htm" TargetMode="External"/><Relationship Id="rId49" Type="http://schemas.openxmlformats.org/officeDocument/2006/relationships/hyperlink" Target="https://www.sec.gov/Archives/edgar/data/23795/000155837025001229/cto-20241231xex10d37.htm" TargetMode="External"/><Relationship Id="rId50" Type="http://schemas.openxmlformats.org/officeDocument/2006/relationships/hyperlink" Target="https://www.sec.gov/Archives/edgar/data/23795/000155837025001229/cto-20241231xex10d38.htm" TargetMode="External"/><Relationship Id="rId51" Type="http://schemas.openxmlformats.org/officeDocument/2006/relationships/hyperlink" Target="https://www.sec.gov/Archives/edgar/data/23795/000155837025001229/cto-20241231xex10d39.htm" TargetMode="External"/><Relationship Id="rId52" Type="http://schemas.openxmlformats.org/officeDocument/2006/relationships/hyperlink" Target="https://www.sec.gov/Archives/edgar/data/23795/000155837025001229/cto-20241231xex10d40.htm" TargetMode="External"/><Relationship Id="rId53" Type="http://schemas.openxmlformats.org/officeDocument/2006/relationships/hyperlink" Target="https://www.sec.gov/Archives/edgar/data/23795/000155837025001229/cto-20241231xex10d41.htm" TargetMode="External"/><Relationship Id="rId54" Type="http://schemas.openxmlformats.org/officeDocument/2006/relationships/hyperlink" Target="https://www.sec.gov/Archives/edgar/data/23795/000110465925103192/cto-20250930xex10d1.htm" TargetMode="External"/><Relationship Id="rId55" Type="http://schemas.openxmlformats.org/officeDocument/2006/relationships/hyperlink" Target="https://www.sec.gov/Archives/edgar/data/23795/000110465925109229/tm2530811d1_10-1.htm" TargetMode="External"/><Relationship Id="rId56" Type="http://schemas.openxmlformats.org/officeDocument/2006/relationships/hyperlink" Target="https://www.sec.gov/Archives/edgar/data/23795/000155837024001534/cto-20231231xex97d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83586</Words>
  <Characters>455354</Characters>
  <CharactersWithSpaces>542514</CharactersWithSpaces>
  <Paragraphs>13918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