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9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97155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108585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63" w:lineRule="exact"/>
        <w:rPr>
          <w:sz w:val="24"/>
          <w:szCs w:val="24"/>
          <w:color w:val="auto"/>
        </w:rPr>
      </w:pPr>
    </w:p>
    <w:p>
      <w:pPr>
        <w:ind w:left="460" w:right="220" w:hanging="450"/>
        <w:spacing w:after="0" w:line="281" w:lineRule="auto"/>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460" w:right="200" w:hanging="450"/>
        <w:spacing w:after="0" w:line="267" w:lineRule="auto"/>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3140"/>
        <w:spacing w:after="0"/>
        <w:tabs>
          <w:tab w:leader="none" w:pos="6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3347720</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88900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CTO REALTY GROWTH,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60325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3" w:lineRule="exact"/>
        <w:rPr>
          <w:sz w:val="24"/>
          <w:szCs w:val="24"/>
          <w:color w:val="auto"/>
        </w:rPr>
      </w:pPr>
    </w:p>
    <w:tbl>
      <w:tblPr>
        <w:tblLayout w:type="fixed"/>
        <w:tblInd w:w="1200" w:type="dxa"/>
        <w:tblCellMar>
          <w:top w:w="0" w:type="dxa"/>
          <w:left w:w="0" w:type="dxa"/>
          <w:bottom w:w="0" w:type="dxa"/>
          <w:right w:w="0" w:type="dxa"/>
        </w:tblCellMar>
      </w:tblPr>
      <w:tr>
        <w:trPr>
          <w:trHeight w:val="189"/>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9"/>
              </w:rPr>
              <w:t>Maryland</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59-0483700</w:t>
            </w:r>
          </w:p>
        </w:tc>
      </w:tr>
      <w:tr>
        <w:trPr>
          <w:trHeight w:val="189"/>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1"/>
              </w:rPr>
              <w:t>(State or other jurisdiction of</w:t>
            </w: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1"/>
              </w:rPr>
              <w:t>incorporation or organization)</w:t>
            </w: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Identification No.)</w:t>
            </w:r>
          </w:p>
        </w:tc>
      </w:tr>
      <w:tr>
        <w:trPr>
          <w:trHeight w:val="276"/>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0"/>
              </w:rPr>
              <w:t>369 N. New York Avenue, Suite 201</w:t>
            </w:r>
          </w:p>
        </w:tc>
        <w:tc>
          <w:tcPr>
            <w:tcW w:w="1360" w:type="dxa"/>
            <w:vAlign w:val="bottom"/>
          </w:tcPr>
          <w:p>
            <w:pPr>
              <w:spacing w:after="0"/>
              <w:rPr>
                <w:sz w:val="23"/>
                <w:szCs w:val="23"/>
                <w:color w:val="auto"/>
              </w:rPr>
            </w:pPr>
          </w:p>
        </w:tc>
      </w:tr>
      <w:tr>
        <w:trPr>
          <w:trHeight w:val="189"/>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6"/>
              </w:rPr>
              <w:t>Winter Park, Florida</w:t>
            </w: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32789</w:t>
            </w:r>
          </w:p>
        </w:tc>
      </w:tr>
      <w:tr>
        <w:trPr>
          <w:trHeight w:val="210"/>
        </w:trPr>
        <w:tc>
          <w:tcPr>
            <w:tcW w:w="5860" w:type="dxa"/>
            <w:vAlign w:val="bottom"/>
          </w:tcPr>
          <w:p>
            <w:pPr>
              <w:jc w:val="center"/>
              <w:ind w:right="30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5860" w:type="dxa"/>
            <w:vAlign w:val="bottom"/>
          </w:tcPr>
          <w:p>
            <w:pPr>
              <w:jc w:val="right"/>
              <w:ind w:right="1339"/>
              <w:spacing w:after="0"/>
              <w:rPr>
                <w:sz w:val="20"/>
                <w:szCs w:val="20"/>
                <w:color w:val="auto"/>
              </w:rPr>
            </w:pPr>
            <w:r>
              <w:rPr>
                <w:rFonts w:ascii="Arial" w:cs="Arial" w:eastAsia="Arial" w:hAnsi="Arial"/>
                <w:sz w:val="16"/>
                <w:szCs w:val="16"/>
                <w:b w:val="1"/>
                <w:bCs w:val="1"/>
                <w:color w:val="auto"/>
              </w:rPr>
              <w:t>(407) 904-3324</w:t>
            </w:r>
          </w:p>
        </w:tc>
        <w:tc>
          <w:tcPr>
            <w:tcW w:w="1360" w:type="dxa"/>
            <w:vAlign w:val="bottom"/>
          </w:tcPr>
          <w:p>
            <w:pPr>
              <w:spacing w:after="0"/>
              <w:rPr>
                <w:sz w:val="20"/>
                <w:szCs w:val="20"/>
                <w:color w:val="auto"/>
              </w:rPr>
            </w:pPr>
          </w:p>
        </w:tc>
      </w:tr>
      <w:tr>
        <w:trPr>
          <w:trHeight w:val="210"/>
        </w:trPr>
        <w:tc>
          <w:tcPr>
            <w:tcW w:w="5860" w:type="dxa"/>
            <w:vAlign w:val="bottom"/>
          </w:tcPr>
          <w:p>
            <w:pPr>
              <w:jc w:val="center"/>
              <w:ind w:left="191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60" w:type="dxa"/>
            <w:vAlign w:val="bottom"/>
          </w:tcPr>
          <w:p>
            <w:pPr>
              <w:spacing w:after="0"/>
              <w:rPr>
                <w:sz w:val="18"/>
                <w:szCs w:val="18"/>
                <w:color w:val="auto"/>
              </w:rPr>
            </w:pP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425"/>
        </w:trPr>
        <w:tc>
          <w:tcPr>
            <w:tcW w:w="41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89"/>
              </w:rPr>
              <w:t>Title of each class:</w:t>
            </w:r>
          </w:p>
        </w:tc>
        <w:tc>
          <w:tcPr>
            <w:tcW w:w="2520" w:type="dxa"/>
            <w:vAlign w:val="bottom"/>
          </w:tcPr>
          <w:p>
            <w:pPr>
              <w:jc w:val="center"/>
              <w:ind w:right="465"/>
              <w:spacing w:after="0"/>
              <w:rPr>
                <w:sz w:val="20"/>
                <w:szCs w:val="20"/>
                <w:color w:val="auto"/>
              </w:rPr>
            </w:pPr>
            <w:r>
              <w:rPr>
                <w:rFonts w:ascii="Arial" w:cs="Arial" w:eastAsia="Arial" w:hAnsi="Arial"/>
                <w:sz w:val="16"/>
                <w:szCs w:val="16"/>
                <w:b w:val="1"/>
                <w:bCs w:val="1"/>
                <w:color w:val="auto"/>
                <w:w w:val="90"/>
              </w:rPr>
              <w:t>Trading Symbols</w:t>
            </w:r>
          </w:p>
        </w:tc>
        <w:tc>
          <w:tcPr>
            <w:tcW w:w="2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60"/>
        </w:trPr>
        <w:tc>
          <w:tcPr>
            <w:tcW w:w="34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$0.01 par value per share</w:t>
            </w:r>
          </w:p>
        </w:tc>
        <w:tc>
          <w:tcPr>
            <w:tcW w:w="1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tcPr>
          <w:p>
            <w:pPr>
              <w:jc w:val="center"/>
              <w:ind w:right="485"/>
              <w:spacing w:after="0" w:line="160" w:lineRule="exact"/>
              <w:rPr>
                <w:sz w:val="20"/>
                <w:szCs w:val="20"/>
                <w:color w:val="auto"/>
              </w:rPr>
            </w:pPr>
            <w:r>
              <w:rPr>
                <w:rFonts w:ascii="Arial" w:cs="Arial" w:eastAsia="Arial" w:hAnsi="Arial"/>
                <w:sz w:val="14"/>
                <w:szCs w:val="14"/>
                <w:b w:val="1"/>
                <w:bCs w:val="1"/>
                <w:color w:val="auto"/>
              </w:rPr>
              <w:t>CTO</w:t>
            </w:r>
          </w:p>
        </w:tc>
        <w:tc>
          <w:tcPr>
            <w:tcW w:w="200" w:type="dxa"/>
            <w:vAlign w:val="bottom"/>
          </w:tcPr>
          <w:p>
            <w:pPr>
              <w:spacing w:after="0"/>
              <w:rPr>
                <w:sz w:val="13"/>
                <w:szCs w:val="13"/>
                <w:color w:val="auto"/>
              </w:rPr>
            </w:pPr>
          </w:p>
        </w:tc>
        <w:tc>
          <w:tcPr>
            <w:tcW w:w="33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9"/>
              </w:rPr>
              <w:t>NYSE</w:t>
            </w:r>
          </w:p>
        </w:tc>
      </w:tr>
      <w:tr>
        <w:trPr>
          <w:trHeight w:val="162"/>
        </w:trPr>
        <w:tc>
          <w:tcPr>
            <w:tcW w:w="41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6.375% Series A Cumulative Redeemable</w:t>
            </w: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86"/>
        </w:trPr>
        <w:tc>
          <w:tcPr>
            <w:tcW w:w="41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3"/>
              </w:rPr>
              <w:t>Preferred Stock, $0.01 par value per share</w:t>
            </w:r>
          </w:p>
        </w:tc>
        <w:tc>
          <w:tcPr>
            <w:tcW w:w="2520" w:type="dxa"/>
            <w:vAlign w:val="bottom"/>
          </w:tcPr>
          <w:p>
            <w:pPr>
              <w:jc w:val="center"/>
              <w:ind w:right="485"/>
              <w:spacing w:after="0"/>
              <w:rPr>
                <w:sz w:val="20"/>
                <w:szCs w:val="20"/>
                <w:color w:val="auto"/>
              </w:rPr>
            </w:pPr>
            <w:r>
              <w:rPr>
                <w:rFonts w:ascii="Arial" w:cs="Arial" w:eastAsia="Arial" w:hAnsi="Arial"/>
                <w:sz w:val="14"/>
                <w:szCs w:val="14"/>
                <w:b w:val="1"/>
                <w:bCs w:val="1"/>
                <w:color w:val="auto"/>
              </w:rPr>
              <w:t>CTO PrA</w:t>
            </w:r>
          </w:p>
        </w:tc>
        <w:tc>
          <w:tcPr>
            <w:tcW w:w="20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9"/>
              </w:rPr>
              <w:t>NYSE</w:t>
            </w:r>
          </w:p>
        </w:tc>
      </w:tr>
    </w:tbl>
    <w:p>
      <w:pPr>
        <w:spacing w:after="0" w:line="191" w:lineRule="exact"/>
        <w:rPr>
          <w:sz w:val="24"/>
          <w:szCs w:val="24"/>
          <w:color w:val="auto"/>
        </w:rPr>
      </w:pPr>
    </w:p>
    <w:p>
      <w:pPr>
        <w:ind w:left="20" w:right="160" w:firstLine="441"/>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ind w:left="20" w:right="180" w:firstLine="441"/>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20" w:right="160" w:firstLine="44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left="20" w:right="140" w:firstLine="441"/>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60" w:right="1280"/>
        <w:spacing w:after="0" w:line="24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20, 2023, there were 22,698,072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587375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210185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193040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846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gridSpan w:val="10"/>
          </w:tcPr>
          <w:p>
            <w:pPr>
              <w:ind w:left="1060"/>
              <w:spacing w:after="0"/>
              <w:rPr>
                <w:sz w:val="20"/>
                <w:szCs w:val="20"/>
                <w:color w:val="auto"/>
              </w:rPr>
            </w:pPr>
            <w:r>
              <w:rPr>
                <w:rFonts w:ascii="Arial" w:cs="Arial" w:eastAsia="Arial" w:hAnsi="Arial"/>
                <w:sz w:val="18"/>
                <w:szCs w:val="18"/>
                <w:color w:val="auto"/>
              </w:rPr>
              <w:t>INDEX</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960" w:type="dxa"/>
            <w:vAlign w:val="bottom"/>
            <w:gridSpan w:val="14"/>
            <w:vMerge w:val="restart"/>
          </w:tcPr>
          <w:p>
            <w:pPr>
              <w:spacing w:after="0"/>
              <w:rPr>
                <w:sz w:val="20"/>
                <w:szCs w:val="20"/>
                <w:color w:val="auto"/>
              </w:rPr>
            </w:pPr>
            <w:r>
              <w:rPr>
                <w:rFonts w:ascii="Arial" w:cs="Arial" w:eastAsia="Arial" w:hAnsi="Arial"/>
                <w:sz w:val="18"/>
                <w:szCs w:val="18"/>
                <w:color w:val="0000EE"/>
                <w:w w:val="97"/>
              </w:rPr>
              <w:t>PART I—FINANCIAL INFORMATION</w:t>
            </w:r>
          </w:p>
        </w:tc>
        <w:tc>
          <w:tcPr>
            <w:tcW w:w="5500" w:type="dxa"/>
            <w:vAlign w:val="bottom"/>
            <w:gridSpan w:val="11"/>
            <w:vMerge w:val="restart"/>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4"/>
            <w:vMerge w:val="continue"/>
          </w:tcPr>
          <w:p>
            <w:pPr>
              <w:spacing w:after="0"/>
              <w:rPr>
                <w:sz w:val="13"/>
                <w:szCs w:val="13"/>
                <w:color w:val="auto"/>
              </w:rPr>
            </w:pPr>
          </w:p>
        </w:tc>
        <w:tc>
          <w:tcPr>
            <w:tcW w:w="5500" w:type="dxa"/>
            <w:vAlign w:val="bottom"/>
            <w:gridSpan w:val="11"/>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580" w:type="dxa"/>
            <w:vAlign w:val="bottom"/>
            <w:tcBorders>
              <w:bottom w:val="single" w:sz="8" w:color="0000EE"/>
            </w:tcBorders>
            <w:gridSpan w:val="8"/>
          </w:tcPr>
          <w:p>
            <w:pPr>
              <w:ind w:left="80"/>
              <w:spacing w:after="0"/>
              <w:rPr>
                <w:sz w:val="20"/>
                <w:szCs w:val="20"/>
                <w:color w:val="auto"/>
              </w:rPr>
            </w:pPr>
            <w:r>
              <w:rPr>
                <w:rFonts w:ascii="Arial" w:cs="Arial" w:eastAsia="Arial" w:hAnsi="Arial"/>
                <w:sz w:val="18"/>
                <w:szCs w:val="18"/>
                <w:color w:val="0000EE"/>
                <w:w w:val="88"/>
              </w:rPr>
              <w:t>Financial Statements</w:t>
            </w:r>
          </w:p>
        </w:tc>
        <w:tc>
          <w:tcPr>
            <w:tcW w:w="6180" w:type="dxa"/>
            <w:vAlign w:val="bottom"/>
            <w:gridSpan w:val="14"/>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0000EE"/>
              </w:rPr>
              <w:t>Consolidated Balance Sheets – June 30, 2023 (Unaudited) and December 31, 2022</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0000EE"/>
                <w:w w:val="94"/>
              </w:rPr>
              <w:t>Consolidated Statements of Operations – Three and six months ended June 30, 2023 and 2022 (Unaudited)</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8"/>
              </w:rPr>
              <w:t>Consolidated Statements of Comprehensive Income – Three and six months ended June 30, 2023 and 2022</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(Unaudited)</w:t>
            </w:r>
          </w:p>
        </w:tc>
        <w:tc>
          <w:tcPr>
            <w:tcW w:w="714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5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Consolidated Statements of Stockholders’ Equity – Three and six months ended June 30, 2023 and 2022</w:t>
            </w:r>
          </w:p>
        </w:tc>
        <w:tc>
          <w:tcPr>
            <w:tcW w:w="64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(Unaudited)</w:t>
            </w:r>
          </w:p>
        </w:tc>
        <w:tc>
          <w:tcPr>
            <w:tcW w:w="714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0000EE"/>
              </w:rPr>
              <w:t>Consolidated Statements of Cash Flows – Six months ended June 30, 2023 and 2022 (Unaudited)</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89"/>
              </w:rPr>
              <w:t>Notes to Consolidated Financial Statements (Unaudited)</w:t>
            </w:r>
          </w:p>
        </w:tc>
        <w:tc>
          <w:tcPr>
            <w:tcW w:w="2940" w:type="dxa"/>
            <w:vAlign w:val="bottom"/>
            <w:tcBorders>
              <w:top w:val="single" w:sz="8" w:color="0000EE"/>
            </w:tcBorders>
            <w:gridSpan w:val="5"/>
          </w:tcPr>
          <w:p>
            <w:pPr>
              <w:spacing w:after="0"/>
              <w:rPr>
                <w:sz w:val="24"/>
                <w:szCs w:val="24"/>
                <w:color w:val="auto"/>
              </w:rPr>
            </w:pPr>
          </w:p>
        </w:tc>
        <w:tc>
          <w:tcPr>
            <w:tcW w:w="114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72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2"/>
              </w:rPr>
              <w:t>Item 2.   Management’s Discussion and Analysis of Financial Condition and Results of Operations</w:t>
            </w:r>
          </w:p>
        </w:tc>
        <w:tc>
          <w:tcPr>
            <w:tcW w:w="124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4"/>
              </w:rPr>
              <w:t>Item 3.   Quantitative and Qualitative Disclosures About Market Risk</w:t>
            </w:r>
          </w:p>
        </w:tc>
        <w:tc>
          <w:tcPr>
            <w:tcW w:w="33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25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3"/>
              </w:rPr>
              <w:t>Item 4.   Controls and Procedures</w:t>
            </w:r>
          </w:p>
        </w:tc>
        <w:tc>
          <w:tcPr>
            <w:tcW w:w="59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Arial" w:cs="Arial" w:eastAsia="Arial" w:hAnsi="Arial"/>
                <w:sz w:val="18"/>
                <w:szCs w:val="18"/>
                <w:color w:val="0000EE"/>
              </w:rPr>
              <w:t>PART II—OTHER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940" w:type="dxa"/>
            <w:vAlign w:val="bottom"/>
            <w:tcBorders>
              <w:top w:val="single" w:sz="8" w:color="0000EE"/>
            </w:tcBorders>
            <w:gridSpan w:val="10"/>
          </w:tcPr>
          <w:p>
            <w:pPr>
              <w:ind w:left="80"/>
              <w:spacing w:after="0"/>
              <w:rPr>
                <w:sz w:val="20"/>
                <w:szCs w:val="20"/>
                <w:color w:val="auto"/>
              </w:rPr>
            </w:pPr>
            <w:r>
              <w:rPr>
                <w:rFonts w:ascii="Arial" w:cs="Arial" w:eastAsia="Arial" w:hAnsi="Arial"/>
                <w:sz w:val="18"/>
                <w:szCs w:val="18"/>
                <w:color w:val="0000EE"/>
              </w:rPr>
              <w:t>Legal Proceedings</w:t>
            </w:r>
          </w:p>
        </w:tc>
        <w:tc>
          <w:tcPr>
            <w:tcW w:w="582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1A.</w:t>
            </w:r>
          </w:p>
        </w:tc>
        <w:tc>
          <w:tcPr>
            <w:tcW w:w="1400" w:type="dxa"/>
            <w:vAlign w:val="bottom"/>
            <w:tcBorders>
              <w:top w:val="single" w:sz="8" w:color="0000EE"/>
            </w:tcBorders>
            <w:gridSpan w:val="7"/>
          </w:tcPr>
          <w:p>
            <w:pPr>
              <w:ind w:left="60"/>
              <w:spacing w:after="0"/>
              <w:rPr>
                <w:sz w:val="20"/>
                <w:szCs w:val="20"/>
                <w:color w:val="auto"/>
              </w:rPr>
            </w:pPr>
            <w:r>
              <w:rPr>
                <w:rFonts w:ascii="Arial" w:cs="Arial" w:eastAsia="Arial" w:hAnsi="Arial"/>
                <w:sz w:val="18"/>
                <w:szCs w:val="18"/>
                <w:color w:val="0000EE"/>
              </w:rPr>
              <w:t>Risk Factors</w:t>
            </w:r>
          </w:p>
        </w:tc>
        <w:tc>
          <w:tcPr>
            <w:tcW w:w="636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1"/>
              </w:rPr>
              <w:t>Item 2.   Unregistered Sales of Equity Securities and Use of Proceeds</w:t>
            </w:r>
          </w:p>
        </w:tc>
        <w:tc>
          <w:tcPr>
            <w:tcW w:w="33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31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4"/>
              </w:rPr>
              <w:t>Item 3.   Defaults Upon Senior Securities</w:t>
            </w:r>
          </w:p>
        </w:tc>
        <w:tc>
          <w:tcPr>
            <w:tcW w:w="536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25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5"/>
              </w:rPr>
              <w:t>Item 4.   Mine Safety Disclosures</w:t>
            </w:r>
          </w:p>
        </w:tc>
        <w:tc>
          <w:tcPr>
            <w:tcW w:w="59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760" w:type="dxa"/>
            <w:vAlign w:val="bottom"/>
            <w:gridSpan w:val="22"/>
          </w:tcPr>
          <w:p>
            <w:pPr>
              <w:ind w:left="80"/>
              <w:spacing w:after="0"/>
              <w:rPr>
                <w:sz w:val="20"/>
                <w:szCs w:val="20"/>
                <w:color w:val="auto"/>
              </w:rPr>
            </w:pPr>
            <w:r>
              <w:rPr>
                <w:rFonts w:ascii="Arial" w:cs="Arial" w:eastAsia="Arial" w:hAnsi="Arial"/>
                <w:sz w:val="18"/>
                <w:szCs w:val="18"/>
                <w:color w:val="0000EE"/>
              </w:rPr>
              <w:t>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rPr>
              <w:t>Item 6.</w:t>
            </w:r>
          </w:p>
        </w:tc>
        <w:tc>
          <w:tcPr>
            <w:tcW w:w="680" w:type="dxa"/>
            <w:vAlign w:val="bottom"/>
            <w:tcBorders>
              <w:top w:val="single" w:sz="8" w:color="0000EE"/>
              <w:bottom w:val="single" w:sz="8" w:color="0000EE"/>
            </w:tcBorders>
            <w:gridSpan w:val="4"/>
          </w:tcPr>
          <w:p>
            <w:pPr>
              <w:ind w:left="80"/>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SIGNATURES</w:t>
            </w:r>
          </w:p>
        </w:tc>
        <w:tc>
          <w:tcPr>
            <w:tcW w:w="73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160" w:type="dxa"/>
            <w:vAlign w:val="bottom"/>
            <w:tcBorders>
              <w:bottom w:val="single" w:sz="8" w:color="auto"/>
            </w:tcBorders>
          </w:tcPr>
          <w:p>
            <w:pPr>
              <w:spacing w:after="0"/>
              <w:rPr>
                <w:sz w:val="14"/>
                <w:szCs w:val="14"/>
                <w:color w:val="auto"/>
              </w:rPr>
            </w:pPr>
          </w:p>
        </w:tc>
      </w:tr>
      <w:tr>
        <w:trPr>
          <w:trHeight w:val="191"/>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09"/>
        </w:trPr>
        <w:tc>
          <w:tcPr>
            <w:tcW w:w="626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at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233,930</w:t>
            </w: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Building and Improvements, at Cost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530,029</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Furnishings and Equipment, at Cost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Construction in Process, at Cost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w:t>
            </w:r>
          </w:p>
        </w:tc>
      </w:tr>
      <w:tr>
        <w:trPr>
          <w:trHeight w:val="209"/>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Real Estate, at Cost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770,759</w:t>
            </w: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(48,198)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(36,038)</w:t>
            </w:r>
          </w:p>
        </w:tc>
      </w:tr>
      <w:tr>
        <w:trPr>
          <w:trHeight w:val="209"/>
        </w:trPr>
        <w:tc>
          <w:tcPr>
            <w:tcW w:w="6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806,062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734,721</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Land and Development Costs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Assets—Net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115,984</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Assets Held for Sale—See Note 23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Alpine Income Property Trust, Inc.</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42,041</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Mitigation Credits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Mitigation Credit Rights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Commercial Loans and Investments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31,908</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Refundable Income Taxes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Deferred Income Taxes—Net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Assets—See Note 11</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34,453</w:t>
            </w:r>
          </w:p>
        </w:tc>
      </w:tr>
      <w:tr>
        <w:trPr>
          <w:trHeight w:val="249"/>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1,061,512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986,545</w:t>
            </w:r>
          </w:p>
        </w:tc>
      </w:tr>
      <w:tr>
        <w:trPr>
          <w:trHeight w:val="197"/>
        </w:trPr>
        <w:tc>
          <w:tcPr>
            <w:tcW w:w="6260" w:type="dxa"/>
            <w:vAlign w:val="bottom"/>
            <w:shd w:val="clear" w:color="auto" w:fill="CCEEFF"/>
          </w:tcPr>
          <w:p>
            <w:pPr>
              <w:ind w:left="1200"/>
              <w:spacing w:after="0" w:line="190" w:lineRule="exact"/>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Accrued and Other Liabilities—See Note 17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18,028</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Revenue—See Note 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Intangible Lease Liabilities—Net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9,885</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445,583</w:t>
            </w:r>
          </w:p>
        </w:tc>
      </w:tr>
      <w:tr>
        <w:trPr>
          <w:trHeight w:val="210"/>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481,775</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Contingencies—See Note 21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2"/>
        </w:trPr>
        <w:tc>
          <w:tcPr>
            <w:tcW w:w="62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Preferred Stock – 100,000,000 shares authorized; $0.01 par value, 6.375% Series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 Cumulative Redeemable Preferred Stock, $25.00 Per Share Liquidation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Preference, 2,999,254 shares issued and outstanding at June 30, 2023 and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3,000,000 shares issued and outstanding at December 31, 2022</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2"/>
        </w:trPr>
        <w:tc>
          <w:tcPr>
            <w:tcW w:w="6260" w:type="dxa"/>
            <w:vAlign w:val="bottom"/>
          </w:tcPr>
          <w:p>
            <w:pPr>
              <w:ind w:left="120"/>
              <w:spacing w:after="0" w:line="201" w:lineRule="exact"/>
              <w:rPr>
                <w:sz w:val="20"/>
                <w:szCs w:val="20"/>
                <w:color w:val="auto"/>
              </w:rPr>
            </w:pPr>
            <w:r>
              <w:rPr>
                <w:rFonts w:ascii="Arial" w:cs="Arial" w:eastAsia="Arial" w:hAnsi="Arial"/>
                <w:sz w:val="18"/>
                <w:szCs w:val="18"/>
                <w:color w:val="auto"/>
                <w:w w:val="97"/>
              </w:rPr>
              <w:t>Common Stock – 500,000,000 shares authorized; $0.01 par value, 22,691,598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w w:val="92"/>
              </w:rPr>
              <w:t>shares issued and outstanding at June 30, 2023 and 22,854,775 shares issued and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260" w:type="dxa"/>
            <w:vAlign w:val="bottom"/>
          </w:tcPr>
          <w:p>
            <w:pPr>
              <w:ind w:left="120"/>
              <w:spacing w:after="0"/>
              <w:rPr>
                <w:sz w:val="20"/>
                <w:szCs w:val="20"/>
                <w:color w:val="auto"/>
              </w:rPr>
            </w:pPr>
            <w:r>
              <w:rPr>
                <w:rFonts w:ascii="Arial" w:cs="Arial" w:eastAsia="Arial" w:hAnsi="Arial"/>
                <w:sz w:val="18"/>
                <w:szCs w:val="18"/>
                <w:color w:val="auto"/>
              </w:rPr>
              <w:t>outstanding at December 31, 2022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172,471</w:t>
            </w: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316,279</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w:t>
            </w:r>
          </w:p>
        </w:tc>
      </w:tr>
      <w:tr>
        <w:trPr>
          <w:trHeight w:val="210"/>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478,567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504,770</w:t>
            </w:r>
          </w:p>
        </w:tc>
      </w:tr>
      <w:tr>
        <w:trPr>
          <w:trHeight w:val="209"/>
        </w:trPr>
        <w:tc>
          <w:tcPr>
            <w:tcW w:w="6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986,545</w:t>
            </w: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428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360" w:type="dxa"/>
            <w:vAlign w:val="bottom"/>
            <w:gridSpan w:val="5"/>
          </w:tcPr>
          <w:p>
            <w:pPr>
              <w:jc w:val="center"/>
              <w:ind w:left="1910"/>
              <w:spacing w:after="0"/>
              <w:rPr>
                <w:sz w:val="20"/>
                <w:szCs w:val="20"/>
                <w:color w:val="auto"/>
              </w:rPr>
            </w:pPr>
            <w:r>
              <w:rPr>
                <w:rFonts w:ascii="Arial" w:cs="Arial" w:eastAsia="Arial" w:hAnsi="Arial"/>
                <w:sz w:val="18"/>
                <w:szCs w:val="18"/>
                <w:color w:val="auto"/>
                <w:w w:val="95"/>
              </w:rPr>
              <w:t>CTO REALTY GROWTH, INC.</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gridSpan w:val="7"/>
          </w:tcPr>
          <w:p>
            <w:pPr>
              <w:jc w:val="center"/>
              <w:ind w:left="850"/>
              <w:spacing w:after="0"/>
              <w:rPr>
                <w:sz w:val="20"/>
                <w:szCs w:val="20"/>
                <w:color w:val="auto"/>
              </w:rPr>
            </w:pPr>
            <w:r>
              <w:rPr>
                <w:rFonts w:ascii="Arial" w:cs="Arial" w:eastAsia="Arial" w:hAnsi="Arial"/>
                <w:sz w:val="18"/>
                <w:szCs w:val="18"/>
                <w:color w:val="auto"/>
                <w:w w:val="94"/>
              </w:rPr>
              <w:t>CONSOLIDATED STATEMENTS OF OPERATIONS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gridSpan w:val="7"/>
          </w:tcPr>
          <w:p>
            <w:pPr>
              <w:jc w:val="center"/>
              <w:ind w:left="850"/>
              <w:spacing w:after="0"/>
              <w:rPr>
                <w:sz w:val="20"/>
                <w:szCs w:val="20"/>
                <w:color w:val="auto"/>
              </w:rPr>
            </w:pPr>
            <w:r>
              <w:rPr>
                <w:rFonts w:ascii="Arial" w:cs="Arial" w:eastAsia="Arial" w:hAnsi="Arial"/>
                <w:sz w:val="18"/>
                <w:szCs w:val="18"/>
                <w:color w:val="auto"/>
                <w:w w:val="88"/>
              </w:rPr>
              <w:t>(Unaudited, in thousands, except share and per share data)</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June 30,</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June 30,</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Income Properties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22,758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16,367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45,190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Management Fee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 Operations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36,673</w:t>
            </w:r>
          </w:p>
        </w:tc>
        <w:tc>
          <w:tcPr>
            <w:tcW w:w="0" w:type="dxa"/>
            <w:vAlign w:val="bottom"/>
          </w:tcPr>
          <w:p>
            <w:pPr>
              <w:spacing w:after="0"/>
              <w:rPr>
                <w:sz w:val="1"/>
                <w:szCs w:val="1"/>
                <w:color w:val="auto"/>
              </w:rPr>
            </w:pPr>
          </w:p>
        </w:tc>
      </w:tr>
      <w:tr>
        <w:trPr>
          <w:trHeight w:val="209"/>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 Cost of Revenues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Income Properties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 Operations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2"/>
          </w:tcPr>
          <w:p>
            <w:pPr>
              <w:ind w:left="200"/>
              <w:spacing w:after="0"/>
              <w:rPr>
                <w:sz w:val="20"/>
                <w:szCs w:val="20"/>
                <w:color w:val="auto"/>
              </w:rPr>
            </w:pPr>
            <w:r>
              <w:rPr>
                <w:rFonts w:ascii="Arial" w:cs="Arial" w:eastAsia="Arial" w:hAnsi="Arial"/>
                <w:sz w:val="18"/>
                <w:szCs w:val="18"/>
                <w:color w:val="auto"/>
              </w:rPr>
              <w:t>Total Direct Cost of Revenues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16"/>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Provision for Impairment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(27,922)</w:t>
            </w:r>
          </w:p>
        </w:tc>
        <w:tc>
          <w:tcPr>
            <w:tcW w:w="0" w:type="dxa"/>
            <w:vAlign w:val="bottom"/>
          </w:tcPr>
          <w:p>
            <w:pPr>
              <w:spacing w:after="0"/>
              <w:rPr>
                <w:sz w:val="1"/>
                <w:szCs w:val="1"/>
                <w:color w:val="auto"/>
              </w:rPr>
            </w:pPr>
          </w:p>
        </w:tc>
      </w:tr>
      <w:tr>
        <w:trPr>
          <w:trHeight w:val="209"/>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(Loss) on Disposition of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Gains and Income (Loss)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Operating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0" w:type="dxa"/>
            <w:vAlign w:val="bottom"/>
          </w:tcPr>
          <w:p>
            <w:pPr>
              <w:spacing w:after="0"/>
              <w:rPr>
                <w:sz w:val="1"/>
                <w:szCs w:val="1"/>
                <w:color w:val="auto"/>
              </w:rPr>
            </w:pPr>
          </w:p>
        </w:tc>
      </w:tr>
      <w:tr>
        <w:trPr>
          <w:trHeight w:val="216"/>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Investment and Other Income (Loss)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w w:val="98"/>
              </w:rPr>
              <w:t>Income (Loss) Before Income Tax Benefit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Net Income (Loss) Attributable to the Company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Distributions to Preferred Stockholders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Net Income (Loss) Attributable to Common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(6,583)</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Stockholders</w:t>
            </w:r>
          </w:p>
        </w:tc>
        <w:tc>
          <w:tcPr>
            <w:tcW w:w="14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Per Share Information—See Note 13: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Basic and Diluted Net Income (Loss) Attributable to</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22,482,957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18,012,534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22,593,280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17,870,394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07"/>
        </w:trPr>
        <w:tc>
          <w:tcPr>
            <w:tcW w:w="466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74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500" w:type="dxa"/>
            <w:vAlign w:val="bottom"/>
            <w:gridSpan w:val="4"/>
          </w:tcPr>
          <w:p>
            <w:pPr>
              <w:jc w:val="center"/>
              <w:ind w:left="1770"/>
              <w:spacing w:after="0"/>
              <w:rPr>
                <w:sz w:val="20"/>
                <w:szCs w:val="20"/>
                <w:color w:val="auto"/>
              </w:rPr>
            </w:pPr>
            <w:r>
              <w:rPr>
                <w:rFonts w:ascii="Arial" w:cs="Arial" w:eastAsia="Arial" w:hAnsi="Arial"/>
                <w:sz w:val="18"/>
                <w:szCs w:val="18"/>
                <w:color w:val="auto"/>
                <w:w w:val="95"/>
              </w:rPr>
              <w:t>CTO REALTY GROWTH, INC.</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60" w:type="dxa"/>
            <w:vAlign w:val="bottom"/>
            <w:gridSpan w:val="8"/>
          </w:tcPr>
          <w:p>
            <w:pPr>
              <w:jc w:val="center"/>
              <w:ind w:left="530"/>
              <w:spacing w:after="0"/>
              <w:rPr>
                <w:sz w:val="20"/>
                <w:szCs w:val="20"/>
                <w:color w:val="auto"/>
              </w:rPr>
            </w:pPr>
            <w:r>
              <w:rPr>
                <w:rFonts w:ascii="Arial" w:cs="Arial" w:eastAsia="Arial" w:hAnsi="Arial"/>
                <w:sz w:val="18"/>
                <w:szCs w:val="18"/>
                <w:color w:val="auto"/>
                <w:w w:val="95"/>
              </w:rPr>
              <w:t>CONSOLIDATED STATEMENTS OF COMPREHENSIVE INCOME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00" w:type="dxa"/>
            <w:vAlign w:val="bottom"/>
            <w:gridSpan w:val="4"/>
          </w:tcPr>
          <w:p>
            <w:pPr>
              <w:jc w:val="center"/>
              <w:ind w:left="1790"/>
              <w:spacing w:after="0"/>
              <w:rPr>
                <w:sz w:val="20"/>
                <w:szCs w:val="20"/>
                <w:color w:val="auto"/>
              </w:rPr>
            </w:pPr>
            <w:r>
              <w:rPr>
                <w:rFonts w:ascii="Arial" w:cs="Arial" w:eastAsia="Arial" w:hAnsi="Arial"/>
                <w:sz w:val="18"/>
                <w:szCs w:val="18"/>
                <w:color w:val="auto"/>
                <w:w w:val="90"/>
              </w:rPr>
              <w:t>(Unaudited, in thousands)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9"/>
              </w:rPr>
              <w:t>Six Months Ended</w:t>
            </w: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6"/>
                <w:szCs w:val="16"/>
                <w:color w:val="auto"/>
              </w:rPr>
            </w:pPr>
          </w:p>
        </w:tc>
        <w:tc>
          <w:tcPr>
            <w:tcW w:w="8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6"/>
                <w:szCs w:val="16"/>
                <w:color w:val="auto"/>
              </w:rPr>
            </w:pPr>
          </w:p>
        </w:tc>
        <w:tc>
          <w:tcPr>
            <w:tcW w:w="8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June 30,</w:t>
            </w:r>
          </w:p>
        </w:tc>
      </w:tr>
      <w:tr>
        <w:trPr>
          <w:trHeight w:val="234"/>
        </w:trPr>
        <w:tc>
          <w:tcPr>
            <w:tcW w:w="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r>
      <w:tr>
        <w:trPr>
          <w:trHeight w:val="209"/>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10"/>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Flow Hedging Derivative - Interest Rate Swaps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10,623</w:t>
            </w:r>
          </w:p>
        </w:tc>
      </w:tr>
      <w:tr>
        <w:trPr>
          <w:trHeight w:val="209"/>
        </w:trPr>
        <w:tc>
          <w:tcPr>
            <w:tcW w:w="46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Other Comprehensive Income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w:t>
            </w:r>
          </w:p>
        </w:tc>
      </w:tr>
      <w:tr>
        <w:trPr>
          <w:trHeight w:val="21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June 30, 2023:</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April 1, 2023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167,436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300,066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10,870</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478,629</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Payment of Equity Issuance Costs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(1,195)</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(8,713)</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(8,713)</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7,379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7,379</w:t>
            </w:r>
          </w:p>
        </w:tc>
        <w:tc>
          <w:tcPr>
            <w:tcW w:w="0" w:type="dxa"/>
            <w:vAlign w:val="bottom"/>
          </w:tcPr>
          <w:p>
            <w:pPr>
              <w:spacing w:after="0"/>
              <w:rPr>
                <w:sz w:val="1"/>
                <w:szCs w:val="1"/>
                <w:color w:val="auto"/>
              </w:rPr>
            </w:pPr>
          </w:p>
        </w:tc>
      </w:tr>
      <w:tr>
        <w:trPr>
          <w:trHeight w:val="142"/>
        </w:trPr>
        <w:tc>
          <w:tcPr>
            <w:tcW w:w="35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2023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168,103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291,958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18,249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478,567</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Arial" w:cs="Arial" w:eastAsia="Arial" w:hAnsi="Arial"/>
                <w:sz w:val="16"/>
                <w:szCs w:val="16"/>
                <w:color w:val="auto"/>
              </w:rPr>
              <w:t>For the three months ended June 30, 2022:</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April 1, 2022</w:t>
            </w:r>
          </w:p>
        </w:tc>
        <w:tc>
          <w:tcPr>
            <w:tcW w:w="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81,092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339,828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9,529</w:t>
            </w:r>
          </w:p>
        </w:tc>
        <w:tc>
          <w:tcPr>
            <w:tcW w:w="20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430,539</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w w:val="96"/>
              </w:rPr>
              <w:t>Exercise of Stock Options and Stock Issuance to Directors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Issuance, Net of Equity Issuance Costs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(1,196)</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(6,934)</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(6,934)</w:t>
            </w:r>
          </w:p>
        </w:tc>
        <w:tc>
          <w:tcPr>
            <w:tcW w:w="0" w:type="dxa"/>
            <w:vAlign w:val="bottom"/>
          </w:tcPr>
          <w:p>
            <w:pPr>
              <w:spacing w:after="0"/>
              <w:rPr>
                <w:sz w:val="1"/>
                <w:szCs w:val="1"/>
                <w:color w:val="auto"/>
              </w:rPr>
            </w:pPr>
          </w:p>
        </w:tc>
      </w:tr>
      <w:tr>
        <w:trPr>
          <w:trHeight w:val="149"/>
        </w:trPr>
        <w:tc>
          <w:tcPr>
            <w:tcW w:w="35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2,611</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142"/>
        </w:trPr>
        <w:tc>
          <w:tcPr>
            <w:tcW w:w="3520" w:type="dxa"/>
            <w:vAlign w:val="bottom"/>
          </w:tcPr>
          <w:p>
            <w:pPr>
              <w:ind w:left="20"/>
              <w:spacing w:after="0" w:line="129" w:lineRule="exact"/>
              <w:rPr>
                <w:sz w:val="20"/>
                <w:szCs w:val="20"/>
                <w:color w:val="auto"/>
              </w:rPr>
            </w:pPr>
            <w:r>
              <w:rPr>
                <w:rFonts w:ascii="Arial" w:cs="Arial" w:eastAsia="Arial" w:hAnsi="Arial"/>
                <w:sz w:val="14"/>
                <w:szCs w:val="14"/>
                <w:color w:val="auto"/>
              </w:rPr>
              <w:t>Balance June 30, 2022</w:t>
            </w:r>
          </w:p>
        </w:tc>
        <w:tc>
          <w:tcPr>
            <w:tcW w:w="8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30</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61</w:t>
            </w:r>
          </w:p>
        </w:tc>
        <w:tc>
          <w:tcPr>
            <w:tcW w:w="1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86,347</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332,916</w:t>
            </w:r>
          </w:p>
        </w:tc>
        <w:tc>
          <w:tcPr>
            <w:tcW w:w="60" w:type="dxa"/>
            <w:vAlign w:val="bottom"/>
          </w:tcPr>
          <w:p>
            <w:pPr>
              <w:spacing w:after="0"/>
              <w:rPr>
                <w:sz w:val="12"/>
                <w:szCs w:val="12"/>
                <w:color w:val="auto"/>
              </w:rPr>
            </w:pPr>
          </w:p>
        </w:tc>
        <w:tc>
          <w:tcPr>
            <w:tcW w:w="80" w:type="dxa"/>
            <w:vAlign w:val="bottom"/>
          </w:tcPr>
          <w:p>
            <w:pPr>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29" w:lineRule="exact"/>
              <w:rPr>
                <w:sz w:val="20"/>
                <w:szCs w:val="20"/>
                <w:color w:val="auto"/>
              </w:rPr>
            </w:pPr>
            <w:r>
              <w:rPr>
                <w:rFonts w:ascii="Arial" w:cs="Arial" w:eastAsia="Arial" w:hAnsi="Arial"/>
                <w:sz w:val="14"/>
                <w:szCs w:val="14"/>
                <w:color w:val="auto"/>
              </w:rPr>
              <w:t>12,140</w:t>
            </w:r>
          </w:p>
        </w:tc>
        <w:tc>
          <w:tcPr>
            <w:tcW w:w="200" w:type="dxa"/>
            <w:vAlign w:val="bottom"/>
            <w:gridSpan w:val="2"/>
          </w:tcPr>
          <w:p>
            <w:pPr>
              <w:jc w:val="right"/>
              <w:ind w:right="18"/>
              <w:spacing w:after="0" w:line="12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431,494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six months ended June 30, 2023:</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172,471</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316,279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15,761</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504,770</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Net Loss Attributable to the Company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(4,193)</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(5,085)</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Vested Restricted Stock and Performance 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Exercise of Stock Options and Stock Issuance to Directors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Payment of Equity Issuance Costs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(2,390)</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(2,390)</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(17,738)</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(17,738)</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2,488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2,488</w:t>
            </w:r>
          </w:p>
        </w:tc>
        <w:tc>
          <w:tcPr>
            <w:tcW w:w="0" w:type="dxa"/>
            <w:vAlign w:val="bottom"/>
          </w:tcPr>
          <w:p>
            <w:pPr>
              <w:spacing w:after="0"/>
              <w:rPr>
                <w:sz w:val="1"/>
                <w:szCs w:val="1"/>
                <w:color w:val="auto"/>
              </w:rPr>
            </w:pPr>
          </w:p>
        </w:tc>
      </w:tr>
      <w:tr>
        <w:trPr>
          <w:trHeight w:val="142"/>
        </w:trPr>
        <w:tc>
          <w:tcPr>
            <w:tcW w:w="35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2023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168,103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291,958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18,249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478,567</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Arial" w:cs="Arial" w:eastAsia="Arial" w:hAnsi="Arial"/>
                <w:sz w:val="16"/>
                <w:szCs w:val="16"/>
                <w:color w:val="auto"/>
              </w:rPr>
              <w:t>For the six months ended June 30, 2022:</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2022</w:t>
            </w:r>
          </w:p>
        </w:tc>
        <w:tc>
          <w:tcPr>
            <w:tcW w:w="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85,414</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343,459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1,517</w:t>
            </w:r>
          </w:p>
        </w:tc>
        <w:tc>
          <w:tcPr>
            <w:tcW w:w="20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430,480</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1,420</w:t>
            </w:r>
          </w:p>
        </w:tc>
        <w:tc>
          <w:tcPr>
            <w:tcW w:w="0" w:type="dxa"/>
            <w:vAlign w:val="bottom"/>
          </w:tcPr>
          <w:p>
            <w:pPr>
              <w:spacing w:after="0"/>
              <w:rPr>
                <w:sz w:val="1"/>
                <w:szCs w:val="1"/>
                <w:color w:val="auto"/>
              </w:rPr>
            </w:pPr>
          </w:p>
        </w:tc>
      </w:tr>
      <w:tr>
        <w:trPr>
          <w:trHeight w:val="130"/>
        </w:trPr>
        <w:tc>
          <w:tcPr>
            <w:tcW w:w="35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Adjustment to Equity Component of Convertible Debt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Upon Adoption of ASU 2020-06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w:t>
            </w:r>
          </w:p>
        </w:tc>
        <w:tc>
          <w:tcPr>
            <w:tcW w:w="0" w:type="dxa"/>
            <w:vAlign w:val="bottom"/>
          </w:tcPr>
          <w:p>
            <w:pPr>
              <w:spacing w:after="0"/>
              <w:rPr>
                <w:sz w:val="1"/>
                <w:szCs w:val="1"/>
                <w:color w:val="auto"/>
              </w:rPr>
            </w:pPr>
          </w:p>
        </w:tc>
      </w:tr>
      <w:tr>
        <w:trPr>
          <w:trHeight w:val="149"/>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Vested Restricted Stock and Performance Shares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49"/>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Exercise of Stock Options and Common Stock Issuance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Issuance, Net of Equity Issuance Costs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8,479</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(2,391)</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(2,391)</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(13,594)</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(13,594)</w:t>
            </w:r>
          </w:p>
        </w:tc>
        <w:tc>
          <w:tcPr>
            <w:tcW w:w="0" w:type="dxa"/>
            <w:vAlign w:val="bottom"/>
          </w:tcPr>
          <w:p>
            <w:pPr>
              <w:spacing w:after="0"/>
              <w:rPr>
                <w:sz w:val="1"/>
                <w:szCs w:val="1"/>
                <w:color w:val="auto"/>
              </w:rPr>
            </w:pPr>
          </w:p>
        </w:tc>
      </w:tr>
      <w:tr>
        <w:trPr>
          <w:trHeight w:val="149"/>
        </w:trPr>
        <w:tc>
          <w:tcPr>
            <w:tcW w:w="35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10,623</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10,623</w:t>
            </w:r>
          </w:p>
        </w:tc>
        <w:tc>
          <w:tcPr>
            <w:tcW w:w="0" w:type="dxa"/>
            <w:vAlign w:val="bottom"/>
          </w:tcPr>
          <w:p>
            <w:pPr>
              <w:spacing w:after="0"/>
              <w:rPr>
                <w:sz w:val="1"/>
                <w:szCs w:val="1"/>
                <w:color w:val="auto"/>
              </w:rPr>
            </w:pPr>
          </w:p>
        </w:tc>
      </w:tr>
      <w:tr>
        <w:trPr>
          <w:trHeight w:val="142"/>
        </w:trPr>
        <w:tc>
          <w:tcPr>
            <w:tcW w:w="3520" w:type="dxa"/>
            <w:vAlign w:val="bottom"/>
          </w:tcPr>
          <w:p>
            <w:pPr>
              <w:ind w:left="20"/>
              <w:spacing w:after="0" w:line="129" w:lineRule="exact"/>
              <w:rPr>
                <w:sz w:val="20"/>
                <w:szCs w:val="20"/>
                <w:color w:val="auto"/>
              </w:rPr>
            </w:pPr>
            <w:r>
              <w:rPr>
                <w:rFonts w:ascii="Arial" w:cs="Arial" w:eastAsia="Arial" w:hAnsi="Arial"/>
                <w:sz w:val="14"/>
                <w:szCs w:val="14"/>
                <w:color w:val="auto"/>
              </w:rPr>
              <w:t>Balance June 30, 2022</w:t>
            </w:r>
          </w:p>
        </w:tc>
        <w:tc>
          <w:tcPr>
            <w:tcW w:w="8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30</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61</w:t>
            </w:r>
          </w:p>
        </w:tc>
        <w:tc>
          <w:tcPr>
            <w:tcW w:w="40" w:type="dxa"/>
            <w:vAlign w:val="bottom"/>
          </w:tcPr>
          <w:p>
            <w:pPr>
              <w:spacing w:after="0"/>
              <w:rPr>
                <w:sz w:val="12"/>
                <w:szCs w:val="12"/>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86,347</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332,916</w:t>
            </w:r>
          </w:p>
        </w:tc>
        <w:tc>
          <w:tcPr>
            <w:tcW w:w="60" w:type="dxa"/>
            <w:vAlign w:val="bottom"/>
          </w:tcPr>
          <w:p>
            <w:pPr>
              <w:spacing w:after="0"/>
              <w:rPr>
                <w:sz w:val="12"/>
                <w:szCs w:val="12"/>
                <w:color w:val="auto"/>
              </w:rPr>
            </w:pPr>
          </w:p>
        </w:tc>
        <w:tc>
          <w:tcPr>
            <w:tcW w:w="80" w:type="dxa"/>
            <w:vAlign w:val="bottom"/>
          </w:tcPr>
          <w:p>
            <w:pPr>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29" w:lineRule="exact"/>
              <w:rPr>
                <w:sz w:val="20"/>
                <w:szCs w:val="20"/>
                <w:color w:val="auto"/>
              </w:rPr>
            </w:pPr>
            <w:r>
              <w:rPr>
                <w:rFonts w:ascii="Arial" w:cs="Arial" w:eastAsia="Arial" w:hAnsi="Arial"/>
                <w:sz w:val="14"/>
                <w:szCs w:val="14"/>
                <w:color w:val="auto"/>
              </w:rPr>
              <w:t>12,140</w:t>
            </w:r>
          </w:p>
        </w:tc>
        <w:tc>
          <w:tcPr>
            <w:tcW w:w="200" w:type="dxa"/>
            <w:vAlign w:val="bottom"/>
            <w:gridSpan w:val="2"/>
          </w:tcPr>
          <w:p>
            <w:pPr>
              <w:jc w:val="right"/>
              <w:ind w:right="18"/>
              <w:spacing w:after="0" w:line="12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431,494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3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2"/>
                <w:szCs w:val="12"/>
                <w:color w:val="auto"/>
              </w:rPr>
            </w:pPr>
          </w:p>
        </w:tc>
        <w:tc>
          <w:tcPr>
            <w:tcW w:w="124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June 30, 2022</w:t>
            </w:r>
          </w:p>
        </w:tc>
      </w:tr>
      <w:tr>
        <w:trPr>
          <w:trHeight w:val="142"/>
        </w:trPr>
        <w:tc>
          <w:tcPr>
            <w:tcW w:w="590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r>
      <w:tr>
        <w:trPr>
          <w:trHeight w:val="149"/>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 (Loss) Attributable to the Company</w:t>
            </w:r>
          </w:p>
        </w:tc>
        <w:tc>
          <w:tcPr>
            <w:tcW w:w="1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(4,193)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1,420</w:t>
            </w:r>
          </w:p>
        </w:tc>
      </w:tr>
      <w:tr>
        <w:trPr>
          <w:trHeight w:val="130"/>
        </w:trPr>
        <w:tc>
          <w:tcPr>
            <w:tcW w:w="590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Adjustments to Reconcile Net Income (Loss) Attributable to the Company to Net Cash Provided by</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67"/>
        </w:trPr>
        <w:tc>
          <w:tcPr>
            <w:tcW w:w="59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21,145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13,096</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 Liabilities to Income Property Revenue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w:t>
            </w:r>
          </w:p>
        </w:tc>
      </w:tr>
      <w:tr>
        <w:trPr>
          <w:trHeight w:val="149"/>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Discount on Convertible Debt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Loss (Gain) on Disposition of Real Estate and Intangible Lease Assets and Liabilities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(1,101)</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Disposition of Commercial Loans and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Provision for Impairment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Commercial Loans and Investments Origination Fees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r>
      <w:tr>
        <w:trPr>
          <w:trHeight w:val="149"/>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Imputed Interest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Unrealized Loss on Investment Securities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6,092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4,348</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Extinguishment of Contingent Obligation</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(2,300)</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1,934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1,611</w:t>
            </w:r>
          </w:p>
        </w:tc>
      </w:tr>
      <w:tr>
        <w:trPr>
          <w:trHeight w:val="149"/>
        </w:trPr>
        <w:tc>
          <w:tcPr>
            <w:tcW w:w="59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Decrease (Increase) in Assets: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Land and Development Costs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Mitigation Credits and Mitigation Credit Rights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(4,623)</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w:t>
            </w:r>
          </w:p>
        </w:tc>
      </w:tr>
      <w:tr>
        <w:trPr>
          <w:trHeight w:val="149"/>
        </w:trPr>
        <w:tc>
          <w:tcPr>
            <w:tcW w:w="5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Increase in Liabilities: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Accrued and Other Liabilities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2,167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1,915</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852</w:t>
            </w:r>
          </w:p>
        </w:tc>
      </w:tr>
      <w:tr>
        <w:trPr>
          <w:trHeight w:val="142"/>
        </w:trPr>
        <w:tc>
          <w:tcPr>
            <w:tcW w:w="590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22,413</w:t>
            </w:r>
          </w:p>
        </w:tc>
      </w:tr>
      <w:tr>
        <w:trPr>
          <w:trHeight w:val="142"/>
        </w:trPr>
        <w:tc>
          <w:tcPr>
            <w:tcW w:w="590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Real Estate and Intangible Lease Assets and Liabilities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(89,574)</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(29,621)</w:t>
            </w:r>
          </w:p>
        </w:tc>
      </w:tr>
      <w:tr>
        <w:trPr>
          <w:trHeight w:val="149"/>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Commercial Loans and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(17,427)</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(46,876)</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Disposition of Property, Plant, and Equipment, Net, and Assets Held for 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2,303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6,754</w:t>
            </w:r>
          </w:p>
        </w:tc>
      </w:tr>
      <w:tr>
        <w:trPr>
          <w:trHeight w:val="149"/>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Principal Payments Received on Commercial Loans and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17,182</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Investment Securities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(2,712)</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(1,797)</w:t>
            </w:r>
          </w:p>
        </w:tc>
      </w:tr>
      <w:tr>
        <w:trPr>
          <w:trHeight w:val="142"/>
        </w:trPr>
        <w:tc>
          <w:tcPr>
            <w:tcW w:w="5900" w:type="dxa"/>
            <w:vAlign w:val="bottom"/>
            <w:tcBorders>
              <w:top w:val="single" w:sz="8" w:color="CCEEFF"/>
              <w:left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(106,424)</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(54,358)</w:t>
            </w:r>
          </w:p>
        </w:tc>
      </w:tr>
      <w:tr>
        <w:trPr>
          <w:trHeight w:val="142"/>
        </w:trPr>
        <w:tc>
          <w:tcPr>
            <w:tcW w:w="59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55,000</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Payments on Long-Term Debt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(19,600)</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(11,000)</w:t>
            </w:r>
          </w:p>
        </w:tc>
      </w:tr>
      <w:tr>
        <w:trPr>
          <w:trHeight w:val="149"/>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Loan Fees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r>
      <w:tr>
        <w:trPr>
          <w:trHeight w:val="148"/>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Received Exercise of Stock Options and Common Stock Issuance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Used to Purchase Common and Preferred Stock</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(5,085)</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w:t>
            </w:r>
          </w:p>
        </w:tc>
      </w:tr>
      <w:tr>
        <w:trPr>
          <w:trHeight w:val="149"/>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Vesting of Restricted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(1,028)</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(Cash Paid for) Issuance of Common Stock, Net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8,478</w:t>
            </w:r>
          </w:p>
        </w:tc>
      </w:tr>
      <w:tr>
        <w:trPr>
          <w:trHeight w:val="149"/>
        </w:trPr>
        <w:tc>
          <w:tcPr>
            <w:tcW w:w="5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Dividends Paid - Preferred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(2,390)</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(2,391)</w:t>
            </w:r>
          </w:p>
        </w:tc>
      </w:tr>
      <w:tr>
        <w:trPr>
          <w:trHeight w:val="148"/>
        </w:trPr>
        <w:tc>
          <w:tcPr>
            <w:tcW w:w="59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 - Common Stock</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(17,200)</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(13,197)</w:t>
            </w:r>
          </w:p>
        </w:tc>
      </w:tr>
      <w:tr>
        <w:trPr>
          <w:trHeight w:val="142"/>
        </w:trPr>
        <w:tc>
          <w:tcPr>
            <w:tcW w:w="590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70,276</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34,922</w:t>
            </w:r>
          </w:p>
        </w:tc>
      </w:tr>
      <w:tr>
        <w:trPr>
          <w:trHeight w:val="142"/>
        </w:trPr>
        <w:tc>
          <w:tcPr>
            <w:tcW w:w="590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(11,127)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2,977</w:t>
            </w:r>
          </w:p>
        </w:tc>
      </w:tr>
      <w:tr>
        <w:trPr>
          <w:trHeight w:val="148"/>
        </w:trPr>
        <w:tc>
          <w:tcPr>
            <w:tcW w:w="590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Cash, Cash Equivalents and Restricted Cash, Beginning of Period</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21,194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31,349</w:t>
            </w:r>
          </w:p>
        </w:tc>
      </w:tr>
      <w:tr>
        <w:trPr>
          <w:trHeight w:val="142"/>
        </w:trPr>
        <w:tc>
          <w:tcPr>
            <w:tcW w:w="590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10,067</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34,326</w:t>
            </w:r>
          </w:p>
        </w:tc>
      </w:tr>
      <w:tr>
        <w:trPr>
          <w:trHeight w:val="20"/>
        </w:trPr>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30"/>
        </w:trPr>
        <w:tc>
          <w:tcPr>
            <w:tcW w:w="59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Reconciliation of Cash to the Consolidated Balance Sheets: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42"/>
        </w:trPr>
        <w:tc>
          <w:tcPr>
            <w:tcW w:w="59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7,312</w:t>
            </w:r>
          </w:p>
        </w:tc>
        <w:tc>
          <w:tcPr>
            <w:tcW w:w="16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7,137</w:t>
            </w:r>
          </w:p>
        </w:tc>
      </w:tr>
      <w:tr>
        <w:trPr>
          <w:trHeight w:val="148"/>
        </w:trPr>
        <w:tc>
          <w:tcPr>
            <w:tcW w:w="59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2,755</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27,189</w:t>
            </w:r>
          </w:p>
        </w:tc>
      </w:tr>
      <w:tr>
        <w:trPr>
          <w:trHeight w:val="142"/>
        </w:trPr>
        <w:tc>
          <w:tcPr>
            <w:tcW w:w="59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Cash</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10,067</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34,326</w:t>
            </w:r>
          </w:p>
        </w:tc>
      </w:tr>
      <w:tr>
        <w:trPr>
          <w:trHeight w:val="20"/>
        </w:trPr>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224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June 30, 2023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June 30, 2022</w:t>
            </w:r>
          </w:p>
        </w:tc>
      </w:tr>
      <w:tr>
        <w:trPr>
          <w:trHeight w:val="142"/>
        </w:trPr>
        <w:tc>
          <w:tcPr>
            <w:tcW w:w="59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9"/>
        </w:trPr>
        <w:tc>
          <w:tcPr>
            <w:tcW w:w="5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Paid for Taxes, Net of Refunds Received</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r>
      <w:tr>
        <w:trPr>
          <w:trHeight w:val="148"/>
        </w:trPr>
        <w:tc>
          <w:tcPr>
            <w:tcW w:w="5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Cash Paid for Interest </w:t>
            </w:r>
            <w:r>
              <w:rPr>
                <w:rFonts w:ascii="Arial" w:cs="Arial" w:eastAsia="Arial" w:hAnsi="Arial"/>
                <w:sz w:val="17"/>
                <w:szCs w:val="17"/>
                <w:color w:val="auto"/>
                <w:vertAlign w:val="superscript"/>
              </w:rPr>
              <w:t>(1)</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(9,589)</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(3,678)</w:t>
            </w:r>
          </w:p>
        </w:tc>
      </w:tr>
      <w:tr>
        <w:trPr>
          <w:trHeight w:val="148"/>
        </w:trPr>
        <w:tc>
          <w:tcPr>
            <w:tcW w:w="2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5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Unrealized Gain on Cash Flow Hedges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2,488</w:t>
            </w: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10,623</w:t>
            </w:r>
          </w:p>
        </w:tc>
      </w:tr>
      <w:tr>
        <w:trPr>
          <w:trHeight w:val="149"/>
        </w:trPr>
        <w:tc>
          <w:tcPr>
            <w:tcW w:w="5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 to Equity Component of Convertible Debt Upon Adoption of ASU 2020-06</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w:t>
            </w:r>
          </w:p>
        </w:tc>
      </w:tr>
      <w:tr>
        <w:trPr>
          <w:trHeight w:val="148"/>
        </w:trPr>
        <w:tc>
          <w:tcPr>
            <w:tcW w:w="5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 Stock Dividends Declared and Unpaid</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r>
      <w:tr>
        <w:trPr>
          <w:trHeight w:val="148"/>
        </w:trPr>
        <w:tc>
          <w:tcPr>
            <w:tcW w:w="5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Assumption of Mortgage Note Payable</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17,800</w:t>
            </w:r>
          </w:p>
        </w:tc>
      </w:tr>
      <w:tr>
        <w:trPr>
          <w:trHeight w:val="115"/>
        </w:trPr>
        <w:tc>
          <w:tcPr>
            <w:tcW w:w="224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57"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capitalized interest of $0.1 million during the six months ended June 30, 2023, with no interest capitalized during the six months ended June 30, 2022.</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8"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We own and manage, sometimes utilizing third-party property management companies, 24 commercial real estate properties in 9 states in the United States. As of June 30, 2023, we owned 8 single-tenant and 16 multi-tenant income-producing properties comprising 4.2 million square feet of gross leasable space.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our income property portfolio, as of June 30, 2023, our business included the following: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ind w:left="840" w:right="59" w:hanging="322"/>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Alpine Income Property Trust, Inc. (“PINE”), see Note 5, “Related Party Management Services Business”.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Loans and Investments:</w:t>
      </w:r>
    </w:p>
    <w:p>
      <w:pPr>
        <w:spacing w:after="0" w:line="225" w:lineRule="exact"/>
        <w:rPr>
          <w:sz w:val="20"/>
          <w:szCs w:val="20"/>
          <w:color w:val="auto"/>
        </w:rPr>
      </w:pPr>
    </w:p>
    <w:p>
      <w:pPr>
        <w:ind w:left="840" w:right="59" w:hanging="322"/>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portfolio of three commercial loan investments and one preferred equity investment which is classified as a commercial loan investment.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59" w:hanging="32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352,000 surface acres in 19 counties in the State of Florida (“Subsurface Interests”); and</w:t>
      </w:r>
    </w:p>
    <w:p>
      <w:pPr>
        <w:spacing w:after="0" w:line="170" w:lineRule="exact"/>
        <w:rPr>
          <w:rFonts w:ascii="Arial" w:cs="Arial" w:eastAsia="Arial" w:hAnsi="Arial"/>
          <w:sz w:val="18"/>
          <w:szCs w:val="18"/>
          <w:color w:val="auto"/>
        </w:rPr>
      </w:pPr>
    </w:p>
    <w:p>
      <w:pPr>
        <w:ind w:left="840" w:hanging="32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inventory of mitigation credits produced by the Company’s formerly owned mitigation bank.</w:t>
      </w:r>
    </w:p>
    <w:p>
      <w:pPr>
        <w:spacing w:after="0" w:line="225"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Our business also includes our investment in PINE. As of June 30, 2023, the fair value of our investment totaled $37.9 million, or 14.8%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Information</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2022,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results of operations for the three and six month periods ended June 30, 2023 are not necessarily indicative of results to be expected for the year ending December 31, 2023.</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June 30, 2023, the Company has an equity investment in PINE.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and cash equivalents includes cash on hand, bank demand accounts, and money market accounts having original maturities of 90 days or less. The Company’s bank balances as of June 30, 2023 and December 31, 2022 include certain amounts over the Federal Deposit Insurance Corporation limits.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Restricted cash totaled $2.8 million at June 30, 2023, of which $1.9 million is being held in an escrow account to be reinvested through the like-kind exchange structure into other income properties, and $0.8 million is being held in three interest and/or real estate tax reserve accounts related to the Company’s commercial loans and investments.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 and Hedging Activity</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The Company accounts for its cash flow hedging derivatives in accordance with FASB ASC Topic 815-20,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Depending upon the hedge’s value at each balance sheet date, the derivatives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either other assets or accrued and other liabilities on the consolidated balance sheet at their fair value. On the date each interest rate swap was entered into, the Company designated the derivatives as a hedge of the variability of cash flows to be paid related to the recognized long-term debt liabilities.</w:t>
      </w:r>
    </w:p>
    <w:p>
      <w:pPr>
        <w:spacing w:after="0" w:line="188"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71"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restricted cash, accounts receivable, accounts payable, and accrued and other liabilities at June 30, 2023 and December 31, 2022, approximate fair value because of the short maturity of these instruments. The carrying value of the Company’s Credit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Facility (hereinafter defined) as of June 30, 2023 and December 31, 2022,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mortgage note, and convertible debt held as of June 30, 2023 and December 31, 2022 are measured at fair value based on current market rates for financial instruments with similar risks and maturities (see Note 8, “Fair Value of Financial Instruments”).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76" w:lineRule="exact"/>
        <w:rPr>
          <w:sz w:val="20"/>
          <w:szCs w:val="20"/>
          <w:color w:val="auto"/>
        </w:rPr>
      </w:pPr>
    </w:p>
    <w:p>
      <w:pPr>
        <w:ind w:left="840" w:hanging="32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117" w:lineRule="exact"/>
        <w:rPr>
          <w:rFonts w:ascii="Arial" w:cs="Arial" w:eastAsia="Arial" w:hAnsi="Arial"/>
          <w:sz w:val="18"/>
          <w:szCs w:val="18"/>
          <w:color w:val="auto"/>
        </w:rPr>
      </w:pPr>
    </w:p>
    <w:p>
      <w:pPr>
        <w:jc w:val="both"/>
        <w:ind w:left="840" w:right="59" w:hanging="322"/>
        <w:spacing w:after="0" w:line="259"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jc w:val="both"/>
        <w:ind w:left="840" w:right="59" w:hanging="322"/>
        <w:spacing w:after="0" w:line="259"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Recognition of Interest Income from Commercial Loans and Investments</w:t>
      </w:r>
    </w:p>
    <w:p>
      <w:pPr>
        <w:spacing w:after="0" w:line="225"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Mitigation Credits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Mitigation credits are stated at historical cost. As these assets are sold, the related revenues and cost of sales are reported as revenues from, and direct costs of, real estate operations, respectively, in the consolidated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$3.4 million and $2.2 million as of June 30, 2023 and December 31, 2022, respectively.</w:t>
      </w:r>
    </w:p>
    <w:p>
      <w:pPr>
        <w:spacing w:after="0" w:line="14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Accounts receivable related to real estate operations, which are classified in other assets on the consolidated balance sheets, totaled $0.8 million as of June 30, 2023 and December 31, 2022. The accounts receivable as of June 30, 2023 and December 31, 2022 are primarily related to the reimbursement of certain infrastructure costs completed by the Company in conjunction with two land sale transactions that closed during the fourth quarter of 2015 as more fully described in Note 11, “Other Assets.”</w:t>
      </w:r>
    </w:p>
    <w:p>
      <w:pPr>
        <w:spacing w:after="0" w:line="188"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The amount due from the buyer of the golf operations for the rounds surcharge the Company paid to the City of Daytona Beach, totaled $0.1 million and $0.2 million as of June 30, 2023 and December 31, 2022, respectively.</w:t>
      </w:r>
    </w:p>
    <w:p>
      <w:pPr>
        <w:spacing w:after="0" w:line="146"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collectability of the aforementioned receivables shall be considered and adjusted through an allowance for doubtful accounts which is included in income property revenue on the consolidated statements of operations. As of June 30, 2023 and December 31, 2022, the Company’s allowance for doubtful accounts totaled $2.5 million and $1.8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8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ind w:left="60" w:right="59" w:firstLine="500"/>
        <w:spacing w:after="0" w:line="286" w:lineRule="auto"/>
        <w:rPr>
          <w:sz w:val="20"/>
          <w:szCs w:val="20"/>
          <w:color w:val="auto"/>
        </w:rPr>
      </w:pPr>
      <w:r>
        <w:rPr>
          <w:rFonts w:ascii="Arial" w:cs="Arial" w:eastAsia="Arial" w:hAnsi="Arial"/>
          <w:sz w:val="17"/>
          <w:szCs w:val="17"/>
          <w:color w:val="auto"/>
        </w:rPr>
        <w:t xml:space="preserve">Investments in real estate which are determined to be “held for sale” pursuant to FASB Topic 360-10,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w:t>
      </w:r>
      <w:r>
        <w:rPr>
          <w:rFonts w:ascii="Arial" w:cs="Arial" w:eastAsia="Arial" w:hAnsi="Arial"/>
          <w:sz w:val="17"/>
          <w:szCs w:val="17"/>
          <w:color w:val="auto"/>
        </w:rPr>
        <w:t>are reported separately on the consolidated balance sheets at the lesser of carrying value 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less costs to sell. Real estate investments classified as held for sale are not depreciated.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of Real Estate</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8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Gains and losses on land sales, in addition to the sale of Subsurface Interests and mitigation credits, are accounted for as required by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441"/>
        <w:spacing w:after="0" w:line="285" w:lineRule="auto"/>
        <w:rPr>
          <w:sz w:val="20"/>
          <w:szCs w:val="20"/>
          <w:color w:val="auto"/>
        </w:rPr>
      </w:pPr>
      <w:r>
        <w:rPr>
          <w:rFonts w:ascii="Arial" w:cs="Arial" w:eastAsia="Arial" w:hAnsi="Arial"/>
          <w:sz w:val="16"/>
          <w:szCs w:val="16"/>
          <w:color w:val="auto"/>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pacing w:after="0" w:line="176"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Company uses the asset and liability method to account for income taxes for the Company’s TRSs.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INCOME PROPERTIES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and reimbursements from tenants for common area maintenance, insurance, real estate taxes, and other operating expenses.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2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June 30, 2022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June 30, 2023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June 30, 2022</w:t>
            </w: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17,602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35,640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25,205</w:t>
            </w: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r>
      <w:tr>
        <w:trPr>
          <w:trHeight w:val="210"/>
        </w:trPr>
        <w:tc>
          <w:tcPr>
            <w:tcW w:w="2780" w:type="dxa"/>
            <w:vAlign w:val="bottom"/>
          </w:tcPr>
          <w:p>
            <w:pPr>
              <w:ind w:left="20"/>
              <w:spacing w:after="0"/>
              <w:rPr>
                <w:sz w:val="20"/>
                <w:szCs w:val="20"/>
                <w:color w:val="auto"/>
              </w:rPr>
            </w:pPr>
            <w:r>
              <w:rPr>
                <w:rFonts w:ascii="Arial" w:cs="Arial" w:eastAsia="Arial" w:hAnsi="Arial"/>
                <w:sz w:val="18"/>
                <w:szCs w:val="18"/>
                <w:color w:val="auto"/>
              </w:rPr>
              <w:t>Total Leasing Revenue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31,535</w:t>
            </w:r>
          </w:p>
        </w:tc>
      </w:tr>
      <w:tr>
        <w:trPr>
          <w:trHeight w:val="20"/>
        </w:trPr>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Minimum future base rental receipts under non-cancelable operating leases, excluding percentage rent and other lease payments that are not fixed and determinable, having remaining terms in excess of one year subsequent to June 30, 2023, are summarized as follows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41,237</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77,138</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72,463</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62,498</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50,922</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37,484</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and Thereafter (Cumulative)</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66,966</w:t>
            </w:r>
          </w:p>
        </w:tc>
      </w:tr>
      <w:tr>
        <w:trPr>
          <w:trHeight w:val="210"/>
        </w:trPr>
        <w:tc>
          <w:tcPr>
            <w:tcW w:w="65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408,708</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i w:val="1"/>
          <w:iCs w:val="1"/>
          <w:color w:val="auto"/>
        </w:rPr>
        <w:t xml:space="preserve">2023 Acquisitions. </w:t>
      </w:r>
      <w:r>
        <w:rPr>
          <w:rFonts w:ascii="Arial" w:cs="Arial" w:eastAsia="Arial" w:hAnsi="Arial"/>
          <w:sz w:val="16"/>
          <w:szCs w:val="16"/>
          <w:color w:val="auto"/>
        </w:rPr>
        <w:t>During the six months ended June 30, 2023, the Company acquired the Plaza at Rockwall, a</w:t>
      </w:r>
      <w:r>
        <w:rPr>
          <w:rFonts w:ascii="Arial" w:cs="Arial" w:eastAsia="Arial" w:hAnsi="Arial"/>
          <w:sz w:val="16"/>
          <w:szCs w:val="16"/>
          <w:i w:val="1"/>
          <w:iCs w:val="1"/>
          <w:color w:val="auto"/>
        </w:rPr>
        <w:t xml:space="preserve"> </w:t>
      </w:r>
      <w:r>
        <w:rPr>
          <w:rFonts w:ascii="Arial" w:cs="Arial" w:eastAsia="Arial" w:hAnsi="Arial"/>
          <w:sz w:val="16"/>
          <w:szCs w:val="16"/>
          <w:color w:val="auto"/>
        </w:rPr>
        <w:t>multi-tenant income property located in Rockwall, Texas for a purchase price of $61.2 million, or a total acquisition cost of $61.3 million including capitalized acquisition costs. The Plaza at Rockwall comprises 446,500 square feet, was 95% occupied at acquisition, and had a weighted average remaining lease term of 4.2 years at acquisition. Also, during the six months ended June 30, 2023, the Company acquired four properties, totaling 24,100 square feet, within the 28,100 square foot retail portion of Phase II of The Exchange at Gwinnett located in Buford, Georgia (the “Gwinnett Property”), for an aggregate purchase price of $14.6 million, or a total acquisition cost of $14.7 million including capitalized acquisition costs. The four properties are leased to six different tenants with a weighted average remaining lease term of 9.9 years at acquisition. The Company is under contract to acquire the remaining 4,000 square-foot property that makes up the remaining retail portion of Phase II of The Exchange at Gwinnett for a purchase price of $2.3 million. The Company previously purchased the Sprouts-anchored Phase I portion of The Exchange at Gwinnett in December 2021.</w:t>
      </w:r>
    </w:p>
    <w:p>
      <w:pPr>
        <w:spacing w:after="0" w:line="172"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Of the $76.0 million total acquisition cost, $16.9 million was allocated to land, $53.6 million was allocated to buildings and improvements, and $8.7 million was allocated to intangible assets pertaining to the in-place lease value, leasing costs, and above market lease value and $3.2 million was allocated to intangible liabilities for the below market lease value. The amortization period for the intangible assets and liabilities was 5.6 years at acquisition.</w:t>
      </w:r>
    </w:p>
    <w:p>
      <w:pPr>
        <w:spacing w:after="0" w:line="171"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 xml:space="preserve">2023 Dispositions. </w:t>
      </w:r>
      <w:r>
        <w:rPr>
          <w:rFonts w:ascii="Arial" w:cs="Arial" w:eastAsia="Arial" w:hAnsi="Arial"/>
          <w:sz w:val="18"/>
          <w:szCs w:val="18"/>
          <w:color w:val="auto"/>
        </w:rPr>
        <w:t>During the six months ended June 30, 2023, the Company sold one income property, an outparcel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multi-tenant property known as Eastern Commons, located in Henderson, Nevada, for $2.1 million, resulting in a gain of $0.8 million.</w:t>
      </w:r>
    </w:p>
    <w:p>
      <w:pPr>
        <w:spacing w:after="0" w:line="224"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2022 Acquisitions. </w:t>
      </w:r>
      <w:r>
        <w:rPr>
          <w:rFonts w:ascii="Arial" w:cs="Arial" w:eastAsia="Arial" w:hAnsi="Arial"/>
          <w:sz w:val="18"/>
          <w:szCs w:val="18"/>
          <w:color w:val="auto"/>
        </w:rPr>
        <w:t>During the six months ended June 30, 2022, the Company acquired Price Plaza Shopping Center,</w:t>
      </w:r>
      <w:r>
        <w:rPr>
          <w:rFonts w:ascii="Arial" w:cs="Arial" w:eastAsia="Arial" w:hAnsi="Arial"/>
          <w:sz w:val="18"/>
          <w:szCs w:val="18"/>
          <w:i w:val="1"/>
          <w:iCs w:val="1"/>
          <w:color w:val="auto"/>
        </w:rPr>
        <w:t xml:space="preserve"> </w:t>
      </w:r>
      <w:r>
        <w:rPr>
          <w:rFonts w:ascii="Arial" w:cs="Arial" w:eastAsia="Arial" w:hAnsi="Arial"/>
          <w:sz w:val="18"/>
          <w:szCs w:val="18"/>
          <w:color w:val="auto"/>
        </w:rPr>
        <w:t>a multi-tenant income property located in Katy, Texas for a purchase price of $39.1 million, or a total acquisition cost of $39.2 million including capitalized acquisition costs. Price Plaza Shopping Center comprises 205,813 square feet, was 95% leased at acquisition, and had a weighted average remaining lease term of 5.7 years at acquisition. In connection with the acquisition of Price Plaza Shopping Center, the company assumed a $17.8 million fixed-rate mortgage note, as further discussed in Note 15, “Long-Term Debt.”</w:t>
      </w:r>
    </w:p>
    <w:p>
      <w:pPr>
        <w:spacing w:after="0" w:line="219"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Of the $39.2 million total acquisition cost, $15.6 million was allocated to land, $17.9 million was allocated to buildings and improvements, and $5.9 million was allocated to intangible assets pertaining to the in-place lease value, leasing costs, and above market lease value and $0.2 million was allocated to intangible liabilities for the below market lease value. The amortization period for the intangible assets and liabilities was 5.7 years at acquisition.</w:t>
      </w:r>
    </w:p>
    <w:p>
      <w:pPr>
        <w:spacing w:after="0" w:line="17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2022 Dispositions. </w:t>
      </w:r>
      <w:r>
        <w:rPr>
          <w:rFonts w:ascii="Arial" w:cs="Arial" w:eastAsia="Arial" w:hAnsi="Arial"/>
          <w:sz w:val="16"/>
          <w:szCs w:val="16"/>
          <w:color w:val="auto"/>
        </w:rPr>
        <w:t>During the six months ended June 30, 2022, the Company sold two income properties, including (i)</w:t>
      </w:r>
      <w:r>
        <w:rPr>
          <w:rFonts w:ascii="Arial" w:cs="Arial" w:eastAsia="Arial" w:hAnsi="Arial"/>
          <w:sz w:val="16"/>
          <w:szCs w:val="16"/>
          <w:i w:val="1"/>
          <w:iCs w:val="1"/>
          <w:color w:val="auto"/>
        </w:rPr>
        <w:t xml:space="preserve"> </w:t>
      </w:r>
      <w:r>
        <w:rPr>
          <w:rFonts w:ascii="Arial" w:cs="Arial" w:eastAsia="Arial" w:hAnsi="Arial"/>
          <w:sz w:val="16"/>
          <w:szCs w:val="16"/>
          <w:color w:val="auto"/>
        </w:rPr>
        <w:t>Party City, a single-tenant income property located in Oceanside, New York for $6.9 million resulting in a $0.06 million loss and (ii) the Carpenter Hotel ground lease, a single-tenant income property located in Austin, Texas for $17.1 million resulting in a $0.2 million loss. The lease with Carpenter Hotel included two tenant repurchase options. Pursuant to FASB ASC Topic 842, Leases, the $16.25 million investment was recorded in the accompanying consolidated balance sheets as a commercial loan investment prior to its disposition during the six months ended June 30, 2022. The sale of the properties reflect a total disposition volume of $24.0 million, resulting in aggregate losses of $0.2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COMMERCIAL LOANS AND INVESTMENTS</w:t>
      </w:r>
    </w:p>
    <w:p>
      <w:pPr>
        <w:spacing w:after="0" w:line="229"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6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i w:val="1"/>
          <w:iCs w:val="1"/>
          <w:color w:val="auto"/>
        </w:rPr>
        <w:t>2023 Activity</w:t>
      </w:r>
      <w:r>
        <w:rPr>
          <w:rFonts w:ascii="Arial" w:cs="Arial" w:eastAsia="Arial" w:hAnsi="Arial"/>
          <w:sz w:val="18"/>
          <w:szCs w:val="18"/>
          <w:color w:val="auto"/>
        </w:rPr>
        <w:t>. On February 21, 2023, the borrower of the 4311 Maple Avenue mortgage note repaid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$0.4 million, leaving no remaining balance outstanding as of June 30, 2023.</w:t>
      </w:r>
    </w:p>
    <w:p>
      <w:pPr>
        <w:spacing w:after="0" w:line="170"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On March 1, 2023, the Company originated a $15.0 million first mortgage loan secured by the Founders Square property located in Dallas, Texas. The loan is interest-only with a term of three years with a fixed interest rate of 8.75%. The Company received an origination fee of 1.0% or $0.15 million.</w:t>
      </w:r>
    </w:p>
    <w:p>
      <w:pPr>
        <w:spacing w:after="0" w:line="184"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During the six months ended June 30, 2023, the Company funded $2.2 million to the borrower and received $0.6 million in principal repayments under the construction loan originated in January 2022 and secured by the property and improvements to be constructed thereon for the second phase of The Exchange at Gwinnett project located in Buford, Georgia. As of June 30, 2023, there is no remaining commitment to the borrower.</w:t>
      </w:r>
    </w:p>
    <w:p>
      <w:pPr>
        <w:spacing w:after="0" w:line="171"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i w:val="1"/>
          <w:iCs w:val="1"/>
          <w:color w:val="auto"/>
        </w:rPr>
        <w:t xml:space="preserve">Watters Creek Investment. </w:t>
      </w:r>
      <w:r>
        <w:rPr>
          <w:rFonts w:ascii="Arial" w:cs="Arial" w:eastAsia="Arial" w:hAnsi="Arial"/>
          <w:sz w:val="17"/>
          <w:szCs w:val="17"/>
          <w:color w:val="auto"/>
        </w:rPr>
        <w:t>On April 7, 2022, the Company entered into a preferred equity agreement to provide $30.0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funding towards the total investment in Watters Creek at Montgomery Farm, a grocery-anchored, mixed-use property located in Allen, Texas (the “Watters Creek Investment”). The Watters Creek Investment matures on April 6, 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p>
      <w:pPr>
        <w:spacing w:after="0" w:line="181" w:lineRule="exact"/>
        <w:rPr>
          <w:sz w:val="20"/>
          <w:szCs w:val="20"/>
          <w:color w:val="auto"/>
        </w:rPr>
      </w:pPr>
    </w:p>
    <w:p>
      <w:pPr>
        <w:jc w:val="both"/>
        <w:ind w:left="60" w:right="59" w:firstLine="518"/>
        <w:spacing w:after="0" w:line="269" w:lineRule="auto"/>
        <w:rPr>
          <w:sz w:val="20"/>
          <w:szCs w:val="20"/>
          <w:color w:val="auto"/>
        </w:rPr>
      </w:pPr>
      <w:r>
        <w:rPr>
          <w:rFonts w:ascii="Arial" w:cs="Arial" w:eastAsia="Arial" w:hAnsi="Arial"/>
          <w:sz w:val="17"/>
          <w:szCs w:val="17"/>
          <w:color w:val="auto"/>
        </w:rPr>
        <w:t xml:space="preserve">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commercial loans and investments were comprised of the following at June 30, 2023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Original</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9"/>
              </w:rPr>
              <w:t>Current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Date of</w:t>
            </w: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Maturity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27"/>
              <w:spacing w:after="0" w:line="162" w:lineRule="exact"/>
              <w:rPr>
                <w:sz w:val="20"/>
                <w:szCs w:val="20"/>
                <w:color w:val="auto"/>
              </w:rPr>
            </w:pPr>
            <w:r>
              <w:rPr>
                <w:rFonts w:ascii="Arial" w:cs="Arial" w:eastAsia="Arial" w:hAnsi="Arial"/>
                <w:sz w:val="15"/>
                <w:szCs w:val="15"/>
                <w:b w:val="1"/>
                <w:bCs w:val="1"/>
                <w:color w:val="auto"/>
                <w:w w:val="87"/>
              </w:rPr>
              <w:t>Face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27"/>
              <w:spacing w:after="0" w:line="162" w:lineRule="exact"/>
              <w:rPr>
                <w:sz w:val="20"/>
                <w:szCs w:val="20"/>
                <w:color w:val="auto"/>
              </w:rPr>
            </w:pPr>
            <w:r>
              <w:rPr>
                <w:rFonts w:ascii="Arial" w:cs="Arial" w:eastAsia="Arial" w:hAnsi="Arial"/>
                <w:sz w:val="15"/>
                <w:szCs w:val="15"/>
                <w:b w:val="1"/>
                <w:bCs w:val="1"/>
                <w:color w:val="auto"/>
                <w:w w:val="87"/>
              </w:rPr>
              <w:t>Face</w:t>
            </w:r>
          </w:p>
        </w:tc>
        <w:tc>
          <w:tcPr>
            <w:tcW w:w="180" w:type="dxa"/>
            <w:vAlign w:val="bottom"/>
          </w:tcPr>
          <w:p>
            <w:pPr>
              <w:spacing w:after="0"/>
              <w:rPr>
                <w:sz w:val="14"/>
                <w:szCs w:val="14"/>
                <w:color w:val="auto"/>
              </w:rPr>
            </w:pPr>
          </w:p>
        </w:tc>
        <w:tc>
          <w:tcPr>
            <w:tcW w:w="800" w:type="dxa"/>
            <w:vAlign w:val="bottom"/>
            <w:gridSpan w:val="3"/>
          </w:tcPr>
          <w:p>
            <w:pPr>
              <w:jc w:val="right"/>
              <w:ind w:right="180"/>
              <w:spacing w:after="0" w:line="162" w:lineRule="exact"/>
              <w:rPr>
                <w:sz w:val="20"/>
                <w:szCs w:val="20"/>
                <w:color w:val="auto"/>
              </w:rPr>
            </w:pPr>
            <w:r>
              <w:rPr>
                <w:rFonts w:ascii="Arial" w:cs="Arial" w:eastAsia="Arial" w:hAnsi="Arial"/>
                <w:sz w:val="15"/>
                <w:szCs w:val="15"/>
                <w:b w:val="1"/>
                <w:bCs w:val="1"/>
                <w:color w:val="auto"/>
                <w:w w:val="97"/>
              </w:rPr>
              <w:t>Carrying</w:t>
            </w: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Coupon</w:t>
            </w:r>
          </w:p>
        </w:tc>
        <w:tc>
          <w:tcPr>
            <w:tcW w:w="0" w:type="dxa"/>
            <w:vAlign w:val="bottom"/>
          </w:tcPr>
          <w:p>
            <w:pPr>
              <w:spacing w:after="0"/>
              <w:rPr>
                <w:sz w:val="1"/>
                <w:szCs w:val="1"/>
                <w:color w:val="auto"/>
              </w:rPr>
            </w:pPr>
          </w:p>
        </w:tc>
      </w:tr>
      <w:tr>
        <w:trPr>
          <w:trHeight w:val="179"/>
        </w:trPr>
        <w:tc>
          <w:tcPr>
            <w:tcW w:w="3960" w:type="dxa"/>
            <w:vAlign w:val="bottom"/>
          </w:tcPr>
          <w:p>
            <w:pPr>
              <w:ind w:left="20"/>
              <w:spacing w:after="0"/>
              <w:rPr>
                <w:sz w:val="20"/>
                <w:szCs w:val="20"/>
                <w:color w:val="auto"/>
              </w:rPr>
            </w:pPr>
            <w:r>
              <w:rPr>
                <w:rFonts w:ascii="Arial" w:cs="Arial" w:eastAsia="Arial" w:hAnsi="Arial"/>
                <w:sz w:val="15"/>
                <w:szCs w:val="15"/>
                <w:b w:val="1"/>
                <w:bCs w:val="1"/>
                <w:color w:val="auto"/>
              </w:rPr>
              <w:t>Description</w:t>
            </w: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90"/>
              </w:rPr>
              <w:t>Investment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92"/>
              </w:rPr>
              <w:t>Date</w:t>
            </w:r>
          </w:p>
        </w:tc>
        <w:tc>
          <w:tcPr>
            <w:tcW w:w="14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Amount</w:t>
            </w:r>
          </w:p>
        </w:tc>
        <w:tc>
          <w:tcPr>
            <w:tcW w:w="1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Value</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c>
          <w:tcPr>
            <w:tcW w:w="0" w:type="dxa"/>
            <w:vAlign w:val="bottom"/>
          </w:tcPr>
          <w:p>
            <w:pPr>
              <w:spacing w:after="0"/>
              <w:rPr>
                <w:sz w:val="1"/>
                <w:szCs w:val="1"/>
                <w:color w:val="auto"/>
              </w:rPr>
            </w:pPr>
          </w:p>
        </w:tc>
      </w:tr>
      <w:tr>
        <w:trPr>
          <w:trHeight w:val="156"/>
        </w:trPr>
        <w:tc>
          <w:tcPr>
            <w:tcW w:w="39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6"/>
              </w:rPr>
              <w:t>Construction Loan – The Exchange At Gwinnett – Buford, GA</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0"/>
              </w:rPr>
              <w:t>January 2022</w:t>
            </w: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0"/>
              </w:rPr>
              <w:t>January 2024</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1,857</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1,833</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7.25%</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Arial" w:cs="Arial" w:eastAsia="Arial" w:hAnsi="Arial"/>
                <w:sz w:val="15"/>
                <w:szCs w:val="15"/>
                <w:color w:val="auto"/>
              </w:rPr>
              <w:t>Preferred Investment – Watters Creek – Allen, TX</w:t>
            </w:r>
          </w:p>
        </w:tc>
        <w:tc>
          <w:tcPr>
            <w:tcW w:w="14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color w:val="auto"/>
              </w:rPr>
              <w:t>April 2022</w:t>
            </w:r>
          </w:p>
        </w:tc>
        <w:tc>
          <w:tcPr>
            <w:tcW w:w="16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5"/>
                <w:szCs w:val="15"/>
                <w:color w:val="auto"/>
                <w:w w:val="97"/>
              </w:rPr>
              <w:t>April 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29,912</w:t>
            </w:r>
          </w:p>
        </w:tc>
        <w:tc>
          <w:tcPr>
            <w:tcW w:w="16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color w:val="auto"/>
                <w:w w:val="93"/>
              </w:rPr>
              <w:t>8.75%</w:t>
            </w: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Founders Square – Dallas, TX</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March 2023</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March 2026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14,867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8.75%</w:t>
            </w:r>
          </w:p>
        </w:tc>
        <w:tc>
          <w:tcPr>
            <w:tcW w:w="0" w:type="dxa"/>
            <w:vAlign w:val="bottom"/>
          </w:tcPr>
          <w:p>
            <w:pPr>
              <w:spacing w:after="0"/>
              <w:rPr>
                <w:sz w:val="1"/>
                <w:szCs w:val="1"/>
                <w:color w:val="auto"/>
              </w:rPr>
            </w:pPr>
          </w:p>
        </w:tc>
      </w:tr>
      <w:tr>
        <w:trPr>
          <w:trHeight w:val="162"/>
        </w:trPr>
        <w:tc>
          <w:tcPr>
            <w:tcW w:w="3960" w:type="dxa"/>
            <w:vAlign w:val="bottom"/>
            <w:tcBorders>
              <w:bottom w:val="single" w:sz="8" w:color="CCEEFF"/>
            </w:tcBorders>
          </w:tcPr>
          <w:p>
            <w:pPr>
              <w:ind w:left="20"/>
              <w:spacing w:after="0" w:line="162" w:lineRule="exact"/>
              <w:rPr>
                <w:sz w:val="20"/>
                <w:szCs w:val="20"/>
                <w:color w:val="auto"/>
              </w:rPr>
            </w:pPr>
            <w:r>
              <w:rPr>
                <w:rFonts w:ascii="Arial" w:cs="Arial" w:eastAsia="Arial" w:hAnsi="Arial"/>
                <w:sz w:val="15"/>
                <w:szCs w:val="15"/>
                <w:color w:val="auto"/>
              </w:rPr>
              <w:t>Promissory Note – Main Street – Daytona Beach, FL</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center"/>
              <w:spacing w:after="0" w:line="162" w:lineRule="exact"/>
              <w:rPr>
                <w:sz w:val="20"/>
                <w:szCs w:val="20"/>
                <w:color w:val="auto"/>
              </w:rPr>
            </w:pPr>
            <w:r>
              <w:rPr>
                <w:rFonts w:ascii="Arial" w:cs="Arial" w:eastAsia="Arial" w:hAnsi="Arial"/>
                <w:sz w:val="15"/>
                <w:szCs w:val="15"/>
                <w:color w:val="auto"/>
                <w:w w:val="91"/>
              </w:rPr>
              <w:t>June 2023</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center"/>
              <w:spacing w:after="0" w:line="162" w:lineRule="exact"/>
              <w:rPr>
                <w:sz w:val="20"/>
                <w:szCs w:val="20"/>
                <w:color w:val="auto"/>
              </w:rPr>
            </w:pPr>
            <w:r>
              <w:rPr>
                <w:rFonts w:ascii="Arial" w:cs="Arial" w:eastAsia="Arial" w:hAnsi="Arial"/>
                <w:sz w:val="15"/>
                <w:szCs w:val="15"/>
                <w:color w:val="auto"/>
                <w:w w:val="94"/>
              </w:rPr>
              <w:t>May 2033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350</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jc w:val="center"/>
              <w:spacing w:after="0" w:line="162" w:lineRule="exact"/>
              <w:rPr>
                <w:sz w:val="20"/>
                <w:szCs w:val="20"/>
                <w:color w:val="auto"/>
              </w:rPr>
            </w:pPr>
            <w:r>
              <w:rPr>
                <w:rFonts w:ascii="Arial" w:cs="Arial" w:eastAsia="Arial" w:hAnsi="Arial"/>
                <w:sz w:val="15"/>
                <w:szCs w:val="15"/>
                <w:color w:val="auto"/>
                <w:w w:val="93"/>
              </w:rPr>
              <w:t>8.00%</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54,050</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47,207</w:t>
            </w:r>
          </w:p>
        </w:tc>
        <w:tc>
          <w:tcPr>
            <w:tcW w:w="28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46,962</w:t>
            </w: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20"/>
              <w:spacing w:after="0"/>
              <w:rPr>
                <w:sz w:val="20"/>
                <w:szCs w:val="20"/>
                <w:color w:val="auto"/>
              </w:rPr>
            </w:pPr>
            <w:r>
              <w:rPr>
                <w:rFonts w:ascii="Arial" w:cs="Arial" w:eastAsia="Arial" w:hAnsi="Arial"/>
                <w:sz w:val="15"/>
                <w:szCs w:val="15"/>
                <w:color w:val="auto"/>
              </w:rPr>
              <w:t>CECL Reserve</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(479)</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Total Commercial Loans and Investments</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46,483</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160" w:firstLine="441"/>
        <w:spacing w:after="0" w:line="243" w:lineRule="auto"/>
        <w:rPr>
          <w:sz w:val="20"/>
          <w:szCs w:val="20"/>
          <w:color w:val="auto"/>
        </w:rPr>
      </w:pPr>
      <w:r>
        <w:rPr>
          <w:rFonts w:ascii="Arial" w:cs="Arial" w:eastAsia="Arial" w:hAnsi="Arial"/>
          <w:sz w:val="18"/>
          <w:szCs w:val="18"/>
          <w:color w:val="auto"/>
        </w:rPr>
        <w:t>With respect to the $1.5 million improvement loan at Ashford Lane originated in May 2022, during the three months ended June 30, 2023, the Company took possession of the improvements that were funded by such loan pursuant to the applicable security agreement and, accordingly, the carrying value of the investment was reclassified as building and improvements.</w:t>
      </w:r>
    </w:p>
    <w:p>
      <w:pPr>
        <w:spacing w:after="0" w:line="161" w:lineRule="exact"/>
        <w:rPr>
          <w:sz w:val="20"/>
          <w:szCs w:val="20"/>
          <w:color w:val="auto"/>
        </w:rPr>
      </w:pPr>
    </w:p>
    <w:p>
      <w:pPr>
        <w:jc w:val="both"/>
        <w:ind w:left="60" w:right="160" w:firstLine="441"/>
        <w:spacing w:after="0" w:line="261" w:lineRule="auto"/>
        <w:rPr>
          <w:sz w:val="20"/>
          <w:szCs w:val="20"/>
          <w:color w:val="auto"/>
        </w:rPr>
      </w:pPr>
      <w:r>
        <w:rPr>
          <w:rFonts w:ascii="Arial" w:cs="Arial" w:eastAsia="Arial" w:hAnsi="Arial"/>
          <w:sz w:val="18"/>
          <w:szCs w:val="18"/>
          <w:color w:val="auto"/>
        </w:rPr>
        <w:t>The Company’s commercial loans and investments were comprised of the following at December 31, 2022 (in thousands):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Original</w:t>
            </w: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Coupon</w:t>
            </w:r>
          </w:p>
        </w:tc>
        <w:tc>
          <w:tcPr>
            <w:tcW w:w="0" w:type="dxa"/>
            <w:vAlign w:val="bottom"/>
          </w:tcPr>
          <w:p>
            <w:pPr>
              <w:spacing w:after="0"/>
              <w:rPr>
                <w:sz w:val="1"/>
                <w:szCs w:val="1"/>
                <w:color w:val="auto"/>
              </w:rPr>
            </w:pPr>
          </w:p>
        </w:tc>
      </w:tr>
      <w:tr>
        <w:trPr>
          <w:trHeight w:val="149"/>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Face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Face</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Mortgage Note – 4311 Maple Avenue – Dallas, TX</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October 2020</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April 2023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395</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7.50%</w:t>
            </w:r>
          </w:p>
        </w:tc>
        <w:tc>
          <w:tcPr>
            <w:tcW w:w="0" w:type="dxa"/>
            <w:vAlign w:val="bottom"/>
          </w:tcPr>
          <w:p>
            <w:pPr>
              <w:spacing w:after="0"/>
              <w:rPr>
                <w:sz w:val="1"/>
                <w:szCs w:val="1"/>
                <w:color w:val="auto"/>
              </w:rPr>
            </w:pPr>
          </w:p>
        </w:tc>
      </w:tr>
      <w:tr>
        <w:trPr>
          <w:trHeight w:val="148"/>
        </w:trPr>
        <w:tc>
          <w:tcPr>
            <w:tcW w:w="3940" w:type="dxa"/>
            <w:vAlign w:val="bottom"/>
          </w:tcPr>
          <w:p>
            <w:pPr>
              <w:ind w:left="20"/>
              <w:spacing w:after="0" w:line="149" w:lineRule="exact"/>
              <w:rPr>
                <w:sz w:val="20"/>
                <w:szCs w:val="20"/>
                <w:color w:val="auto"/>
              </w:rPr>
            </w:pPr>
            <w:r>
              <w:rPr>
                <w:rFonts w:ascii="Arial" w:cs="Arial" w:eastAsia="Arial" w:hAnsi="Arial"/>
                <w:sz w:val="14"/>
                <w:szCs w:val="14"/>
                <w:color w:val="auto"/>
              </w:rPr>
              <w:t>Construction Loan – The Exchange At Gwinnett – Buford, GA</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January 2022</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8,700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5"/>
              </w:rPr>
              <w:t>7.25%</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Investment - Watters Creek – Allen, TX</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April 2022</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April 2025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29,887</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5"/>
              </w:rPr>
              <w:t>8.50%</w:t>
            </w:r>
          </w:p>
        </w:tc>
        <w:tc>
          <w:tcPr>
            <w:tcW w:w="0" w:type="dxa"/>
            <w:vAlign w:val="bottom"/>
          </w:tcPr>
          <w:p>
            <w:pPr>
              <w:spacing w:after="0"/>
              <w:rPr>
                <w:sz w:val="1"/>
                <w:szCs w:val="1"/>
                <w:color w:val="auto"/>
              </w:rPr>
            </w:pPr>
          </w:p>
        </w:tc>
      </w:tr>
      <w:tr>
        <w:trPr>
          <w:trHeight w:val="148"/>
        </w:trPr>
        <w:tc>
          <w:tcPr>
            <w:tcW w:w="39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Improvement Loan - Ashford Lane – Atlanta, GA</w:t>
            </w: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7"/>
              </w:rPr>
              <w:t>May 2022</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8"/>
              </w:rPr>
              <w:t>April 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1,453</w:t>
            </w:r>
          </w:p>
        </w:tc>
        <w:tc>
          <w:tcPr>
            <w:tcW w:w="680" w:type="dxa"/>
            <w:vAlign w:val="bottom"/>
            <w:tcBorders>
              <w:bottom w:val="single" w:sz="8" w:color="CCEEFF"/>
            </w:tcBorders>
            <w:gridSpan w:val="2"/>
          </w:tcPr>
          <w:p>
            <w:pPr>
              <w:jc w:val="center"/>
              <w:ind w:left="88"/>
              <w:spacing w:after="0" w:line="149" w:lineRule="exact"/>
              <w:rPr>
                <w:sz w:val="20"/>
                <w:szCs w:val="20"/>
                <w:color w:val="auto"/>
              </w:rPr>
            </w:pPr>
            <w:r>
              <w:rPr>
                <w:rFonts w:ascii="Arial" w:cs="Arial" w:eastAsia="Arial" w:hAnsi="Arial"/>
                <w:sz w:val="14"/>
                <w:szCs w:val="14"/>
                <w:color w:val="auto"/>
                <w:w w:val="92"/>
              </w:rPr>
              <w:t>12.00%</w:t>
            </w: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40,600</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32,073</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31,908</w:t>
            </w: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60" w:firstLine="441"/>
        <w:spacing w:after="0" w:line="277" w:lineRule="auto"/>
        <w:rPr>
          <w:sz w:val="20"/>
          <w:szCs w:val="20"/>
          <w:color w:val="auto"/>
        </w:rPr>
      </w:pPr>
      <w:r>
        <w:rPr>
          <w:rFonts w:ascii="Arial" w:cs="Arial" w:eastAsia="Arial" w:hAnsi="Arial"/>
          <w:sz w:val="18"/>
          <w:szCs w:val="18"/>
          <w:color w:val="auto"/>
        </w:rPr>
        <w:t>The carrying value of the commercial loans and investments portfolio at June 30, 2023 and December 31, 2022 consisted of the following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r>
      <w:tr>
        <w:trPr>
          <w:trHeight w:val="210"/>
        </w:trPr>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June 30, 2023</w:t>
            </w:r>
          </w:p>
        </w:tc>
        <w:tc>
          <w:tcPr>
            <w:tcW w:w="180" w:type="dxa"/>
            <w:vAlign w:val="bottom"/>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December 31, 2022</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47,207</w:t>
            </w:r>
          </w:p>
        </w:tc>
        <w:tc>
          <w:tcPr>
            <w:tcW w:w="7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Unaccreted Origination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CECL Reserve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5480" w:type="dxa"/>
            <w:vAlign w:val="bottom"/>
          </w:tcPr>
          <w:p>
            <w:pPr>
              <w:ind w:left="20"/>
              <w:spacing w:after="0"/>
              <w:rPr>
                <w:sz w:val="20"/>
                <w:szCs w:val="20"/>
                <w:color w:val="auto"/>
              </w:rPr>
            </w:pPr>
            <w:r>
              <w:rPr>
                <w:rFonts w:ascii="Arial" w:cs="Arial" w:eastAsia="Arial" w:hAnsi="Arial"/>
                <w:sz w:val="18"/>
                <w:szCs w:val="18"/>
                <w:color w:val="auto"/>
              </w:rPr>
              <w:t>Total Commercial Loans and Investments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46,483</w:t>
            </w:r>
          </w:p>
        </w:tc>
        <w:tc>
          <w:tcPr>
            <w:tcW w:w="7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31,908</w:t>
            </w:r>
          </w:p>
        </w:tc>
      </w:tr>
      <w:tr>
        <w:trPr>
          <w:trHeight w:val="20"/>
        </w:trPr>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RELATED PARTY MANAGEMENT SERVICES BUSINESS</w:t>
      </w:r>
    </w:p>
    <w:p>
      <w:pPr>
        <w:spacing w:after="0" w:line="216" w:lineRule="exact"/>
        <w:rPr>
          <w:sz w:val="20"/>
          <w:szCs w:val="20"/>
          <w:color w:val="auto"/>
        </w:rPr>
      </w:pPr>
    </w:p>
    <w:p>
      <w:pPr>
        <w:jc w:val="both"/>
        <w:ind w:left="60" w:right="160" w:firstLine="441"/>
        <w:spacing w:after="0" w:line="324" w:lineRule="auto"/>
        <w:rPr>
          <w:sz w:val="20"/>
          <w:szCs w:val="20"/>
          <w:color w:val="auto"/>
        </w:rPr>
      </w:pPr>
      <w:r>
        <w:rPr>
          <w:rFonts w:ascii="Arial" w:cs="Arial" w:eastAsia="Arial" w:hAnsi="Arial"/>
          <w:sz w:val="16"/>
          <w:szCs w:val="16"/>
          <w:color w:val="auto"/>
        </w:rPr>
        <w:t xml:space="preserve">The Company’s management fee income is within the scope of FASB ASC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Management fee income is recognized as revenue over time, over the period the services are performed.</w:t>
      </w:r>
    </w:p>
    <w:p>
      <w:pPr>
        <w:spacing w:after="0" w:line="124" w:lineRule="exact"/>
        <w:rPr>
          <w:sz w:val="20"/>
          <w:szCs w:val="20"/>
          <w:color w:val="auto"/>
        </w:rPr>
      </w:pPr>
    </w:p>
    <w:p>
      <w:pPr>
        <w:jc w:val="both"/>
        <w:ind w:left="60" w:right="160" w:firstLine="441"/>
        <w:spacing w:after="0" w:line="262" w:lineRule="auto"/>
        <w:rPr>
          <w:sz w:val="20"/>
          <w:szCs w:val="20"/>
          <w:color w:val="auto"/>
        </w:rPr>
      </w:pPr>
      <w:r>
        <w:rPr>
          <w:rFonts w:ascii="Arial" w:cs="Arial" w:eastAsia="Arial" w:hAnsi="Arial"/>
          <w:sz w:val="16"/>
          <w:szCs w:val="16"/>
          <w:i w:val="1"/>
          <w:iCs w:val="1"/>
          <w:color w:val="auto"/>
        </w:rPr>
        <w:t xml:space="preserve">Alpine Income Property Trust. </w:t>
      </w:r>
      <w:r>
        <w:rPr>
          <w:rFonts w:ascii="Arial" w:cs="Arial" w:eastAsia="Arial" w:hAnsi="Arial"/>
          <w:sz w:val="16"/>
          <w:szCs w:val="16"/>
          <w:color w:val="auto"/>
        </w:rPr>
        <w:t>Pursuant to the Company’s management agreement with PINE,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the weighted average shares. No incentive fee was earned for the year ended December 31, 2022.</w:t>
      </w:r>
    </w:p>
    <w:p>
      <w:pPr>
        <w:spacing w:after="0" w:line="196" w:lineRule="exact"/>
        <w:rPr>
          <w:sz w:val="20"/>
          <w:szCs w:val="20"/>
          <w:color w:val="auto"/>
        </w:rPr>
      </w:pPr>
    </w:p>
    <w:p>
      <w:pPr>
        <w:jc w:val="both"/>
        <w:ind w:left="60" w:right="160" w:firstLine="441"/>
        <w:spacing w:after="0" w:line="252" w:lineRule="auto"/>
        <w:rPr>
          <w:sz w:val="20"/>
          <w:szCs w:val="20"/>
          <w:color w:val="auto"/>
        </w:rPr>
      </w:pPr>
      <w:r>
        <w:rPr>
          <w:rFonts w:ascii="Arial" w:cs="Arial" w:eastAsia="Arial" w:hAnsi="Arial"/>
          <w:sz w:val="17"/>
          <w:szCs w:val="17"/>
          <w:color w:val="auto"/>
        </w:rPr>
        <w:t>During the three and six months ended June 30, 2023, the Company earned management fee revenue from PINE totaling $1.1 million and $2.2 million, respectively. Dividend income for three and six months ended June 30, 2023 totaled $0.6 million and $1.2 million, respectively. During the three and six months ended June 30, 2022, the Company earned management fee revenue from PINE totaling $0.9 million and $1.9 million, respectively. Dividend income for the three and six months ended June 30, 2022, totaled $0.6 million $1.1 million, respectively. Management fee revenue from PINE, included in management services, and dividend income, included in investment and other loss, are reflected in the accompanying consolidated statements of operations.</w:t>
      </w:r>
    </w:p>
    <w:p>
      <w:pPr>
        <w:sectPr>
          <w:pgSz w:w="11900" w:h="16838" w:orient="portrait"/>
          <w:cols w:equalWidth="0" w:num="1">
            <w:col w:w="9120"/>
          </w:cols>
          <w:pgMar w:left="1440" w:top="51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20"/>
          </w:cols>
          <w:pgMar w:left="1440" w:top="517" w:right="1339"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represents amounts due (to) from PINE as of June 30, 2023 and December 31, 2022 which are included in other assets on the consolidated balance sheets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June 30, 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2022</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Management Services Fee due From PINE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Dividend Receivable</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92"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On October 26, 2021, the Board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spacing w:after="0" w:line="17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On February 16, 2023, the Board cancelled the Prior PINE Share Purchase Authorization and authorized the purchase by the Company of up to $2.1 million in shares of common stock of PINE (the “2023 PINE Share Purchase Authorization”). Pursuant to the 2023 PINE Share Purchase Authorization, during the six months ended June 30, 2023, the Company purchased 129,271 shares of PINE common stock on the open market for a total of $2.1 million, or an average price of $16.21 per share.</w:t>
      </w:r>
    </w:p>
    <w:p>
      <w:pPr>
        <w:spacing w:after="0" w:line="18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June 30, 2023, CTO owns, in the aggregate, 1,223,854 OP Units and 1,108,814 shares of PINE common stock, representing an investment totaling $37.9 million, or 14.8% of PINE’s outstanding equity.</w:t>
      </w:r>
    </w:p>
    <w:p>
      <w:pPr>
        <w:spacing w:after="0" w:line="170"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During the year ended December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for an aggregate purchase price of $44.5 million, and (ii) one single-tenant income property for a purchase price of $11.5 million.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6. REAL ESTATE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Land and development costs at June 30, 2023 and December 31, 2022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31, 2022</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Development Costs</w:t>
            </w:r>
          </w:p>
        </w:tc>
        <w:tc>
          <w:tcPr>
            <w:tcW w:w="1520" w:type="dxa"/>
            <w:vAlign w:val="bottom"/>
            <w:shd w:val="clear" w:color="auto" w:fill="CCEEFF"/>
          </w:tcPr>
          <w:p>
            <w:pPr>
              <w:jc w:val="right"/>
              <w:ind w:right="136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Subsurface Interests</w:t>
            </w:r>
          </w:p>
        </w:tc>
        <w:tc>
          <w:tcPr>
            <w:tcW w:w="1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Land and Development Costs</w:t>
            </w:r>
          </w:p>
        </w:tc>
        <w:tc>
          <w:tcPr>
            <w:tcW w:w="1520" w:type="dxa"/>
            <w:vAlign w:val="bottom"/>
            <w:tcBorders>
              <w:bottom w:val="single" w:sz="8" w:color="auto"/>
            </w:tcBorders>
            <w:shd w:val="clear" w:color="auto" w:fill="CCEEFF"/>
          </w:tcPr>
          <w:p>
            <w:pPr>
              <w:jc w:val="right"/>
              <w:ind w:right="136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i w:val="1"/>
          <w:iCs w:val="1"/>
          <w:color w:val="auto"/>
        </w:rPr>
        <w:t xml:space="preserve">Subsurface Interests. </w:t>
      </w:r>
      <w:r>
        <w:rPr>
          <w:rFonts w:ascii="Arial" w:cs="Arial" w:eastAsia="Arial" w:hAnsi="Arial"/>
          <w:sz w:val="16"/>
          <w:szCs w:val="16"/>
          <w:color w:val="auto"/>
        </w:rPr>
        <w:t>As of June 30, 2023, the Company owns 352,000 acres of Subsurface Interests.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three and six months ended June 30, 2023, the Company sold subsurface oil, gas, and mineral rights of 604 acres for a sales price of $0.1 million and 3,016 acres for a sales price of $0.4 million, respectively. During the three and six months ended June 30, 2022, the Company sold subsurface oil, gas, and mineral rights of 8,332 acres for a sales price of $0.5 million and 13,082 acres for a sales price of $0.9 million, respectively.</w:t>
      </w:r>
    </w:p>
    <w:p>
      <w:pPr>
        <w:spacing w:after="0" w:line="206"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$0.2 million and $0.1 million in the six months ended June 30, 2023 and 2022, respectively.</w:t>
      </w:r>
    </w:p>
    <w:p>
      <w:pPr>
        <w:spacing w:after="0" w:line="218"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i w:val="1"/>
          <w:iCs w:val="1"/>
          <w:color w:val="auto"/>
        </w:rPr>
        <w:t xml:space="preserve">Mitigation Credits. </w:t>
      </w:r>
      <w:r>
        <w:rPr>
          <w:rFonts w:ascii="Arial" w:cs="Arial" w:eastAsia="Arial" w:hAnsi="Arial"/>
          <w:sz w:val="16"/>
          <w:szCs w:val="16"/>
          <w:color w:val="auto"/>
        </w:rPr>
        <w:t>The Company owns an inventory of mitigation credits with a cost basis of $2.0 million as of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As of December 31, 2022, the Company owned mitigation credits and mitigation credit rights with an aggregate cost basis of $2.6 million. During the three months ended March 31, 2023, the remaining mitigation credit rights were released and transferred to mitigation credits as they were available for sale as of March 31, 2023. On December 29, 2022, the Company completed the sale of the entity that owned the mitigation bank previously owned by the Company. A balance of mitigation credits and mitigation credit rights were retained by the Company as part of the sale agreement.</w:t>
      </w:r>
    </w:p>
    <w:p>
      <w:pPr>
        <w:spacing w:after="0" w:line="191"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Revenues and the cost of sales of mitigation credit sales are reported as revenues from, and direct costs of, real estate operations, respectively, in the consolidated statements of operations. During the six months ended June 30, 2023, 8.41 mitigation credits were sold for $1.0 million resulting in a gain of $0.3 million. During the six months ended June 30, 2022, 1.96 credits were sold for an aggregate $0.2 million resulting in a gain of $0.1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INVESTMENT SECURITIES</w:t>
      </w:r>
    </w:p>
    <w:p>
      <w:pPr>
        <w:spacing w:after="0" w:line="229"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As of June 30, 2023, the Company owns, in the aggregate and on a fully diluted basis, 2.33 million shares of PINE, or 14.8% of PINE’s total shares outstanding for an investment value of $37.9 million, which total includes 1.2 million OP Units, or 7.8%, which the Company received in exchange for the contribution of certain income properties to the PINE Operating Partnership, in addition to 1,108,814 shares of common stock owned by the Company, or 7.0%.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spacing w:after="0" w:line="178"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loss in the accompanying consolidated statements of operations.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Company’s available-for-sale securities as of June 30, 2023 and December 31, 2022 are summarized below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Gains in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Losses in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Estimated</w:t>
            </w:r>
          </w:p>
        </w:tc>
      </w:tr>
      <w:tr>
        <w:trPr>
          <w:trHeight w:val="216"/>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34"/>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(Level 1 Inputs)</w:t>
            </w: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20,482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(2,464)</w:t>
            </w:r>
          </w:p>
        </w:tc>
        <w:tc>
          <w:tcPr>
            <w:tcW w:w="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18,018</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19,888</w:t>
            </w:r>
          </w:p>
        </w:tc>
      </w:tr>
      <w:tr>
        <w:trPr>
          <w:trHeight w:val="20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37,906</w:t>
            </w:r>
          </w:p>
        </w:tc>
      </w:tr>
      <w:tr>
        <w:trPr>
          <w:trHeight w:val="20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w:t>
            </w: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18,690</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r>
      <w:tr>
        <w:trPr>
          <w:trHeight w:val="20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42,041</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42,041</w:t>
            </w: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FAIR VALUE OF FINANCIAL INSTRUMENTS</w:t>
      </w:r>
    </w:p>
    <w:p>
      <w:pPr>
        <w:spacing w:after="0" w:line="202"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The following table presents the carrying value and estimated fair value of the Company’s financial instruments not carried at fair value on the consolidated balance sheets at June 30, 2023 and December 31, 2022 (in thousands):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Estimated</w:t>
            </w:r>
          </w:p>
        </w:tc>
      </w:tr>
      <w:tr>
        <w:trPr>
          <w:trHeight w:val="234"/>
        </w:trPr>
        <w:tc>
          <w:tcPr>
            <w:tcW w:w="4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w:t>
            </w: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 - 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32,960</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Long-Term Debt - Level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541,768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517,507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445,583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426,421</w:t>
            </w:r>
          </w:p>
        </w:tc>
      </w:tr>
    </w:tbl>
    <w:p>
      <w:pPr>
        <w:spacing w:after="0" w:line="17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37" w:lineRule="exact"/>
        <w:rPr>
          <w:sz w:val="20"/>
          <w:szCs w:val="20"/>
          <w:color w:val="auto"/>
        </w:rPr>
      </w:pPr>
    </w:p>
    <w:p>
      <w:pPr>
        <w:jc w:val="both"/>
        <w:ind w:left="60" w:right="59" w:firstLine="441"/>
        <w:spacing w:after="0" w:line="247" w:lineRule="auto"/>
        <w:rPr>
          <w:sz w:val="20"/>
          <w:szCs w:val="20"/>
          <w:color w:val="auto"/>
        </w:rPr>
      </w:pPr>
      <w:r>
        <w:rPr>
          <w:rFonts w:ascii="Arial" w:cs="Arial" w:eastAsia="Arial" w:hAnsi="Arial"/>
          <w:sz w:val="18"/>
          <w:szCs w:val="18"/>
          <w:color w:val="auto"/>
        </w:rPr>
        <w:t>The following table presents the fair value of assets measured on a recurring basis by level as of June 30, 2023 and December 31, 2022 (in thousands). See Note 16, “Interest Rate Swaps” for further disclosure related to the Company’s interest rate swaps.</w:t>
      </w:r>
    </w:p>
    <w:tbl>
      <w:tblPr>
        <w:tblLayout w:type="fixed"/>
        <w:tblInd w:w="40" w:type="dxa"/>
        <w:tblCellMar>
          <w:top w:w="0" w:type="dxa"/>
          <w:left w:w="0" w:type="dxa"/>
          <w:bottom w:w="0" w:type="dxa"/>
          <w:right w:w="0" w:type="dxa"/>
        </w:tblCellMar>
      </w:tblPr>
      <w:tr>
        <w:trPr>
          <w:trHeight w:val="198"/>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8"/>
          </w:tcPr>
          <w:p>
            <w:pPr>
              <w:jc w:val="center"/>
              <w:ind w:right="19"/>
              <w:spacing w:after="0"/>
              <w:rPr>
                <w:sz w:val="20"/>
                <w:szCs w:val="20"/>
                <w:color w:val="auto"/>
              </w:rPr>
            </w:pPr>
            <w:r>
              <w:rPr>
                <w:rFonts w:ascii="Arial" w:cs="Arial" w:eastAsia="Arial" w:hAnsi="Arial"/>
                <w:sz w:val="16"/>
                <w:szCs w:val="16"/>
                <w:b w:val="1"/>
                <w:bCs w:val="1"/>
                <w:color w:val="auto"/>
                <w:w w:val="92"/>
              </w:rPr>
              <w:t>Fair Value at Reporting Date Using</w:t>
            </w:r>
          </w:p>
        </w:tc>
      </w:tr>
      <w:tr>
        <w:trPr>
          <w:trHeight w:val="155"/>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0"/>
              </w:rPr>
              <w:t>Quoted Prices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2"/>
              </w:rPr>
              <w:t>Significant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5"/>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auto"/>
                <w:w w:val="89"/>
              </w:rPr>
              <w:t>in Active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Significant</w:t>
            </w:r>
          </w:p>
        </w:tc>
      </w:tr>
      <w:tr>
        <w:trPr>
          <w:trHeight w:val="189"/>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Markets for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Observable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Unobservable</w:t>
            </w:r>
          </w:p>
        </w:tc>
      </w:tr>
      <w:tr>
        <w:trPr>
          <w:trHeight w:val="189"/>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w w:val="88"/>
              </w:rPr>
              <w:t>Identical Assets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Inputs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(Level 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(Level 3)</w:t>
            </w:r>
          </w:p>
        </w:tc>
      </w:tr>
      <w:tr>
        <w:trPr>
          <w:trHeight w:val="183"/>
        </w:trPr>
        <w:tc>
          <w:tcPr>
            <w:tcW w:w="39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June 30, 2023</w:t>
            </w: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9"/>
        </w:trPr>
        <w:tc>
          <w:tcPr>
            <w:tcW w:w="3960" w:type="dxa"/>
            <w:vAlign w:val="bottom"/>
          </w:tcPr>
          <w:p>
            <w:pPr>
              <w:ind w:left="120"/>
              <w:spacing w:after="0"/>
              <w:rPr>
                <w:sz w:val="20"/>
                <w:szCs w:val="20"/>
                <w:color w:val="auto"/>
              </w:rPr>
            </w:pPr>
            <w:r>
              <w:rPr>
                <w:rFonts w:ascii="Arial" w:cs="Arial" w:eastAsia="Arial" w:hAnsi="Arial"/>
                <w:sz w:val="16"/>
                <w:szCs w:val="16"/>
                <w:color w:val="auto"/>
                <w:w w:val="95"/>
              </w:rPr>
              <w:t>Cash Flow Hedge - 2026 Term Loan Interest Rate Swap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4,255</w:t>
            </w:r>
          </w:p>
        </w:tc>
        <w:tc>
          <w:tcPr>
            <w:tcW w:w="80" w:type="dxa"/>
            <w:vAlign w:val="bottom"/>
          </w:tcPr>
          <w:p>
            <w:pPr>
              <w:spacing w:after="0"/>
              <w:rPr>
                <w:sz w:val="16"/>
                <w:szCs w:val="16"/>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175"/>
        </w:trPr>
        <w:tc>
          <w:tcPr>
            <w:tcW w:w="39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w w:val="95"/>
              </w:rPr>
              <w:t>Cash Flow Hedge - 2026 Term Loan 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1,408</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line="175"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1,408</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40"/>
              <w:spacing w:after="0" w:line="175" w:lineRule="exact"/>
              <w:rPr>
                <w:sz w:val="20"/>
                <w:szCs w:val="20"/>
                <w:color w:val="auto"/>
              </w:rPr>
            </w:pPr>
            <w:r>
              <w:rPr>
                <w:rFonts w:ascii="Arial" w:cs="Arial" w:eastAsia="Arial" w:hAnsi="Arial"/>
                <w:sz w:val="16"/>
                <w:szCs w:val="16"/>
                <w:color w:val="auto"/>
              </w:rPr>
              <w:t>—</w:t>
            </w:r>
          </w:p>
        </w:tc>
      </w:tr>
      <w:tr>
        <w:trPr>
          <w:trHeight w:val="189"/>
        </w:trPr>
        <w:tc>
          <w:tcPr>
            <w:tcW w:w="3960" w:type="dxa"/>
            <w:vAlign w:val="bottom"/>
          </w:tcPr>
          <w:p>
            <w:pPr>
              <w:ind w:left="120"/>
              <w:spacing w:after="0"/>
              <w:rPr>
                <w:sz w:val="20"/>
                <w:szCs w:val="20"/>
                <w:color w:val="auto"/>
              </w:rPr>
            </w:pPr>
            <w:r>
              <w:rPr>
                <w:rFonts w:ascii="Arial" w:cs="Arial" w:eastAsia="Arial" w:hAnsi="Arial"/>
                <w:sz w:val="16"/>
                <w:szCs w:val="16"/>
                <w:color w:val="auto"/>
                <w:w w:val="95"/>
              </w:rPr>
              <w:t>Cash Flow Hedge - 2027 Term Loan Interest Rate Swap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9,748</w:t>
            </w:r>
          </w:p>
        </w:tc>
        <w:tc>
          <w:tcPr>
            <w:tcW w:w="80" w:type="dxa"/>
            <w:vAlign w:val="bottom"/>
          </w:tcPr>
          <w:p>
            <w:pPr>
              <w:spacing w:after="0"/>
              <w:rPr>
                <w:sz w:val="16"/>
                <w:szCs w:val="16"/>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9,748</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189"/>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Cash Flow Hedge - 2028 Term Loan 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175"/>
        </w:trPr>
        <w:tc>
          <w:tcPr>
            <w:tcW w:w="3960" w:type="dxa"/>
            <w:vAlign w:val="bottom"/>
          </w:tcPr>
          <w:p>
            <w:pPr>
              <w:ind w:left="120"/>
              <w:spacing w:after="0" w:line="175" w:lineRule="exact"/>
              <w:rPr>
                <w:sz w:val="20"/>
                <w:szCs w:val="20"/>
                <w:color w:val="auto"/>
              </w:rPr>
            </w:pPr>
            <w:r>
              <w:rPr>
                <w:rFonts w:ascii="Arial" w:cs="Arial" w:eastAsia="Arial" w:hAnsi="Arial"/>
                <w:sz w:val="16"/>
                <w:szCs w:val="16"/>
                <w:color w:val="auto"/>
              </w:rPr>
              <w:t>Cash Flow Hedge - Credit Facility Interest Rate Swap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2,276</w:t>
            </w:r>
          </w:p>
        </w:tc>
        <w:tc>
          <w:tcPr>
            <w:tcW w:w="80" w:type="dxa"/>
            <w:vAlign w:val="bottom"/>
          </w:tcPr>
          <w:p>
            <w:pPr>
              <w:spacing w:after="0"/>
              <w:rPr>
                <w:sz w:val="15"/>
                <w:szCs w:val="15"/>
                <w:color w:val="auto"/>
              </w:rPr>
            </w:pP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2,276</w:t>
            </w:r>
          </w:p>
        </w:tc>
        <w:tc>
          <w:tcPr>
            <w:tcW w:w="100" w:type="dxa"/>
            <w:vAlign w:val="bottom"/>
          </w:tcPr>
          <w:p>
            <w:pPr>
              <w:spacing w:after="0"/>
              <w:rPr>
                <w:sz w:val="15"/>
                <w:szCs w:val="15"/>
                <w:color w:val="auto"/>
              </w:rPr>
            </w:pPr>
          </w:p>
        </w:tc>
        <w:tc>
          <w:tcPr>
            <w:tcW w:w="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ind w:left="840"/>
              <w:spacing w:after="0" w:line="175" w:lineRule="exact"/>
              <w:rPr>
                <w:sz w:val="20"/>
                <w:szCs w:val="20"/>
                <w:color w:val="auto"/>
              </w:rPr>
            </w:pPr>
            <w:r>
              <w:rPr>
                <w:rFonts w:ascii="Arial" w:cs="Arial" w:eastAsia="Arial" w:hAnsi="Arial"/>
                <w:sz w:val="16"/>
                <w:szCs w:val="16"/>
                <w:color w:val="auto"/>
              </w:rPr>
              <w:t>—</w:t>
            </w:r>
          </w:p>
        </w:tc>
      </w:tr>
      <w:tr>
        <w:trPr>
          <w:trHeight w:val="189"/>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189"/>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5"/>
        </w:trPr>
        <w:tc>
          <w:tcPr>
            <w:tcW w:w="39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w w:val="95"/>
              </w:rPr>
              <w:t>Cash Flow Hedge - 2026 Term Loan 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4,586</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line="175"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4,586</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40"/>
              <w:spacing w:after="0" w:line="175" w:lineRule="exact"/>
              <w:rPr>
                <w:sz w:val="20"/>
                <w:szCs w:val="20"/>
                <w:color w:val="auto"/>
              </w:rPr>
            </w:pPr>
            <w:r>
              <w:rPr>
                <w:rFonts w:ascii="Arial" w:cs="Arial" w:eastAsia="Arial" w:hAnsi="Arial"/>
                <w:sz w:val="16"/>
                <w:szCs w:val="16"/>
                <w:color w:val="auto"/>
              </w:rPr>
              <w:t>—</w:t>
            </w:r>
          </w:p>
        </w:tc>
      </w:tr>
      <w:tr>
        <w:trPr>
          <w:trHeight w:val="189"/>
        </w:trPr>
        <w:tc>
          <w:tcPr>
            <w:tcW w:w="3960" w:type="dxa"/>
            <w:vAlign w:val="bottom"/>
          </w:tcPr>
          <w:p>
            <w:pPr>
              <w:ind w:left="120"/>
              <w:spacing w:after="0"/>
              <w:rPr>
                <w:sz w:val="20"/>
                <w:szCs w:val="20"/>
                <w:color w:val="auto"/>
              </w:rPr>
            </w:pPr>
            <w:r>
              <w:rPr>
                <w:rFonts w:ascii="Arial" w:cs="Arial" w:eastAsia="Arial" w:hAnsi="Arial"/>
                <w:sz w:val="16"/>
                <w:szCs w:val="16"/>
                <w:color w:val="auto"/>
                <w:w w:val="95"/>
              </w:rPr>
              <w:t>Cash Flow Hedge - 2026 Term Loan Interest Rate Swap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1,461</w:t>
            </w:r>
          </w:p>
        </w:tc>
        <w:tc>
          <w:tcPr>
            <w:tcW w:w="80" w:type="dxa"/>
            <w:vAlign w:val="bottom"/>
          </w:tcPr>
          <w:p>
            <w:pPr>
              <w:spacing w:after="0"/>
              <w:rPr>
                <w:sz w:val="16"/>
                <w:szCs w:val="16"/>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189"/>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Cash Flow Hedge - 2027 Term Loan 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10,111</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10,111</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176"/>
        </w:trPr>
        <w:tc>
          <w:tcPr>
            <w:tcW w:w="3960" w:type="dxa"/>
            <w:vAlign w:val="bottom"/>
          </w:tcPr>
          <w:p>
            <w:pPr>
              <w:ind w:left="120"/>
              <w:spacing w:after="0" w:line="175" w:lineRule="exact"/>
              <w:rPr>
                <w:sz w:val="20"/>
                <w:szCs w:val="20"/>
                <w:color w:val="auto"/>
              </w:rPr>
            </w:pPr>
            <w:r>
              <w:rPr>
                <w:rFonts w:ascii="Arial" w:cs="Arial" w:eastAsia="Arial" w:hAnsi="Arial"/>
                <w:sz w:val="16"/>
                <w:szCs w:val="16"/>
                <w:color w:val="auto"/>
                <w:w w:val="95"/>
              </w:rPr>
              <w:t>Cash Flow Hedge - 2028 Term Loan Interest Rate Swap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(397)</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(397)</w:t>
            </w:r>
          </w:p>
        </w:tc>
        <w:tc>
          <w:tcPr>
            <w:tcW w:w="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ind w:left="840"/>
              <w:spacing w:after="0" w:line="175" w:lineRule="exact"/>
              <w:rPr>
                <w:sz w:val="20"/>
                <w:szCs w:val="20"/>
                <w:color w:val="auto"/>
              </w:rPr>
            </w:pPr>
            <w:r>
              <w:rPr>
                <w:rFonts w:ascii="Arial" w:cs="Arial" w:eastAsia="Arial" w:hAnsi="Arial"/>
                <w:sz w:val="16"/>
                <w:szCs w:val="16"/>
                <w:color w:val="auto"/>
              </w:rPr>
              <w:t>—</w:t>
            </w:r>
          </w:p>
        </w:tc>
      </w:tr>
      <w:tr>
        <w:trPr>
          <w:trHeight w:val="189"/>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42,041</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assets were measured on a non-recurring basis as of June 30, 2023 or December 31,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INTANGIBLE ASSETS AND LIABILITIES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June 30, 2023 and December 31, 2022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00" w:type="dxa"/>
            <w:vAlign w:val="bottom"/>
            <w:tcBorders>
              <w:bottom w:val="single" w:sz="8" w:color="auto"/>
            </w:tcBorders>
          </w:tcPr>
          <w:p>
            <w:pPr>
              <w:spacing w:after="0"/>
              <w:rPr>
                <w:sz w:val="20"/>
                <w:szCs w:val="20"/>
                <w:color w:val="auto"/>
              </w:rPr>
            </w:pPr>
          </w:p>
        </w:tc>
      </w:tr>
      <w:tr>
        <w:trPr>
          <w:trHeight w:val="191"/>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December 31,</w:t>
            </w:r>
          </w:p>
        </w:tc>
      </w:tr>
      <w:tr>
        <w:trPr>
          <w:trHeight w:val="234"/>
        </w:trPr>
        <w:tc>
          <w:tcPr>
            <w:tcW w:w="55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96,508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90,335</w:t>
            </w: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w:t>
            </w:r>
          </w:p>
        </w:tc>
      </w:tr>
      <w:tr>
        <w:trPr>
          <w:trHeight w:val="216"/>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25,531</w:t>
            </w:r>
          </w:p>
        </w:tc>
      </w:tr>
      <w:tr>
        <w:trPr>
          <w:trHeight w:val="20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147,874</w:t>
            </w:r>
          </w:p>
        </w:tc>
      </w:tr>
      <w:tr>
        <w:trPr>
          <w:trHeight w:val="216"/>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Amortization</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(31,890)</w:t>
            </w:r>
          </w:p>
        </w:tc>
      </w:tr>
      <w:tr>
        <w:trPr>
          <w:trHeight w:val="21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115,984</w:t>
            </w: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w w:val="98"/>
              </w:rPr>
              <w:t>Intangible Lease Liabilities (Included in Accrued and Other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(12,307)</w:t>
            </w:r>
          </w:p>
        </w:tc>
      </w:tr>
      <w:tr>
        <w:trPr>
          <w:trHeight w:val="210"/>
        </w:trPr>
        <w:tc>
          <w:tcPr>
            <w:tcW w:w="550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(12,307)</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09"/>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w:t>
            </w:r>
          </w:p>
        </w:tc>
      </w:tr>
      <w:tr>
        <w:trPr>
          <w:trHeight w:val="21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106,099</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three and six months ended June 30, 2023 and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8"/>
              </w:rPr>
              <w:t>Three Months Ended</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June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June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June 30,</w:t>
            </w:r>
          </w:p>
        </w:tc>
      </w:tr>
      <w:tr>
        <w:trPr>
          <w:trHeight w:val="234"/>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Accretion to Income Properties Revenue</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Net Amortization of Intangible Assets and Liabilities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Future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Accretion to</w:t>
            </w: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Future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Intangible</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Property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1"/>
              </w:rPr>
              <w:t>Assets</w:t>
            </w:r>
          </w:p>
        </w:tc>
      </w:tr>
      <w:tr>
        <w:trPr>
          <w:trHeight w:val="23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and Liabilities</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21,272</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18,906</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17,231</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13,415</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8,691</w:t>
            </w:r>
          </w:p>
        </w:tc>
      </w:tr>
      <w:tr>
        <w:trPr>
          <w:trHeight w:val="21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11,014</w:t>
            </w:r>
          </w:p>
        </w:tc>
      </w:tr>
      <w:tr>
        <w:trPr>
          <w:trHeight w:val="209"/>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90,041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101,123</w:t>
            </w: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June 30, 2023, the weighted average amortization period of total intangible assets and liabilities was 6.1 years and 7.0 years,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PROVISION FOR IMPAIRMENT</w:t>
      </w:r>
    </w:p>
    <w:p>
      <w:pPr>
        <w:spacing w:after="0" w:line="22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i w:val="1"/>
          <w:iCs w:val="1"/>
          <w:color w:val="auto"/>
        </w:rPr>
        <w:t xml:space="preserve">Income Properties. </w:t>
      </w:r>
      <w:r>
        <w:rPr>
          <w:rFonts w:ascii="Arial" w:cs="Arial" w:eastAsia="Arial" w:hAnsi="Arial"/>
          <w:sz w:val="17"/>
          <w:szCs w:val="17"/>
          <w:color w:val="auto"/>
        </w:rPr>
        <w:t>The Company assesses the impairment of long-lived assets whenever events or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6"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There were no impairment charges on the Company’s income property portfolio during the three or six months ended June 30, 2023 or 2022.</w:t>
      </w:r>
    </w:p>
    <w:p>
      <w:pPr>
        <w:spacing w:after="0" w:line="170"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Commercial Loans and Investments</w:t>
      </w:r>
      <w:r>
        <w:rPr>
          <w:rFonts w:ascii="Arial" w:cs="Arial" w:eastAsia="Arial" w:hAnsi="Arial"/>
          <w:sz w:val="18"/>
          <w:szCs w:val="18"/>
          <w:color w:val="auto"/>
        </w:rPr>
        <w:t>. The Company evaluates the collectability of its commercial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on a quarterly basis or whenever events or circumstance indicate that the carrying amount of an asset may not be recoverable. The Company accounts for provisions for credit losses in accordance with ASC Topic 326, Measurement of Credit Losses on Financial Instruments.</w:t>
      </w:r>
    </w:p>
    <w:p>
      <w:pPr>
        <w:spacing w:after="0" w:line="187"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During the six months ended June 30, 2023, the Company recorded a $0.5 million impairment charge, which was recorded during the three months ended March 31, 2023, representing the provision for credit losses related to our commercial loans and investments. There were no such impairment charges during the six months ended June 30, 2022.</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OTHER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consisted of the following as of June 30, 2023 and December 31, 2022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As of</w:t>
            </w:r>
          </w:p>
        </w:tc>
        <w:tc>
          <w:tcPr>
            <w:tcW w:w="880" w:type="dxa"/>
            <w:vAlign w:val="bottom"/>
            <w:tcBorders>
              <w:bottom w:val="single" w:sz="8" w:color="auto"/>
            </w:tcBorders>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224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2023</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10"/>
        </w:trPr>
        <w:tc>
          <w:tcPr>
            <w:tcW w:w="64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Income Property Tenant Receivables, Net of Allowance for Doubtful Accounts </w:t>
            </w:r>
            <w:r>
              <w:rPr>
                <w:rFonts w:ascii="Arial" w:cs="Arial" w:eastAsia="Arial" w:hAnsi="Arial"/>
                <w:sz w:val="24"/>
                <w:szCs w:val="24"/>
                <w:color w:val="auto"/>
                <w:vertAlign w:val="superscript"/>
              </w:rPr>
              <w:t>(1)</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Income Property Straight-line Rent Adjustment and COVID-19 Deferral Balance</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6,214</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 Right-of-Use Asset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Golf Rounds Surcharge</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Infrastructure Reimbursement Receivables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Deposits, and Other</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Due from Alpine Income Property Trust, Inc.</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0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34,453</w:t>
            </w:r>
          </w:p>
        </w:tc>
      </w:tr>
      <w:tr>
        <w:trPr>
          <w:trHeight w:val="20"/>
        </w:trPr>
        <w:tc>
          <w:tcPr>
            <w:tcW w:w="2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r>
    </w:tbl>
    <w:p>
      <w:pPr>
        <w:ind w:left="380" w:hanging="330"/>
        <w:spacing w:after="0" w:line="212" w:lineRule="auto"/>
        <w:tabs>
          <w:tab w:leader="none" w:pos="38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Allowance for doubtful accounts was $2.5 million and $1.8 million as of June 30, 2023 and December 31, 2022, respectively.</w:t>
      </w:r>
    </w:p>
    <w:p>
      <w:pPr>
        <w:spacing w:after="0" w:line="187"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Infrastructure Reimbursement Receivables. </w:t>
      </w:r>
      <w:r>
        <w:rPr>
          <w:rFonts w:ascii="Arial" w:cs="Arial" w:eastAsia="Arial" w:hAnsi="Arial"/>
          <w:sz w:val="18"/>
          <w:szCs w:val="18"/>
          <w:color w:val="auto"/>
        </w:rPr>
        <w:t>As of June 30, 2023 and December 31, 2022, the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receivables were all related to the land sales within the Tomoka Town Center. The balance as of June 30, 2023 consisted of $0.7 million due from Tanger for infrastructure reimbursement to be repaid in four remaining annual installments of approximately $0.2 million each, net of a discount of $0.07 million, and $0.2 million due from Sam’s Club for infrastructure reimbursement to be repaid in two remaining annual installments of $0.1 million each, net of a discount of $0.01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 xml:space="preserve">On April 27, 2022, the Company announced that its Board of Directors approved a three-for-one stock split of the Company’s common stock to be effected in the form of a stock dividend. Each stockholder of record at the close of business on June 27, 2022 (the “Record Date”), received two additional shares of the Company’s common stock for each share held as of the Record Date. The new shares were distributed after the market closed on June 30, 2022. The Company’s stock began trading at the post-split price on July 1, 2022. Pursuant to FASB ASC Topic 505, </w:t>
      </w:r>
      <w:r>
        <w:rPr>
          <w:rFonts w:ascii="Arial" w:cs="Arial" w:eastAsia="Arial" w:hAnsi="Arial"/>
          <w:sz w:val="17"/>
          <w:szCs w:val="17"/>
          <w:i w:val="1"/>
          <w:iCs w:val="1"/>
          <w:color w:val="auto"/>
        </w:rPr>
        <w:t>Equity</w:t>
      </w:r>
      <w:r>
        <w:rPr>
          <w:rFonts w:ascii="Arial" w:cs="Arial" w:eastAsia="Arial" w:hAnsi="Arial"/>
          <w:sz w:val="17"/>
          <w:szCs w:val="17"/>
          <w:color w:val="auto"/>
        </w:rPr>
        <w:t>, the Company has adjusted the computations of basic and diluted earnings per share retroactively for all periods presented. Similarly, the Company has retroactively updated the disclosures in each prior period presented to conform to the split-adjusted dividend amount, for per share amounts including but not limited to dividends declared, stock-based compensation shares outstanding, ATM program activity, and share repurchases.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spacing w:after="0" w:line="187"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On October 11, 2022, the Company filed a new shelf registration statement on Form S-3, relating to the registration and potential issuance of its common stock, preferred stock, debt securities, warrants, rights, and units with a maximum aggregate offering price of up to $500.0 million. The Securities and Exchange Commission declared the Form S-3 effective on October 26,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On April 30, 2021, the Company implemented a $150.0 million “at-the-market” equity offering program (the “2021 ATM Program”) pursuant to which the Company sold shares of the Company’s common stock. During the six months ended June 30, 2022, the Company sold 395,574 shares under the ATM Program for gross proceeds of $8.7 million at a weighted average price of $21.95 per share, generating net proceeds of $8.6 million after deducting transaction fees totaling $0.1 million.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spacing w:after="0" w:line="17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w:t>
      </w:r>
    </w:p>
    <w:p>
      <w:pPr>
        <w:spacing w:after="0" w:line="188"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In the aggregate, under the 2021 ATM Program and 2022 ATM Program, during the year ended December 31, 2022, the Company sold 1,566,026 shares for gross proceeds of $33.4 million at a weighted average price of $21.33 per share, generating net proceeds of $32.9 million after deducting transaction fees totaling $0.5 million.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not active under the 2022 ATM Program during the six months ended June 30,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 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7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outlines dividends declared and paid for each issuance of CTO’s stock during the three and six months ended June 30, 2023 and 2022 (in thousands, except per share data):</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June 30,</w:t>
            </w:r>
          </w:p>
        </w:tc>
      </w:tr>
      <w:tr>
        <w:trPr>
          <w:trHeight w:val="234"/>
        </w:trPr>
        <w:tc>
          <w:tcPr>
            <w:tcW w:w="2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1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420" w:type="dxa"/>
            <w:vAlign w:val="bottom"/>
          </w:tcPr>
          <w:p>
            <w:pPr>
              <w:jc w:val="center"/>
              <w:ind w:right="1150"/>
              <w:spacing w:after="0"/>
              <w:rPr>
                <w:sz w:val="20"/>
                <w:szCs w:val="20"/>
                <w:color w:val="auto"/>
              </w:rPr>
            </w:pPr>
            <w:r>
              <w:rPr>
                <w:rFonts w:ascii="Arial" w:cs="Arial" w:eastAsia="Arial" w:hAnsi="Arial"/>
                <w:sz w:val="18"/>
                <w:szCs w:val="18"/>
                <w:color w:val="auto"/>
                <w:w w:val="93"/>
              </w:rPr>
              <w:t>Dividends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1,195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1,196</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2,390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2,391</w:t>
            </w:r>
          </w:p>
        </w:tc>
      </w:tr>
      <w:tr>
        <w:trPr>
          <w:trHeight w:val="216"/>
        </w:trPr>
        <w:tc>
          <w:tcPr>
            <w:tcW w:w="242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6"/>
              </w:rPr>
              <w:t>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216"/>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42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90"/>
              </w:rPr>
              <w:t>Common Stock</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420" w:type="dxa"/>
            <w:vAlign w:val="bottom"/>
          </w:tcPr>
          <w:p>
            <w:pPr>
              <w:jc w:val="center"/>
              <w:ind w:right="1150"/>
              <w:spacing w:after="0"/>
              <w:rPr>
                <w:sz w:val="20"/>
                <w:szCs w:val="20"/>
                <w:color w:val="auto"/>
              </w:rPr>
            </w:pPr>
            <w:r>
              <w:rPr>
                <w:rFonts w:ascii="Arial" w:cs="Arial" w:eastAsia="Arial" w:hAnsi="Arial"/>
                <w:sz w:val="18"/>
                <w:szCs w:val="18"/>
                <w:color w:val="auto"/>
                <w:w w:val="93"/>
              </w:rPr>
              <w:t>Dividends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8,542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6,780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13,197</w:t>
            </w:r>
          </w:p>
        </w:tc>
      </w:tr>
      <w:tr>
        <w:trPr>
          <w:trHeight w:val="216"/>
        </w:trPr>
        <w:tc>
          <w:tcPr>
            <w:tcW w:w="242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6"/>
              </w:rPr>
              <w:t>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2025 NOTES</w:t>
      </w:r>
    </w:p>
    <w:p>
      <w:pPr>
        <w:spacing w:after="0" w:line="225"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Effective January 1, 2022, the Company adopted ASU 2020-06 whereby diluted EPS includes the dilutive impact of the 2025 Notes (hereinafter defined) using the if-converted method. Upon adoption, during the three months ended March 31, 2022,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COMMON STOCK AND EARNINGS PER SHARE</w:t>
      </w:r>
    </w:p>
    <w:p>
      <w:pPr>
        <w:spacing w:after="0" w:line="229"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on an if-converted basis.</w:t>
      </w:r>
    </w:p>
    <w:p>
      <w:pPr>
        <w:spacing w:after="0" w:line="148" w:lineRule="exact"/>
        <w:rPr>
          <w:sz w:val="20"/>
          <w:szCs w:val="20"/>
          <w:color w:val="auto"/>
        </w:rPr>
      </w:pPr>
    </w:p>
    <w:p>
      <w:pPr>
        <w:jc w:val="both"/>
        <w:ind w:left="60" w:right="59" w:firstLine="441"/>
        <w:spacing w:after="0" w:line="261" w:lineRule="auto"/>
        <w:rPr>
          <w:sz w:val="20"/>
          <w:szCs w:val="20"/>
          <w:color w:val="auto"/>
        </w:rPr>
      </w:pPr>
      <w:r>
        <w:rPr>
          <w:rFonts w:ascii="Arial" w:cs="Arial" w:eastAsia="Arial" w:hAnsi="Arial"/>
          <w:sz w:val="18"/>
          <w:szCs w:val="18"/>
          <w:color w:val="auto"/>
        </w:rPr>
        <w:t>The following is a reconciliation of basic and diluted earnings per common share for each of the periods presented (in thousands, except share and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Earnings: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Net Income (Loss) Attributable to Common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Stockholders, Used in Basic EPS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(6,583)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192"/>
        </w:trPr>
        <w:tc>
          <w:tcPr>
            <w:tcW w:w="428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8"/>
                <w:szCs w:val="18"/>
                <w:color w:val="auto"/>
              </w:rPr>
              <w:t>Add Back: Effect of Dilutive Interest Related to 2025</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280" w:type="dxa"/>
            <w:vAlign w:val="bottom"/>
            <w:gridSpan w:val="2"/>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6"/>
                <w:szCs w:val="26"/>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2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Net Income (Loss) Attributable to Common</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(6,583)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Stockholders, Used in Diluted EPS</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Basic and Diluted Shares: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22,482,957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18,012,534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22,593,280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17,870,394</w:t>
            </w:r>
          </w:p>
        </w:tc>
        <w:tc>
          <w:tcPr>
            <w:tcW w:w="0" w:type="dxa"/>
            <w:vAlign w:val="bottom"/>
          </w:tcPr>
          <w:p>
            <w:pPr>
              <w:spacing w:after="0"/>
              <w:rPr>
                <w:sz w:val="1"/>
                <w:szCs w:val="1"/>
                <w:color w:val="auto"/>
              </w:rPr>
            </w:pPr>
          </w:p>
        </w:tc>
      </w:tr>
      <w:tr>
        <w:trPr>
          <w:trHeight w:val="192"/>
        </w:trPr>
        <w:tc>
          <w:tcPr>
            <w:tcW w:w="4280" w:type="dxa"/>
            <w:vAlign w:val="bottom"/>
            <w:gridSpan w:val="2"/>
          </w:tcPr>
          <w:p>
            <w:pPr>
              <w:ind w:left="20"/>
              <w:spacing w:after="0" w:line="192" w:lineRule="exact"/>
              <w:rPr>
                <w:sz w:val="20"/>
                <w:szCs w:val="20"/>
                <w:color w:val="auto"/>
              </w:rPr>
            </w:pPr>
            <w:r>
              <w:rPr>
                <w:rFonts w:ascii="Arial" w:cs="Arial" w:eastAsia="Arial" w:hAnsi="Arial"/>
                <w:sz w:val="18"/>
                <w:szCs w:val="18"/>
                <w:color w:val="auto"/>
              </w:rPr>
              <w:t>Common Shares Applicable to Dilutive Effect of 2025</w:t>
            </w: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280" w:type="dxa"/>
            <w:vAlign w:val="bottom"/>
            <w:gridSpan w:val="2"/>
          </w:tcPr>
          <w:p>
            <w:pPr>
              <w:ind w:left="20"/>
              <w:spacing w:after="0" w:line="227"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6"/>
                <w:szCs w:val="26"/>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22,482,957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18,012,534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22,593,280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17,870,394</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Share Information: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Net Income (Loss) Attributable to Common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80" w:right="59" w:hanging="330"/>
        <w:spacing w:after="0" w:line="209" w:lineRule="auto"/>
        <w:tabs>
          <w:tab w:leader="none" w:pos="3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As applicable, includes interest expense, amortization of discount, amortization of fees, and other changes in net income or loss that would result from the assumed conversion of the 2025 Convertible Senior Notes to derive FFO (as defined herein) effective January 1, 2022 due to the implementation of ASU 2020-06 which requires presentation on an if-converted basis. For the three and six months ended June 30, 2023 and 2022, a total of $0.5 million and $1.1 million of interest was not included, respectively, as the impact of the 2025 Notes, if-converted, would be antidilutive to net income (loss) attributable to common stockholders for the respective periods.</w:t>
      </w:r>
    </w:p>
    <w:p>
      <w:pPr>
        <w:spacing w:after="0" w:line="3" w:lineRule="exact"/>
        <w:rPr>
          <w:rFonts w:ascii="Arial" w:cs="Arial" w:eastAsia="Arial" w:hAnsi="Arial"/>
          <w:sz w:val="19"/>
          <w:szCs w:val="19"/>
          <w:color w:val="auto"/>
          <w:vertAlign w:val="superscript"/>
        </w:rPr>
      </w:pPr>
    </w:p>
    <w:p>
      <w:pPr>
        <w:jc w:val="both"/>
        <w:ind w:left="380" w:right="59" w:hanging="330"/>
        <w:spacing w:after="0" w:line="226" w:lineRule="auto"/>
        <w:tabs>
          <w:tab w:leader="none" w:pos="38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A total of 3.3 million shares, representing the dilutive impact of the 2025 Notes, upon adoption of ASU 2020-06 effective January 1, 2022, were not included in the computation of diluted net income (loss) attributable to common stockholders for each of the three and six month periods ended June 30, 2023, because they were antidilutive to net income (loss) attributable to common stockholders for the respective periods. A total of 3.1 million shares, representing the dilutive impact of the 2025 Notes, upon adoption of ASU 2020-06 effective January 1, 2022, were not included in the computation of diluted net income (loss) attributable to common stockholders for each of the three and six month periods ended June 30, 2022, because they were antidilutive to net income (loss) attributable to common stockholders for the respective periods.</w:t>
      </w:r>
    </w:p>
    <w:p>
      <w:pPr>
        <w:spacing w:after="0" w:line="190"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There were no potentially dilutive securities for the three months ended June 30, 2023 or 2022 related to the Company’s stock options and restricted stock. The effect of 33,582 and 13,332 potentially dilutive restricted stock units were not included for the six months ended June 30, 2023 and 2022, respectively, as the effect would be anti-dilutive.</w:t>
      </w:r>
    </w:p>
    <w:p>
      <w:pPr>
        <w:spacing w:after="0" w:line="2"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Effective January 1, 2022, the Company adopted ASU 2020-06 whereby diluted EPS includes the dilutive impact, if any, of the 2025 Notes (hereinafter defined) using the if-converted method, irrespective of intended cash settlement. The Company intends to settle its 3.875% Convertible Senior Notes due 2025 (the “2025 Notes”) in cash upon conversion with any excess conversion value to be settled in shares of our common stock. The Company elected, upon adoption, to utilize the modified retrospective approach, negating the required restatement of EPS for periods prior to adoption. The effect of 3.3 million and 3.1 million potentially dilutive shares issuable on the conversion of the 2025 Notes, if-converted, were not included for the three and six months ended June 30, 2023 and 2022, respectively, as the effect would be anti-dilutive.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SHARE REPURCHASES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In February 2020, the Company’s Board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$19.15.</w:t>
      </w:r>
    </w:p>
    <w:p>
      <w:pPr>
        <w:spacing w:after="0" w:line="19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February 16, 2023, the Company’s Board of Directors approved a common stock repurchase program (the “February $5.0 Million Common Stock Repurchase Program”). Pursuant to the February $5.0 Million Common Stock Repurchase Program, the Company was authorized to repurchase shares of its common stock for a total purchase price of up to $5.0 million. During the three months ended March 31, 2023, the Company repurchased 303,354 shares of its common stock on the open market for a total cost of $5.0 million, or an average price per share of $16.48. Accordingly, as of March 31, 2023, no shares of the Company’s common stock remained available for repurchase under the February $5.0 Million Common Stock Repurchase Program.</w:t>
      </w:r>
    </w:p>
    <w:p>
      <w:pPr>
        <w:spacing w:after="0" w:line="19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April 25, 2023, the Company’s Board of Directors approved a common stock repurchase program, which is expected to be in effect until the approved dollar amount has been used to repurchase shares (the “April $5.0 Million Common Stock Repurchase Program”). Pursuant to the April $5.0 Million Common Stock Repurchase Program, the Company may repurchase shares of its common stock for a total purchase price of up to $5.0 million. Shares may be purchased under the April $5.0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April $5.0 Million Common Stock Repurchase Program does not obligate the Company to acquire any particular amount of shares of its common stock and may be modified or suspended. During the three months ended June 30, 2023, the Company repurchased 3,931 shares of its common stock on the open market for a total cost of less than $0.1 million, or an average price per share of $15.73.</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A PREFERRED STOCK REPURCHASE PROGRAM</w:t>
      </w:r>
    </w:p>
    <w:p>
      <w:pPr>
        <w:spacing w:after="0" w:line="225"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three and six months ended June 30, 2023, the Company repurchased 746 shares of Series A Preferred Stock on the open market for a total cost of less than $0.1 million, or an average price per share of $18.82.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June 30, 2023, the Company’s outstanding indebtedness, at face value, was as follows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Face Value Debt</w:t>
            </w:r>
          </w:p>
        </w:tc>
        <w:tc>
          <w:tcPr>
            <w:tcW w:w="1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1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195"/>
        </w:trPr>
        <w:tc>
          <w:tcPr>
            <w:tcW w:w="3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w w:val="94"/>
              </w:rPr>
              <w:t>SOFR + 0.10% +</w:t>
            </w:r>
          </w:p>
        </w:tc>
        <w:tc>
          <w:tcPr>
            <w:tcW w:w="0" w:type="dxa"/>
            <w:vAlign w:val="bottom"/>
          </w:tcPr>
          <w:p>
            <w:pPr>
              <w:spacing w:after="0"/>
              <w:rPr>
                <w:sz w:val="1"/>
                <w:szCs w:val="1"/>
                <w:color w:val="auto"/>
              </w:rPr>
            </w:pPr>
          </w:p>
        </w:tc>
      </w:tr>
      <w:tr>
        <w:trPr>
          <w:trHeight w:val="230"/>
        </w:trPr>
        <w:tc>
          <w:tcPr>
            <w:tcW w:w="38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209,650</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2027</w:t>
            </w:r>
          </w:p>
        </w:tc>
        <w:tc>
          <w:tcPr>
            <w:tcW w:w="16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388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(2)</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ind w:left="200"/>
              <w:spacing w:after="0" w:line="201" w:lineRule="exact"/>
              <w:rPr>
                <w:sz w:val="20"/>
                <w:szCs w:val="20"/>
                <w:color w:val="auto"/>
              </w:rPr>
            </w:pPr>
            <w:r>
              <w:rPr>
                <w:rFonts w:ascii="Arial" w:cs="Arial" w:eastAsia="Arial" w:hAnsi="Arial"/>
                <w:sz w:val="18"/>
                <w:szCs w:val="18"/>
                <w:color w:val="auto"/>
                <w:w w:val="94"/>
              </w:rPr>
              <w:t>SOFR + 0.10% +</w:t>
            </w:r>
          </w:p>
        </w:tc>
        <w:tc>
          <w:tcPr>
            <w:tcW w:w="0" w:type="dxa"/>
            <w:vAlign w:val="bottom"/>
          </w:tcPr>
          <w:p>
            <w:pPr>
              <w:spacing w:after="0"/>
              <w:rPr>
                <w:sz w:val="1"/>
                <w:szCs w:val="1"/>
                <w:color w:val="auto"/>
              </w:rPr>
            </w:pPr>
          </w:p>
        </w:tc>
      </w:tr>
      <w:tr>
        <w:trPr>
          <w:trHeight w:val="230"/>
        </w:trPr>
        <w:tc>
          <w:tcPr>
            <w:tcW w:w="38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168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3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2027 Term Loan </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SOFR + 0.10% +</w:t>
            </w:r>
          </w:p>
        </w:tc>
        <w:tc>
          <w:tcPr>
            <w:tcW w:w="0" w:type="dxa"/>
            <w:vAlign w:val="bottom"/>
          </w:tcPr>
          <w:p>
            <w:pPr>
              <w:spacing w:after="0"/>
              <w:rPr>
                <w:sz w:val="1"/>
                <w:szCs w:val="1"/>
                <w:color w:val="auto"/>
              </w:rPr>
            </w:pPr>
          </w:p>
        </w:tc>
      </w:tr>
      <w:tr>
        <w:trPr>
          <w:trHeight w:val="230"/>
        </w:trPr>
        <w:tc>
          <w:tcPr>
            <w:tcW w:w="38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2027</w:t>
            </w:r>
          </w:p>
        </w:tc>
        <w:tc>
          <w:tcPr>
            <w:tcW w:w="16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388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2028 Term Loan </w:t>
            </w:r>
            <w:r>
              <w:rPr>
                <w:rFonts w:ascii="Arial" w:cs="Arial" w:eastAsia="Arial" w:hAnsi="Arial"/>
                <w:sz w:val="26"/>
                <w:szCs w:val="26"/>
                <w:color w:val="auto"/>
                <w:vertAlign w:val="superscript"/>
              </w:rPr>
              <w:t>(4)</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ind w:left="200"/>
              <w:spacing w:after="0" w:line="201" w:lineRule="exact"/>
              <w:rPr>
                <w:sz w:val="20"/>
                <w:szCs w:val="20"/>
                <w:color w:val="auto"/>
              </w:rPr>
            </w:pPr>
            <w:r>
              <w:rPr>
                <w:rFonts w:ascii="Arial" w:cs="Arial" w:eastAsia="Arial" w:hAnsi="Arial"/>
                <w:sz w:val="18"/>
                <w:szCs w:val="18"/>
                <w:color w:val="auto"/>
                <w:w w:val="94"/>
              </w:rPr>
              <w:t>SOFR + 0.10% +</w:t>
            </w:r>
          </w:p>
        </w:tc>
        <w:tc>
          <w:tcPr>
            <w:tcW w:w="0" w:type="dxa"/>
            <w:vAlign w:val="bottom"/>
          </w:tcPr>
          <w:p>
            <w:pPr>
              <w:spacing w:after="0"/>
              <w:rPr>
                <w:sz w:val="1"/>
                <w:szCs w:val="1"/>
                <w:color w:val="auto"/>
              </w:rPr>
            </w:pPr>
          </w:p>
        </w:tc>
      </w:tr>
      <w:tr>
        <w:trPr>
          <w:trHeight w:val="230"/>
        </w:trPr>
        <w:tc>
          <w:tcPr>
            <w:tcW w:w="38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January 2028</w:t>
            </w:r>
          </w:p>
        </w:tc>
        <w:tc>
          <w:tcPr>
            <w:tcW w:w="168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[1.20% - 2.15%]</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3.875% Convertible Senior Notes due 2025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2025</w:t>
            </w:r>
          </w:p>
        </w:tc>
        <w:tc>
          <w:tcPr>
            <w:tcW w:w="16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3.875%</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Mortgage Note Payable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17,800</w:t>
            </w:r>
          </w:p>
        </w:tc>
        <w:tc>
          <w:tcPr>
            <w:tcW w:w="18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August 2026</w:t>
            </w:r>
          </w:p>
        </w:tc>
        <w:tc>
          <w:tcPr>
            <w:tcW w:w="1680" w:type="dxa"/>
            <w:vAlign w:val="bottom"/>
            <w:tcBorders>
              <w:bottom w:val="single" w:sz="8" w:color="CCEEFF"/>
            </w:tcBorders>
            <w:gridSpan w:val="2"/>
          </w:tcPr>
          <w:p>
            <w:pPr>
              <w:jc w:val="center"/>
              <w:ind w:left="190"/>
              <w:spacing w:after="0"/>
              <w:rPr>
                <w:sz w:val="20"/>
                <w:szCs w:val="20"/>
                <w:color w:val="auto"/>
              </w:rPr>
            </w:pPr>
            <w:r>
              <w:rPr>
                <w:rFonts w:ascii="Arial" w:cs="Arial" w:eastAsia="Arial" w:hAnsi="Arial"/>
                <w:sz w:val="18"/>
                <w:szCs w:val="18"/>
                <w:color w:val="auto"/>
                <w:w w:val="91"/>
              </w:rPr>
              <w:t>4.060%</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Face Value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543,484</w:t>
            </w: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59" w:hanging="330"/>
        <w:spacing w:after="0" w:line="189" w:lineRule="auto"/>
        <w:tabs>
          <w:tab w:leader="none" w:pos="3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The Company utilized interest rate swaps on $100.0 million of the Credit Facility balance to fix SOFR and achieve a weighted average fixed swap rate of 3.28% plus the 10 bps SOFR adjustment plus the applicable spread.</w:t>
      </w:r>
    </w:p>
    <w:p>
      <w:pPr>
        <w:spacing w:after="0" w:line="1" w:lineRule="exact"/>
        <w:rPr>
          <w:rFonts w:ascii="Arial" w:cs="Arial" w:eastAsia="Arial" w:hAnsi="Arial"/>
          <w:sz w:val="20"/>
          <w:szCs w:val="20"/>
          <w:color w:val="auto"/>
          <w:vertAlign w:val="superscript"/>
        </w:rPr>
      </w:pPr>
    </w:p>
    <w:p>
      <w:pPr>
        <w:ind w:left="380" w:right="59" w:hanging="330"/>
        <w:spacing w:after="0" w:line="182" w:lineRule="auto"/>
        <w:tabs>
          <w:tab w:leader="none" w:pos="448"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The Company utilized interest rate swaps on the $65.0 million 2026 Term Loan balance to fix SOFR and achieve a weighted average fixed swap rate of 0.26% plus the 10 bps SOFR adjustment plus the applicable spread.</w:t>
      </w:r>
    </w:p>
    <w:p>
      <w:pPr>
        <w:ind w:left="380" w:right="59" w:hanging="330"/>
        <w:spacing w:after="0" w:line="182" w:lineRule="auto"/>
        <w:tabs>
          <w:tab w:leader="none" w:pos="3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The Company utilized interest rate swaps on the $100.0 million 2027 Term Loan balance to fix SOFR and achieve a fixed swap rate of 0.64% plus the 10 bps SOFR adjustment plus the applicable spread.</w:t>
      </w:r>
    </w:p>
    <w:p>
      <w:pPr>
        <w:ind w:left="380" w:right="59" w:hanging="330"/>
        <w:spacing w:after="0" w:line="184" w:lineRule="auto"/>
        <w:tabs>
          <w:tab w:leader="none" w:pos="38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The Company utilized interest rate swaps on the $100.0 million 2028 Term Loan balance to fix SOFR and achieve a weighted average fixed swap rate of 3.78% plus the 10 bps SOFR adjustment plus the applicable spread.</w:t>
      </w:r>
    </w:p>
    <w:p>
      <w:pPr>
        <w:spacing w:after="0" w:line="188"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i w:val="1"/>
          <w:iCs w:val="1"/>
          <w:color w:val="auto"/>
        </w:rPr>
        <w:t xml:space="preserve">Credit Facility. </w:t>
      </w:r>
      <w:r>
        <w:rPr>
          <w:rFonts w:ascii="Arial" w:cs="Arial" w:eastAsia="Arial" w:hAnsi="Arial"/>
          <w:sz w:val="17"/>
          <w:szCs w:val="17"/>
          <w:color w:val="auto"/>
        </w:rPr>
        <w:t>The Credit Facility, with Bank of Montreal (“BMO”) as the administrative agent for the lenders</w:t>
      </w:r>
      <w:r>
        <w:rPr>
          <w:rFonts w:ascii="Arial" w:cs="Arial" w:eastAsia="Arial" w:hAnsi="Arial"/>
          <w:sz w:val="17"/>
          <w:szCs w:val="17"/>
          <w:i w:val="1"/>
          <w:iCs w:val="1"/>
          <w:color w:val="auto"/>
        </w:rPr>
        <w:t xml:space="preserve"> </w:t>
      </w:r>
      <w:r>
        <w:rPr>
          <w:rFonts w:ascii="Arial" w:cs="Arial" w:eastAsia="Arial" w:hAnsi="Arial"/>
          <w:sz w:val="17"/>
          <w:szCs w:val="17"/>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The Huntington National Bank, PNC Bank, National Association, and Regions Bank, were added as lenders to the Company’s Credit Facility.</w:t>
      </w:r>
    </w:p>
    <w:p>
      <w:pPr>
        <w:spacing w:after="0" w:line="177"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spacing w:after="0" w:line="18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July 1, 2020, the Company entered into the fourth amendment to the 2017 Amended Credit Facility (the “July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Revolver Amendment”) whereby the tangible net worth covenant was adjusted to be more reflective of market terms.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July 2020 Revolver Amendment was effective as of March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95" w:lineRule="auto"/>
        <w:tabs>
          <w:tab w:leader="none" w:pos="2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61"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w:t>
      </w:r>
    </w:p>
    <w:p>
      <w:pPr>
        <w:spacing w:after="0" w:line="1" w:lineRule="exact"/>
        <w:rPr>
          <w:sz w:val="20"/>
          <w:szCs w:val="20"/>
          <w:color w:val="auto"/>
        </w:rPr>
      </w:pPr>
    </w:p>
    <w:p>
      <w:pPr>
        <w:jc w:val="both"/>
        <w:ind w:left="60" w:right="59" w:hanging="10"/>
        <w:spacing w:after="0" w:line="253" w:lineRule="auto"/>
        <w:tabs>
          <w:tab w:leader="none" w:pos="3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spacing w:after="0" w:line="191"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78"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spacing w:after="0" w:line="15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At June 30, 2023, the current commitment level under the Credit Facility was $300.0 million. The undrawn commitment under the Credit Facility totaled $90.4 million. As of June 30, 2023, the Credit Facility had a $209.6 million balance outstanding.</w:t>
      </w:r>
    </w:p>
    <w:p>
      <w:pPr>
        <w:spacing w:after="0" w:line="18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6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Mortgage Notes Payable</w:t>
      </w:r>
      <w:r>
        <w:rPr>
          <w:rFonts w:ascii="Arial" w:cs="Arial" w:eastAsia="Arial" w:hAnsi="Arial"/>
          <w:sz w:val="18"/>
          <w:szCs w:val="18"/>
          <w:color w:val="auto"/>
        </w:rPr>
        <w:t>. On March 3, 2022, in connection with the acquisition of Price Plaza Shopping Center,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assumed an existing $17.8 million secured fixed-rate mortgage note payable, which bears interest at a fixed rate of 4.06% and matures in August 2026.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i w:val="1"/>
          <w:iCs w:val="1"/>
          <w:color w:val="auto"/>
        </w:rPr>
        <w:t>Convertible Debt</w:t>
      </w:r>
      <w:r>
        <w:rPr>
          <w:rFonts w:ascii="Arial" w:cs="Arial" w:eastAsia="Arial" w:hAnsi="Arial"/>
          <w:sz w:val="16"/>
          <w:szCs w:val="16"/>
          <w:color w:val="auto"/>
        </w:rPr>
        <w:t>. The Company had an initial aggregate principal amount of $75.0 million of 3.875%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 “2025 Notes”). 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Following these repurchases, $51.0 million aggregate principal amount of the 2025 Notes remains outstanding at June 30, 2023.</w:t>
      </w:r>
    </w:p>
    <w:p>
      <w:pPr>
        <w:spacing w:after="0" w:line="164"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The 2025 Notes Repurchase Program does not obligate the Company to acquire any particular amount of 2025 Notes and may be modified or suspended. The Company was not active under the 2025 Notes Repurchase Program during the six months ended June 30, 2023.</w:t>
      </w:r>
    </w:p>
    <w:p>
      <w:pPr>
        <w:spacing w:after="0" w:line="195"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second quarter 2023 dividend, the conversion rate is equal to 64.7038 shares of common stock for each $1,000 principal amount of 2025 Notes, which represents an adjusted conversion price of $15.46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84"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At time of issuance, in accordance with U.S. GAAP, the 2025 Notes were accounted for as a liability with a separate equity component recorded for the conversion option. The equity component was eliminated on January 1, 2022 with the 2025 Notes Adjustment.</w:t>
      </w:r>
    </w:p>
    <w:p>
      <w:pPr>
        <w:spacing w:after="0" w:line="185"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June 30, 2023, the unamortized debt discount of our 2025 Notes was $0.3 million, which represents the cash component of the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ind w:left="80"/>
              <w:spacing w:after="0" w:line="191" w:lineRule="exact"/>
              <w:rPr>
                <w:sz w:val="20"/>
                <w:szCs w:val="20"/>
                <w:color w:val="auto"/>
              </w:rPr>
            </w:pPr>
            <w:r>
              <w:rPr>
                <w:rFonts w:ascii="Arial" w:cs="Arial" w:eastAsia="Arial" w:hAnsi="Arial"/>
                <w:sz w:val="18"/>
                <w:szCs w:val="18"/>
                <w:b w:val="1"/>
                <w:bCs w:val="1"/>
                <w:color w:val="auto"/>
              </w:rPr>
              <w:t>Due Within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ind w:left="60"/>
              <w:spacing w:after="0" w:line="191" w:lineRule="exact"/>
              <w:rPr>
                <w:sz w:val="20"/>
                <w:szCs w:val="20"/>
                <w:color w:val="auto"/>
              </w:rPr>
            </w:pPr>
            <w:r>
              <w:rPr>
                <w:rFonts w:ascii="Arial" w:cs="Arial" w:eastAsia="Arial" w:hAnsi="Arial"/>
                <w:sz w:val="18"/>
                <w:szCs w:val="18"/>
                <w:b w:val="1"/>
                <w:bCs w:val="1"/>
                <w:color w:val="auto"/>
              </w:rPr>
              <w:t>Due Within</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b w:val="1"/>
                <w:bCs w:val="1"/>
                <w:color w:val="auto"/>
              </w:rPr>
              <w:t>One Year</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ind w:left="140"/>
              <w:spacing w:after="0"/>
              <w:rPr>
                <w:sz w:val="20"/>
                <w:szCs w:val="20"/>
                <w:color w:val="auto"/>
              </w:rPr>
            </w:pPr>
            <w:r>
              <w:rPr>
                <w:rFonts w:ascii="Arial" w:cs="Arial" w:eastAsia="Arial" w:hAnsi="Arial"/>
                <w:sz w:val="18"/>
                <w:szCs w:val="18"/>
                <w:b w:val="1"/>
                <w:bCs w:val="1"/>
                <w:color w:val="auto"/>
              </w:rPr>
              <w:t>One Year</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 Term Loan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2028 Term Loan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tcBorders>
              <w:right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3.875% Convertible Senior Notes, net of</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Mortgage Note Payable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tcBorders>
              <w:right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Financing Costs, net of Accumulated</w:t>
            </w:r>
          </w:p>
        </w:tc>
        <w:tc>
          <w:tcPr>
            <w:tcW w:w="2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2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541,768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445,583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Payments applicable to reduction of principal amounts as of June 30, 2023 will be required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June 30, 2023</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Amount</w:t>
            </w:r>
          </w:p>
        </w:tc>
        <w:tc>
          <w:tcPr>
            <w:tcW w:w="820" w:type="dxa"/>
            <w:vAlign w:val="bottom"/>
            <w:tcBorders>
              <w:bottom w:val="single" w:sz="8" w:color="auto"/>
            </w:tcBorders>
          </w:tcPr>
          <w:p>
            <w:pPr>
              <w:spacing w:after="0"/>
              <w:rPr>
                <w:sz w:val="20"/>
                <w:szCs w:val="20"/>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64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82,800</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309,650</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20" w:type="dxa"/>
            <w:vAlign w:val="bottom"/>
          </w:tcPr>
          <w:p>
            <w:pPr>
              <w:ind w:left="20"/>
              <w:spacing w:after="0"/>
              <w:rPr>
                <w:sz w:val="20"/>
                <w:szCs w:val="20"/>
                <w:color w:val="auto"/>
              </w:rPr>
            </w:pPr>
            <w:r>
              <w:rPr>
                <w:rFonts w:ascii="Arial" w:cs="Arial" w:eastAsia="Arial" w:hAnsi="Arial"/>
                <w:sz w:val="18"/>
                <w:szCs w:val="18"/>
                <w:color w:val="auto"/>
              </w:rPr>
              <w:t>Total Long-Term Debt - Face Value</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64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543,484</w:t>
            </w:r>
          </w:p>
        </w:tc>
      </w:tr>
      <w:tr>
        <w:trPr>
          <w:trHeight w:val="20"/>
        </w:trPr>
        <w:tc>
          <w:tcPr>
            <w:tcW w:w="6300" w:type="dxa"/>
            <w:vAlign w:val="bottom"/>
            <w:gridSpan w:val="3"/>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9"/>
        </w:trPr>
        <w:tc>
          <w:tcPr>
            <w:tcW w:w="8100" w:type="dxa"/>
            <w:vAlign w:val="bottom"/>
            <w:gridSpan w:val="4"/>
          </w:tcPr>
          <w:p>
            <w:pPr>
              <w:ind w:left="460"/>
              <w:spacing w:after="0"/>
              <w:rPr>
                <w:sz w:val="20"/>
                <w:szCs w:val="20"/>
                <w:color w:val="auto"/>
              </w:rPr>
            </w:pPr>
            <w:r>
              <w:rPr>
                <w:rFonts w:ascii="Arial" w:cs="Arial" w:eastAsia="Arial" w:hAnsi="Arial"/>
                <w:sz w:val="18"/>
                <w:szCs w:val="18"/>
                <w:color w:val="auto"/>
                <w:w w:val="97"/>
              </w:rPr>
              <w:t>The carrying value of long-term debt as of June 30, 2023 consisted of the following (in thousands):</w:t>
            </w:r>
          </w:p>
        </w:tc>
        <w:tc>
          <w:tcPr>
            <w:tcW w:w="820" w:type="dxa"/>
            <w:vAlign w:val="bottom"/>
          </w:tcPr>
          <w:p>
            <w:pPr>
              <w:spacing w:after="0"/>
              <w:rPr>
                <w:sz w:val="24"/>
                <w:szCs w:val="24"/>
                <w:color w:val="auto"/>
              </w:rPr>
            </w:pPr>
          </w:p>
        </w:tc>
      </w:tr>
      <w:tr>
        <w:trPr>
          <w:trHeight w:val="445"/>
        </w:trPr>
        <w:tc>
          <w:tcPr>
            <w:tcW w:w="60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spacing w:after="0"/>
              <w:rPr>
                <w:sz w:val="24"/>
                <w:szCs w:val="24"/>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280" w:type="dxa"/>
            <w:vAlign w:val="bottom"/>
            <w:gridSpan w:val="2"/>
            <w:shd w:val="clear" w:color="auto" w:fill="CCEEFF"/>
          </w:tcPr>
          <w:p>
            <w:pPr>
              <w:spacing w:after="0"/>
              <w:rPr>
                <w:sz w:val="18"/>
                <w:szCs w:val="18"/>
                <w:color w:val="auto"/>
              </w:rPr>
            </w:pPr>
          </w:p>
        </w:tc>
        <w:tc>
          <w:tcPr>
            <w:tcW w:w="1800" w:type="dxa"/>
            <w:vAlign w:val="bottom"/>
            <w:shd w:val="clear" w:color="auto" w:fill="CCEEFF"/>
          </w:tcPr>
          <w:p>
            <w:pPr>
              <w:jc w:val="right"/>
              <w:ind w:right="164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543,484</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Unamortized Discount on Convertible Debt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r>
      <w:tr>
        <w:trPr>
          <w:trHeight w:val="210"/>
        </w:trPr>
        <w:tc>
          <w:tcPr>
            <w:tcW w:w="60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gridSpan w:val="2"/>
          </w:tcPr>
          <w:p>
            <w:pPr>
              <w:spacing w:after="0"/>
              <w:rPr>
                <w:sz w:val="18"/>
                <w:szCs w:val="18"/>
                <w:color w:val="auto"/>
              </w:rPr>
            </w:pPr>
          </w:p>
        </w:tc>
        <w:tc>
          <w:tcPr>
            <w:tcW w:w="1800" w:type="dxa"/>
            <w:vAlign w:val="bottom"/>
          </w:tcPr>
          <w:p>
            <w:pPr>
              <w:jc w:val="right"/>
              <w:ind w:right="164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541,768</w:t>
            </w:r>
          </w:p>
        </w:tc>
      </w:tr>
      <w:tr>
        <w:trPr>
          <w:trHeight w:val="20"/>
        </w:trPr>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In addition to the $1.4 million of financing costs, net of accumulated amortization included in the table above, as of June 30, 2023, the Company also had financing costs, net of accumulated amortization related to the Credit Facility of $1.8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reflects a summary of interest expense incurred and paid during the three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 and 2022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7"/>
              </w:rPr>
              <w:t>Three Months Ended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370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30, 2023</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June 30, 2022</w:t>
            </w:r>
          </w:p>
        </w:tc>
        <w:tc>
          <w:tcPr>
            <w:tcW w:w="14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30, 2023</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June 30, 2022</w:t>
            </w:r>
          </w:p>
        </w:tc>
        <w:tc>
          <w:tcPr>
            <w:tcW w:w="140" w:type="dxa"/>
            <w:vAlign w:val="bottom"/>
          </w:tcPr>
          <w:p>
            <w:pPr>
              <w:spacing w:after="0"/>
              <w:rPr>
                <w:sz w:val="18"/>
                <w:szCs w:val="18"/>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r>
      <w:tr>
        <w:trPr>
          <w:trHeight w:val="216"/>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Amortization of Discount on Convertible Notes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2,277</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9,843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4,179</w:t>
            </w:r>
          </w:p>
        </w:tc>
        <w:tc>
          <w:tcPr>
            <w:tcW w:w="140" w:type="dxa"/>
            <w:vAlign w:val="bottom"/>
          </w:tcPr>
          <w:p>
            <w:pPr>
              <w:spacing w:after="0"/>
              <w:rPr>
                <w:sz w:val="18"/>
                <w:szCs w:val="18"/>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6"/>
        </w:trPr>
        <w:tc>
          <w:tcPr>
            <w:tcW w:w="3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Total Interest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2,591</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9,589</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3,678</w:t>
            </w:r>
          </w:p>
        </w:tc>
        <w:tc>
          <w:tcPr>
            <w:tcW w:w="14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was in compliance with all of its debt covenants as of June 30, 2023 and December 31,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INTEREST RATE SWAPS</w:t>
      </w:r>
    </w:p>
    <w:p>
      <w:pPr>
        <w:spacing w:after="0" w:line="270"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three and six months ended June 30, 2023 and 2022. Accordingly, the changes in fair value on the interest rate swaps have been classified in accumulated other comprehensive income. The fair value of the interest rate swap agreements are included in other assets and accrued and other liabilities, respectively, on the consolidated balance sheets. Information related to the Company’s interest rate swap agreements as of June 30, 2023 is presented below (in thousands):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Hedged Item </w:t>
            </w:r>
            <w:r>
              <w:rPr>
                <w:rFonts w:ascii="Arial" w:cs="Arial" w:eastAsia="Arial" w:hAnsi="Arial"/>
                <w:sz w:val="24"/>
                <w:szCs w:val="24"/>
                <w:b w:val="1"/>
                <w:bCs w:val="1"/>
                <w:color w:val="auto"/>
                <w:vertAlign w:val="superscript"/>
              </w:rPr>
              <w:t>(1)</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Effective</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Fair Value as of</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2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June 30, 2023</w:t>
            </w: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Term Loan</w:t>
            </w:r>
          </w:p>
        </w:tc>
        <w:tc>
          <w:tcPr>
            <w:tcW w:w="10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3/10/2021</w:t>
            </w:r>
          </w:p>
        </w:tc>
        <w:tc>
          <w:tcPr>
            <w:tcW w:w="92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2"/>
              </w:rPr>
              <w:t>3/29/2024</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0.12% + 0.10% + applicable spread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6"/>
                <w:szCs w:val="16"/>
                <w:color w:val="auto"/>
              </w:rPr>
              <w:t>2026 Term Loan</w:t>
            </w:r>
          </w:p>
        </w:tc>
        <w:tc>
          <w:tcPr>
            <w:tcW w:w="10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3/29/2024</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3/10/2026</w:t>
            </w:r>
          </w:p>
        </w:tc>
        <w:tc>
          <w:tcPr>
            <w:tcW w:w="12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auto"/>
                <w:w w:val="91"/>
              </w:rPr>
              <w:t>1.44% + 0.10% + applicable spread</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Term Loan</w:t>
            </w:r>
          </w:p>
        </w:tc>
        <w:tc>
          <w:tcPr>
            <w:tcW w:w="10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8/31/2021</w:t>
            </w:r>
          </w:p>
        </w:tc>
        <w:tc>
          <w:tcPr>
            <w:tcW w:w="92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2"/>
              </w:rPr>
              <w:t>3/10/2026</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0.70% + 0.10% + applicable spread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6"/>
                <w:szCs w:val="16"/>
                <w:color w:val="auto"/>
              </w:rPr>
              <w:t>2027 Term Loan</w:t>
            </w:r>
          </w:p>
        </w:tc>
        <w:tc>
          <w:tcPr>
            <w:tcW w:w="10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11/5/2021</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3/29/2024</w:t>
            </w:r>
          </w:p>
        </w:tc>
        <w:tc>
          <w:tcPr>
            <w:tcW w:w="12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auto"/>
                <w:w w:val="91"/>
              </w:rPr>
              <w:t>0.64% + 0.10% + applicable spread</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 Term Loan</w:t>
            </w:r>
          </w:p>
        </w:tc>
        <w:tc>
          <w:tcPr>
            <w:tcW w:w="10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3/29/2024</w:t>
            </w:r>
          </w:p>
        </w:tc>
        <w:tc>
          <w:tcPr>
            <w:tcW w:w="92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2"/>
              </w:rPr>
              <w:t>1/31/2027</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1.35% + 0.10% + applicable spread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6,296</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6"/>
                <w:szCs w:val="16"/>
                <w:color w:val="auto"/>
              </w:rPr>
              <w:t>2028 Term Loan</w:t>
            </w:r>
          </w:p>
        </w:tc>
        <w:tc>
          <w:tcPr>
            <w:tcW w:w="10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9/30/2022</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1/31/2028</w:t>
            </w:r>
          </w:p>
        </w:tc>
        <w:tc>
          <w:tcPr>
            <w:tcW w:w="12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auto"/>
                <w:w w:val="91"/>
              </w:rPr>
              <w:t>3.78% + 0.10% + applicable spread</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 Term Loan</w:t>
            </w:r>
          </w:p>
        </w:tc>
        <w:tc>
          <w:tcPr>
            <w:tcW w:w="10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9/30/2022</w:t>
            </w:r>
          </w:p>
        </w:tc>
        <w:tc>
          <w:tcPr>
            <w:tcW w:w="92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2"/>
              </w:rPr>
              <w:t>1/31/2028</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3.78% + 0.10% + applicable spread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10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1/31/2023</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1/31/2030</w:t>
            </w:r>
          </w:p>
        </w:tc>
        <w:tc>
          <w:tcPr>
            <w:tcW w:w="12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auto"/>
                <w:w w:val="91"/>
              </w:rPr>
              <w:t>3.27% + 0.10% + applicable spread</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Facility</w:t>
            </w:r>
          </w:p>
        </w:tc>
        <w:tc>
          <w:tcPr>
            <w:tcW w:w="10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1/31/2023</w:t>
            </w:r>
          </w:p>
        </w:tc>
        <w:tc>
          <w:tcPr>
            <w:tcW w:w="92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2"/>
              </w:rPr>
              <w:t>1/31/2030</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3.26% + 0.10% + applicable spread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06"/>
        </w:trPr>
        <w:tc>
          <w:tcPr>
            <w:tcW w:w="172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10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1/31/2023</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1/31/2030</w:t>
            </w:r>
          </w:p>
        </w:tc>
        <w:tc>
          <w:tcPr>
            <w:tcW w:w="12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auto"/>
                <w:w w:val="91"/>
              </w:rPr>
              <w:t>3.36% + 0.10% + applicable spread</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7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80"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On September 30, 2022, the Company converted its existing interest rate swaps from 1-month LIBOR to SOFR.</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6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17. ACCRUED AND OTHER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10"/>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Property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Reserve for Tenant Improvements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6,186</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Tenant Security Deposits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Accrued Construction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Environmental Reserve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Operating Leases - Liability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r>
      <w:tr>
        <w:trPr>
          <w:trHeight w:val="210"/>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Total Accrued and Other Liabilities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i w:val="1"/>
          <w:iCs w:val="1"/>
          <w:color w:val="auto"/>
        </w:rPr>
        <w:t xml:space="preserve">Reserve for Tenant Improvements. </w:t>
      </w:r>
      <w:r>
        <w:rPr>
          <w:rFonts w:ascii="Arial" w:cs="Arial" w:eastAsia="Arial" w:hAnsi="Arial"/>
          <w:sz w:val="16"/>
          <w:szCs w:val="16"/>
          <w:color w:val="auto"/>
        </w:rPr>
        <w:t>In connection with recent acquisitions, the Company received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$8.6 million from the sellers of certain properties for tenant improvement allowances, leasing commissions and other capital improvements. These amounts are included in accrued and other liabilities on the consolidated balance sheets. Through June 30, 2023, payments totaling $2.9 million were made and a $2.3 million contingent obligation to fund certain tenant improvements was extinguished, leaving a remaining reserve for tenant improvements of $3.4 million.</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18. DEFERRED REVENUE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Deferred revenue consisted of the following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As of</w:t>
            </w:r>
          </w:p>
        </w:tc>
        <w:tc>
          <w:tcPr>
            <w:tcW w:w="128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09"/>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Interest Reserve from Commercial Loans and Investments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16"/>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Tenant Contributions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09"/>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Total Deferred Revenue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86"/>
        <w:spacing w:after="0" w:line="296" w:lineRule="auto"/>
        <w:rPr>
          <w:sz w:val="20"/>
          <w:szCs w:val="20"/>
          <w:color w:val="auto"/>
        </w:rPr>
      </w:pPr>
      <w:r>
        <w:rPr>
          <w:rFonts w:ascii="Arial" w:cs="Arial" w:eastAsia="Arial" w:hAnsi="Arial"/>
          <w:sz w:val="16"/>
          <w:szCs w:val="16"/>
          <w:i w:val="1"/>
          <w:iCs w:val="1"/>
          <w:color w:val="auto"/>
        </w:rPr>
        <w:t>Interest Reserve from Commercial Loans and Investments</w:t>
      </w:r>
      <w:r>
        <w:rPr>
          <w:rFonts w:ascii="Arial" w:cs="Arial" w:eastAsia="Arial" w:hAnsi="Arial"/>
          <w:sz w:val="16"/>
          <w:szCs w:val="16"/>
          <w:color w:val="auto"/>
        </w:rPr>
        <w:t>. In connection with three of the Company’s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STOCK-BASED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STOCK-BASED COMPENSATION</w:t>
      </w:r>
    </w:p>
    <w:p>
      <w:pPr>
        <w:spacing w:after="0" w:line="229" w:lineRule="exact"/>
        <w:rPr>
          <w:sz w:val="20"/>
          <w:szCs w:val="20"/>
          <w:color w:val="auto"/>
        </w:rPr>
      </w:pPr>
    </w:p>
    <w:p>
      <w:pPr>
        <w:jc w:val="both"/>
        <w:ind w:left="60" w:right="59" w:firstLine="486"/>
        <w:spacing w:after="0" w:line="277" w:lineRule="auto"/>
        <w:rPr>
          <w:sz w:val="20"/>
          <w:szCs w:val="20"/>
          <w:color w:val="auto"/>
        </w:rPr>
      </w:pPr>
      <w:r>
        <w:rPr>
          <w:rFonts w:ascii="Arial" w:cs="Arial" w:eastAsia="Arial" w:hAnsi="Arial"/>
          <w:sz w:val="18"/>
          <w:szCs w:val="18"/>
          <w:color w:val="auto"/>
        </w:rPr>
        <w:t>A summary of share activity for all equity classified stock compensation during the six months ended June 30, 2023 is presented below.</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Vested /</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Granted</w:t>
            </w:r>
          </w:p>
        </w:tc>
        <w:tc>
          <w:tcPr>
            <w:tcW w:w="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Exercised</w:t>
            </w:r>
          </w:p>
        </w:tc>
        <w:tc>
          <w:tcPr>
            <w:tcW w:w="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Expired</w:t>
            </w:r>
          </w:p>
        </w:tc>
        <w:tc>
          <w:tcPr>
            <w:tcW w:w="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Forfeited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Type of Award</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at 1/1/2023</w:t>
            </w:r>
          </w:p>
        </w:tc>
        <w:tc>
          <w:tcPr>
            <w:tcW w:w="1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at 6/30/2023</w:t>
            </w:r>
          </w:p>
        </w:tc>
        <w:tc>
          <w:tcPr>
            <w:tcW w:w="0" w:type="dxa"/>
            <w:vAlign w:val="bottom"/>
          </w:tcPr>
          <w:p>
            <w:pPr>
              <w:spacing w:after="0"/>
              <w:rPr>
                <w:sz w:val="1"/>
                <w:szCs w:val="1"/>
                <w:color w:val="auto"/>
              </w:rPr>
            </w:pPr>
          </w:p>
        </w:tc>
      </w:tr>
      <w:tr>
        <w:trPr>
          <w:trHeight w:val="189"/>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6"/>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Peer Group Market Condition Vesting</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230,247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88,754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(72,141)</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(9,485)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237,375</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6"/>
                <w:szCs w:val="16"/>
                <w:color w:val="auto"/>
              </w:rPr>
              <w:t>Equity Classified - Three Year Vest Restricted</w:t>
            </w:r>
          </w:p>
        </w:tc>
        <w:tc>
          <w:tcPr>
            <w:tcW w:w="160" w:type="dxa"/>
            <w:vAlign w:val="bottom"/>
            <w:vMerge w:val="restart"/>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212,079</w:t>
            </w:r>
          </w:p>
        </w:tc>
        <w:tc>
          <w:tcPr>
            <w:tcW w:w="16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91,003</w:t>
            </w:r>
          </w:p>
        </w:tc>
        <w:tc>
          <w:tcPr>
            <w:tcW w:w="6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(74,229)</w:t>
            </w:r>
          </w:p>
        </w:tc>
        <w:tc>
          <w:tcPr>
            <w:tcW w:w="40" w:type="dxa"/>
            <w:vAlign w:val="bottom"/>
          </w:tcPr>
          <w:p>
            <w:pPr>
              <w:spacing w:after="0"/>
              <w:rPr>
                <w:sz w:val="16"/>
                <w:szCs w:val="16"/>
                <w:color w:val="auto"/>
              </w:rPr>
            </w:pPr>
          </w:p>
        </w:tc>
        <w:tc>
          <w:tcPr>
            <w:tcW w:w="7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spacing w:after="0"/>
              <w:rPr>
                <w:sz w:val="16"/>
                <w:szCs w:val="16"/>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(17,879)</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210,974</w:t>
            </w:r>
          </w:p>
        </w:tc>
        <w:tc>
          <w:tcPr>
            <w:tcW w:w="0" w:type="dxa"/>
            <w:vAlign w:val="bottom"/>
          </w:tcPr>
          <w:p>
            <w:pPr>
              <w:spacing w:after="0"/>
              <w:rPr>
                <w:sz w:val="1"/>
                <w:szCs w:val="1"/>
                <w:color w:val="auto"/>
              </w:rPr>
            </w:pPr>
          </w:p>
        </w:tc>
      </w:tr>
      <w:tr>
        <w:trPr>
          <w:trHeight w:val="199"/>
        </w:trPr>
        <w:tc>
          <w:tcPr>
            <w:tcW w:w="3320" w:type="dxa"/>
            <w:vAlign w:val="bottom"/>
          </w:tcPr>
          <w:p>
            <w:pPr>
              <w:ind w:left="20"/>
              <w:spacing w:after="0"/>
              <w:rPr>
                <w:sz w:val="20"/>
                <w:szCs w:val="20"/>
                <w:color w:val="auto"/>
              </w:rPr>
            </w:pPr>
            <w:r>
              <w:rPr>
                <w:rFonts w:ascii="Arial" w:cs="Arial" w:eastAsia="Arial" w:hAnsi="Arial"/>
                <w:sz w:val="16"/>
                <w:szCs w:val="16"/>
                <w:color w:val="auto"/>
              </w:rPr>
              <w:t>Shares</w:t>
            </w: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442,326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179,757</w:t>
            </w: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(146,370)</w:t>
            </w: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(27,364)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448,349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Amounts recognized in the financial statements for stock-based compensation are as follows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8"/>
              </w:rPr>
              <w:t>Three Months Ended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June 30,</w:t>
            </w:r>
          </w:p>
        </w:tc>
      </w:tr>
      <w:tr>
        <w:trPr>
          <w:trHeight w:val="234"/>
        </w:trPr>
        <w:tc>
          <w:tcPr>
            <w:tcW w:w="44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r>
      <w:tr>
        <w:trPr>
          <w:trHeight w:val="209"/>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 Cost of Share-Based Plans Charged Against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EQUITY-CLASSIFIED STOCK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Share Awards – Peer Group Market Condition Vesting</w:t>
      </w:r>
    </w:p>
    <w:p>
      <w:pPr>
        <w:spacing w:after="0" w:line="117"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88,754 performance shares during the six months ended June 30, 2023.</w:t>
      </w:r>
    </w:p>
    <w:p>
      <w:pPr>
        <w:spacing w:after="0" w:line="17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June 30, 2023, there was $2.2 million of unrecognized compensation cost, adjusted for estimated forfeitures, related to the non-vested performance share awards, which will be recognized over a remaining weighted 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activity for these awards during the six months ended June 30, 2023 is presented below:</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Wtd. Avg. Fair</w:t>
            </w:r>
          </w:p>
        </w:tc>
      </w:tr>
      <w:tr>
        <w:trPr>
          <w:trHeight w:val="234"/>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Performance Shares With Market Conditions</w:t>
            </w:r>
          </w:p>
        </w:tc>
        <w:tc>
          <w:tcPr>
            <w:tcW w:w="180" w:type="dxa"/>
            <w:vAlign w:val="bottom"/>
          </w:tcPr>
          <w:p>
            <w:pPr>
              <w:spacing w:after="0"/>
              <w:rPr>
                <w:sz w:val="20"/>
                <w:szCs w:val="20"/>
                <w:color w:val="auto"/>
              </w:rPr>
            </w:pPr>
          </w:p>
        </w:tc>
        <w:tc>
          <w:tcPr>
            <w:tcW w:w="146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Value Per Share</w:t>
            </w:r>
          </w:p>
        </w:tc>
      </w:tr>
      <w:tr>
        <w:trPr>
          <w:trHeight w:val="210"/>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88,754</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(72,141)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Expired</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Non-Vested at June 30, 2023</w:t>
            </w:r>
          </w:p>
        </w:tc>
        <w:tc>
          <w:tcPr>
            <w:tcW w:w="1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w:t>
            </w: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12"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91,003 shares of restricted Company common stock during the six months ended June 30, 2023.</w:t>
      </w:r>
    </w:p>
    <w:p>
      <w:pPr>
        <w:spacing w:after="0" w:line="16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spacing w:after="0" w:line="184"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June 30, 2023, there was $3.1 million of unrecognized compensation cost, adjusted for estimated forfeitures, related to the non-vested restricted share awards, which will be recognized over a remaining weighted average period of 2.1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activity for these awards during the six months ended June 30, 2023 is presented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Wtd. Avg. Fair</w:t>
            </w:r>
          </w:p>
        </w:tc>
      </w:tr>
      <w:tr>
        <w:trPr>
          <w:trHeight w:val="234"/>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20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Value Per Share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91,003</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(74,229)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Expired</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Non-Vested at June 30, 2023</w:t>
            </w:r>
          </w:p>
        </w:tc>
        <w:tc>
          <w:tcPr>
            <w:tcW w:w="2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date two business days prior to the date of the award, rounded down to the nearest whole number of shares.</w:t>
      </w:r>
    </w:p>
    <w:p>
      <w:pPr>
        <w:spacing w:after="0" w:line="192"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Each non-employee director serving as of the beginning of each calendar year shall receive an annual award of the Company’s common stock. The value of such award totaled $35,000 for the six months ended June 30, 2023 and 2022 (the “Annual Award”). The number of shares awarded is calculated based on the trailing 20-day average price of the Company’s common stock as of the date two business days prior to the date of the award, rounded down to the nearest whole number of shares. Non-employee directors do not receive meeting fees, but will receive additional retainers for service on Board committees, as set forth in the Company’s Non-Employee Director Compensation Policy available on the Company’s website (www.ctoreit.com).</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During the six months ended June 30, 2023 and 2022, the expense recognized for the value of the Company’s common stock received by non-employee directors totaled $0.3 million, or 17,203 shares, and $0.4 million, or 18,002 shares, respectively. The expense recognized includes the Annual Award received during the first quarter of each respective year, which totaled $0.2 million during each of the six months ended June 30, 2023 and 2022.</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20. INCOME TAXES</w:t>
      </w:r>
    </w:p>
    <w:p>
      <w:pPr>
        <w:spacing w:after="0" w:line="270"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pacing w:after="0" w:line="19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21. 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Commitments – Expenditures</w:t>
      </w:r>
    </w:p>
    <w:p>
      <w:pPr>
        <w:spacing w:after="0" w:line="212" w:lineRule="exact"/>
        <w:rPr>
          <w:sz w:val="20"/>
          <w:szCs w:val="20"/>
          <w:color w:val="auto"/>
        </w:rPr>
      </w:pPr>
    </w:p>
    <w:p>
      <w:pPr>
        <w:jc w:val="both"/>
        <w:ind w:left="60" w:right="59" w:firstLine="492"/>
        <w:spacing w:after="0" w:line="248" w:lineRule="auto"/>
        <w:rPr>
          <w:sz w:val="20"/>
          <w:szCs w:val="20"/>
          <w:color w:val="auto"/>
        </w:rPr>
      </w:pPr>
      <w:r>
        <w:rPr>
          <w:rFonts w:ascii="Arial" w:cs="Arial" w:eastAsia="Arial" w:hAnsi="Arial"/>
          <w:sz w:val="18"/>
          <w:szCs w:val="18"/>
          <w:color w:val="auto"/>
        </w:rPr>
        <w:t>The Company has committed to fund the following capital improvements. The improvements, which are related to several properties, are estimated to be generally completed within twelve months. These commitments, as of June 30, 2023, are as follows (in thousands):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As of June 30, 2023</w:t>
            </w:r>
          </w:p>
        </w:tc>
      </w:tr>
      <w:tr>
        <w:trPr>
          <w:trHeight w:val="209"/>
        </w:trPr>
        <w:tc>
          <w:tcPr>
            <w:tcW w:w="69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w:t>
            </w: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Less Amount Funded</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11,469</w:t>
            </w: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26" w:lineRule="exact"/>
        <w:rPr>
          <w:sz w:val="20"/>
          <w:szCs w:val="20"/>
          <w:color w:val="auto"/>
        </w:rPr>
      </w:pPr>
    </w:p>
    <w:p>
      <w:pPr>
        <w:ind w:left="340" w:hanging="290"/>
        <w:spacing w:after="0"/>
        <w:tabs>
          <w:tab w:leader="none" w:pos="34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22. BUSINESS SEGMENT DATA</w:t>
      </w:r>
    </w:p>
    <w:p>
      <w:pPr>
        <w:spacing w:after="0" w:line="229"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The Company operates in four primary business segments: income properties, management services, commercial loans and investments, and real estate operations. Our income property operations consist of income-producing properties, and our business plan is focused on investing in additional income-producing properties. Our income property operations accounted for 91% of our identifiable assets as of June 30, 2023 and December 31, 2022, and 89.0% and 86.0% of our consolidated revenues for the six months ended June 30, 2023 and 2022, respectively. The management services segment consists of the revenue generated from managing PINE. As of June 30, 2023, our commercial loans and investments portfolio consisted of three commercial loan investments and one preferred equity investment which is classified as a commercial loan investment. Our real estate operations consist of revenues generated from the sale of and royalty income related to our interests in subsurface oil, gas, and mineral rights, and the sale of mitigation credits.</w:t>
      </w:r>
    </w:p>
    <w:p>
      <w:pPr>
        <w:spacing w:after="0" w:line="16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Information about the Company’s operations in different segments for the three and six months ended June 30, 2023 and 2022 is as follows (in thousands):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388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2023</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0"/>
              </w:rPr>
              <w:t>June 30, 2023</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2022</w:t>
            </w: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22,758</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16,367</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45,190</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31,535</w:t>
            </w: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02"/>
        </w:trPr>
        <w:tc>
          <w:tcPr>
            <w:tcW w:w="388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10"/>
        </w:trPr>
        <w:tc>
          <w:tcPr>
            <w:tcW w:w="388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26,047</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50,764</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36,673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16,088</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31,367</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22,707</w:t>
            </w: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02"/>
        </w:trPr>
        <w:tc>
          <w:tcPr>
            <w:tcW w:w="388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General and Corporate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(18,815)</w:t>
            </w: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Impairment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Gain (Loss) on Disposition of Assets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49"/>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r>
      <w:tr>
        <w:trPr>
          <w:trHeight w:val="197"/>
        </w:trPr>
        <w:tc>
          <w:tcPr>
            <w:tcW w:w="388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w:t>
            </w: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r>
      <w:tr>
        <w:trPr>
          <w:trHeight w:val="196"/>
        </w:trPr>
        <w:tc>
          <w:tcPr>
            <w:tcW w:w="388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81,550</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47,434</w:t>
            </w: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Commercial Loans and Investments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46,876</w:t>
            </w:r>
          </w:p>
        </w:tc>
      </w:tr>
      <w:tr>
        <w:trPr>
          <w:trHeight w:val="21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3880" w:type="dxa"/>
            <w:vAlign w:val="bottom"/>
          </w:tcPr>
          <w:p>
            <w:pPr>
              <w:ind w:left="120"/>
              <w:spacing w:after="0"/>
              <w:rPr>
                <w:sz w:val="20"/>
                <w:szCs w:val="20"/>
                <w:color w:val="auto"/>
              </w:rPr>
            </w:pPr>
            <w:r>
              <w:rPr>
                <w:rFonts w:ascii="Arial" w:cs="Arial" w:eastAsia="Arial" w:hAnsi="Arial"/>
                <w:sz w:val="18"/>
                <w:szCs w:val="18"/>
                <w:color w:val="auto"/>
              </w:rPr>
              <w:t>Total Capital Expenditures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83,142</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53,830</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107,001</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94,345</w:t>
            </w:r>
          </w:p>
        </w:tc>
      </w:tr>
      <w:tr>
        <w:trPr>
          <w:trHeight w:val="20"/>
        </w:trPr>
        <w:tc>
          <w:tcPr>
            <w:tcW w:w="3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Identifiable assets of each segment as of June 30, 2023 and December 31, 2022 are as follows (in thousands):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1470"/>
              <w:spacing w:after="0"/>
              <w:rPr>
                <w:sz w:val="20"/>
                <w:szCs w:val="20"/>
                <w:color w:val="auto"/>
              </w:rPr>
            </w:pPr>
            <w:r>
              <w:rPr>
                <w:rFonts w:ascii="Arial" w:cs="Arial" w:eastAsia="Arial" w:hAnsi="Arial"/>
                <w:sz w:val="18"/>
                <w:szCs w:val="18"/>
                <w:b w:val="1"/>
                <w:bCs w:val="1"/>
                <w:color w:val="auto"/>
              </w:rPr>
              <w:t>As of</w:t>
            </w:r>
          </w:p>
        </w:tc>
      </w:tr>
      <w:tr>
        <w:trPr>
          <w:trHeight w:val="210"/>
        </w:trPr>
        <w:tc>
          <w:tcPr>
            <w:tcW w:w="40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June 30, 2023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December 31, 2022</w:t>
            </w: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16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970,163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902,427</w:t>
            </w: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Commercial Loans and Investments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46,730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32,269</w:t>
            </w: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r>
      <w:tr>
        <w:trPr>
          <w:trHeight w:val="216"/>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46,438</w:t>
            </w:r>
          </w:p>
        </w:tc>
      </w:tr>
      <w:tr>
        <w:trPr>
          <w:trHeight w:val="21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1,061,512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986,545</w:t>
            </w:r>
          </w:p>
        </w:tc>
      </w:tr>
      <w:tr>
        <w:trPr>
          <w:trHeight w:val="20"/>
        </w:trPr>
        <w:tc>
          <w:tcPr>
            <w:tcW w:w="4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Operating income represents income from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primarily includes the identifiable assets of the Company’s Subsurface Interests and mitigation credits. Corporate and other assets consist primarily of cash and restricted cash, property, plant, and equipment related to the other operations, as well as the general and corporate operations. The management services and real estate operations segments had no capital expenditures during the six months ended June 30, 2023 or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23. ASSETS HELD FOR SALE</w:t>
      </w:r>
    </w:p>
    <w:p>
      <w:pPr>
        <w:spacing w:after="0" w:line="229"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Assets held for sale as of June 30, 2023 are summarized below (in thousands). There were no assets held for sale as of December 31, 2022.</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7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7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As of June 30, 2023</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Property, and Equipment—Net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16"/>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Lease Assets—Net</w:t>
            </w:r>
          </w:p>
        </w:tc>
        <w:tc>
          <w:tcPr>
            <w:tcW w:w="4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0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Held for Sale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5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24. SUBSEQUENT EVENTS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Subsequent events and transactions were evaluated through July 27, 2023, the date the consolidated financial statements were issued. There were no reportable subsequent events or transactions.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Statements contained in this Quarterly Report on Form 10-Q that are not historical facts are forward-looking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74" w:lineRule="exact"/>
        <w:rPr>
          <w:sz w:val="20"/>
          <w:szCs w:val="20"/>
          <w:color w:val="auto"/>
        </w:rPr>
      </w:pPr>
    </w:p>
    <w:p>
      <w:pPr>
        <w:ind w:left="900" w:right="59" w:hanging="330"/>
        <w:spacing w:after="0" w:line="25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spacing w:after="0" w:line="1" w:lineRule="exact"/>
        <w:rPr>
          <w:rFonts w:ascii="Arial" w:cs="Arial" w:eastAsia="Arial" w:hAnsi="Arial"/>
          <w:sz w:val="18"/>
          <w:szCs w:val="18"/>
          <w:color w:val="auto"/>
        </w:rPr>
      </w:pP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that traditional retail tenants face from e-commerce retail sales, or the integration of brick and mortar stores with e-commerce retail operators, could adversely affect our business;</w:t>
      </w:r>
    </w:p>
    <w:p>
      <w:pPr>
        <w:ind w:left="900" w:right="59" w:hanging="330"/>
        <w:spacing w:after="0" w:line="28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operate in a highly competitive market for the acquisition of income properties and more established entities or other investors may be able to compete more effectively for acquisition opportunities than we can;</w:t>
      </w:r>
    </w:p>
    <w:p>
      <w:pPr>
        <w:spacing w:after="0" w:line="1" w:lineRule="exact"/>
        <w:rPr>
          <w:rFonts w:ascii="Arial" w:cs="Arial" w:eastAsia="Arial" w:hAnsi="Arial"/>
          <w:sz w:val="16"/>
          <w:szCs w:val="16"/>
          <w:color w:val="auto"/>
        </w:rPr>
      </w:pPr>
    </w:p>
    <w:p>
      <w:pPr>
        <w:ind w:left="900" w:hanging="330"/>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successfully execute on asset acquisitions or dispositions;</w:t>
      </w:r>
    </w:p>
    <w:p>
      <w:pPr>
        <w:spacing w:after="0" w:line="9" w:lineRule="exact"/>
        <w:rPr>
          <w:rFonts w:ascii="Arial" w:cs="Arial" w:eastAsia="Arial" w:hAnsi="Arial"/>
          <w:sz w:val="18"/>
          <w:szCs w:val="18"/>
          <w:color w:val="auto"/>
        </w:rPr>
      </w:pP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revenues from our income property portfolio or certain tenants would adversely impact our results of operations and cash flows;</w:t>
      </w:r>
    </w:p>
    <w:p>
      <w:pPr>
        <w:jc w:val="both"/>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Arial" w:cs="Arial" w:eastAsia="Arial" w:hAnsi="Arial"/>
          <w:sz w:val="18"/>
          <w:szCs w:val="18"/>
          <w:color w:val="auto"/>
        </w:rPr>
      </w:pPr>
    </w:p>
    <w:p>
      <w:pPr>
        <w:jc w:val="both"/>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Arial" w:cs="Arial" w:eastAsia="Arial" w:hAnsi="Arial"/>
          <w:sz w:val="18"/>
          <w:szCs w:val="18"/>
          <w:color w:val="auto"/>
        </w:rPr>
      </w:pP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prolonged downturn in economic conditions could adversely impact our business, particularly with regard to our ability to maintain revenues from our income-producing assets;</w:t>
      </w: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 of our investment strategy is focused on investing in commercial loans and investments which may involve credit risk;</w:t>
      </w: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suffer losses when a borrower defaults on a loan and the value of the underlying collateral is less than the amount due;</w:t>
      </w:r>
    </w:p>
    <w:p>
      <w:pPr>
        <w:ind w:left="900" w:hanging="330"/>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real estate investments are generally illiquid;</w:t>
      </w:r>
    </w:p>
    <w:p>
      <w:pPr>
        <w:spacing w:after="0" w:line="9" w:lineRule="exact"/>
        <w:rPr>
          <w:rFonts w:ascii="Arial" w:cs="Arial" w:eastAsia="Arial" w:hAnsi="Arial"/>
          <w:sz w:val="18"/>
          <w:szCs w:val="18"/>
          <w:color w:val="auto"/>
        </w:rPr>
      </w:pPr>
    </w:p>
    <w:p>
      <w:pPr>
        <w:jc w:val="both"/>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spacing w:after="0" w:line="1" w:lineRule="exact"/>
        <w:rPr>
          <w:rFonts w:ascii="Arial" w:cs="Arial" w:eastAsia="Arial" w:hAnsi="Arial"/>
          <w:sz w:val="18"/>
          <w:szCs w:val="18"/>
          <w:color w:val="auto"/>
        </w:rPr>
      </w:pP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may be unable to obtain debt or equity capital on favorable terms, if at all, or additional borrowings may impact our liquidity or ability to monetize any assets securing such borrowings;</w:t>
      </w: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servicing our debt requires a significant amount of cash, and we may not have sufficient cash flow from our business to service or pay our debt;</w:t>
      </w:r>
    </w:p>
    <w:p>
      <w:pPr>
        <w:ind w:left="900" w:right="59" w:hanging="330"/>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operations and properties could be adversely affected in the event of natural disasters, pandemics, or other significant disruptions;</w:t>
      </w:r>
    </w:p>
    <w:p>
      <w:pPr>
        <w:ind w:left="900" w:right="59" w:hanging="330"/>
        <w:spacing w:after="0" w:line="290"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encounter environmental problems which require remediation or the incurrence of significant costs to resolve, which could adversely impact our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both"/>
        <w:ind w:left="900" w:right="59" w:hanging="330"/>
        <w:spacing w:after="0" w:line="23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remain qualified as real estate investment trust (“REIT”) for U.S. federal income tax purposes would cause us to be taxed as a regular corporation, which would substantially reduce funds available for distribution to stockholders;</w:t>
      </w:r>
    </w:p>
    <w:p>
      <w:pPr>
        <w:spacing w:after="0" w:line="1" w:lineRule="exact"/>
        <w:rPr>
          <w:rFonts w:ascii="Arial" w:cs="Arial" w:eastAsia="Arial" w:hAnsi="Arial"/>
          <w:sz w:val="18"/>
          <w:szCs w:val="18"/>
          <w:color w:val="auto"/>
        </w:rPr>
      </w:pPr>
    </w:p>
    <w:p>
      <w:pPr>
        <w:ind w:left="900" w:hanging="330"/>
        <w:spacing w:after="0" w:line="23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the REIT requirements could limit our financial flexibility;</w:t>
      </w:r>
    </w:p>
    <w:p>
      <w:pPr>
        <w:ind w:left="900" w:hanging="330"/>
        <w:spacing w:after="0" w:line="21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limited experience operating as a REIT;</w:t>
      </w:r>
    </w:p>
    <w:p>
      <w:pPr>
        <w:ind w:left="900" w:right="59" w:hanging="330"/>
        <w:spacing w:after="0" w:line="22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pay dividends consistent with the REIT requirements, and expectations as to timing and amounts of such dividends;</w:t>
      </w:r>
    </w:p>
    <w:p>
      <w:pPr>
        <w:spacing w:after="0" w:line="1" w:lineRule="exact"/>
        <w:rPr>
          <w:rFonts w:ascii="Arial" w:cs="Arial" w:eastAsia="Arial" w:hAnsi="Arial"/>
          <w:sz w:val="18"/>
          <w:szCs w:val="18"/>
          <w:color w:val="auto"/>
        </w:rPr>
      </w:pPr>
    </w:p>
    <w:p>
      <w:pPr>
        <w:ind w:left="900" w:hanging="330"/>
        <w:spacing w:after="0" w:line="232"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of our board of directors (the “Board”) to revoke our REIT status without stockholder approval;</w:t>
      </w:r>
    </w:p>
    <w:p>
      <w:pPr>
        <w:ind w:left="900" w:hanging="330"/>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exposure to changes in U.S. federal and state income tax laws, including changes to the REIT requirements;</w:t>
      </w:r>
    </w:p>
    <w:p>
      <w:pPr>
        <w:spacing w:after="0" w:line="5" w:lineRule="exact"/>
        <w:rPr>
          <w:rFonts w:ascii="Arial" w:cs="Arial" w:eastAsia="Arial" w:hAnsi="Arial"/>
          <w:sz w:val="16"/>
          <w:szCs w:val="16"/>
          <w:color w:val="auto"/>
        </w:rPr>
      </w:pPr>
    </w:p>
    <w:p>
      <w:pPr>
        <w:ind w:left="900" w:right="59" w:hanging="330"/>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business and economic conditions, including unstable macroeconomic conditions due to, among other things, the war in Ukraine, inflation, rising interest rates and distress in the banking sector; and</w:t>
      </w:r>
    </w:p>
    <w:p>
      <w:pPr>
        <w:jc w:val="both"/>
        <w:ind w:left="900" w:right="59" w:hanging="330"/>
        <w:spacing w:after="0" w:line="26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70"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2022), “Quantitative and Qualitative Disclosures about Market Risk” (Part I, Item 3 of this Quarterly Report on Form 10-Q), and “Management’s Discussion and Analysis of Financial Conditions and Results of Operations” (Part I, Item 2 of this Quarterly Report on Form 10-Q).</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retail demand that exceeds supply. We have pursued our investment strategy by investing primarily through fee simple ownership of our properties, commercial loans and preferred equity.</w:t>
      </w:r>
    </w:p>
    <w:p>
      <w:pPr>
        <w:spacing w:after="0" w:line="188"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We own and manage, sometimes utilizing third-party property management companies, 24 commercial real estate properties in 9 states in the United States. As of June 30, 2023, we owned 8 single-tenant and 16 multi-tenant income-producing properties comprising 4.2 million square feet of gross leasable space.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our income property portfolio, as of June 30, 2023, our business included the following: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117" w:lineRule="exact"/>
        <w:rPr>
          <w:sz w:val="20"/>
          <w:szCs w:val="20"/>
          <w:color w:val="auto"/>
        </w:rPr>
      </w:pPr>
    </w:p>
    <w:p>
      <w:pPr>
        <w:ind w:left="840" w:right="59" w:hanging="322"/>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PINE, see Note 5, “Related Party Management Services Business”.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Loans and Investments:</w:t>
      </w:r>
    </w:p>
    <w:p>
      <w:pPr>
        <w:spacing w:after="0" w:line="117" w:lineRule="exact"/>
        <w:rPr>
          <w:sz w:val="20"/>
          <w:szCs w:val="20"/>
          <w:color w:val="auto"/>
        </w:rPr>
      </w:pPr>
    </w:p>
    <w:p>
      <w:pPr>
        <w:ind w:left="840" w:right="59" w:hanging="322"/>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portfolio of three commercial loan investments and one preferred equity investment which is classified as a commercial loan investment.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117" w:lineRule="exact"/>
        <w:rPr>
          <w:sz w:val="20"/>
          <w:szCs w:val="20"/>
          <w:color w:val="auto"/>
        </w:rPr>
      </w:pPr>
    </w:p>
    <w:p>
      <w:pPr>
        <w:ind w:left="840" w:right="59" w:hanging="322"/>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352,000 surface acres in 19 counties in the State of Florida (“Subsurface Interests”); and</w:t>
      </w:r>
    </w:p>
    <w:p>
      <w:pPr>
        <w:spacing w:after="0" w:line="62" w:lineRule="exact"/>
        <w:rPr>
          <w:rFonts w:ascii="Arial" w:cs="Arial" w:eastAsia="Arial" w:hAnsi="Arial"/>
          <w:sz w:val="18"/>
          <w:szCs w:val="18"/>
          <w:color w:val="auto"/>
        </w:rPr>
      </w:pPr>
    </w:p>
    <w:p>
      <w:pPr>
        <w:ind w:left="840" w:hanging="322"/>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inventory of mitigation credits produced by the Company’s formerly owned mitigation bank.</w:t>
      </w:r>
    </w:p>
    <w:p>
      <w:pPr>
        <w:spacing w:after="0" w:line="117"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Our business also includes our investment in PINE. As of June 30, 2023, the fair value of our investment totaled $37.9 million, or 14.8%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amount by which our investment will increase in value, or the timing thereof. Any dividends received from PINE are included in investment and other income (loss) on the accompanying consolidated statements of operations.</w:t>
      </w:r>
    </w:p>
    <w:p>
      <w:pPr>
        <w:spacing w:after="0" w:line="146"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81"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During the six months ended June 30, 2023, the Company sold one income property, an outparcel of the multi-tenant property known as Eastern Commons, located in Henderson, Nevada, for $2.1 million, resulting in a gain of $0.8 million. 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79"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Our current portfolio of 16 multi-tenant properties generates $75.0 million of revenue from annualized straight-line base lease payments and had a weighted average remaining lease term of 4.4 years as of June 30, 2023. Our current portfolio of 8 single-tenant income properties generates $9.3 million of revenues from annualized straight-line base lease payments and had a weighted average remaining lease term of 5.6 years as of June 30, 2023.</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JUNE 30, 2023 AND 2022</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Total revenue for the three months ended June 30, 2023 is presented in the following summary and indicates the changes as compared to the three months ended June 30,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Segment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8"/>
              </w:rPr>
              <w:t>Three Months Ended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 Variance</w:t>
            </w:r>
          </w:p>
        </w:tc>
        <w:tc>
          <w:tcPr>
            <w:tcW w:w="140" w:type="dxa"/>
            <w:vAlign w:val="bottom"/>
          </w:tcPr>
          <w:p>
            <w:pPr>
              <w:spacing w:after="0"/>
              <w:rPr>
                <w:sz w:val="20"/>
                <w:szCs w:val="20"/>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22,758</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Management Services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Real Estate Operations</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26,047</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Total revenue for the three months ended June 30, 2023 increased to $26.1 million, compared to $19.5 million during the three months ended June 30, 2022. The $6.6 million increase in total revenue is primarily attributable to increased income produced by the Company’s recent income property acquisitions versus that of properties disposed of by the Company during the comparative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70" w:lineRule="auto"/>
        <w:rPr>
          <w:sz w:val="20"/>
          <w:szCs w:val="20"/>
          <w:color w:val="auto"/>
        </w:rPr>
      </w:pPr>
      <w:r>
        <w:rPr>
          <w:rFonts w:ascii="Arial" w:cs="Arial" w:eastAsia="Arial" w:hAnsi="Arial"/>
          <w:sz w:val="17"/>
          <w:szCs w:val="17"/>
          <w:color w:val="auto"/>
        </w:rPr>
        <w:t>Revenue and operating income from our income property operations totaled $22.8 million and $16.1 million, respectively, during the three months ended June 30, 2023, compared to total revenue and operating income of $16.4 million and $11.6 million, respectively, for the three months ended June 30, 2022. The direct costs of revenues for our income property operations totaled $6.7 million and $4.8 million for the three months ended June 30, 2023 and 2022, respectively. The increase in revenues of $6.4 million, or 39.0%, during the three months ended June 30, 2023 is primarily related to the overall growth of the Company’s income property portfolio, as well as the timing of acquisitions versus dispositions. The increase in operating income of $4.5 million from our income property operations reflects increased rent revenues, offset by an increase of $1.9 million in our direct costs of revenues which is also related to the overall growth of the Company’s income property portfolio.</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Revenue from our management services from PINE totaled $1.1 million and $0.9 million during the three months ended June 30, 2023 and 2022, respectively, due to the increase in PINE’s total equity.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Interest income from our commercial loans and investments totaled $1.1 million and $1.3 million during the three months ended June 30, 2023 and 2022, respectively. The decrease is primarily due to decreased income as a result of the timing of investments made and principal repayments during the previous fiscal year ended December 31, 2022, and during the six months ended June 30,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During the three months ended June 30, 2023 and 2022, operating income from real estate operations was $0.5 million and $0.6 million on revenues totaling $1.1 million and $0.9 million, respectively. Overall results were consistent although mitigation credit sales were higher during the three months ended June 30, 2023, which were offset by lower Subsurface Interest sales as compared to the same period in 2022. Cost of sales on mitigation credit sales are higher relative to Subsurface Interest sales.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Total general and administrative expenses for the three months ended June 30, 2023 is presented in the following summary and indicates the changes as compared to the three months ended June 30, 2022 (in thousands):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8"/>
              </w:rPr>
              <w:t>Three Months Ended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 Variance</w:t>
            </w:r>
          </w:p>
        </w:tc>
        <w:tc>
          <w:tcPr>
            <w:tcW w:w="140" w:type="dxa"/>
            <w:vAlign w:val="bottom"/>
          </w:tcPr>
          <w:p>
            <w:pPr>
              <w:spacing w:after="0"/>
              <w:rPr>
                <w:sz w:val="20"/>
                <w:szCs w:val="20"/>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Recurring General and Administrative Expenses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The primary reason for the increase in total general and administrative expenses is the overall higher employee count as a result of the increased operating activity from the significant increase in managed income property assets.</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Depreciation and amortization totaled $10.8 million and $6.7 million during the three months ended June 30, 2023 and 2022, respectively. The increase of $4.1 million is due to the overall growth in the Company’s income property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 and Provision for Impairment</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Dispositions. </w:t>
      </w:r>
      <w:r>
        <w:rPr>
          <w:rFonts w:ascii="Arial" w:cs="Arial" w:eastAsia="Arial" w:hAnsi="Arial"/>
          <w:sz w:val="17"/>
          <w:szCs w:val="17"/>
          <w:color w:val="auto"/>
        </w:rPr>
        <w:t>During the three months ended June 30, 2023, the Company sold one income property, an outparcel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multi-tenant property known as Eastern Commons, located in Henderson, Nevada, for $2.1 million, resulting in a gain of $0.8 million. There were no income property dispositions during the three months ended June 30, 2022</w:t>
      </w:r>
      <w:r>
        <w:rPr>
          <w:rFonts w:ascii="Arial" w:cs="Arial" w:eastAsia="Arial" w:hAnsi="Arial"/>
          <w:sz w:val="17"/>
          <w:szCs w:val="17"/>
          <w:i w:val="1"/>
          <w:iCs w:val="1"/>
          <w:color w:val="auto"/>
        </w:rPr>
        <w:t>.</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Provision for Impairment. </w:t>
      </w:r>
      <w:r>
        <w:rPr>
          <w:rFonts w:ascii="Arial" w:cs="Arial" w:eastAsia="Arial" w:hAnsi="Arial"/>
          <w:sz w:val="18"/>
          <w:szCs w:val="18"/>
          <w:color w:val="auto"/>
        </w:rPr>
        <w:t>There were no impairment charges on the Company’s income property portfolio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during the three months ended June 30, 2023 and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three months ended June 30, 2023, the closing stock price of PINE decreased by $0.58 per share, with a closing price of $16.25 on June 30, 2023. During the three months ended June 30, 2022, the closing stock price of PINE decreased by $0.88 per share, with a closing price of $17.92 on June 30, 2022. The change in stock price resulted in unrealized, non-cash losses on the Company’s investment in PINE of $1.4 million and $1.8 million which is included in investment and other loss in the consolidated statements of operations for the three months ended June 30, 2023 and 2022, respectively.</w:t>
      </w:r>
    </w:p>
    <w:p>
      <w:pPr>
        <w:spacing w:after="0" w:line="19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$0.6 million during each of the three months ended June 30, 2023 and 2022, respectively.</w:t>
      </w:r>
    </w:p>
    <w:p>
      <w:pPr>
        <w:spacing w:after="0" w:line="170"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Company derecognized a contingent obligation through a $2.3 million increase in investment and other income (loss) during the three months ended June 30, 2023, pursuant to a lease amendment whereby the Company’s obligation to fund certain tenant improvements was eliminated. The liability was previously included in Accrued and Other Liabilities on the Company’s consolidated balance sheets.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Interest expense totaled $5.2 million and $2.3 million for the three months ended June 30, 2023 and 2022, respectively. The increase of $2.9 million resulted primarily from (i) the higher balance outstanding on the Company’s Credit Facility as well as the increase in the variable interest rate under the Credit Facility during the three months ended June 30, 2023, prior to fixing the rate on $100.0 million of outstanding principal effective January 31, 2023, and (ii) the increase in debt related to the $100.0 million 2028 Term Loan.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Attributable to the Company</w:t>
      </w:r>
    </w:p>
    <w:p>
      <w:pPr>
        <w:spacing w:after="0" w:line="22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Net income attributable to the Company totaled $1.8 million and $1.2 million during the three months ended June 30, 2023 and 2022, respectively. The $0.6 million increase in net income is attributable to the factors described above, and most notably the $2.3 million extinguishment of a contingent liability and increases in the operating income generated by the income property portfolio operations, which were partially offset by increases in non-cash depreciation and amortization, non-cash unrealized loss on the investment in PINE, and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Total revenue for the six months ended June 30, 2023 is presented in the following summary and indicates the changes as compared to the six months June 30,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Segment</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 Variance</w:t>
            </w:r>
          </w:p>
        </w:tc>
        <w:tc>
          <w:tcPr>
            <w:tcW w:w="140" w:type="dxa"/>
            <w:vAlign w:val="bottom"/>
          </w:tcPr>
          <w:p>
            <w:pPr>
              <w:spacing w:after="0"/>
              <w:rPr>
                <w:sz w:val="20"/>
                <w:szCs w:val="20"/>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45,190</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Management Services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Real Estate Operations</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50,764</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Total revenue for the six months ended June 30, 2023 increased to $50.8 million, compared to $36.7 million during the six months ended June 30, 2022. The $14.1 million increase in total revenue is primarily attributable to increased income produced by the Company’s recent income property acquisitions versus that of properties disposed of by the Company during the comparative period, in addition to increases in management fee income and income from commercial loans and investments.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70" w:lineRule="auto"/>
        <w:rPr>
          <w:sz w:val="20"/>
          <w:szCs w:val="20"/>
          <w:color w:val="auto"/>
        </w:rPr>
      </w:pPr>
      <w:r>
        <w:rPr>
          <w:rFonts w:ascii="Arial" w:cs="Arial" w:eastAsia="Arial" w:hAnsi="Arial"/>
          <w:sz w:val="17"/>
          <w:szCs w:val="17"/>
          <w:color w:val="auto"/>
        </w:rPr>
        <w:t>Revenue and operating income from our income property operations totaled $45.2 million and $31.4 million, respectively, during the six months ended June 30, 2023, compared to total revenue and operating income of $31.5 million and $22.7 million, respectively, for the six months ended June 30, 2022. The direct costs of revenues for our income property operations totaled $13.8 million and $8.8 million for the six months ended June 30, 2023 and 2022, respectively. The increase in revenues of $13.7 million, or 43.3%, during the six months ended June 30, 2023 is primarily related to the overall growth of the Company’s income property portfolio, as well as the timing of acquisitions versus dispositions. The increase in operating income of $8.7 million from our income property operations reflects increased rent revenues, offset by an increase of $5.0 million in our direct costs of revenues which is also related to the overall growth of the Company’s income property portfolio.</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Revenue from our management services from PINE totaled $2.2 million and $1.9 million during the six months ended June 30, 2023 and 2022, respectively, due to the increase in PINE’s total equity.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Interest income from our commercial loans and investments totaled $1.8 million and $2.0 million during the six months ended June 30, 2023 and 2022, respectively. The decrease is primarily due to decreased income as a result of the timing of investments made and principal repayments during the previous fiscal year ended December 31, 2022, and during the six months ended June 30,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During the six months ended June 30, 2023 and 2022, operating income from real estate operations was $0.8 million and $1.0 million on revenues totaling $1.5 million and $1.2 million, respectively. Overall results were consistent although mitigation credit sales were higher during the six months ended June 30, 2023, which were offset by lower Subsurface Interest sales as compared to the same period in 2022. Cost of sales on mitigation credit sales are higher relative to Subsurface Interest sales.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Total general and administrative expenses for the six months ended June 30, 2023 is presented in the following summary and indicates the changes as compared to the six months ended June 30, 2022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 Variance</w:t>
            </w:r>
          </w:p>
        </w:tc>
        <w:tc>
          <w:tcPr>
            <w:tcW w:w="140" w:type="dxa"/>
            <w:vAlign w:val="bottom"/>
          </w:tcPr>
          <w:p>
            <w:pPr>
              <w:spacing w:after="0"/>
              <w:rPr>
                <w:sz w:val="20"/>
                <w:szCs w:val="20"/>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2023</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Recurring General and Administrative Expenses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The primary reason for the increase in total general and administrative expenses is the overall higher employee count as a result of the increased operating activity from the significant increase in managed income property assets.</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Depreciation and amortization totaled $21.1 million and $13.1 million during the six months ended June 30, 2023 and 2022, respectively. The increase of $8.0 million is due to the overall growth in the Company’s income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(Loss) on Disposition of Assets and Provision for Impairment</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Dispositions. </w:t>
      </w:r>
      <w:r>
        <w:rPr>
          <w:rFonts w:ascii="Arial" w:cs="Arial" w:eastAsia="Arial" w:hAnsi="Arial"/>
          <w:sz w:val="16"/>
          <w:szCs w:val="16"/>
          <w:color w:val="auto"/>
        </w:rPr>
        <w:t>During the six months ended June 30, 2023, the Company sold one income property, an outparcel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multi-tenant property known as Eastern Commons, located in Henderson, Nevada, for $2.1 million, resulting in a gain of $0.8 million. During the six months ended June 30, 2022, the Company sold two income properties, including (i) Party City, a single-tenant income property located in Oceanside, New York for $6.9 million resulting in a $0.06 million loss and</w:t>
      </w:r>
    </w:p>
    <w:p>
      <w:pPr>
        <w:spacing w:after="0" w:line="1" w:lineRule="exact"/>
        <w:rPr>
          <w:sz w:val="20"/>
          <w:szCs w:val="20"/>
          <w:color w:val="auto"/>
        </w:rPr>
      </w:pPr>
    </w:p>
    <w:p>
      <w:pPr>
        <w:ind w:left="60" w:right="59" w:hanging="10"/>
        <w:spacing w:after="0" w:line="26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Carpenter Hotel ground lease, a single-tenant income property located in Austin, Texas for $17.1 million resulting in a $0.2 million loss.</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Provision for Impairment. </w:t>
      </w:r>
      <w:r>
        <w:rPr>
          <w:rFonts w:ascii="Arial" w:cs="Arial" w:eastAsia="Arial" w:hAnsi="Arial"/>
          <w:sz w:val="18"/>
          <w:szCs w:val="18"/>
          <w:color w:val="auto"/>
        </w:rPr>
        <w:t>There were no impairment charges on the Company’s income property portfolio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2023 and 2022. The Company recorded a $0.5 million impairment charge representing the provision for credit losses related to our commercial loans and investments, during the six months ended June 30, 2023, with no such impairment charges during the six months ended June 30,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six months ended June 30, 2023, the closing stock price of PINE decreased by $2.83 per share, with a closing price of $16.25 on June 30, 2023. During the six months ended June 30, 2022, the closing stock price of PINE decreased by $2.12 per share, with a closing price of $17.92 on June 30, 2022. The change in stock price resulted in unrealized, non-cash losses on the Company’s investment in PINE of $6.2 million and $4.3 million which is included in investment and other loss in the consolidated statements of operations for the six months ended June 30, 2023 and 2022, respectively.</w:t>
      </w:r>
    </w:p>
    <w:p>
      <w:pPr>
        <w:spacing w:after="0" w:line="19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$1.2 million and $1.1 million during the six months ended June 30, 2023 and 2022, respectively.</w:t>
      </w:r>
    </w:p>
    <w:p>
      <w:pPr>
        <w:spacing w:after="0" w:line="170"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Company derecognized a contingent obligation through a $2.3 million increase in investment and other income (loss) during the three months ended June 30, 2023, pursuant to a lease amendment whereby the Company’s obligation to fund certain tenant improvements was eliminated. The liability was previously included in Accrued and Other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Interest expense totaled $9.8 million and $4.2 million for the six months ended June 30, 2023 and 2022, respectively. The increase of $5.6 million resulted primarily from (i) the higher balance outstanding on the Company’s Credit Facility as well as the increase in the variable interest rate under the Credit Facility during the six months ended June 30, 2023 prior to fixing the rate on $100.0 million of outstanding principal effective January 31, 2023, (ii) the increase in debt related to the $17.8 million mortgage loan assumed in connection with the acquisition of Price Plaza, and (iii) the increase in debt related to the $100.0 million 2028 Term Loan.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 Attributable to the Company</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Net loss attributable to the Company totaled $4.2 million during the six months ended June 30, 2023, as compared to $1.4 million of net income during the six months ended June 30, 2022. The $5.6 million decrease in net income is attributable to the factors described above, and most notably the increases in non-cash depreciation and amortization, non-cash unrealized loss on the investment in PINE, and interest expense, which are partially offset by increases in the operating income generated by the income property portfolio operations as well as the $2.3 million extinguishment of a contingent obligation.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and cash equivalents totaled $7.3 million at June 30, 2023, while restricted cash totaled $2.8 million, see Note 2, “Summary of Significant Accounting Policies” under the heading Restricted Cash for the Company’s disclosure related to its restricted cash balance at June 30, 2023.</w:t>
      </w:r>
    </w:p>
    <w:p>
      <w:pPr>
        <w:spacing w:after="0" w:line="184"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Our cash flows provided by operating activities totaled $25.0 million during the six months ended June 30, 2023, as compared to $22.4 million during the six months ended June 30, 2022, an increase of $2.6 million. The primary reason for the increase is from increased cash flows provided by income properties, which is the result of the overall growth of the Company’s income property portfolio, which is partially offset by an increase in cash paid for interest expense as the result of higher overall debt balances and rising variable interest rates on the un-hedged portion of debt.</w:t>
      </w:r>
    </w:p>
    <w:p>
      <w:pPr>
        <w:spacing w:after="0" w:line="161"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Our cash flows used in investing activities totaled $106.4 million during the six months ended June 30, 2023, as compared to $54.4 million during the six months ended June 30, 2022, an increase in cash outflows of $52.0 million. The increase in cash used in investing activities is primarily the result of an increase in acquisition activity of income properties and commercial loan investments, net of principal repayments received on commercial loan investments and sales of income properties, for an increase in net cash used of $51.1 million during the six months ended June 30, 2023 as compared to the same period in 2022.</w:t>
      </w:r>
    </w:p>
    <w:p>
      <w:pPr>
        <w:spacing w:after="0" w:line="192"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Our cash flows provided by financing activities totaled $70.3 million for the six months ended June 30, 2023, compared to $34.9 million for the six months ended June 30, 2022, an increase in cash inflows of $35.4 million. The increase is primarily related to a $51.9 million increase in cash inflows provided by net debt activity offset by (i) an increase in cash outflows of $3.9 million related to repurchases of the Company’s common and preferred stock, (ii) a decrease in cash inflows of $8.6 million due to proceeds from the sale of shares of Company common stock during the six months ended June 30, 2022 with no such activity during the six months ended June 30, 2023, and (iii) an increase in cash outflows of $4.0 million related to the dividend paid on common stock as a result of the increased common stock outstanding as well as the increased dividend per share.</w:t>
      </w:r>
    </w:p>
    <w:p>
      <w:pPr>
        <w:spacing w:after="0" w:line="17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At June 30, 2023, the current commitment level under the Credit Facility was $300.0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undrawn commitment under the Credit Facility totaled $90.4 million. As of June 30, 2023, the Credit Facility had a $209.6 million balance outstanding. See Note 15, “Long-Term Debt” for the Company’s disclosure related to its long-term debt balance at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i w:val="1"/>
          <w:iCs w:val="1"/>
          <w:color w:val="auto"/>
        </w:rPr>
        <w:t xml:space="preserve">Acquisitions and Investments. </w:t>
      </w:r>
      <w:r>
        <w:rPr>
          <w:rFonts w:ascii="Arial" w:cs="Arial" w:eastAsia="Arial" w:hAnsi="Arial"/>
          <w:sz w:val="17"/>
          <w:szCs w:val="17"/>
          <w:color w:val="auto"/>
        </w:rPr>
        <w:t>During the six months ended June 30, 2023, the Company acquired the Plaza at</w:t>
      </w:r>
      <w:r>
        <w:rPr>
          <w:rFonts w:ascii="Arial" w:cs="Arial" w:eastAsia="Arial" w:hAnsi="Arial"/>
          <w:sz w:val="17"/>
          <w:szCs w:val="17"/>
          <w:i w:val="1"/>
          <w:iCs w:val="1"/>
          <w:color w:val="auto"/>
        </w:rPr>
        <w:t xml:space="preserve"> </w:t>
      </w:r>
      <w:r>
        <w:rPr>
          <w:rFonts w:ascii="Arial" w:cs="Arial" w:eastAsia="Arial" w:hAnsi="Arial"/>
          <w:sz w:val="17"/>
          <w:szCs w:val="17"/>
          <w:color w:val="auto"/>
        </w:rPr>
        <w:t>Rockwall, a multi-tenant income property located in Rockwall, Texas for a purchase price of $61.2 million, or a total acquisition cost of $61.3 million including capitalized acquisition costs. The Plaza at Rockwall comprises 446,500 square feet, was 95% occupied at acquisition, and had a weighted average remaining lease term of 4.2 years at acquisition. Also during the six months ended June 30, 2023, the Company acquired four properties, totaling 24,100 square feet, within the 28,100 square foot retail portion of Phase II of The Exchange at Gwinnett located in Buford, Georgia (the “Gwinnett Property”), for an aggregate purchase price of $14.6 million, or a total acquisition cost of $14.7 million including capitalized acquisition costs. The four properties are leased to six different tenants with a weighted average remaining lease term of 9.9 years at acquisition. The Company is under contract to acquire the remaining 4,000 square-foot property that makes up the remaining retail portion of Phase II of The Exchange at Gwinnett for a purchase price of $2.3 million. The Company previously purchased the Sprouts-anchored Phase I portion of The Exchange at Gwinnett in December 2021. The Company also originated one structured investment, to provide $15.0 million of funding towards the acquisition of Founders Square in 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-146050</wp:posOffset>
            </wp:positionV>
            <wp:extent cx="2540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66"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Company’s guidance for 2023 investments in income-producing properties, including structured investments, ranges from $95.0 million to $150.0 million. We expect to fund future acquisitions utilizing cash on hand, cash from operations, proceeds from the dispositions of income properties through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spacing w:after="0" w:line="19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During the six months ended June 30, 2023, the Company sold one income property, an outparcel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multi-tenant property known as Eastern Commons, located in Henderson, Nevada, for $2.1 million, resulting in a gain of $0.8 million.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ATM Program</w:t>
      </w:r>
      <w:r>
        <w:rPr>
          <w:rFonts w:ascii="Arial" w:cs="Arial" w:eastAsia="Arial" w:hAnsi="Arial"/>
          <w:sz w:val="16"/>
          <w:szCs w:val="16"/>
          <w:color w:val="auto"/>
        </w:rPr>
        <w:t>. The Company was not active under the 2022 ATM Program during the six months ended June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21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Contractual Commitments – Expenditures. </w:t>
      </w:r>
      <w:r>
        <w:rPr>
          <w:rFonts w:ascii="Arial" w:cs="Arial" w:eastAsia="Arial" w:hAnsi="Arial"/>
          <w:sz w:val="18"/>
          <w:szCs w:val="18"/>
          <w:color w:val="auto"/>
        </w:rPr>
        <w:t>The Company has committed to fund the following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The improvements, which are related to several properties, are estimated to be generally completed within twelve months. These commitments, as of June 30, 2023, are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As of June 30, 2023</w:t>
            </w:r>
          </w:p>
        </w:tc>
      </w:tr>
      <w:tr>
        <w:trPr>
          <w:trHeight w:val="209"/>
        </w:trPr>
        <w:tc>
          <w:tcPr>
            <w:tcW w:w="2240" w:type="dxa"/>
            <w:vAlign w:val="bottom"/>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4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Less Amount Funded</w:t>
            </w:r>
          </w:p>
        </w:tc>
        <w:tc>
          <w:tcPr>
            <w:tcW w:w="4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r>
      <w:tr>
        <w:trPr>
          <w:trHeight w:val="25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4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w:t>
            </w:r>
          </w:p>
        </w:tc>
      </w:tr>
      <w:tr>
        <w:trPr>
          <w:trHeight w:val="95"/>
        </w:trPr>
        <w:tc>
          <w:tcPr>
            <w:tcW w:w="2240" w:type="dxa"/>
            <w:vAlign w:val="bottom"/>
            <w:tcBorders>
              <w:top w:val="single" w:sz="8" w:color="CCEEFF"/>
              <w:bottom w:val="single" w:sz="8" w:color="auto"/>
            </w:tcBorders>
          </w:tcPr>
          <w:p>
            <w:pPr>
              <w:spacing w:after="0"/>
              <w:rPr>
                <w:sz w:val="8"/>
                <w:szCs w:val="8"/>
                <w:color w:val="auto"/>
              </w:rPr>
            </w:pPr>
          </w:p>
        </w:tc>
        <w:tc>
          <w:tcPr>
            <w:tcW w:w="474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r>
    </w:tbl>
    <w:p>
      <w:pPr>
        <w:spacing w:after="0" w:line="26" w:lineRule="exact"/>
        <w:rPr>
          <w:sz w:val="20"/>
          <w:szCs w:val="20"/>
          <w:color w:val="auto"/>
        </w:rPr>
      </w:pPr>
    </w:p>
    <w:p>
      <w:pPr>
        <w:ind w:left="340" w:hanging="290"/>
        <w:spacing w:after="0"/>
        <w:tabs>
          <w:tab w:leader="none" w:pos="34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None.</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We believe we will have sufficient liquidity to fund our operations, capital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debt service requirements over the next twelve months and into the foreseeable future, with cash on hand, cash flow from our operations, $137.7 million of availability remaining under the ATM Program, and $90.4 million undrawn commitment under the existing $300.0 million Credit Facility as of June 30, 2023.</w:t>
      </w:r>
    </w:p>
    <w:p>
      <w:pPr>
        <w:spacing w:after="0" w:line="187"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41"/>
        <w:spacing w:after="0" w:line="285" w:lineRule="auto"/>
        <w:rPr>
          <w:sz w:val="20"/>
          <w:szCs w:val="20"/>
          <w:color w:val="auto"/>
        </w:rPr>
      </w:pPr>
      <w:r>
        <w:rPr>
          <w:rFonts w:ascii="Arial" w:cs="Arial" w:eastAsia="Arial" w:hAnsi="Arial"/>
          <w:sz w:val="16"/>
          <w:szCs w:val="16"/>
          <w:color w:val="auto"/>
        </w:rPr>
        <w:t>We believe that we currently have a reasonable level of leverage. Our strategy is to utilize leverage, when appropriate and necessary, and proceeds from sales of income properties, the disposition or payoffs on our commercial loan and master lease investments, and certain transactions in our subsurface interests, to acquire income properties. We may also acquire or originate commercial loan and master lease investments, invest in securities of real estate companies, or make other shorter-term investments. Our targeted investment classes may include the following:</w:t>
      </w:r>
    </w:p>
    <w:p>
      <w:pPr>
        <w:spacing w:after="0" w:line="2" w:lineRule="exact"/>
        <w:rPr>
          <w:sz w:val="20"/>
          <w:szCs w:val="20"/>
          <w:color w:val="auto"/>
        </w:rPr>
      </w:pPr>
    </w:p>
    <w:p>
      <w:pPr>
        <w:ind w:left="840" w:right="59" w:hanging="322"/>
        <w:spacing w:after="0" w:line="250"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Multi-tenant, primarily retail-oriented, properties in major metropolitan areas and growth markets, typically stabilized;</w:t>
      </w:r>
    </w:p>
    <w:p>
      <w:pPr>
        <w:ind w:left="840" w:right="59" w:hanging="322"/>
        <w:spacing w:after="0" w:line="265" w:lineRule="auto"/>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Single-tenant retail or other commercial, double or triple net leased, properties in major metropolitan areas and growth markets that are compliant with our commitments under the PINE ROFO Agreement;</w:t>
      </w:r>
    </w:p>
    <w:p>
      <w:pPr>
        <w:ind w:left="840" w:right="59" w:hanging="322"/>
        <w:spacing w:after="0" w:line="250"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Ground leases, whether purchased or originated by the Company, that are compliant with our commitments under the ROFO Agreement;</w:t>
      </w:r>
    </w:p>
    <w:p>
      <w:pPr>
        <w:ind w:left="840" w:hanging="322"/>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Self-developed retail or other commercial properties;</w:t>
      </w:r>
    </w:p>
    <w:p>
      <w:pPr>
        <w:spacing w:after="0" w:line="9" w:lineRule="exact"/>
        <w:rPr>
          <w:rFonts w:ascii="Arial" w:cs="Arial" w:eastAsia="Arial" w:hAnsi="Arial"/>
          <w:sz w:val="18"/>
          <w:szCs w:val="18"/>
          <w:color w:val="auto"/>
        </w:rPr>
      </w:pPr>
    </w:p>
    <w:p>
      <w:pPr>
        <w:jc w:val="both"/>
        <w:ind w:left="840" w:right="59" w:hanging="322"/>
        <w:spacing w:after="0" w:line="250"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loan and master lease investments, whether purchased or originated by the Company, with loan terms of 1-10 years with strong risk-adjusted yields secured by property types to include hotel, retail, residential, land and industrial;</w:t>
      </w:r>
    </w:p>
    <w:p>
      <w:pPr>
        <w:spacing w:after="0" w:line="1" w:lineRule="exact"/>
        <w:rPr>
          <w:rFonts w:ascii="Arial" w:cs="Arial" w:eastAsia="Arial" w:hAnsi="Arial"/>
          <w:sz w:val="18"/>
          <w:szCs w:val="18"/>
          <w:color w:val="auto"/>
        </w:rPr>
      </w:pPr>
    </w:p>
    <w:p>
      <w:pPr>
        <w:ind w:left="840" w:right="59" w:hanging="322"/>
        <w:spacing w:after="0" w:line="250"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 regional area investments using Company market knowledge and expertise to earn strong risk-adjusted yields; and</w:t>
      </w:r>
    </w:p>
    <w:p>
      <w:pPr>
        <w:ind w:left="840" w:right="59" w:hanging="322"/>
        <w:spacing w:after="0" w:line="260"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 estate-related investment securities, including commercial mortgage-backed securities, preferred or common stock, and corporate bonds.</w:t>
      </w:r>
    </w:p>
    <w:p>
      <w:pPr>
        <w:spacing w:after="0" w:line="18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Non-U.S. GAAP Financial Measures</w:t>
      </w:r>
    </w:p>
    <w:p>
      <w:pPr>
        <w:spacing w:after="0" w:line="22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Our reported results are presented in accordance with accounting principles generally accepted in the United States of America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76"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71"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U.S. GAAP net income related to non-cash revenues and expenses such as straight-line rental revenue, non-cash compensation, and other non-cash amortization, as well as adding back the interest related to the 2025 Notes, if the effect is dilutive. Such items may cause short-term fluctuations in net income but have no impact on operating cash flows or long-term operating performance. We use AFFO as one measure of our performance when we formulate corporate goals.</w:t>
      </w:r>
    </w:p>
    <w:p>
      <w:pPr>
        <w:spacing w:after="0" w:line="180"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7660" w:type="dxa"/>
            <w:vAlign w:val="bottom"/>
            <w:gridSpan w:val="11"/>
          </w:tcPr>
          <w:p>
            <w:pPr>
              <w:spacing w:after="0"/>
              <w:rPr>
                <w:sz w:val="20"/>
                <w:szCs w:val="20"/>
                <w:color w:val="auto"/>
              </w:rPr>
            </w:pPr>
            <w:r>
              <w:rPr>
                <w:rFonts w:ascii="Arial" w:cs="Arial" w:eastAsia="Arial" w:hAnsi="Arial"/>
                <w:sz w:val="18"/>
                <w:szCs w:val="18"/>
                <w:b w:val="1"/>
                <w:bCs w:val="1"/>
                <w:color w:val="auto"/>
                <w:w w:val="97"/>
              </w:rPr>
              <w:t>Reconciliation of Non-U.S. GAAP Measures (in thousands, except share and dividend data):</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1"/>
                <w:szCs w:val="21"/>
                <w:color w:val="auto"/>
              </w:rPr>
            </w:pPr>
          </w:p>
        </w:tc>
        <w:tc>
          <w:tcPr>
            <w:tcW w:w="22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June 30, 2023</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2023</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2022</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the Company</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gridSpan w:val="3"/>
          </w:tcPr>
          <w:p>
            <w:pPr>
              <w:ind w:left="200"/>
              <w:spacing w:after="0" w:line="192" w:lineRule="exact"/>
              <w:rPr>
                <w:sz w:val="20"/>
                <w:szCs w:val="20"/>
                <w:color w:val="auto"/>
              </w:rPr>
            </w:pPr>
            <w:r>
              <w:rPr>
                <w:rFonts w:ascii="Arial" w:cs="Arial" w:eastAsia="Arial" w:hAnsi="Arial"/>
                <w:sz w:val="18"/>
                <w:szCs w:val="18"/>
                <w:color w:val="auto"/>
              </w:rPr>
              <w:t>Add Back: Effect of Dilutive Interest Related to</w:t>
            </w:r>
          </w:p>
        </w:tc>
        <w:tc>
          <w:tcPr>
            <w:tcW w:w="160" w:type="dxa"/>
            <w:vAlign w:val="bottom"/>
          </w:tcPr>
          <w:p>
            <w:pPr>
              <w:spacing w:after="0"/>
              <w:rPr>
                <w:sz w:val="16"/>
                <w:szCs w:val="16"/>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00" w:type="dxa"/>
            <w:vAlign w:val="bottom"/>
            <w:gridSpan w:val="3"/>
          </w:tcPr>
          <w:p>
            <w:pPr>
              <w:ind w:left="200"/>
              <w:spacing w:after="0" w:line="227"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6"/>
                <w:szCs w:val="26"/>
                <w:color w:val="auto"/>
                <w:vertAlign w:val="superscript"/>
              </w:rPr>
              <w:t>(1)</w:t>
            </w: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10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Net Income (Loss) Attributable to the Company, If-</w:t>
            </w: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Depreciation and Amortization of Real Estate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(Gain) on Disposition of Assets, Net of Tax</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Gain on Disposition of Other Assets</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Provision for Impairment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Unrealized Loss on Investment Securities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Extinguishment of Contingent Liability</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Funds from Operations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Distributions to Preferred Stockholders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gridSpan w:val="3"/>
          </w:tcPr>
          <w:p>
            <w:pPr>
              <w:spacing w:after="0" w:line="182" w:lineRule="exact"/>
              <w:rPr>
                <w:sz w:val="20"/>
                <w:szCs w:val="20"/>
                <w:color w:val="auto"/>
              </w:rPr>
            </w:pPr>
            <w:r>
              <w:rPr>
                <w:rFonts w:ascii="Arial" w:cs="Arial" w:eastAsia="Arial" w:hAnsi="Arial"/>
                <w:sz w:val="18"/>
                <w:szCs w:val="18"/>
                <w:color w:val="auto"/>
              </w:rPr>
              <w:t>Funds From Operations Attributable to Common</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15,734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Amortization of Intangibles to Lease Income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gridSpan w:val="3"/>
          </w:tcPr>
          <w:p>
            <w:pPr>
              <w:ind w:left="200"/>
              <w:spacing w:after="0" w:line="192" w:lineRule="exact"/>
              <w:rPr>
                <w:sz w:val="20"/>
                <w:szCs w:val="20"/>
                <w:color w:val="auto"/>
              </w:rPr>
            </w:pPr>
            <w:r>
              <w:rPr>
                <w:rFonts w:ascii="Arial" w:cs="Arial" w:eastAsia="Arial" w:hAnsi="Arial"/>
                <w:sz w:val="18"/>
                <w:szCs w:val="18"/>
                <w:color w:val="auto"/>
              </w:rPr>
              <w:t>Less: Effect of Dilutive Interest Related to 2025</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100" w:type="dxa"/>
            <w:vAlign w:val="bottom"/>
            <w:gridSpan w:val="3"/>
          </w:tcPr>
          <w:p>
            <w:pPr>
              <w:ind w:left="200"/>
              <w:spacing w:after="0" w:line="24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6"/>
                <w:szCs w:val="26"/>
                <w:color w:val="auto"/>
                <w:vertAlign w:val="superscript"/>
              </w:rPr>
              <w:t>(1)</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w w:val="95"/>
              </w:rPr>
              <w:t>Core Funds From Operations Attributable to Common</w:t>
            </w: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Straight-Line Rent Adjustment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COVID-19 Rent Repayments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Depreciation and Amortization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Amortization of Loan Costs, Discount on</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Convertible Debt, and Capitalized Interest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Non-Cash Compensation</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gridSpan w:val="3"/>
          </w:tcPr>
          <w:p>
            <w:pPr>
              <w:spacing w:after="0" w:line="195" w:lineRule="exact"/>
              <w:rPr>
                <w:sz w:val="20"/>
                <w:szCs w:val="20"/>
                <w:color w:val="auto"/>
              </w:rPr>
            </w:pPr>
            <w:r>
              <w:rPr>
                <w:rFonts w:ascii="Arial" w:cs="Arial" w:eastAsia="Arial" w:hAnsi="Arial"/>
                <w:sz w:val="18"/>
                <w:szCs w:val="18"/>
                <w:color w:val="auto"/>
              </w:rPr>
              <w:t>Adjusted Funds From Operations Attributable to</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10,781</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20,644</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3"/>
          </w:tcPr>
          <w:p>
            <w:pPr>
              <w:spacing w:after="0" w:line="203" w:lineRule="exact"/>
              <w:rPr>
                <w:sz w:val="20"/>
                <w:szCs w:val="20"/>
                <w:color w:val="auto"/>
              </w:rPr>
            </w:pPr>
            <w:r>
              <w:rPr>
                <w:rFonts w:ascii="Arial" w:cs="Arial" w:eastAsia="Arial" w:hAnsi="Arial"/>
                <w:sz w:val="18"/>
                <w:szCs w:val="18"/>
                <w:color w:val="auto"/>
              </w:rPr>
              <w:t>Common Stockholders</w:t>
            </w:r>
          </w:p>
        </w:tc>
        <w:tc>
          <w:tcPr>
            <w:tcW w:w="1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22,482,957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18,012,534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22,593,280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17,870,394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200"/>
              <w:spacing w:after="0" w:line="216" w:lineRule="exact"/>
              <w:rPr>
                <w:sz w:val="20"/>
                <w:szCs w:val="20"/>
                <w:color w:val="auto"/>
              </w:rPr>
            </w:pPr>
            <w:r>
              <w:rPr>
                <w:rFonts w:ascii="Arial" w:cs="Arial" w:eastAsia="Arial" w:hAnsi="Arial"/>
                <w:sz w:val="17"/>
                <w:szCs w:val="17"/>
                <w:color w:val="auto"/>
              </w:rPr>
              <w:t xml:space="preserve">Diluted </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22,482,957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18,012,534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22,593,280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17,870,394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Dividends Declared and Paid - Preferred Stock</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Declared and Paid - Common Stock</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80" w:right="59" w:hanging="330"/>
        <w:spacing w:after="0" w:line="209" w:lineRule="auto"/>
        <w:tabs>
          <w:tab w:leader="none" w:pos="38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As applicable, includes interest expense, amortization of discount, amortization of fees, and other changes in net income or loss that would result from the assumed conversion of the 2025 Convertible Senior Notes to derive FFO (as defined herein) effective January 1, 2022 due to the implementation of ASU 2020-06 which requires presentation on an if-converted basis. For the three and six months ended June 30, 2023 and 2022, a total of $0.5 million and $1.1 million of interest was not included, respectively, as the impact of the 2025 Notes, if-converted, would be antidilutive to net income (loss) attributable to common stockholders for the respective periods.</w:t>
      </w:r>
    </w:p>
    <w:p>
      <w:pPr>
        <w:spacing w:after="0" w:line="3" w:lineRule="exact"/>
        <w:rPr>
          <w:rFonts w:ascii="Arial" w:cs="Arial" w:eastAsia="Arial" w:hAnsi="Arial"/>
          <w:sz w:val="19"/>
          <w:szCs w:val="19"/>
          <w:color w:val="auto"/>
          <w:vertAlign w:val="superscript"/>
        </w:rPr>
      </w:pPr>
    </w:p>
    <w:p>
      <w:pPr>
        <w:jc w:val="both"/>
        <w:ind w:left="380" w:right="59" w:hanging="330"/>
        <w:spacing w:after="0" w:line="226" w:lineRule="auto"/>
        <w:tabs>
          <w:tab w:leader="none" w:pos="380"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A total of 3.3 million shares, representing the dilutive impact of the 2025 Notes, upon adoption of ASU 2020-06 effective January 1, 2022, were not included in the computation of diluted net income (loss) attributable to common stockholders for each of the three and six month periods ended June 30, 2023, because they were antidilutive to net income (loss) attributable to common stockholders for the respective periods. A total of 3.1 million shares, representing the dilutive impact of the 2025 Notes, upon adoption of ASU 2020-06 effective January 1, 2022, were not included in the computation of diluted net income (loss) attributable to common stockholders for each of the three and six month periods ended June 30, 2022, because they were antidilutive to net income (loss) attributable to common stockholders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Data (in thousands, except per share data):</w:t>
      </w:r>
    </w:p>
    <w:p>
      <w:pPr>
        <w:spacing w:after="0" w:line="252" w:lineRule="exact"/>
        <w:rPr>
          <w:sz w:val="20"/>
          <w:szCs w:val="20"/>
          <w:color w:val="auto"/>
        </w:rPr>
      </w:pPr>
    </w:p>
    <w:tbl>
      <w:tblPr>
        <w:tblLayout w:type="fixed"/>
        <w:tblInd w:w="4160" w:type="dxa"/>
        <w:tblCellMar>
          <w:top w:w="0" w:type="dxa"/>
          <w:left w:w="0" w:type="dxa"/>
          <w:bottom w:w="0" w:type="dxa"/>
          <w:right w:w="0" w:type="dxa"/>
        </w:tblCellMar>
      </w:tblPr>
      <w:tr>
        <w:trPr>
          <w:trHeight w:val="234"/>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09"/>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June 30, 2023  June 30, 2022</w:t>
            </w: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June 30, 2023  June 30,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65785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ind w:left="60" w:right="400"/>
        <w:spacing w:after="0" w:line="286" w:lineRule="auto"/>
        <w:rPr>
          <w:sz w:val="20"/>
          <w:szCs w:val="20"/>
          <w:color w:val="auto"/>
        </w:rPr>
      </w:pPr>
      <w:r>
        <w:rPr>
          <w:rFonts w:ascii="Arial" w:cs="Arial" w:eastAsia="Arial" w:hAnsi="Arial"/>
          <w:sz w:val="17"/>
          <w:szCs w:val="17"/>
          <w:color w:val="auto"/>
        </w:rPr>
        <w:t>FFO Attributable to Common Stockholders FFO Attributable to Common Stockholders per Common Share - Diluted</w:t>
      </w:r>
    </w:p>
    <w:p>
      <w:pPr>
        <w:spacing w:after="0" w:line="164" w:lineRule="exact"/>
        <w:rPr>
          <w:sz w:val="20"/>
          <w:szCs w:val="20"/>
          <w:color w:val="auto"/>
        </w:rPr>
      </w:pPr>
    </w:p>
    <w:p>
      <w:pPr>
        <w:ind w:left="60"/>
        <w:spacing w:after="0" w:line="287" w:lineRule="auto"/>
        <w:rPr>
          <w:sz w:val="20"/>
          <w:szCs w:val="20"/>
          <w:color w:val="auto"/>
        </w:rPr>
      </w:pPr>
      <w:r>
        <w:rPr>
          <w:rFonts w:ascii="Arial" w:cs="Arial" w:eastAsia="Arial" w:hAnsi="Arial"/>
          <w:sz w:val="17"/>
          <w:szCs w:val="17"/>
          <w:color w:val="auto"/>
        </w:rPr>
        <w:t xml:space="preserve">Core FFO Attributable to Common Stockholders Core FFO Attributable to Common Stockholders per Common Share - Diluted </w:t>
      </w:r>
      <w:r>
        <w:rPr>
          <w:rFonts w:ascii="Arial" w:cs="Arial" w:eastAsia="Arial" w:hAnsi="Arial"/>
          <w:sz w:val="25"/>
          <w:szCs w:val="25"/>
          <w:color w:val="auto"/>
          <w:vertAlign w:val="superscript"/>
        </w:rPr>
        <w:t>(1)</w:t>
      </w:r>
    </w:p>
    <w:p>
      <w:pPr>
        <w:spacing w:after="0" w:line="53" w:lineRule="exact"/>
        <w:rPr>
          <w:sz w:val="20"/>
          <w:szCs w:val="20"/>
          <w:color w:val="auto"/>
        </w:rPr>
      </w:pPr>
    </w:p>
    <w:p>
      <w:pPr>
        <w:ind w:left="60" w:right="260"/>
        <w:spacing w:after="0" w:line="269" w:lineRule="auto"/>
        <w:rPr>
          <w:sz w:val="20"/>
          <w:szCs w:val="20"/>
          <w:color w:val="auto"/>
        </w:rPr>
      </w:pPr>
      <w:r>
        <w:rPr>
          <w:rFonts w:ascii="Arial" w:cs="Arial" w:eastAsia="Arial" w:hAnsi="Arial"/>
          <w:sz w:val="18"/>
          <w:szCs w:val="18"/>
          <w:color w:val="auto"/>
        </w:rPr>
        <w:t xml:space="preserve">AFFO Attributable to Common Stockholders AFFO Attributable to Common Stockholders per Common Share - Diluted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7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15,734</w:t>
            </w:r>
          </w:p>
        </w:tc>
      </w:tr>
      <w:tr>
        <w:trPr>
          <w:trHeight w:val="411"/>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0.40</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432"/>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9,608</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8,485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18,475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16,712</w:t>
            </w:r>
          </w:p>
        </w:tc>
      </w:tr>
      <w:tr>
        <w:trPr>
          <w:trHeight w:val="432"/>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0.43</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432"/>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10,781</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8,890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20,644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17,607</w:t>
            </w:r>
          </w:p>
        </w:tc>
      </w:tr>
      <w:tr>
        <w:trPr>
          <w:trHeight w:val="432"/>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0.48</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-1096645</wp:posOffset>
            </wp:positionV>
            <wp:extent cx="56578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-822325</wp:posOffset>
            </wp:positionV>
            <wp:extent cx="565785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7432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-410845</wp:posOffset>
            </wp:positionV>
            <wp:extent cx="56578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840" w:space="320"/>
            <w:col w:w="4859"/>
          </w:cols>
          <w:pgMar w:left="1440" w:top="517" w:right="1440" w:bottom="1440" w:gutter="0" w:footer="0" w:header="0"/>
          <w:type w:val="continuous"/>
        </w:sectPr>
      </w:pPr>
    </w:p>
    <w:p>
      <w:pPr>
        <w:jc w:val="both"/>
        <w:ind w:left="380" w:right="59" w:hanging="330"/>
        <w:spacing w:after="0" w:line="235" w:lineRule="auto"/>
        <w:tabs>
          <w:tab w:leader="none" w:pos="358" w:val="left"/>
        </w:tabs>
        <w:numPr>
          <w:ilvl w:val="0"/>
          <w:numId w:val="24"/>
        </w:numPr>
        <w:rPr>
          <w:rFonts w:ascii="Arial" w:cs="Arial" w:eastAsia="Arial" w:hAnsi="Arial"/>
          <w:sz w:val="17"/>
          <w:szCs w:val="17"/>
          <w:color w:val="auto"/>
          <w:vertAlign w:val="superscript"/>
        </w:rPr>
      </w:pPr>
      <w:r>
        <w:rPr>
          <w:rFonts w:ascii="Arial" w:cs="Arial" w:eastAsia="Arial" w:hAnsi="Arial"/>
          <w:sz w:val="13"/>
          <w:szCs w:val="13"/>
          <w:color w:val="auto"/>
        </w:rPr>
        <w:t>A total of 3.3 million shares, representing the dilutive impact of the 2025 Notes, upon adoption of ASU 2020-06 effective January 1, 2022, were not included in the computation of diluted net loss attributable to common stockholders for each of the three and six month periods ended June 30, 2023, because they were antidilutive to net income (loss) attributable to common stockholders for the respective periods. A total of 3.1 million shares, representing the dilutive impact of the 2025 Notes, upon adoption of ASU 2020-06 effective January 1, 2022, were not included in the computation of diluted net income (loss) attributable to common stockholders for each of the three and six month periods ended June 30, 2022, because they were antidilutive to net income (loss) attributable to common stockholders for the respective periods.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84" w:lineRule="exact"/>
        <w:rPr>
          <w:sz w:val="20"/>
          <w:szCs w:val="20"/>
          <w:color w:val="auto"/>
        </w:rPr>
      </w:pPr>
    </w:p>
    <w:p>
      <w:pPr>
        <w:jc w:val="both"/>
        <w:ind w:left="60" w:right="59" w:firstLine="441"/>
        <w:spacing w:after="0" w:line="285" w:lineRule="auto"/>
        <w:rPr>
          <w:sz w:val="20"/>
          <w:szCs w:val="20"/>
          <w:color w:val="auto"/>
        </w:rPr>
      </w:pPr>
      <w:r>
        <w:rPr>
          <w:rFonts w:ascii="Arial" w:cs="Arial" w:eastAsia="Arial" w:hAnsi="Arial"/>
          <w:sz w:val="16"/>
          <w:szCs w:val="16"/>
          <w:i w:val="1"/>
          <w:iCs w:val="1"/>
          <w:color w:val="auto"/>
        </w:rPr>
        <w:t>Purchase Accounting for Acquisitions of Real Estate Subject to a Lease</w:t>
      </w:r>
      <w:r>
        <w:rPr>
          <w:rFonts w:ascii="Arial" w:cs="Arial" w:eastAsia="Arial" w:hAnsi="Arial"/>
          <w:sz w:val="16"/>
          <w:szCs w:val="16"/>
          <w:color w:val="auto"/>
        </w:rPr>
        <w:t>. As required by U.S. GAAP,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four buildings within an existing multi-tenant income property and one additional multi-tenant property for an aggregate purchase price of $75.8 million for the six months ended June 30, 2023, and one multi-tenant income property for a purchase price of $39.1 million for the six months ended June 30, 2022.</w:t>
      </w:r>
    </w:p>
    <w:p>
      <w:pPr>
        <w:spacing w:after="0" w:line="201"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See Note 2, “Summary of Significant Accounting Policies”, for further discussion of the Company’s accounting estimates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187"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We are primarily exposed to interest rate risk relating to our own debt in connection with our Credit Facility, as this facility carries a variable rate of interest. Our borrowings on the un-hedged portion of our $300.0 million revolving Credit Facility bear a variable rate of interest based on SOFR plus a rate of between 125 basis points and 220 basis points plus a 0.10% SOFR adjustment based on our level of borrowing as a percentage of our total asset value. Effective January 31, 2023, the interest rate on $100.0 million of the Credit Facility balance was fixed by virtue of three interest rate swaps. As of June 30, 2023 and 2022, the outstanding balance on our Credit Facility totaled $209.6 million and $111.0 million, of which $109.6 million and $111.0 million, respectively, were not fixed by virtue of an interest rate swap agreement. A hypothetical change in the interest rate of 100 basis points (i.e., 1%) would affect our financial position, results of operations, and cash flows by $1.1 million as of both June 30, 2023 and 2022. The Company entered into interest rate swap agreements to hedge against changes in future cash flows resulting from fluctuating interest rates related to certain of its debt borrowings, see Note 16, “Interest Rate Swaps.”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June 30, 2023, that have materially affected, or are reasonably likely to materially affect, the Company’s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For a discussion of the Company’s potential risks and uncertainties, see the information under the heading Part I, “Item 1A. Risk Factors” in the Company’s Annual Report on Form 10-K for the year ended December 31, 2022. The risks described in the Form 10-K are not the only risks facing the Company. Additional risks and uncertainties not currently known to the Company or that the Company currently deems to be immaterial also may materially adversely affect the Company. As of June 30, 2023, there have been no material changes in our risk factors from those set forth within the Company’s Annual Report on Form 10-K for the year ended December 31,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repurchases of shares of the Company’s common stock were made during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16"/>
              <w:spacing w:after="0"/>
              <w:rPr>
                <w:sz w:val="20"/>
                <w:szCs w:val="20"/>
                <w:color w:val="auto"/>
              </w:rPr>
            </w:pPr>
            <w:r>
              <w:rPr>
                <w:rFonts w:ascii="Arial" w:cs="Arial" w:eastAsia="Arial" w:hAnsi="Arial"/>
                <w:sz w:val="16"/>
                <w:szCs w:val="16"/>
                <w:b w:val="1"/>
                <w:bCs w:val="1"/>
                <w:color w:val="auto"/>
                <w:w w:val="96"/>
              </w:rPr>
              <w:t>Maximum Number (or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7"/>
                <w:szCs w:val="17"/>
                <w:color w:val="auto"/>
              </w:rPr>
            </w:pPr>
          </w:p>
        </w:tc>
        <w:tc>
          <w:tcPr>
            <w:tcW w:w="172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Value) of Shares That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Shares Purchased</w:t>
            </w:r>
          </w:p>
        </w:tc>
        <w:tc>
          <w:tcPr>
            <w:tcW w:w="100" w:type="dxa"/>
            <w:vAlign w:val="bottom"/>
          </w:tcPr>
          <w:p>
            <w:pPr>
              <w:spacing w:after="0"/>
              <w:rPr>
                <w:sz w:val="17"/>
                <w:szCs w:val="17"/>
                <w:color w:val="auto"/>
              </w:rPr>
            </w:pPr>
          </w:p>
        </w:tc>
        <w:tc>
          <w:tcPr>
            <w:tcW w:w="172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May yet be Purchased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as a Part of Publicly</w:t>
            </w:r>
          </w:p>
        </w:tc>
        <w:tc>
          <w:tcPr>
            <w:tcW w:w="100" w:type="dxa"/>
            <w:vAlign w:val="bottom"/>
          </w:tcPr>
          <w:p>
            <w:pPr>
              <w:spacing w:after="0"/>
              <w:rPr>
                <w:sz w:val="17"/>
                <w:szCs w:val="17"/>
                <w:color w:val="auto"/>
              </w:rPr>
            </w:pPr>
          </w:p>
        </w:tc>
        <w:tc>
          <w:tcPr>
            <w:tcW w:w="172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2"/>
              <w:spacing w:after="0"/>
              <w:rPr>
                <w:sz w:val="20"/>
                <w:szCs w:val="20"/>
                <w:color w:val="auto"/>
              </w:rPr>
            </w:pPr>
            <w:r>
              <w:rPr>
                <w:rFonts w:ascii="Arial" w:cs="Arial" w:eastAsia="Arial" w:hAnsi="Arial"/>
                <w:sz w:val="16"/>
                <w:szCs w:val="16"/>
                <w:b w:val="1"/>
                <w:bCs w:val="1"/>
                <w:color w:val="auto"/>
                <w:w w:val="88"/>
              </w:rPr>
              <w:t>Average Price</w:t>
            </w:r>
          </w:p>
        </w:tc>
        <w:tc>
          <w:tcPr>
            <w:tcW w:w="20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Announced Plans</w:t>
            </w:r>
          </w:p>
        </w:tc>
        <w:tc>
          <w:tcPr>
            <w:tcW w:w="100" w:type="dxa"/>
            <w:vAlign w:val="bottom"/>
          </w:tcPr>
          <w:p>
            <w:pPr>
              <w:spacing w:after="0"/>
              <w:rPr>
                <w:sz w:val="16"/>
                <w:szCs w:val="16"/>
                <w:color w:val="auto"/>
              </w:rPr>
            </w:pPr>
          </w:p>
        </w:tc>
        <w:tc>
          <w:tcPr>
            <w:tcW w:w="172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Paid per Share</w:t>
            </w:r>
          </w:p>
        </w:tc>
        <w:tc>
          <w:tcPr>
            <w:tcW w:w="200" w:type="dxa"/>
            <w:vAlign w:val="bottom"/>
          </w:tcPr>
          <w:p>
            <w:pPr>
              <w:spacing w:after="0"/>
              <w:rPr>
                <w:sz w:val="20"/>
                <w:szCs w:val="20"/>
                <w:color w:val="auto"/>
              </w:rPr>
            </w:pPr>
          </w:p>
        </w:tc>
        <w:tc>
          <w:tcPr>
            <w:tcW w:w="1580" w:type="dxa"/>
            <w:vAlign w:val="bottom"/>
            <w:gridSpan w:val="2"/>
          </w:tcPr>
          <w:p>
            <w:pPr>
              <w:jc w:val="center"/>
              <w:ind w:right="200"/>
              <w:spacing w:after="0" w:line="230" w:lineRule="exact"/>
              <w:rPr>
                <w:sz w:val="20"/>
                <w:szCs w:val="20"/>
                <w:color w:val="auto"/>
              </w:rPr>
            </w:pPr>
            <w:r>
              <w:rPr>
                <w:rFonts w:ascii="Arial" w:cs="Arial" w:eastAsia="Arial" w:hAnsi="Arial"/>
                <w:sz w:val="16"/>
                <w:szCs w:val="16"/>
                <w:b w:val="1"/>
                <w:bCs w:val="1"/>
                <w:color w:val="auto"/>
                <w:w w:val="88"/>
              </w:rPr>
              <w:t xml:space="preserve">or Programs </w:t>
            </w:r>
            <w:r>
              <w:rPr>
                <w:rFonts w:ascii="Arial" w:cs="Arial" w:eastAsia="Arial" w:hAnsi="Arial"/>
                <w:sz w:val="24"/>
                <w:szCs w:val="24"/>
                <w:b w:val="1"/>
                <w:bCs w:val="1"/>
                <w:color w:val="auto"/>
                <w:w w:val="88"/>
                <w:vertAlign w:val="superscript"/>
              </w:rPr>
              <w:t>(1)</w:t>
            </w:r>
          </w:p>
        </w:tc>
        <w:tc>
          <w:tcPr>
            <w:tcW w:w="100" w:type="dxa"/>
            <w:vAlign w:val="bottom"/>
          </w:tcPr>
          <w:p>
            <w:pPr>
              <w:spacing w:after="0"/>
              <w:rPr>
                <w:sz w:val="20"/>
                <w:szCs w:val="20"/>
                <w:color w:val="auto"/>
              </w:rPr>
            </w:pPr>
          </w:p>
        </w:tc>
        <w:tc>
          <w:tcPr>
            <w:tcW w:w="1720" w:type="dxa"/>
            <w:vAlign w:val="bottom"/>
          </w:tcPr>
          <w:p>
            <w:pPr>
              <w:jc w:val="center"/>
              <w:ind w:right="36"/>
              <w:spacing w:after="0" w:line="230" w:lineRule="exact"/>
              <w:rPr>
                <w:sz w:val="20"/>
                <w:szCs w:val="20"/>
                <w:color w:val="auto"/>
              </w:rPr>
            </w:pPr>
            <w:r>
              <w:rPr>
                <w:rFonts w:ascii="Arial" w:cs="Arial" w:eastAsia="Arial" w:hAnsi="Arial"/>
                <w:sz w:val="16"/>
                <w:szCs w:val="16"/>
                <w:b w:val="1"/>
                <w:bCs w:val="1"/>
                <w:color w:val="auto"/>
                <w:w w:val="86"/>
              </w:rPr>
              <w:t xml:space="preserve">($000's) </w:t>
            </w:r>
            <w:r>
              <w:rPr>
                <w:rFonts w:ascii="Arial" w:cs="Arial" w:eastAsia="Arial" w:hAnsi="Arial"/>
                <w:sz w:val="24"/>
                <w:szCs w:val="24"/>
                <w:b w:val="1"/>
                <w:bCs w:val="1"/>
                <w:color w:val="auto"/>
                <w:w w:val="86"/>
                <w:vertAlign w:val="superscript"/>
              </w:rPr>
              <w:t>(1)</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4/01/2023 - 4/30/2023</w:t>
            </w:r>
          </w:p>
        </w:tc>
        <w:tc>
          <w:tcPr>
            <w:tcW w:w="6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5/01/2023 - 5/31/2023</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3,931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6/01/2023 - 6/30/2023</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0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720" w:right="59" w:hanging="319"/>
        <w:spacing w:after="0" w:line="253" w:lineRule="auto"/>
        <w:tabs>
          <w:tab w:leader="none" w:pos="720" w:val="left"/>
        </w:tabs>
        <w:numPr>
          <w:ilvl w:val="0"/>
          <w:numId w:val="25"/>
        </w:numPr>
        <w:rPr>
          <w:rFonts w:ascii="Arial" w:cs="Arial" w:eastAsia="Arial" w:hAnsi="Arial"/>
          <w:sz w:val="13"/>
          <w:szCs w:val="13"/>
          <w:color w:val="auto"/>
        </w:rPr>
      </w:pPr>
      <w:r>
        <w:rPr>
          <w:rFonts w:ascii="Arial" w:cs="Arial" w:eastAsia="Arial" w:hAnsi="Arial"/>
          <w:sz w:val="14"/>
          <w:szCs w:val="14"/>
          <w:color w:val="auto"/>
        </w:rPr>
        <w:t>On April 25, 2023, the Board approved a $5.0 million common stock repurchase program, of which $4.9 million remained available as of June 30, 2023.</w:t>
      </w:r>
    </w:p>
    <w:p>
      <w:pPr>
        <w:spacing w:after="0" w:line="110"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The following repurchases of shares of the Company’s Series A Preferred Stock were made during the three months ended June 30, 2023:</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16"/>
              <w:spacing w:after="0"/>
              <w:rPr>
                <w:sz w:val="20"/>
                <w:szCs w:val="20"/>
                <w:color w:val="auto"/>
              </w:rPr>
            </w:pPr>
            <w:r>
              <w:rPr>
                <w:rFonts w:ascii="Arial" w:cs="Arial" w:eastAsia="Arial" w:hAnsi="Arial"/>
                <w:sz w:val="16"/>
                <w:szCs w:val="16"/>
                <w:b w:val="1"/>
                <w:bCs w:val="1"/>
                <w:color w:val="auto"/>
                <w:w w:val="96"/>
              </w:rPr>
              <w:t>Maximum Number (or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7"/>
                <w:szCs w:val="17"/>
                <w:color w:val="auto"/>
              </w:rPr>
            </w:pPr>
          </w:p>
        </w:tc>
        <w:tc>
          <w:tcPr>
            <w:tcW w:w="172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Value) of Shares That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Shares Purchased</w:t>
            </w:r>
          </w:p>
        </w:tc>
        <w:tc>
          <w:tcPr>
            <w:tcW w:w="100" w:type="dxa"/>
            <w:vAlign w:val="bottom"/>
          </w:tcPr>
          <w:p>
            <w:pPr>
              <w:spacing w:after="0"/>
              <w:rPr>
                <w:sz w:val="17"/>
                <w:szCs w:val="17"/>
                <w:color w:val="auto"/>
              </w:rPr>
            </w:pPr>
          </w:p>
        </w:tc>
        <w:tc>
          <w:tcPr>
            <w:tcW w:w="172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May yet be Purchased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as a Part of Publicly</w:t>
            </w:r>
          </w:p>
        </w:tc>
        <w:tc>
          <w:tcPr>
            <w:tcW w:w="100" w:type="dxa"/>
            <w:vAlign w:val="bottom"/>
          </w:tcPr>
          <w:p>
            <w:pPr>
              <w:spacing w:after="0"/>
              <w:rPr>
                <w:sz w:val="17"/>
                <w:szCs w:val="17"/>
                <w:color w:val="auto"/>
              </w:rPr>
            </w:pPr>
          </w:p>
        </w:tc>
        <w:tc>
          <w:tcPr>
            <w:tcW w:w="172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2"/>
              <w:spacing w:after="0"/>
              <w:rPr>
                <w:sz w:val="20"/>
                <w:szCs w:val="20"/>
                <w:color w:val="auto"/>
              </w:rPr>
            </w:pPr>
            <w:r>
              <w:rPr>
                <w:rFonts w:ascii="Arial" w:cs="Arial" w:eastAsia="Arial" w:hAnsi="Arial"/>
                <w:sz w:val="16"/>
                <w:szCs w:val="16"/>
                <w:b w:val="1"/>
                <w:bCs w:val="1"/>
                <w:color w:val="auto"/>
                <w:w w:val="88"/>
              </w:rPr>
              <w:t>Average Price</w:t>
            </w:r>
          </w:p>
        </w:tc>
        <w:tc>
          <w:tcPr>
            <w:tcW w:w="20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Announced Plans</w:t>
            </w:r>
          </w:p>
        </w:tc>
        <w:tc>
          <w:tcPr>
            <w:tcW w:w="100" w:type="dxa"/>
            <w:vAlign w:val="bottom"/>
          </w:tcPr>
          <w:p>
            <w:pPr>
              <w:spacing w:after="0"/>
              <w:rPr>
                <w:sz w:val="16"/>
                <w:szCs w:val="16"/>
                <w:color w:val="auto"/>
              </w:rPr>
            </w:pPr>
          </w:p>
        </w:tc>
        <w:tc>
          <w:tcPr>
            <w:tcW w:w="172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Paid per Share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8"/>
              </w:rPr>
              <w:t xml:space="preserve">or Programs </w:t>
            </w:r>
            <w:r>
              <w:rPr>
                <w:rFonts w:ascii="Arial" w:cs="Arial" w:eastAsia="Arial" w:hAnsi="Arial"/>
                <w:sz w:val="24"/>
                <w:szCs w:val="24"/>
                <w:b w:val="1"/>
                <w:bCs w:val="1"/>
                <w:color w:val="auto"/>
                <w:w w:val="88"/>
                <w:vertAlign w:val="superscript"/>
              </w:rPr>
              <w:t>(1)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36"/>
              <w:spacing w:after="0" w:line="230" w:lineRule="exact"/>
              <w:rPr>
                <w:sz w:val="20"/>
                <w:szCs w:val="20"/>
                <w:color w:val="auto"/>
              </w:rPr>
            </w:pPr>
            <w:r>
              <w:rPr>
                <w:rFonts w:ascii="Arial" w:cs="Arial" w:eastAsia="Arial" w:hAnsi="Arial"/>
                <w:sz w:val="16"/>
                <w:szCs w:val="16"/>
                <w:b w:val="1"/>
                <w:bCs w:val="1"/>
                <w:color w:val="auto"/>
                <w:w w:val="86"/>
              </w:rPr>
              <w:t xml:space="preserve">($000's) </w:t>
            </w:r>
            <w:r>
              <w:rPr>
                <w:rFonts w:ascii="Arial" w:cs="Arial" w:eastAsia="Arial" w:hAnsi="Arial"/>
                <w:sz w:val="24"/>
                <w:szCs w:val="24"/>
                <w:b w:val="1"/>
                <w:bCs w:val="1"/>
                <w:color w:val="auto"/>
                <w:w w:val="86"/>
                <w:vertAlign w:val="superscript"/>
              </w:rPr>
              <w:t>(1)</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4/01/2023 - 4/30/2023</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5/01/2023 - 5/31/2023</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6/01/2023 - 6/30/2023</w:t>
            </w:r>
          </w:p>
        </w:tc>
        <w:tc>
          <w:tcPr>
            <w:tcW w:w="6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right="59" w:hanging="319"/>
        <w:spacing w:after="0" w:line="253" w:lineRule="auto"/>
        <w:tabs>
          <w:tab w:leader="none" w:pos="720" w:val="left"/>
        </w:tabs>
        <w:numPr>
          <w:ilvl w:val="0"/>
          <w:numId w:val="26"/>
        </w:numPr>
        <w:rPr>
          <w:rFonts w:ascii="Arial" w:cs="Arial" w:eastAsia="Arial" w:hAnsi="Arial"/>
          <w:sz w:val="13"/>
          <w:szCs w:val="13"/>
          <w:color w:val="auto"/>
        </w:rPr>
      </w:pPr>
      <w:r>
        <w:rPr>
          <w:rFonts w:ascii="Arial" w:cs="Arial" w:eastAsia="Arial" w:hAnsi="Arial"/>
          <w:sz w:val="14"/>
          <w:szCs w:val="14"/>
          <w:color w:val="auto"/>
        </w:rPr>
        <w:t>On February 16, 2023, the Board approved a $3.0 million Series A Preferred Stock repurchase program, of which $2.99 million remained available as of June 30, 2023.</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(a) Exhibits:</w:t>
            </w: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Arial" w:cs="Arial" w:eastAsia="Arial" w:hAnsi="Arial"/>
                <w:sz w:val="17"/>
                <w:szCs w:val="17"/>
                <w:color w:val="auto"/>
              </w:rPr>
              <w:t>(3.1)</w:t>
            </w:r>
          </w:p>
        </w:tc>
        <w:tc>
          <w:tcPr>
            <w:tcW w:w="7220" w:type="dxa"/>
            <w:vAlign w:val="bottom"/>
            <w:tcBorders>
              <w:bottom w:val="single" w:sz="8" w:color="0000EE"/>
            </w:tcBorders>
            <w:gridSpan w:val="11"/>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Articles of Amendment and Restatement of CTO Realty Growth, Inc., as amended by the Articles of</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Amendment (Name Change), filed as Exhibit 3.1 to the registrant’s current report on Form 8-K12B filed</w:t>
              </w:r>
            </w:hyperlink>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7520" w:type="dxa"/>
            <w:vAlign w:val="bottom"/>
            <w:gridSpan w:val="1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February 1, 2021, and incorporated herein by reference.</w:t>
              </w:r>
            </w:hyperlink>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7"/>
                <w:szCs w:val="17"/>
                <w:color w:val="auto"/>
              </w:rPr>
              <w:t>(3.2)</w:t>
            </w:r>
          </w:p>
        </w:tc>
        <w:tc>
          <w:tcPr>
            <w:tcW w:w="1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vMerge w:val="continue"/>
          </w:tcPr>
          <w:p>
            <w:pPr>
              <w:spacing w:after="0"/>
              <w:rPr>
                <w:sz w:val="24"/>
                <w:szCs w:val="24"/>
                <w:color w:val="auto"/>
              </w:rPr>
            </w:pPr>
          </w:p>
        </w:tc>
        <w:tc>
          <w:tcPr>
            <w:tcW w:w="7520" w:type="dxa"/>
            <w:vAlign w:val="bottom"/>
            <w:gridSpan w:val="15"/>
          </w:tcPr>
          <w:p>
            <w:pPr>
              <w:spacing w:after="0"/>
              <w:rPr>
                <w:rFonts w:ascii="Arial" w:cs="Arial" w:eastAsia="Arial" w:hAnsi="Arial"/>
                <w:sz w:val="18"/>
                <w:szCs w:val="18"/>
                <w:color w:val="0000EE"/>
              </w:rPr>
            </w:pPr>
            <w:hyperlink r:id="rId78">
              <w:r>
                <w:rPr>
                  <w:rFonts w:ascii="Arial" w:cs="Arial" w:eastAsia="Arial" w:hAnsi="Arial"/>
                  <w:sz w:val="18"/>
                  <w:szCs w:val="18"/>
                  <w:color w:val="0000EE"/>
                </w:rPr>
                <w:t>Articles Supplementary, designating CTO Realty Growth, Inc.’s 6.375% Series A Cumulative</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6720" w:type="dxa"/>
            <w:vAlign w:val="bottom"/>
            <w:tcBorders>
              <w:top w:val="single" w:sz="8" w:color="0000EE"/>
            </w:tcBorders>
            <w:gridSpan w:val="8"/>
          </w:tcPr>
          <w:p>
            <w:pPr>
              <w:spacing w:after="0" w:line="182"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Redeemable Preferred Stock, filed as Exhibit 3.2 to the registrant's Registration Statement on</w:t>
              </w:r>
            </w:hyperlink>
          </w:p>
        </w:tc>
        <w:tc>
          <w:tcPr>
            <w:tcW w:w="800" w:type="dxa"/>
            <w:vAlign w:val="bottom"/>
            <w:gridSpan w:val="7"/>
          </w:tcPr>
          <w:p>
            <w:pPr>
              <w:ind w:left="20"/>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Form 8-A</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74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filed July 1, 2021 (File No. 001-11350), and 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7"/>
                <w:szCs w:val="17"/>
                <w:color w:val="auto"/>
              </w:rPr>
              <w:t>(3.3)</w:t>
            </w:r>
          </w:p>
        </w:tc>
        <w:tc>
          <w:tcPr>
            <w:tcW w:w="1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vMerge w:val="continue"/>
          </w:tcPr>
          <w:p>
            <w:pPr>
              <w:spacing w:after="0"/>
              <w:rPr>
                <w:sz w:val="24"/>
                <w:szCs w:val="24"/>
                <w:color w:val="auto"/>
              </w:rPr>
            </w:pPr>
          </w:p>
        </w:tc>
        <w:tc>
          <w:tcPr>
            <w:tcW w:w="7520" w:type="dxa"/>
            <w:vAlign w:val="bottom"/>
            <w:gridSpan w:val="15"/>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Third Amended and Restated Bylaws of CTO Realty Growth, Inc., effective as of February 16, 2023,</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7280" w:type="dxa"/>
            <w:vAlign w:val="bottom"/>
            <w:tcBorders>
              <w:top w:val="single" w:sz="8" w:color="0000EE"/>
            </w:tcBorders>
            <w:gridSpan w:val="12"/>
          </w:tcPr>
          <w:p>
            <w:pPr>
              <w:spacing w:after="0" w:line="182" w:lineRule="exact"/>
              <w:rPr>
                <w:rFonts w:ascii="Arial" w:cs="Arial" w:eastAsia="Arial" w:hAnsi="Arial"/>
                <w:sz w:val="18"/>
                <w:szCs w:val="18"/>
                <w:color w:val="0000EE"/>
                <w:w w:val="97"/>
              </w:rPr>
            </w:pPr>
            <w:hyperlink r:id="rId79">
              <w:r>
                <w:rPr>
                  <w:rFonts w:ascii="Arial" w:cs="Arial" w:eastAsia="Arial" w:hAnsi="Arial"/>
                  <w:sz w:val="18"/>
                  <w:szCs w:val="18"/>
                  <w:color w:val="0000EE"/>
                  <w:w w:val="97"/>
                </w:rPr>
                <w:t>filed as Exhibit 3.1 to the registrant’s Current Report on Form 8-K filed February 17, 2023, and</w:t>
              </w:r>
            </w:hyperlink>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68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incorporated herein by reference</w:t>
              </w:r>
              <w:r>
                <w:rPr>
                  <w:rFonts w:ascii="Arial" w:cs="Arial" w:eastAsia="Arial" w:hAnsi="Arial"/>
                  <w:sz w:val="18"/>
                  <w:szCs w:val="18"/>
                  <w:color w:val="000000"/>
                </w:rPr>
                <w:t>.</w:t>
              </w:r>
            </w:hyperlink>
          </w:p>
        </w:tc>
        <w:tc>
          <w:tcPr>
            <w:tcW w:w="100" w:type="dxa"/>
            <w:vAlign w:val="bottom"/>
          </w:tcPr>
          <w:p>
            <w:pPr>
              <w:spacing w:after="0"/>
              <w:rPr>
                <w:sz w:val="15"/>
                <w:szCs w:val="15"/>
                <w:color w:val="auto"/>
              </w:rPr>
            </w:pPr>
          </w:p>
        </w:tc>
        <w:tc>
          <w:tcPr>
            <w:tcW w:w="5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7"/>
                <w:szCs w:val="17"/>
                <w:color w:val="auto"/>
              </w:rPr>
              <w:t>(4.1)</w:t>
            </w:r>
          </w:p>
        </w:tc>
        <w:tc>
          <w:tcPr>
            <w:tcW w:w="1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vMerge w:val="continue"/>
          </w:tcPr>
          <w:p>
            <w:pPr>
              <w:spacing w:after="0"/>
              <w:rPr>
                <w:sz w:val="24"/>
                <w:szCs w:val="24"/>
                <w:color w:val="auto"/>
              </w:rPr>
            </w:pPr>
          </w:p>
        </w:tc>
        <w:tc>
          <w:tcPr>
            <w:tcW w:w="7520" w:type="dxa"/>
            <w:vAlign w:val="bottom"/>
            <w:gridSpan w:val="15"/>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Specimen Common Stock Certificate of CTO Realty Growth, Inc., filed as Exhibit 4.2 to the registrant’s</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67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current report on Form 8-K12B filed February 1, 2021, and incorporated herein by reference.</w:t>
              </w:r>
            </w:hyperlink>
          </w:p>
        </w:tc>
        <w:tc>
          <w:tcPr>
            <w:tcW w:w="80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7"/>
                <w:szCs w:val="17"/>
                <w:color w:val="auto"/>
              </w:rPr>
              <w:t>(10.1)†</w:t>
            </w:r>
          </w:p>
        </w:tc>
        <w:tc>
          <w:tcPr>
            <w:tcW w:w="7520" w:type="dxa"/>
            <w:vAlign w:val="bottom"/>
            <w:gridSpan w:val="15"/>
          </w:tcPr>
          <w:p>
            <w:pPr>
              <w:spacing w:after="0"/>
              <w:rPr>
                <w:sz w:val="20"/>
                <w:szCs w:val="20"/>
                <w:color w:val="auto"/>
              </w:rPr>
            </w:pPr>
            <w:r>
              <w:rPr>
                <w:rFonts w:ascii="Arial" w:cs="Arial" w:eastAsia="Arial" w:hAnsi="Arial"/>
                <w:sz w:val="18"/>
                <w:szCs w:val="18"/>
                <w:color w:val="0000EE"/>
              </w:rPr>
              <w:t>Fifth Amended and Restated CTO Realty Growth, Inc., 2010 Equity Incentive Plan.</w:t>
            </w:r>
          </w:p>
        </w:tc>
        <w:tc>
          <w:tcPr>
            <w:tcW w:w="0" w:type="dxa"/>
            <w:vAlign w:val="bottom"/>
          </w:tcPr>
          <w:p>
            <w:pPr>
              <w:spacing w:after="0"/>
              <w:rPr>
                <w:sz w:val="1"/>
                <w:szCs w:val="1"/>
                <w:color w:val="auto"/>
              </w:rPr>
            </w:pPr>
          </w:p>
        </w:tc>
      </w:tr>
      <w:tr>
        <w:trPr>
          <w:trHeight w:val="372"/>
        </w:trPr>
        <w:tc>
          <w:tcPr>
            <w:tcW w:w="1340" w:type="dxa"/>
            <w:vAlign w:val="bottom"/>
          </w:tcPr>
          <w:p>
            <w:pPr>
              <w:spacing w:after="0"/>
              <w:rPr>
                <w:sz w:val="20"/>
                <w:szCs w:val="20"/>
                <w:color w:val="auto"/>
              </w:rPr>
            </w:pPr>
            <w:r>
              <w:rPr>
                <w:rFonts w:ascii="Arial" w:cs="Arial" w:eastAsia="Arial" w:hAnsi="Arial"/>
                <w:sz w:val="17"/>
                <w:szCs w:val="17"/>
                <w:color w:val="auto"/>
              </w:rPr>
              <w:t>Exhibit 31.1</w:t>
            </w:r>
          </w:p>
        </w:tc>
        <w:tc>
          <w:tcPr>
            <w:tcW w:w="602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0000EE"/>
              </w:rPr>
              <w:t>Certification filed pursuant to Section 302 of the Sarbanes-Oxley Act of 2002</w:t>
            </w:r>
            <w:r>
              <w:rPr>
                <w:rFonts w:ascii="Arial" w:cs="Arial" w:eastAsia="Arial" w:hAnsi="Arial"/>
                <w:sz w:val="17"/>
                <w:szCs w:val="17"/>
                <w:color w:val="000000"/>
              </w:rPr>
              <w:t>.</w:t>
            </w:r>
          </w:p>
        </w:tc>
        <w:tc>
          <w:tcPr>
            <w:tcW w:w="1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7"/>
                <w:szCs w:val="17"/>
                <w:color w:val="auto"/>
              </w:rPr>
              <w:t>Exhibit 31.2</w:t>
            </w:r>
          </w:p>
        </w:tc>
        <w:tc>
          <w:tcPr>
            <w:tcW w:w="7520" w:type="dxa"/>
            <w:vAlign w:val="bottom"/>
            <w:gridSpan w:val="15"/>
          </w:tcPr>
          <w:p>
            <w:pPr>
              <w:spacing w:after="0"/>
              <w:rPr>
                <w:sz w:val="20"/>
                <w:szCs w:val="20"/>
                <w:color w:val="auto"/>
              </w:rPr>
            </w:pPr>
            <w:r>
              <w:rPr>
                <w:rFonts w:ascii="Arial" w:cs="Arial" w:eastAsia="Arial" w:hAnsi="Arial"/>
                <w:sz w:val="17"/>
                <w:szCs w:val="17"/>
                <w:color w:val="0000EE"/>
              </w:rPr>
              <w:t>Certification filed pursuant to Section 302 of the Sarbanes-Oxley Act of 2002</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40" w:type="dxa"/>
            <w:vAlign w:val="bottom"/>
          </w:tcPr>
          <w:p>
            <w:pPr>
              <w:spacing w:after="0"/>
              <w:rPr>
                <w:sz w:val="20"/>
                <w:szCs w:val="20"/>
                <w:color w:val="auto"/>
              </w:rPr>
            </w:pPr>
            <w:r>
              <w:rPr>
                <w:rFonts w:ascii="Arial" w:cs="Arial" w:eastAsia="Arial" w:hAnsi="Arial"/>
                <w:sz w:val="17"/>
                <w:szCs w:val="17"/>
                <w:color w:val="auto"/>
              </w:rPr>
              <w:t>*Exhibit 32.1</w:t>
            </w:r>
          </w:p>
        </w:tc>
        <w:tc>
          <w:tcPr>
            <w:tcW w:w="7520" w:type="dxa"/>
            <w:vAlign w:val="bottom"/>
            <w:gridSpan w:val="15"/>
          </w:tcPr>
          <w:p>
            <w:pPr>
              <w:spacing w:after="0"/>
              <w:rPr>
                <w:sz w:val="20"/>
                <w:szCs w:val="20"/>
                <w:color w:val="auto"/>
              </w:rPr>
            </w:pPr>
            <w:r>
              <w:rPr>
                <w:rFonts w:ascii="Arial" w:cs="Arial" w:eastAsia="Arial" w:hAnsi="Arial"/>
                <w:sz w:val="17"/>
                <w:szCs w:val="17"/>
                <w:color w:val="0000EE"/>
                <w:w w:val="98"/>
              </w:rPr>
              <w:t>Certification furnished pursuant to 18 U.S.C. Section 1350, as Adopted pursuant to Section 906 of the</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696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7"/>
                <w:szCs w:val="17"/>
                <w:color w:val="0000EE"/>
              </w:rPr>
              <w:t>Sarbanes-Oxley Act of 2002</w:t>
            </w:r>
            <w:r>
              <w:rPr>
                <w:rFonts w:ascii="Arial" w:cs="Arial" w:eastAsia="Arial" w:hAnsi="Arial"/>
                <w:sz w:val="17"/>
                <w:szCs w:val="17"/>
                <w:color w:val="000000"/>
              </w:rPr>
              <w:t>.</w:t>
            </w:r>
          </w:p>
        </w:tc>
        <w:tc>
          <w:tcPr>
            <w:tcW w:w="5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5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7"/>
                <w:szCs w:val="17"/>
                <w:color w:val="auto"/>
              </w:rPr>
              <w:t>*Exhibit 32.2</w:t>
            </w:r>
          </w:p>
        </w:tc>
        <w:tc>
          <w:tcPr>
            <w:tcW w:w="7520" w:type="dxa"/>
            <w:vAlign w:val="bottom"/>
            <w:gridSpan w:val="15"/>
          </w:tcPr>
          <w:p>
            <w:pPr>
              <w:spacing w:after="0"/>
              <w:rPr>
                <w:sz w:val="20"/>
                <w:szCs w:val="20"/>
                <w:color w:val="auto"/>
              </w:rPr>
            </w:pPr>
            <w:r>
              <w:rPr>
                <w:rFonts w:ascii="Arial" w:cs="Arial" w:eastAsia="Arial" w:hAnsi="Arial"/>
                <w:sz w:val="17"/>
                <w:szCs w:val="17"/>
                <w:color w:val="0000EE"/>
                <w:w w:val="98"/>
              </w:rPr>
              <w:t>Certification furnished pursuant to 18 U.S.C. Section 1350, as Adopted pursuant to Section 906 of the</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696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7"/>
                <w:szCs w:val="17"/>
                <w:color w:val="0000EE"/>
              </w:rPr>
              <w:t>Sarbanes-Oxley Act of 2002</w:t>
            </w:r>
            <w:r>
              <w:rPr>
                <w:rFonts w:ascii="Arial" w:cs="Arial" w:eastAsia="Arial" w:hAnsi="Arial"/>
                <w:sz w:val="17"/>
                <w:szCs w:val="17"/>
                <w:color w:val="000000"/>
              </w:rPr>
              <w:t>.</w:t>
            </w:r>
          </w:p>
        </w:tc>
        <w:tc>
          <w:tcPr>
            <w:tcW w:w="5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5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1340" w:type="dxa"/>
            <w:vAlign w:val="bottom"/>
          </w:tcPr>
          <w:p>
            <w:pPr>
              <w:spacing w:after="0"/>
              <w:rPr>
                <w:sz w:val="20"/>
                <w:szCs w:val="20"/>
                <w:color w:val="auto"/>
              </w:rPr>
            </w:pPr>
            <w:r>
              <w:rPr>
                <w:rFonts w:ascii="Arial" w:cs="Arial" w:eastAsia="Arial" w:hAnsi="Arial"/>
                <w:sz w:val="17"/>
                <w:szCs w:val="17"/>
                <w:color w:val="auto"/>
              </w:rPr>
              <w:t>Exhibit 101.INS</w:t>
            </w:r>
          </w:p>
        </w:tc>
        <w:tc>
          <w:tcPr>
            <w:tcW w:w="7520" w:type="dxa"/>
            <w:vAlign w:val="bottom"/>
            <w:gridSpan w:val="15"/>
          </w:tcPr>
          <w:p>
            <w:pPr>
              <w:spacing w:after="0"/>
              <w:rPr>
                <w:sz w:val="20"/>
                <w:szCs w:val="20"/>
                <w:color w:val="auto"/>
              </w:rPr>
            </w:pPr>
            <w:r>
              <w:rPr>
                <w:rFonts w:ascii="Arial" w:cs="Arial" w:eastAsia="Arial" w:hAnsi="Arial"/>
                <w:sz w:val="17"/>
                <w:szCs w:val="17"/>
                <w:color w:val="auto"/>
              </w:rPr>
              <w:t>Inline XBRL Instance Document</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7"/>
                <w:szCs w:val="17"/>
                <w:color w:val="auto"/>
              </w:rPr>
              <w:t>Exhibit 101.SCH</w:t>
            </w:r>
          </w:p>
        </w:tc>
        <w:tc>
          <w:tcPr>
            <w:tcW w:w="7520" w:type="dxa"/>
            <w:vAlign w:val="bottom"/>
            <w:gridSpan w:val="15"/>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7"/>
                <w:szCs w:val="17"/>
                <w:color w:val="auto"/>
              </w:rPr>
              <w:t>Exhibit 101.CAL</w:t>
            </w:r>
          </w:p>
        </w:tc>
        <w:tc>
          <w:tcPr>
            <w:tcW w:w="7520" w:type="dxa"/>
            <w:vAlign w:val="bottom"/>
            <w:gridSpan w:val="15"/>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7"/>
                <w:szCs w:val="17"/>
                <w:color w:val="auto"/>
              </w:rPr>
              <w:t>Exhibit 101.DEF</w:t>
            </w:r>
          </w:p>
        </w:tc>
        <w:tc>
          <w:tcPr>
            <w:tcW w:w="7520" w:type="dxa"/>
            <w:vAlign w:val="bottom"/>
            <w:gridSpan w:val="15"/>
          </w:tcPr>
          <w:p>
            <w:pPr>
              <w:spacing w:after="0"/>
              <w:rPr>
                <w:sz w:val="20"/>
                <w:szCs w:val="20"/>
                <w:color w:val="auto"/>
              </w:rPr>
            </w:pPr>
            <w:r>
              <w:rPr>
                <w:rFonts w:ascii="Arial" w:cs="Arial" w:eastAsia="Arial" w:hAnsi="Arial"/>
                <w:sz w:val="17"/>
                <w:szCs w:val="17"/>
                <w:color w:val="auto"/>
              </w:rPr>
              <w:t>Inline XBRL Taxonomy Definition Linkbase Document</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7"/>
                <w:szCs w:val="17"/>
                <w:color w:val="auto"/>
              </w:rPr>
              <w:t>Exhibit 101.LAB</w:t>
            </w:r>
          </w:p>
        </w:tc>
        <w:tc>
          <w:tcPr>
            <w:tcW w:w="7520" w:type="dxa"/>
            <w:vAlign w:val="bottom"/>
            <w:gridSpan w:val="15"/>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7"/>
                <w:szCs w:val="17"/>
                <w:color w:val="auto"/>
              </w:rPr>
              <w:t>Exhibit 101.PRE</w:t>
            </w:r>
          </w:p>
        </w:tc>
        <w:tc>
          <w:tcPr>
            <w:tcW w:w="7520" w:type="dxa"/>
            <w:vAlign w:val="bottom"/>
            <w:gridSpan w:val="15"/>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7"/>
                <w:szCs w:val="17"/>
                <w:color w:val="auto"/>
              </w:rPr>
              <w:t>Exhibit 104</w:t>
            </w:r>
          </w:p>
        </w:tc>
        <w:tc>
          <w:tcPr>
            <w:tcW w:w="7520" w:type="dxa"/>
            <w:vAlign w:val="bottom"/>
            <w:gridSpan w:val="15"/>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left="380" w:right="59" w:hanging="330"/>
        <w:spacing w:after="0" w:line="259"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308"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7"/>
          <w:szCs w:val="17"/>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Matthew M. Partridge, Senior Vice President,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7940"/>
        <w:spacing w:after="0"/>
        <w:rPr>
          <w:sz w:val="20"/>
          <w:szCs w:val="20"/>
          <w:color w:val="auto"/>
        </w:rPr>
      </w:pPr>
      <w:r>
        <w:rPr>
          <w:rFonts w:ascii="Arial" w:cs="Arial" w:eastAsia="Arial" w:hAnsi="Arial"/>
          <w:sz w:val="18"/>
          <w:szCs w:val="18"/>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CTO REALTY GROWTH,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FIFTH AMENDED AND RESTATED 2010 EQUITY INCENTIVE PLAN</w:t>
      </w:r>
    </w:p>
    <w:p>
      <w:pPr>
        <w:spacing w:after="0" w:line="198" w:lineRule="exact"/>
        <w:rPr>
          <w:sz w:val="20"/>
          <w:szCs w:val="20"/>
          <w:color w:val="auto"/>
        </w:rPr>
      </w:pPr>
    </w:p>
    <w:p>
      <w:pPr>
        <w:jc w:val="both"/>
        <w:ind w:left="700" w:right="59" w:hanging="650"/>
        <w:spacing w:after="0" w:line="25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purposes of the CTO Realty Growth, Inc. Fifth Amended and Restated 2010 Equity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are to (i) align Employees’ and Nonemployee Directors’ long-term financial interests with those of the Company’s stockholders; (ii) attract and retain Employees and Nonemployee Directors by providing compensation opportunities that are competitive with other companies; and (iii) provide incentives to those Employees and Nonemployee Directors who contribute significantly to the long-term performance and growth of the Company and its Subsidiaries.</w:t>
      </w:r>
    </w:p>
    <w:p>
      <w:pPr>
        <w:spacing w:after="0" w:line="176" w:lineRule="exact"/>
        <w:rPr>
          <w:rFonts w:ascii="Arial" w:cs="Arial" w:eastAsia="Arial" w:hAnsi="Arial"/>
          <w:sz w:val="18"/>
          <w:szCs w:val="18"/>
          <w:color w:val="auto"/>
        </w:rPr>
      </w:pPr>
    </w:p>
    <w:p>
      <w:pPr>
        <w:ind w:left="700" w:hanging="650"/>
        <w:spacing w:after="0"/>
        <w:tabs>
          <w:tab w:leader="none" w:pos="70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Plan, the following terms shall be defined as set forth below:</w:t>
      </w:r>
    </w:p>
    <w:p>
      <w:pPr>
        <w:spacing w:after="0" w:line="213" w:lineRule="exact"/>
        <w:rPr>
          <w:rFonts w:ascii="Arial" w:cs="Arial" w:eastAsia="Arial" w:hAnsi="Arial"/>
          <w:sz w:val="19"/>
          <w:szCs w:val="19"/>
          <w:color w:val="auto"/>
        </w:rPr>
      </w:pPr>
    </w:p>
    <w:p>
      <w:pPr>
        <w:ind w:left="700" w:right="59" w:hanging="2"/>
        <w:spacing w:after="0" w:line="320" w:lineRule="auto"/>
        <w:tabs>
          <w:tab w:leader="none" w:pos="1348" w:val="left"/>
        </w:tabs>
        <w:numPr>
          <w:ilvl w:val="1"/>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any Option, Stock Appreciation Right, Restricted Shares, Restricted Share Units, Performance Shares, Performance Units, Cash Award or Stock Payments granted under the Plan.</w:t>
      </w:r>
    </w:p>
    <w:p>
      <w:pPr>
        <w:spacing w:after="0" w:line="126" w:lineRule="exact"/>
        <w:rPr>
          <w:rFonts w:ascii="Arial" w:cs="Arial" w:eastAsia="Arial" w:hAnsi="Arial"/>
          <w:sz w:val="17"/>
          <w:szCs w:val="17"/>
          <w:color w:val="auto"/>
        </w:rPr>
      </w:pPr>
    </w:p>
    <w:p>
      <w:pPr>
        <w:jc w:val="both"/>
        <w:ind w:left="700" w:right="59" w:hanging="2"/>
        <w:spacing w:after="0" w:line="243" w:lineRule="auto"/>
        <w:tabs>
          <w:tab w:leader="none" w:pos="1348"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means an agreement, certificate, resolution or other form of writing or other evidence approved by the Committee which sets forth the terms and conditions of an Award. An Award Agreement may be in an electronic medium, may be limited to a notation on the Company’s books and records and, if approved by the Committee, need not be signed by a representative of the Company or a Grantee.</w:t>
      </w:r>
    </w:p>
    <w:p>
      <w:pPr>
        <w:spacing w:after="0" w:line="189" w:lineRule="exact"/>
        <w:rPr>
          <w:rFonts w:ascii="Arial" w:cs="Arial" w:eastAsia="Arial" w:hAnsi="Arial"/>
          <w:sz w:val="19"/>
          <w:szCs w:val="19"/>
          <w:color w:val="auto"/>
        </w:rPr>
      </w:pPr>
    </w:p>
    <w:p>
      <w:pPr>
        <w:ind w:left="700" w:right="59" w:hanging="2"/>
        <w:spacing w:after="0" w:line="261" w:lineRule="auto"/>
        <w:tabs>
          <w:tab w:leader="none" w:pos="1348"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Price</w:t>
      </w:r>
      <w:r>
        <w:rPr>
          <w:rFonts w:ascii="Arial" w:cs="Arial" w:eastAsia="Arial" w:hAnsi="Arial"/>
          <w:sz w:val="19"/>
          <w:szCs w:val="19"/>
          <w:color w:val="auto"/>
        </w:rPr>
        <w:t>” means the price to be used as the basis for determining the Spread upon the exercise of a Stock Appreciation Right.</w:t>
      </w:r>
    </w:p>
    <w:p>
      <w:pPr>
        <w:spacing w:after="0" w:line="172" w:lineRule="exact"/>
        <w:rPr>
          <w:rFonts w:ascii="Arial" w:cs="Arial" w:eastAsia="Arial" w:hAnsi="Arial"/>
          <w:sz w:val="19"/>
          <w:szCs w:val="19"/>
          <w:color w:val="auto"/>
        </w:rPr>
      </w:pPr>
    </w:p>
    <w:p>
      <w:pPr>
        <w:ind w:left="1340" w:hanging="642"/>
        <w:spacing w:after="0"/>
        <w:tabs>
          <w:tab w:leader="none" w:pos="13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Award</w:t>
      </w:r>
      <w:r>
        <w:rPr>
          <w:rFonts w:ascii="Arial" w:cs="Arial" w:eastAsia="Arial" w:hAnsi="Arial"/>
          <w:sz w:val="19"/>
          <w:szCs w:val="19"/>
          <w:color w:val="auto"/>
        </w:rPr>
        <w:t>” means an Award denominated in cash granted under Section 9 of the Plan.</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any of the following events:</w:t>
      </w:r>
    </w:p>
    <w:p>
      <w:pPr>
        <w:spacing w:after="0" w:line="213" w:lineRule="exact"/>
        <w:rPr>
          <w:rFonts w:ascii="Arial" w:cs="Arial" w:eastAsia="Arial" w:hAnsi="Arial"/>
          <w:sz w:val="19"/>
          <w:szCs w:val="19"/>
          <w:color w:val="auto"/>
        </w:rPr>
      </w:pPr>
    </w:p>
    <w:p>
      <w:pPr>
        <w:jc w:val="both"/>
        <w:ind w:left="1340" w:right="59" w:firstLine="6"/>
        <w:spacing w:after="0" w:line="242" w:lineRule="auto"/>
        <w:tabs>
          <w:tab w:leader="none" w:pos="1988" w:val="left"/>
        </w:tabs>
        <w:numPr>
          <w:ilvl w:val="2"/>
          <w:numId w:val="29"/>
        </w:numPr>
        <w:rPr>
          <w:rFonts w:ascii="Arial" w:cs="Arial" w:eastAsia="Arial" w:hAnsi="Arial"/>
          <w:sz w:val="19"/>
          <w:szCs w:val="19"/>
          <w:color w:val="auto"/>
        </w:rPr>
      </w:pPr>
      <w:r>
        <w:rPr>
          <w:rFonts w:ascii="Arial" w:cs="Arial" w:eastAsia="Arial" w:hAnsi="Arial"/>
          <w:sz w:val="19"/>
          <w:szCs w:val="19"/>
          <w:color w:val="auto"/>
        </w:rPr>
        <w:t>any person (as such term is used in Section 13(d) of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w:t>
      </w:r>
      <w:r>
        <w:rPr>
          <w:rFonts w:ascii="Arial" w:cs="Arial" w:eastAsia="Arial" w:hAnsi="Arial"/>
          <w:sz w:val="19"/>
          <w:szCs w:val="19"/>
          <w:u w:val="single" w:color="auto"/>
          <w:color w:val="auto"/>
        </w:rPr>
        <w:t>Voting Securities</w:t>
      </w:r>
      <w:r>
        <w:rPr>
          <w:rFonts w:ascii="Arial" w:cs="Arial" w:eastAsia="Arial" w:hAnsi="Arial"/>
          <w:sz w:val="19"/>
          <w:szCs w:val="19"/>
          <w:color w:val="auto"/>
        </w:rPr>
        <w:t>”); or</w:t>
      </w:r>
    </w:p>
    <w:p>
      <w:pPr>
        <w:spacing w:after="0" w:line="190" w:lineRule="exact"/>
        <w:rPr>
          <w:rFonts w:ascii="Arial" w:cs="Arial" w:eastAsia="Arial" w:hAnsi="Arial"/>
          <w:sz w:val="19"/>
          <w:szCs w:val="19"/>
          <w:color w:val="auto"/>
        </w:rPr>
      </w:pPr>
    </w:p>
    <w:p>
      <w:pPr>
        <w:ind w:left="2000" w:hanging="654"/>
        <w:spacing w:after="0"/>
        <w:tabs>
          <w:tab w:leader="none" w:pos="2000" w:val="left"/>
        </w:tabs>
        <w:numPr>
          <w:ilvl w:val="2"/>
          <w:numId w:val="29"/>
        </w:numPr>
        <w:rPr>
          <w:rFonts w:ascii="Arial" w:cs="Arial" w:eastAsia="Arial" w:hAnsi="Arial"/>
          <w:sz w:val="17"/>
          <w:szCs w:val="17"/>
          <w:color w:val="auto"/>
        </w:rPr>
      </w:pPr>
      <w:r>
        <w:rPr>
          <w:rFonts w:ascii="Arial" w:cs="Arial" w:eastAsia="Arial" w:hAnsi="Arial"/>
          <w:sz w:val="17"/>
          <w:szCs w:val="17"/>
          <w:color w:val="auto"/>
        </w:rPr>
        <w:t>approval by the stockholders of the Company and consummation of either of the following:</w:t>
      </w:r>
    </w:p>
    <w:p>
      <w:pPr>
        <w:spacing w:after="0" w:line="236" w:lineRule="exact"/>
        <w:rPr>
          <w:rFonts w:ascii="Arial" w:cs="Arial" w:eastAsia="Arial" w:hAnsi="Arial"/>
          <w:sz w:val="17"/>
          <w:szCs w:val="17"/>
          <w:color w:val="auto"/>
        </w:rPr>
      </w:pPr>
    </w:p>
    <w:p>
      <w:pPr>
        <w:jc w:val="both"/>
        <w:ind w:left="2640" w:right="59" w:hanging="322"/>
        <w:spacing w:after="0"/>
        <w:tabs>
          <w:tab w:leader="none" w:pos="2640" w:val="left"/>
        </w:tabs>
        <w:numPr>
          <w:ilvl w:val="3"/>
          <w:numId w:val="29"/>
        </w:numPr>
        <w:rPr>
          <w:rFonts w:ascii="Arial" w:cs="Arial" w:eastAsia="Arial" w:hAnsi="Arial"/>
          <w:sz w:val="19"/>
          <w:szCs w:val="19"/>
          <w:color w:val="auto"/>
        </w:rPr>
      </w:pPr>
      <w:r>
        <w:rPr>
          <w:rFonts w:ascii="Arial" w:cs="Arial" w:eastAsia="Arial" w:hAnsi="Arial"/>
          <w:sz w:val="19"/>
          <w:szCs w:val="19"/>
          <w:color w:val="auto"/>
        </w:rPr>
        <w:t>a merger, reorganization, consolidation or similar transaction (any of the foregoing, a “</w:t>
      </w:r>
      <w:r>
        <w:rPr>
          <w:rFonts w:ascii="Arial" w:cs="Arial" w:eastAsia="Arial" w:hAnsi="Arial"/>
          <w:sz w:val="19"/>
          <w:szCs w:val="19"/>
          <w:u w:val="single" w:color="auto"/>
          <w:color w:val="auto"/>
        </w:rPr>
        <w:t>Merger</w:t>
      </w:r>
      <w:r>
        <w:rPr>
          <w:rFonts w:ascii="Arial" w:cs="Arial" w:eastAsia="Arial" w:hAnsi="Arial"/>
          <w:sz w:val="19"/>
          <w:szCs w:val="19"/>
          <w:color w:val="auto"/>
        </w:rPr>
        <w:t>”)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w:t>
      </w:r>
    </w:p>
    <w:p>
      <w:pPr>
        <w:spacing w:after="0" w:line="196" w:lineRule="exact"/>
        <w:rPr>
          <w:rFonts w:ascii="Arial" w:cs="Arial" w:eastAsia="Arial" w:hAnsi="Arial"/>
          <w:sz w:val="19"/>
          <w:szCs w:val="19"/>
          <w:color w:val="auto"/>
        </w:rPr>
      </w:pPr>
    </w:p>
    <w:p>
      <w:pPr>
        <w:ind w:left="2640" w:right="59" w:hanging="322"/>
        <w:spacing w:after="0" w:line="261" w:lineRule="auto"/>
        <w:tabs>
          <w:tab w:leader="none" w:pos="2640" w:val="left"/>
        </w:tabs>
        <w:numPr>
          <w:ilvl w:val="3"/>
          <w:numId w:val="29"/>
        </w:numPr>
        <w:rPr>
          <w:rFonts w:ascii="Arial" w:cs="Arial" w:eastAsia="Arial" w:hAnsi="Arial"/>
          <w:sz w:val="19"/>
          <w:szCs w:val="19"/>
          <w:color w:val="auto"/>
        </w:rPr>
      </w:pPr>
      <w:r>
        <w:rPr>
          <w:rFonts w:ascii="Arial" w:cs="Arial" w:eastAsia="Arial" w:hAnsi="Arial"/>
          <w:sz w:val="19"/>
          <w:szCs w:val="19"/>
          <w:color w:val="auto"/>
        </w:rPr>
        <w:t>a plan of liquidation of the Company or a plan or agreement for the sale or other disposition of all or substantially all of the assets of the Company; or</w:t>
      </w:r>
    </w:p>
    <w:p>
      <w:pPr>
        <w:spacing w:after="0" w:line="172" w:lineRule="exact"/>
        <w:rPr>
          <w:rFonts w:ascii="Arial" w:cs="Arial" w:eastAsia="Arial" w:hAnsi="Arial"/>
          <w:sz w:val="19"/>
          <w:szCs w:val="19"/>
          <w:color w:val="auto"/>
        </w:rPr>
      </w:pPr>
    </w:p>
    <w:p>
      <w:pPr>
        <w:ind w:left="2640" w:right="59" w:hanging="322"/>
        <w:spacing w:after="0" w:line="320" w:lineRule="auto"/>
        <w:tabs>
          <w:tab w:leader="none" w:pos="2640" w:val="left"/>
        </w:tabs>
        <w:numPr>
          <w:ilvl w:val="3"/>
          <w:numId w:val="29"/>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during any 12-month period, the individuals who, as of the beginning of such period, constitute the Board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437515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5" w:name="page56"/>
    <w:bookmarkEnd w:id="55"/>
    <w:p>
      <w:pPr>
        <w:jc w:val="both"/>
        <w:ind w:left="2640" w:right="5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Board</w:t>
      </w:r>
      <w:r>
        <w:rPr>
          <w:rFonts w:ascii="Arial" w:cs="Arial" w:eastAsia="Arial" w:hAnsi="Arial"/>
          <w:sz w:val="17"/>
          <w:szCs w:val="17"/>
          <w:color w:val="auto"/>
        </w:rPr>
        <w:t>”)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spacing w:after="0" w:line="163" w:lineRule="exact"/>
        <w:rPr>
          <w:sz w:val="20"/>
          <w:szCs w:val="20"/>
          <w:color w:val="auto"/>
        </w:rPr>
      </w:pPr>
    </w:p>
    <w:p>
      <w:pPr>
        <w:ind w:left="1340" w:hanging="642"/>
        <w:spacing w:after="0"/>
        <w:tabs>
          <w:tab w:leader="none" w:pos="1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committee of the Board described in Section 4 of the Plan.</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CTO Realty Growth, Inc., a Maryland corporation, or any successor corporation.</w:t>
      </w:r>
    </w:p>
    <w:p>
      <w:pPr>
        <w:spacing w:after="0" w:line="236" w:lineRule="exact"/>
        <w:rPr>
          <w:rFonts w:ascii="Arial" w:cs="Arial" w:eastAsia="Arial" w:hAnsi="Arial"/>
          <w:sz w:val="17"/>
          <w:szCs w:val="17"/>
          <w:color w:val="auto"/>
        </w:rPr>
      </w:pPr>
    </w:p>
    <w:p>
      <w:pPr>
        <w:ind w:left="700" w:right="59" w:hanging="2"/>
        <w:spacing w:after="0" w:line="261" w:lineRule="auto"/>
        <w:tabs>
          <w:tab w:leader="none" w:pos="13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any person, including an officer, employed on an hourly or salaried basis by the Company or a Subsidiary.</w:t>
      </w:r>
    </w:p>
    <w:p>
      <w:pPr>
        <w:spacing w:after="0" w:line="172" w:lineRule="exact"/>
        <w:rPr>
          <w:rFonts w:ascii="Arial" w:cs="Arial" w:eastAsia="Arial" w:hAnsi="Arial"/>
          <w:sz w:val="19"/>
          <w:szCs w:val="19"/>
          <w:color w:val="auto"/>
        </w:rPr>
      </w:pPr>
    </w:p>
    <w:p>
      <w:pPr>
        <w:ind w:left="1340" w:hanging="642"/>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on a given date means:</w:t>
      </w:r>
    </w:p>
    <w:p>
      <w:pPr>
        <w:spacing w:after="0" w:line="213" w:lineRule="exact"/>
        <w:rPr>
          <w:rFonts w:ascii="Arial" w:cs="Arial" w:eastAsia="Arial" w:hAnsi="Arial"/>
          <w:sz w:val="19"/>
          <w:szCs w:val="19"/>
          <w:color w:val="auto"/>
        </w:rPr>
      </w:pPr>
    </w:p>
    <w:p>
      <w:pPr>
        <w:jc w:val="both"/>
        <w:ind w:left="1340" w:right="59" w:firstLine="6"/>
        <w:spacing w:after="0" w:line="245" w:lineRule="auto"/>
        <w:tabs>
          <w:tab w:leader="none" w:pos="1988" w:val="left"/>
        </w:tabs>
        <w:numPr>
          <w:ilvl w:val="1"/>
          <w:numId w:val="30"/>
        </w:numPr>
        <w:rPr>
          <w:rFonts w:ascii="Arial" w:cs="Arial" w:eastAsia="Arial" w:hAnsi="Arial"/>
          <w:sz w:val="19"/>
          <w:szCs w:val="19"/>
          <w:color w:val="auto"/>
        </w:rPr>
      </w:pPr>
      <w:r>
        <w:rPr>
          <w:rFonts w:ascii="Arial" w:cs="Arial" w:eastAsia="Arial" w:hAnsi="Arial"/>
          <w:sz w:val="19"/>
          <w:szCs w:val="19"/>
          <w:color w:val="auto"/>
        </w:rPr>
        <w:t>if the Stock is listed on a national securities exchange in the United States, the closing sale price reported as having occurred on the primary exchange with which the Stock is listed and traded on such date, or, if there is no such sale on that date, then on the last preceding date on which such a sale was reported;</w:t>
      </w:r>
    </w:p>
    <w:p>
      <w:pPr>
        <w:spacing w:after="0" w:line="187" w:lineRule="exact"/>
        <w:rPr>
          <w:rFonts w:ascii="Arial" w:cs="Arial" w:eastAsia="Arial" w:hAnsi="Arial"/>
          <w:sz w:val="19"/>
          <w:szCs w:val="19"/>
          <w:color w:val="auto"/>
        </w:rPr>
      </w:pPr>
    </w:p>
    <w:p>
      <w:pPr>
        <w:jc w:val="both"/>
        <w:ind w:left="1340" w:right="59" w:firstLine="6"/>
        <w:spacing w:after="0" w:line="245" w:lineRule="auto"/>
        <w:tabs>
          <w:tab w:leader="none" w:pos="1988" w:val="left"/>
        </w:tabs>
        <w:numPr>
          <w:ilvl w:val="1"/>
          <w:numId w:val="30"/>
        </w:numPr>
        <w:rPr>
          <w:rFonts w:ascii="Arial" w:cs="Arial" w:eastAsia="Arial" w:hAnsi="Arial"/>
          <w:sz w:val="19"/>
          <w:szCs w:val="19"/>
          <w:color w:val="auto"/>
        </w:rPr>
      </w:pPr>
      <w:r>
        <w:rPr>
          <w:rFonts w:ascii="Arial" w:cs="Arial" w:eastAsia="Arial" w:hAnsi="Arial"/>
          <w:sz w:val="19"/>
          <w:szCs w:val="19"/>
          <w:color w:val="auto"/>
        </w:rPr>
        <w:t>if the Stock is not listed on any national securities exchange but is quoted in the National Market System of the National Association of Securities Dealers Automated Quotation System the trade price of the last sale reported on such date, or, if there is no such sale on that date, then on the last preceding date on which a sale was reported; or</w:t>
      </w:r>
    </w:p>
    <w:p>
      <w:pPr>
        <w:spacing w:after="0" w:line="187" w:lineRule="exact"/>
        <w:rPr>
          <w:rFonts w:ascii="Arial" w:cs="Arial" w:eastAsia="Arial" w:hAnsi="Arial"/>
          <w:sz w:val="19"/>
          <w:szCs w:val="19"/>
          <w:color w:val="auto"/>
        </w:rPr>
      </w:pPr>
    </w:p>
    <w:p>
      <w:pPr>
        <w:jc w:val="both"/>
        <w:ind w:left="1340" w:right="59" w:firstLine="6"/>
        <w:spacing w:after="0" w:line="245" w:lineRule="auto"/>
        <w:tabs>
          <w:tab w:leader="none" w:pos="1988" w:val="left"/>
        </w:tabs>
        <w:numPr>
          <w:ilvl w:val="1"/>
          <w:numId w:val="30"/>
        </w:numPr>
        <w:rPr>
          <w:rFonts w:ascii="Arial" w:cs="Arial" w:eastAsia="Arial" w:hAnsi="Arial"/>
          <w:sz w:val="19"/>
          <w:szCs w:val="19"/>
          <w:color w:val="auto"/>
        </w:rPr>
      </w:pPr>
      <w:r>
        <w:rPr>
          <w:rFonts w:ascii="Arial" w:cs="Arial" w:eastAsia="Arial" w:hAnsi="Arial"/>
          <w:sz w:val="19"/>
          <w:szCs w:val="19"/>
          <w:color w:val="auto"/>
        </w:rPr>
        <w:t>if the Stock is not listed on a national securities exchange nor quoted in the National Market System of the National Association of Securities Dealers Automated Quotation System on a last sale basis, the amount determined by the Committee to be the fair market value based upon a good faith attempt to value the Stock accurately.</w:t>
      </w:r>
    </w:p>
    <w:p>
      <w:pPr>
        <w:spacing w:after="0" w:line="187" w:lineRule="exact"/>
        <w:rPr>
          <w:rFonts w:ascii="Arial" w:cs="Arial" w:eastAsia="Arial" w:hAnsi="Arial"/>
          <w:sz w:val="19"/>
          <w:szCs w:val="19"/>
          <w:color w:val="auto"/>
        </w:rPr>
      </w:pPr>
    </w:p>
    <w:p>
      <w:pPr>
        <w:jc w:val="both"/>
        <w:ind w:left="700" w:right="59" w:hanging="2"/>
        <w:spacing w:after="0" w:line="249" w:lineRule="auto"/>
        <w:tabs>
          <w:tab w:leader="none" w:pos="13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 Date</w:t>
      </w:r>
      <w:r>
        <w:rPr>
          <w:rFonts w:ascii="Arial" w:cs="Arial" w:eastAsia="Arial" w:hAnsi="Arial"/>
          <w:sz w:val="19"/>
          <w:szCs w:val="19"/>
          <w:color w:val="auto"/>
        </w:rPr>
        <w:t>” means the date specified by the Committee on which a grant of an Award shall become effective, which shall not be earlier than the date on which the Committee takes action with respect thereto.</w:t>
      </w:r>
    </w:p>
    <w:p>
      <w:pPr>
        <w:spacing w:after="0" w:line="183"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Grantee</w:t>
      </w:r>
      <w:r>
        <w:rPr>
          <w:rFonts w:ascii="Arial" w:cs="Arial" w:eastAsia="Arial" w:hAnsi="Arial"/>
          <w:sz w:val="19"/>
          <w:szCs w:val="19"/>
          <w:color w:val="auto"/>
        </w:rPr>
        <w:t>” means an Employee or Nonemployee Director who has been selected by the Committee to receive an Award and to whom an Award has been granted.</w:t>
      </w:r>
    </w:p>
    <w:p>
      <w:pPr>
        <w:spacing w:after="0" w:line="172"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Stock Option</w:t>
      </w:r>
      <w:r>
        <w:rPr>
          <w:rFonts w:ascii="Arial" w:cs="Arial" w:eastAsia="Arial" w:hAnsi="Arial"/>
          <w:sz w:val="19"/>
          <w:szCs w:val="19"/>
          <w:color w:val="auto"/>
        </w:rPr>
        <w:t>” means any Option that is intended to qualify as an “incentive stock option” under Code Section 422 or any successor provision.</w:t>
      </w:r>
    </w:p>
    <w:p>
      <w:pPr>
        <w:spacing w:after="0" w:line="172" w:lineRule="exact"/>
        <w:rPr>
          <w:rFonts w:ascii="Arial" w:cs="Arial" w:eastAsia="Arial" w:hAnsi="Arial"/>
          <w:sz w:val="19"/>
          <w:szCs w:val="19"/>
          <w:color w:val="auto"/>
        </w:rPr>
      </w:pPr>
    </w:p>
    <w:p>
      <w:pPr>
        <w:ind w:left="1340" w:hanging="642"/>
        <w:spacing w:after="0"/>
        <w:tabs>
          <w:tab w:leader="none" w:pos="1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 member of the Board who is not an Employee.</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means an Option that is not intended to qualify as an Incentive Stock</w:t>
      </w:r>
    </w:p>
    <w:p>
      <w:pPr>
        <w:spacing w:after="0" w:line="36"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9"/>
          <w:szCs w:val="19"/>
          <w:color w:val="auto"/>
        </w:rPr>
        <w:t>Option.</w:t>
      </w:r>
    </w:p>
    <w:p>
      <w:pPr>
        <w:spacing w:after="0" w:line="197" w:lineRule="exact"/>
        <w:rPr>
          <w:rFonts w:ascii="Arial" w:cs="Arial" w:eastAsia="Arial" w:hAnsi="Arial"/>
          <w:sz w:val="17"/>
          <w:szCs w:val="17"/>
          <w:color w:val="auto"/>
        </w:rPr>
      </w:pPr>
    </w:p>
    <w:p>
      <w:pPr>
        <w:ind w:left="1340" w:hanging="642"/>
        <w:spacing w:after="0"/>
        <w:tabs>
          <w:tab w:leader="none" w:pos="1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w:t>
      </w:r>
      <w:r>
        <w:rPr>
          <w:rFonts w:ascii="Arial" w:cs="Arial" w:eastAsia="Arial" w:hAnsi="Arial"/>
          <w:sz w:val="19"/>
          <w:szCs w:val="19"/>
          <w:color w:val="auto"/>
        </w:rPr>
        <w:t>” means any option to purchase Shares granted under Section 5 of the Plan.</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Price</w:t>
      </w:r>
      <w:r>
        <w:rPr>
          <w:rFonts w:ascii="Arial" w:cs="Arial" w:eastAsia="Arial" w:hAnsi="Arial"/>
          <w:sz w:val="19"/>
          <w:szCs w:val="19"/>
          <w:color w:val="auto"/>
        </w:rPr>
        <w:t>” means the purchase price payable upon the exercise of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629920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56" w:name="page57"/>
    <w:bookmarkEnd w:id="56"/>
    <w:p>
      <w:pPr>
        <w:jc w:val="both"/>
        <w:ind w:left="700" w:right="59" w:hanging="2"/>
        <w:spacing w:after="0" w:line="241" w:lineRule="auto"/>
        <w:tabs>
          <w:tab w:leader="none" w:pos="13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Objectives</w:t>
      </w:r>
      <w:r>
        <w:rPr>
          <w:rFonts w:ascii="Arial" w:cs="Arial" w:eastAsia="Arial" w:hAnsi="Arial"/>
          <w:sz w:val="19"/>
          <w:szCs w:val="19"/>
          <w:color w:val="auto"/>
        </w:rPr>
        <w:t>” means the performance objectives established pursuant to this Plan for Grantees who have received Awards. Performance Objectives may be described in terms of Company-wide objectives or objectives that are related to the performance of the individual Grantee or the Subsidiary, division, department or function within the Company or Subsidiary in which the Grantee is employed. Performance Objectives may be measured on an absolute or relative basis. Relative performance may be measured by a group of peer companies or by a financial market index. Any Performance Objectives may include:</w:t>
      </w:r>
    </w:p>
    <w:p>
      <w:pPr>
        <w:spacing w:after="0" w:line="192" w:lineRule="exact"/>
        <w:rPr>
          <w:rFonts w:ascii="Arial" w:cs="Arial" w:eastAsia="Arial" w:hAnsi="Arial"/>
          <w:sz w:val="19"/>
          <w:szCs w:val="19"/>
          <w:color w:val="auto"/>
        </w:rPr>
      </w:pPr>
    </w:p>
    <w:p>
      <w:pPr>
        <w:ind w:left="2000" w:hanging="654"/>
        <w:spacing w:after="0"/>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return on invested capital;</w:t>
      </w:r>
    </w:p>
    <w:p>
      <w:pPr>
        <w:spacing w:after="0" w:line="13" w:lineRule="exact"/>
        <w:rPr>
          <w:rFonts w:ascii="Arial" w:cs="Arial" w:eastAsia="Arial" w:hAnsi="Arial"/>
          <w:sz w:val="19"/>
          <w:szCs w:val="19"/>
          <w:color w:val="auto"/>
        </w:rPr>
      </w:pP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free cash flow;</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economic value added (net operating profit after tax less cost of capital);</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total stockholder return;</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operating ratio;</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cost reduction (or limits on cost increases);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debt to capitalization;</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debt to equity;</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earnings;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earnings before interest and taxes;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earnings before interest, taxes, depreciation and amortization;</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earnings per share (including or excluding nonrecurring items);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earnings per share before extraordinary items;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income from operations (including or excluding nonrecurring items);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income from operations compared to capital spending;</w:t>
      </w:r>
    </w:p>
    <w:p>
      <w:pPr>
        <w:ind w:left="2000" w:right="59"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net income (including or excluding nonrecurring items, extraordinary items and/or the accumulative effect of accounting changes);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net sales;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price per share of common stock;</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return on assets;</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return on capital employed;</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return on equity;</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return on investment;</w:t>
      </w:r>
    </w:p>
    <w:p>
      <w:pPr>
        <w:ind w:left="2000" w:hanging="654"/>
        <w:spacing w:after="0" w:line="237" w:lineRule="auto"/>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return on sales; and</w:t>
      </w:r>
    </w:p>
    <w:p>
      <w:pPr>
        <w:ind w:left="2000" w:hanging="654"/>
        <w:spacing w:after="0"/>
        <w:tabs>
          <w:tab w:leader="none" w:pos="20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sales volume.</w:t>
      </w:r>
    </w:p>
    <w:p>
      <w:pPr>
        <w:spacing w:after="0" w:line="198" w:lineRule="exact"/>
        <w:rPr>
          <w:sz w:val="20"/>
          <w:szCs w:val="20"/>
          <w:color w:val="auto"/>
        </w:rPr>
      </w:pPr>
    </w:p>
    <w:p>
      <w:pPr>
        <w:jc w:val="both"/>
        <w:ind w:left="700" w:right="59"/>
        <w:spacing w:after="0" w:line="245" w:lineRule="auto"/>
        <w:rPr>
          <w:sz w:val="20"/>
          <w:szCs w:val="20"/>
          <w:color w:val="auto"/>
        </w:rPr>
      </w:pPr>
      <w:r>
        <w:rPr>
          <w:rFonts w:ascii="Arial" w:cs="Arial" w:eastAsia="Arial" w:hAnsi="Arial"/>
          <w:sz w:val="19"/>
          <w:szCs w:val="19"/>
          <w:color w:val="auto"/>
        </w:rPr>
        <w:t>The Committee will generally establish Performance Objectives during the first 90 days of a Performance Period. The Committee is authorized, in its sole and absolute discretion, to adjust, or modify the level of achievement required for, a Performance Objective in order to prevent the dilution or enlargement of the rights of a Grantee.</w:t>
      </w:r>
    </w:p>
    <w:p>
      <w:pPr>
        <w:spacing w:after="0" w:line="188" w:lineRule="exact"/>
        <w:rPr>
          <w:sz w:val="20"/>
          <w:szCs w:val="20"/>
          <w:color w:val="auto"/>
        </w:rPr>
      </w:pPr>
    </w:p>
    <w:p>
      <w:pPr>
        <w:jc w:val="both"/>
        <w:ind w:left="700" w:right="59" w:hanging="2"/>
        <w:spacing w:after="0" w:line="249" w:lineRule="auto"/>
        <w:tabs>
          <w:tab w:leader="none" w:pos="1348"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a period of time established under Section 8 of the Plan within which the Performance Objectives relating to a Performance Share, Performance Unit, Restricted Shares or Restricted Share Units are to be achieved.</w:t>
      </w:r>
    </w:p>
    <w:p>
      <w:pPr>
        <w:spacing w:after="0" w:line="183"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Share</w:t>
      </w:r>
      <w:r>
        <w:rPr>
          <w:rFonts w:ascii="Arial" w:cs="Arial" w:eastAsia="Arial" w:hAnsi="Arial"/>
          <w:sz w:val="19"/>
          <w:szCs w:val="19"/>
          <w:color w:val="auto"/>
        </w:rPr>
        <w:t>” means a bookkeeping entry that records the equivalent of one Share awarded pursuant to Section 8 of the Plan.</w:t>
      </w:r>
    </w:p>
    <w:p>
      <w:pPr>
        <w:spacing w:after="0" w:line="172"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Unit</w:t>
      </w:r>
      <w:r>
        <w:rPr>
          <w:rFonts w:ascii="Arial" w:cs="Arial" w:eastAsia="Arial" w:hAnsi="Arial"/>
          <w:sz w:val="19"/>
          <w:szCs w:val="19"/>
          <w:color w:val="auto"/>
        </w:rPr>
        <w:t>” means a bookkeeping entry that records a unit equivalent to $1.00 awarded pursuant to Section 8 of the Plan.</w:t>
      </w:r>
    </w:p>
    <w:p>
      <w:pPr>
        <w:spacing w:after="0" w:line="172" w:lineRule="exact"/>
        <w:rPr>
          <w:rFonts w:ascii="Arial" w:cs="Arial" w:eastAsia="Arial" w:hAnsi="Arial"/>
          <w:sz w:val="19"/>
          <w:szCs w:val="19"/>
          <w:color w:val="auto"/>
        </w:rPr>
      </w:pPr>
    </w:p>
    <w:p>
      <w:pPr>
        <w:ind w:left="1340" w:hanging="642"/>
        <w:spacing w:after="0"/>
        <w:tabs>
          <w:tab w:leader="none" w:pos="13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Shares</w:t>
      </w:r>
      <w:r>
        <w:rPr>
          <w:rFonts w:ascii="Arial" w:cs="Arial" w:eastAsia="Arial" w:hAnsi="Arial"/>
          <w:sz w:val="19"/>
          <w:szCs w:val="19"/>
          <w:color w:val="auto"/>
        </w:rPr>
        <w:t>” mean Shares granted under Section 7 of the Plan.</w:t>
      </w:r>
    </w:p>
    <w:p>
      <w:pPr>
        <w:spacing w:after="0" w:line="213"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Share Unit</w:t>
      </w:r>
      <w:r>
        <w:rPr>
          <w:rFonts w:ascii="Arial" w:cs="Arial" w:eastAsia="Arial" w:hAnsi="Arial"/>
          <w:sz w:val="19"/>
          <w:szCs w:val="19"/>
          <w:color w:val="auto"/>
        </w:rPr>
        <w:t>” means an Award granted under Section 7 of the Plan and denominated in units representing rights to receive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603885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57" w:name="page58"/>
    <w:bookmarkEnd w:id="57"/>
    <w:p>
      <w:pPr>
        <w:jc w:val="both"/>
        <w:ind w:left="700" w:right="59" w:hanging="2"/>
        <w:spacing w:after="0" w:line="249" w:lineRule="auto"/>
        <w:tabs>
          <w:tab w:leader="none" w:pos="1348"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Shares</w:t>
      </w:r>
      <w:r>
        <w:rPr>
          <w:rFonts w:ascii="Arial" w:cs="Arial" w:eastAsia="Arial" w:hAnsi="Arial"/>
          <w:sz w:val="19"/>
          <w:szCs w:val="19"/>
          <w:color w:val="auto"/>
        </w:rPr>
        <w:t>” means shares of the Common Stock of the Company, par value $1.00 per share, or any security into which Shares may be converted by reason of any transaction or event of the type referred to in Section 13 of the Plan.</w:t>
      </w:r>
    </w:p>
    <w:p>
      <w:pPr>
        <w:spacing w:after="0" w:line="184" w:lineRule="exact"/>
        <w:rPr>
          <w:sz w:val="20"/>
          <w:szCs w:val="20"/>
          <w:color w:val="auto"/>
        </w:rPr>
      </w:pPr>
    </w:p>
    <w:p>
      <w:pPr>
        <w:ind w:left="700" w:right="59" w:hanging="2"/>
        <w:spacing w:after="0" w:line="320" w:lineRule="auto"/>
        <w:tabs>
          <w:tab w:leader="none" w:pos="13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Spread</w:t>
      </w:r>
      <w:r>
        <w:rPr>
          <w:rFonts w:ascii="Arial" w:cs="Arial" w:eastAsia="Arial" w:hAnsi="Arial"/>
          <w:sz w:val="17"/>
          <w:szCs w:val="17"/>
          <w:color w:val="auto"/>
        </w:rPr>
        <w:t>” means, in the case of a Stock Appreciation Right, the amount by which the Fair Market Value on the date when any such right is exercised exceeds the Base Price specified in such right.</w:t>
      </w:r>
    </w:p>
    <w:p>
      <w:pPr>
        <w:spacing w:after="0" w:line="126" w:lineRule="exact"/>
        <w:rPr>
          <w:rFonts w:ascii="Arial" w:cs="Arial" w:eastAsia="Arial" w:hAnsi="Arial"/>
          <w:sz w:val="17"/>
          <w:szCs w:val="17"/>
          <w:color w:val="auto"/>
        </w:rPr>
      </w:pPr>
    </w:p>
    <w:p>
      <w:pPr>
        <w:ind w:left="1340" w:hanging="642"/>
        <w:spacing w:after="0"/>
        <w:tabs>
          <w:tab w:leader="none" w:pos="13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Appreciation Right</w:t>
      </w:r>
      <w:r>
        <w:rPr>
          <w:rFonts w:ascii="Arial" w:cs="Arial" w:eastAsia="Arial" w:hAnsi="Arial"/>
          <w:sz w:val="19"/>
          <w:szCs w:val="19"/>
          <w:color w:val="auto"/>
        </w:rPr>
        <w:t>” means a right granted under Section 6 of the Plan.</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Payment</w:t>
      </w:r>
      <w:r>
        <w:rPr>
          <w:rFonts w:ascii="Arial" w:cs="Arial" w:eastAsia="Arial" w:hAnsi="Arial"/>
          <w:sz w:val="19"/>
          <w:szCs w:val="19"/>
          <w:color w:val="auto"/>
        </w:rPr>
        <w:t>” means Shares granted under Section 9 of the Plan.</w:t>
      </w:r>
    </w:p>
    <w:p>
      <w:pPr>
        <w:spacing w:after="0" w:line="213" w:lineRule="exact"/>
        <w:rPr>
          <w:rFonts w:ascii="Arial" w:cs="Arial" w:eastAsia="Arial" w:hAnsi="Arial"/>
          <w:sz w:val="19"/>
          <w:szCs w:val="19"/>
          <w:color w:val="auto"/>
        </w:rPr>
      </w:pPr>
    </w:p>
    <w:p>
      <w:pPr>
        <w:jc w:val="both"/>
        <w:ind w:left="700" w:right="59" w:hanging="2"/>
        <w:spacing w:after="0" w:line="242" w:lineRule="auto"/>
        <w:tabs>
          <w:tab w:leader="none" w:pos="1348"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corporation or other entity in which the Company has a direct or indirect ownership or other equity interest, provided that for purposes of determining whether any person may be a Grantee for purposes of any grant of Incentive Stock Options, “Subsidiary” means any corporation (within the meaning of the Code) in which the Company owns or controls directly or indirectly more than 50 percent of the total combined voting power represented by all classes of stock issued by such corporation at the time of such grant.</w:t>
      </w:r>
    </w:p>
    <w:p>
      <w:pPr>
        <w:spacing w:after="0" w:line="184" w:lineRule="exact"/>
        <w:rPr>
          <w:sz w:val="20"/>
          <w:szCs w:val="20"/>
          <w:color w:val="auto"/>
        </w:rPr>
      </w:pPr>
    </w:p>
    <w:p>
      <w:pPr>
        <w:jc w:val="both"/>
        <w:ind w:left="700" w:right="59"/>
        <w:spacing w:after="0" w:line="252"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ee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Ten Percent Stockholder</w:t>
      </w:r>
      <w:r>
        <w:rPr>
          <w:rFonts w:ascii="Arial" w:cs="Arial" w:eastAsia="Arial" w:hAnsi="Arial"/>
          <w:sz w:val="19"/>
          <w:szCs w:val="19"/>
          <w:color w:val="auto"/>
        </w:rPr>
        <w:t>” means a person who owns (or is deemed to own pursuant to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424(d) of the Code) stock possessing more than 10% of the total combined voting power of all classes of stock of the Company or of any of its affiliates.</w:t>
      </w:r>
    </w:p>
    <w:p>
      <w:pPr>
        <w:spacing w:after="0" w:line="182" w:lineRule="exact"/>
        <w:rPr>
          <w:sz w:val="20"/>
          <w:szCs w:val="20"/>
          <w:color w:val="auto"/>
        </w:rPr>
      </w:pPr>
    </w:p>
    <w:p>
      <w:pPr>
        <w:ind w:left="700" w:hanging="650"/>
        <w:spacing w:after="0"/>
        <w:tabs>
          <w:tab w:leader="none" w:pos="7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Shares Available Under the Plan</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700" w:right="59" w:hanging="2"/>
        <w:spacing w:after="0" w:line="287" w:lineRule="auto"/>
        <w:tabs>
          <w:tab w:leader="none" w:pos="1348"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Reserved Shares</w:t>
      </w:r>
      <w:r>
        <w:rPr>
          <w:rFonts w:ascii="Arial" w:cs="Arial" w:eastAsia="Arial" w:hAnsi="Arial"/>
          <w:sz w:val="16"/>
          <w:szCs w:val="16"/>
          <w:color w:val="auto"/>
        </w:rPr>
        <w:t>. Subject to adjustment as provided in Section 14 of the Plan, the maximum number of Shares that may be issued or transferred from and after April 21, 2023, with respect to Awards shall not in the aggregate exceed 1,005,141 Shares. Such Shares may be Shares of original issuance, Shares held in treasury or Shares that have been reacquired by the Company. Any awards granted under the Plan on or after its original effective date of April 28, 2010 that consist of (i) Options, Stock Appreciation Rights, Restricted Share Units, or Performance Units or that, at any time, are forfeited, expire or are canceled or settled without issuance of Shares or Restricted Shares that are forfeited pursuant to Section 7(c) or the Restricted Share Award Agreement shall not count towards the maximum number of Shares that may be issued under the Plan as set forth in this Section 3(a) and shall be available for future Awards. Notwithstanding the foregoing, any and all Shares that are (i) tendered in payment of an Option exercise price (whether by attestation or by other means); (ii) withheld by the Company to satisfy any tax withholding obligation; or (iii) covered by a Stock Appreciation Right (without regard to the number of Shares that are actually issued to the Grantee upon exercise) shall be considered issued pursuant to the Plan and shall not be added to the maximum number of Shares that may be issued under the Plan as set forth in this Section 3(a).</w:t>
      </w:r>
    </w:p>
    <w:p>
      <w:pPr>
        <w:spacing w:after="0" w:line="159" w:lineRule="exact"/>
        <w:rPr>
          <w:rFonts w:ascii="Arial" w:cs="Arial" w:eastAsia="Arial" w:hAnsi="Arial"/>
          <w:sz w:val="16"/>
          <w:szCs w:val="16"/>
          <w:color w:val="auto"/>
        </w:rPr>
      </w:pPr>
    </w:p>
    <w:p>
      <w:pPr>
        <w:ind w:left="1340" w:hanging="642"/>
        <w:spacing w:after="0"/>
        <w:tabs>
          <w:tab w:leader="none" w:pos="1340"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 [intentionally omitted]</w:t>
      </w:r>
    </w:p>
    <w:p>
      <w:pPr>
        <w:spacing w:after="0" w:line="213" w:lineRule="exact"/>
        <w:rPr>
          <w:rFonts w:ascii="Arial" w:cs="Arial" w:eastAsia="Arial" w:hAnsi="Arial"/>
          <w:sz w:val="19"/>
          <w:szCs w:val="19"/>
          <w:color w:val="auto"/>
        </w:rPr>
      </w:pPr>
    </w:p>
    <w:p>
      <w:pPr>
        <w:ind w:left="700" w:right="59" w:hanging="2"/>
        <w:spacing w:after="0" w:line="289" w:lineRule="auto"/>
        <w:tabs>
          <w:tab w:leader="none" w:pos="134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ISO Maximum</w:t>
      </w:r>
      <w:r>
        <w:rPr>
          <w:rFonts w:ascii="Arial" w:cs="Arial" w:eastAsia="Arial" w:hAnsi="Arial"/>
          <w:sz w:val="18"/>
          <w:szCs w:val="18"/>
          <w:color w:val="auto"/>
        </w:rPr>
        <w:t>. In no event shall the number of Shares issued upon the exercise of Incentive Stock Options exceed 792,304 Shares, subject to adjustment as provided in Section 14 of the Plan.</w:t>
      </w:r>
    </w:p>
    <w:p>
      <w:pPr>
        <w:spacing w:after="0" w:line="149" w:lineRule="exact"/>
        <w:rPr>
          <w:rFonts w:ascii="Arial" w:cs="Arial" w:eastAsia="Arial" w:hAnsi="Arial"/>
          <w:sz w:val="18"/>
          <w:szCs w:val="18"/>
          <w:color w:val="auto"/>
        </w:rPr>
      </w:pPr>
    </w:p>
    <w:p>
      <w:pPr>
        <w:jc w:val="both"/>
        <w:ind w:left="700" w:right="59" w:hanging="2"/>
        <w:spacing w:after="0" w:line="258" w:lineRule="auto"/>
        <w:tabs>
          <w:tab w:leader="none" w:pos="134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Maximum Calendar Year Award</w:t>
      </w:r>
      <w:r>
        <w:rPr>
          <w:rFonts w:ascii="Arial" w:cs="Arial" w:eastAsia="Arial" w:hAnsi="Arial"/>
          <w:sz w:val="18"/>
          <w:szCs w:val="18"/>
          <w:color w:val="auto"/>
        </w:rPr>
        <w:t>. No Grantee may receive Awards representing more than 188,644 Shares in any one calendar year, subject to adjustment as provided in Section 14 of the Plan. No Nonemployee Director may receive in any one calendar year more than $300,000 in the aggregate in (i) Awards (as calculated by the Award’s fair value as determined in accordance with Financial Accounting Standards Board Accounting Standards Codification Topic 718, or any successor thereto as of the Grant Date) and (y) cash compensation (including, retainers and cash-based awards).</w:t>
      </w:r>
    </w:p>
    <w:p>
      <w:pPr>
        <w:spacing w:after="0" w:line="176" w:lineRule="exact"/>
        <w:rPr>
          <w:rFonts w:ascii="Arial" w:cs="Arial" w:eastAsia="Arial" w:hAnsi="Arial"/>
          <w:sz w:val="18"/>
          <w:szCs w:val="18"/>
          <w:color w:val="auto"/>
        </w:rPr>
      </w:pPr>
    </w:p>
    <w:p>
      <w:pPr>
        <w:jc w:val="both"/>
        <w:ind w:left="700" w:right="59" w:hanging="650"/>
        <w:spacing w:after="0" w:line="292" w:lineRule="auto"/>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Plan Administration</w:t>
      </w:r>
      <w:r>
        <w:rPr>
          <w:rFonts w:ascii="Arial" w:cs="Arial" w:eastAsia="Arial" w:hAnsi="Arial"/>
          <w:sz w:val="17"/>
          <w:szCs w:val="17"/>
          <w:color w:val="auto"/>
        </w:rPr>
        <w:t>. This Plan shall be administered by a Committee appointed by the Board from among its members, provided that if the Board does not appoint a Committee, the term “Committee” means the Board, except in those instances where the text clearly indicates otherwise. Notwithstanding anything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452755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58" w:name="page59"/>
    <w:bookmarkEnd w:id="58"/>
    <w:p>
      <w:pPr>
        <w:jc w:val="both"/>
        <w:ind w:left="700" w:right="59"/>
        <w:spacing w:after="0" w:line="260" w:lineRule="auto"/>
        <w:rPr>
          <w:sz w:val="20"/>
          <w:szCs w:val="20"/>
          <w:color w:val="auto"/>
        </w:rPr>
      </w:pPr>
      <w:r>
        <w:rPr>
          <w:rFonts w:ascii="Arial" w:cs="Arial" w:eastAsia="Arial" w:hAnsi="Arial"/>
          <w:sz w:val="18"/>
          <w:szCs w:val="18"/>
          <w:color w:val="auto"/>
        </w:rPr>
        <w:t>to the contrary, the Committee shall consist solely of two (2) or more members of the Board who are (i) “non-employee directors” (within the meaning of Rule 16b-3 under the Exchange Act) for purposes of exercising administrative authority with respect to Awards granted to Grantees who are subject to Section 16 of the Exchange Act; and (ii) “independent” (within the meaning of the rules of the national securities exchange on which the Company’s Shares are listed), to the extent required:</w:t>
      </w:r>
    </w:p>
    <w:p>
      <w:pPr>
        <w:spacing w:after="0" w:line="175" w:lineRule="exact"/>
        <w:rPr>
          <w:sz w:val="20"/>
          <w:szCs w:val="20"/>
          <w:color w:val="auto"/>
        </w:rPr>
      </w:pPr>
    </w:p>
    <w:p>
      <w:pPr>
        <w:ind w:left="1340" w:hanging="642"/>
        <w:spacing w:after="0"/>
        <w:tabs>
          <w:tab w:leader="none" w:pos="13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determine the Fair Market Value of the Shares;</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select the Employees and Nonemployee Directors to whom Awards will be granted under the</w:t>
      </w:r>
    </w:p>
    <w:p>
      <w:pPr>
        <w:spacing w:after="0" w:line="25"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9"/>
          <w:szCs w:val="19"/>
          <w:color w:val="auto"/>
        </w:rPr>
        <w:t>Plan;</w:t>
      </w:r>
    </w:p>
    <w:p>
      <w:pPr>
        <w:spacing w:after="0" w:line="197" w:lineRule="exact"/>
        <w:rPr>
          <w:rFonts w:ascii="Arial" w:cs="Arial" w:eastAsia="Arial" w:hAnsi="Arial"/>
          <w:sz w:val="18"/>
          <w:szCs w:val="18"/>
          <w:color w:val="auto"/>
        </w:rPr>
      </w:pPr>
    </w:p>
    <w:p>
      <w:pPr>
        <w:ind w:left="700" w:right="59" w:hanging="2"/>
        <w:spacing w:after="0" w:line="261" w:lineRule="auto"/>
        <w:tabs>
          <w:tab w:leader="none" w:pos="13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determine whether, when, to what extent and in what types and amounts Awards are granted under the Plan;</w:t>
      </w:r>
    </w:p>
    <w:p>
      <w:pPr>
        <w:spacing w:after="0" w:line="172"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determine the number of Shares or amount of cash to be covered by each Award granted under the Plan;</w:t>
      </w:r>
    </w:p>
    <w:p>
      <w:pPr>
        <w:spacing w:after="0" w:line="172"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determine the forms of Award Agreements, which need not be the same for each grant or for each Grantee, and which may be delivered electronically, for use under the Plan;</w:t>
      </w:r>
    </w:p>
    <w:p>
      <w:pPr>
        <w:spacing w:after="0" w:line="172"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determine the terms and conditions, not inconsistent with the terms of the Plan, of any Award granted under the Plan.</w:t>
      </w:r>
    </w:p>
    <w:p>
      <w:pPr>
        <w:spacing w:after="0" w:line="172" w:lineRule="exact"/>
        <w:rPr>
          <w:rFonts w:ascii="Arial" w:cs="Arial" w:eastAsia="Arial" w:hAnsi="Arial"/>
          <w:sz w:val="19"/>
          <w:szCs w:val="19"/>
          <w:color w:val="auto"/>
        </w:rPr>
      </w:pPr>
    </w:p>
    <w:p>
      <w:pPr>
        <w:ind w:left="1340" w:hanging="642"/>
        <w:spacing w:after="0"/>
        <w:tabs>
          <w:tab w:leader="none" w:pos="13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construe and interpret the terms of the Plan and Awards;</w:t>
      </w:r>
    </w:p>
    <w:p>
      <w:pPr>
        <w:spacing w:after="0" w:line="213" w:lineRule="exact"/>
        <w:rPr>
          <w:rFonts w:ascii="Arial" w:cs="Arial" w:eastAsia="Arial" w:hAnsi="Arial"/>
          <w:sz w:val="19"/>
          <w:szCs w:val="19"/>
          <w:color w:val="auto"/>
        </w:rPr>
      </w:pPr>
    </w:p>
    <w:p>
      <w:pPr>
        <w:ind w:left="1340" w:hanging="642"/>
        <w:spacing w:after="0"/>
        <w:tabs>
          <w:tab w:leader="none" w:pos="13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prescribe, amend and rescind rules and regulations relating to the Plan;</w:t>
      </w:r>
    </w:p>
    <w:p>
      <w:pPr>
        <w:spacing w:after="0" w:line="213" w:lineRule="exact"/>
        <w:rPr>
          <w:rFonts w:ascii="Arial" w:cs="Arial" w:eastAsia="Arial" w:hAnsi="Arial"/>
          <w:sz w:val="19"/>
          <w:szCs w:val="19"/>
          <w:color w:val="auto"/>
        </w:rPr>
      </w:pPr>
    </w:p>
    <w:p>
      <w:pPr>
        <w:jc w:val="both"/>
        <w:ind w:left="700" w:right="59" w:hanging="2"/>
        <w:spacing w:after="0" w:line="249" w:lineRule="auto"/>
        <w:tabs>
          <w:tab w:leader="none" w:pos="13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modify or amend each Award, provided that no modification or amendment of an Award shall impair the rights of the Grantee, unless mutually agreed otherwise between the Grantee and the Company, which agreement must be in writing and signed by the Grantee and the Company.</w:t>
      </w:r>
    </w:p>
    <w:p>
      <w:pPr>
        <w:spacing w:after="0" w:line="183"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authorize any person to execute on behalf of the Company any instrument required to effect the grant of an Award previously authorized by the Committee;</w:t>
      </w:r>
    </w:p>
    <w:p>
      <w:pPr>
        <w:spacing w:after="0" w:line="172" w:lineRule="exact"/>
        <w:rPr>
          <w:rFonts w:ascii="Arial" w:cs="Arial" w:eastAsia="Arial" w:hAnsi="Arial"/>
          <w:sz w:val="19"/>
          <w:szCs w:val="19"/>
          <w:color w:val="auto"/>
        </w:rPr>
      </w:pPr>
    </w:p>
    <w:p>
      <w:pPr>
        <w:ind w:left="700" w:right="59" w:hanging="2"/>
        <w:spacing w:after="0" w:line="261" w:lineRule="auto"/>
        <w:tabs>
          <w:tab w:leader="none" w:pos="13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provide any notice or other communication required or permitted by the Plan in either written or electronic form; and</w:t>
      </w:r>
    </w:p>
    <w:p>
      <w:pPr>
        <w:spacing w:after="0" w:line="172" w:lineRule="exact"/>
        <w:rPr>
          <w:rFonts w:ascii="Arial" w:cs="Arial" w:eastAsia="Arial" w:hAnsi="Arial"/>
          <w:sz w:val="19"/>
          <w:szCs w:val="19"/>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The interpretation and construction by the Committee of any provision of this Plan or of any Award Agreement and any determination by the Committee pursuant to any provision of this Plan or any such agreement, notification or document, shall be final and conclusive. No member of the Committee shall be liable to any person for any such action taken or determination made in good faith.</w:t>
      </w:r>
    </w:p>
    <w:p>
      <w:pPr>
        <w:spacing w:after="0" w:line="173" w:lineRule="exact"/>
        <w:rPr>
          <w:sz w:val="20"/>
          <w:szCs w:val="20"/>
          <w:color w:val="auto"/>
        </w:rPr>
      </w:pPr>
    </w:p>
    <w:p>
      <w:pPr>
        <w:jc w:val="both"/>
        <w:ind w:left="700" w:right="59" w:hanging="650"/>
        <w:spacing w:after="0" w:line="249" w:lineRule="auto"/>
        <w:tabs>
          <w:tab w:leader="none" w:pos="70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Options</w:t>
      </w:r>
      <w:r>
        <w:rPr>
          <w:rFonts w:ascii="Arial" w:cs="Arial" w:eastAsia="Arial" w:hAnsi="Arial"/>
          <w:sz w:val="19"/>
          <w:szCs w:val="19"/>
          <w:color w:val="auto"/>
        </w:rPr>
        <w:t>. The Committee may from time to time authorize grants to Grantees of Options to purchase Shares upon such terms and conditions as the Committee may determine in accordance with the following provisions:</w:t>
      </w:r>
    </w:p>
    <w:p>
      <w:pPr>
        <w:spacing w:after="0" w:line="183" w:lineRule="exact"/>
        <w:rPr>
          <w:rFonts w:ascii="Arial" w:cs="Arial" w:eastAsia="Arial" w:hAnsi="Arial"/>
          <w:sz w:val="19"/>
          <w:szCs w:val="19"/>
          <w:color w:val="auto"/>
        </w:rPr>
      </w:pPr>
    </w:p>
    <w:p>
      <w:pPr>
        <w:ind w:left="1340" w:hanging="642"/>
        <w:spacing w:after="0"/>
        <w:tabs>
          <w:tab w:leader="none" w:pos="1340"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Number of Shares</w:t>
      </w:r>
      <w:r>
        <w:rPr>
          <w:rFonts w:ascii="Arial" w:cs="Arial" w:eastAsia="Arial" w:hAnsi="Arial"/>
          <w:sz w:val="19"/>
          <w:szCs w:val="19"/>
          <w:color w:val="auto"/>
        </w:rPr>
        <w:t>. Each grant shall specify the number of Shares to which it pertains.</w:t>
      </w:r>
    </w:p>
    <w:p>
      <w:pPr>
        <w:spacing w:after="0" w:line="213" w:lineRule="exact"/>
        <w:rPr>
          <w:rFonts w:ascii="Arial" w:cs="Arial" w:eastAsia="Arial" w:hAnsi="Arial"/>
          <w:sz w:val="19"/>
          <w:szCs w:val="19"/>
          <w:color w:val="auto"/>
        </w:rPr>
      </w:pPr>
    </w:p>
    <w:p>
      <w:pPr>
        <w:jc w:val="both"/>
        <w:ind w:left="700" w:right="59" w:hanging="2"/>
        <w:spacing w:after="0" w:line="269" w:lineRule="auto"/>
        <w:tabs>
          <w:tab w:leader="none" w:pos="1348"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Each grant shall specify an Option Price per Share, which shall be equal to or greater than the Fair Market Value per Share on the Grant Date (or equal to or greater than 110% of the Fair Market Value with respect to Incentive Stock Options granted to Ten Percent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600710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59" w:name="page60"/>
    <w:bookmarkEnd w:id="59"/>
    <w:p>
      <w:pPr>
        <w:jc w:val="both"/>
        <w:ind w:left="700" w:right="59" w:hanging="2"/>
        <w:spacing w:after="0" w:line="256" w:lineRule="auto"/>
        <w:tabs>
          <w:tab w:leader="none" w:pos="1348"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Each grant shall specify the form of consideration to be paid in satisfaction of the Option Price and the manner of payment of such consideration, which may include (i) cash in the form of currency or check or other cash equivalent acceptable to the Company, (ii) nonforfeitable, unrestricted Shares owned by the Grantee at the time of exercise and for at least six (6) months prior to the time of exercise and which have a value at the time of exercise that is equal to the Option Price, (iii) any other legal consideration that the Committee may deem appropriate on such basis as the Committee may determine in accordance with this Plan, or (iv) any combination of the foregoing.</w:t>
      </w:r>
    </w:p>
    <w:p>
      <w:pPr>
        <w:spacing w:after="0" w:line="182" w:lineRule="exact"/>
        <w:rPr>
          <w:rFonts w:ascii="Arial" w:cs="Arial" w:eastAsia="Arial" w:hAnsi="Arial"/>
          <w:sz w:val="18"/>
          <w:szCs w:val="18"/>
          <w:color w:val="auto"/>
        </w:rPr>
      </w:pPr>
    </w:p>
    <w:p>
      <w:pPr>
        <w:jc w:val="both"/>
        <w:ind w:left="700" w:right="59" w:hanging="2"/>
        <w:spacing w:after="0" w:line="249" w:lineRule="auto"/>
        <w:tabs>
          <w:tab w:leader="none" w:pos="134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Cashless Exercise</w:t>
      </w:r>
      <w:r>
        <w:rPr>
          <w:rFonts w:ascii="Arial" w:cs="Arial" w:eastAsia="Arial" w:hAnsi="Arial"/>
          <w:sz w:val="19"/>
          <w:szCs w:val="19"/>
          <w:color w:val="auto"/>
        </w:rPr>
        <w:t>. To the extent permitted by applicable law, any grant may provide for deferred payment of the Option Price from the proceeds of sale through a bank or broker on the date of exercise of some or all of the Shares to which the exercise relates.</w:t>
      </w:r>
    </w:p>
    <w:p>
      <w:pPr>
        <w:spacing w:after="0" w:line="183" w:lineRule="exact"/>
        <w:rPr>
          <w:rFonts w:ascii="Arial" w:cs="Arial" w:eastAsia="Arial" w:hAnsi="Arial"/>
          <w:sz w:val="19"/>
          <w:szCs w:val="19"/>
          <w:color w:val="auto"/>
        </w:rPr>
      </w:pPr>
    </w:p>
    <w:p>
      <w:pPr>
        <w:jc w:val="both"/>
        <w:ind w:left="700" w:right="59" w:hanging="2"/>
        <w:spacing w:after="0" w:line="243" w:lineRule="auto"/>
        <w:tabs>
          <w:tab w:leader="none" w:pos="134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Each Option grant may specify a period of continuous employment of the Grantee by the Company or any Subsidiary (or, in the case of a Nonemployee Director, service on the Board) that is necessary before the Options or installments thereof shall become exercisable, and any grant may provide for the earlier exercise of such rights in the event of a change in control of the Company or other similar transaction or event.</w:t>
      </w:r>
    </w:p>
    <w:p>
      <w:pPr>
        <w:spacing w:after="0" w:line="189" w:lineRule="exact"/>
        <w:rPr>
          <w:rFonts w:ascii="Arial" w:cs="Arial" w:eastAsia="Arial" w:hAnsi="Arial"/>
          <w:sz w:val="19"/>
          <w:szCs w:val="19"/>
          <w:color w:val="auto"/>
        </w:rPr>
      </w:pPr>
    </w:p>
    <w:p>
      <w:pPr>
        <w:jc w:val="both"/>
        <w:ind w:left="700" w:right="59" w:hanging="2"/>
        <w:spacing w:after="0"/>
        <w:tabs>
          <w:tab w:leader="none" w:pos="134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ISO Dollar Limitation</w:t>
      </w:r>
      <w:r>
        <w:rPr>
          <w:rFonts w:ascii="Arial" w:cs="Arial" w:eastAsia="Arial" w:hAnsi="Arial"/>
          <w:sz w:val="19"/>
          <w:szCs w:val="19"/>
          <w:color w:val="auto"/>
        </w:rPr>
        <w:t>. Options granted under this Plan may be Incentive Stock Options, Nonqualified Stock Options or a combination of the foregoing, provided that only Nonqualified Stock Options may be granted to Nonemployee Directors. Each grant shall specify whether (or the extent to which) the Option is an Incentive Stock Option or a Nonqualified Stock Option. Notwithstanding any such designation, to the extent that the aggregate Fair Market Value of the Shares as of the Grant Date with respect to which Options designated as Incentive Stock Options are exercisable for the first time by a Grantee during any calendar year (under all plans of the Company) exceeds $100,000, such Options shall be treated as Nonqualified Stock Options.</w:t>
      </w:r>
    </w:p>
    <w:p>
      <w:pPr>
        <w:spacing w:after="0" w:line="196" w:lineRule="exact"/>
        <w:rPr>
          <w:rFonts w:ascii="Arial" w:cs="Arial" w:eastAsia="Arial" w:hAnsi="Arial"/>
          <w:sz w:val="19"/>
          <w:szCs w:val="19"/>
          <w:color w:val="auto"/>
        </w:rPr>
      </w:pPr>
    </w:p>
    <w:p>
      <w:pPr>
        <w:ind w:left="700" w:right="59" w:hanging="2"/>
        <w:spacing w:after="0" w:line="261" w:lineRule="auto"/>
        <w:tabs>
          <w:tab w:leader="none" w:pos="134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Exercise Period</w:t>
      </w:r>
      <w:r>
        <w:rPr>
          <w:rFonts w:ascii="Arial" w:cs="Arial" w:eastAsia="Arial" w:hAnsi="Arial"/>
          <w:sz w:val="19"/>
          <w:szCs w:val="19"/>
          <w:color w:val="auto"/>
        </w:rPr>
        <w:t>. No Option granted under this Plan may be exercised more than ten years from the Grant Date (or five years from the Grant Date for a Ten Percent Stockholder).</w:t>
      </w:r>
    </w:p>
    <w:p>
      <w:pPr>
        <w:spacing w:after="0" w:line="172" w:lineRule="exact"/>
        <w:rPr>
          <w:rFonts w:ascii="Arial" w:cs="Arial" w:eastAsia="Arial" w:hAnsi="Arial"/>
          <w:sz w:val="19"/>
          <w:szCs w:val="19"/>
          <w:color w:val="auto"/>
        </w:rPr>
      </w:pPr>
    </w:p>
    <w:p>
      <w:pPr>
        <w:ind w:left="700" w:right="59" w:hanging="2"/>
        <w:spacing w:after="0" w:line="261" w:lineRule="auto"/>
        <w:tabs>
          <w:tab w:leader="none" w:pos="134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Award Agreement</w:t>
      </w:r>
      <w:r>
        <w:rPr>
          <w:rFonts w:ascii="Arial" w:cs="Arial" w:eastAsia="Arial" w:hAnsi="Arial"/>
          <w:sz w:val="19"/>
          <w:szCs w:val="19"/>
          <w:color w:val="auto"/>
        </w:rPr>
        <w:t>. Each grant shall be evidenced by an Award Agreement containing such terms and provisions as the Committee may determine consistent with this Plan.</w:t>
      </w:r>
    </w:p>
    <w:p>
      <w:pPr>
        <w:spacing w:after="0" w:line="172" w:lineRule="exact"/>
        <w:rPr>
          <w:rFonts w:ascii="Arial" w:cs="Arial" w:eastAsia="Arial" w:hAnsi="Arial"/>
          <w:sz w:val="19"/>
          <w:szCs w:val="19"/>
          <w:color w:val="auto"/>
        </w:rPr>
      </w:pPr>
    </w:p>
    <w:p>
      <w:pPr>
        <w:jc w:val="both"/>
        <w:ind w:left="700" w:right="59" w:hanging="650"/>
        <w:spacing w:after="0" w:line="242" w:lineRule="auto"/>
        <w:tabs>
          <w:tab w:leader="none" w:pos="70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Stock Appreciation Rights</w:t>
      </w:r>
      <w:r>
        <w:rPr>
          <w:rFonts w:ascii="Arial" w:cs="Arial" w:eastAsia="Arial" w:hAnsi="Arial"/>
          <w:sz w:val="19"/>
          <w:szCs w:val="19"/>
          <w:color w:val="auto"/>
        </w:rPr>
        <w:t>. The Committee may from time to time authorize grants to Grantees of Stock Appreciation Rights. A Stock Appreciation Right is the right of the Grantee to receive from the Company an amount, which shall be determined by the Committee and shall be expressed as a percentage (not exceeding 100 percent) of the Spread at the time of the exercise of such right. Any grant of Stock Appreciation Rights under this Plan shall be upon such terms and conditions as the Committee may determine in accordance with the following provisions:</w:t>
      </w:r>
    </w:p>
    <w:p>
      <w:pPr>
        <w:spacing w:after="0" w:line="190" w:lineRule="exact"/>
        <w:rPr>
          <w:rFonts w:ascii="Arial" w:cs="Arial" w:eastAsia="Arial" w:hAnsi="Arial"/>
          <w:sz w:val="19"/>
          <w:szCs w:val="19"/>
          <w:color w:val="auto"/>
        </w:rPr>
      </w:pPr>
    </w:p>
    <w:p>
      <w:pPr>
        <w:ind w:left="700" w:right="59" w:hanging="2"/>
        <w:spacing w:after="0" w:line="261" w:lineRule="auto"/>
        <w:tabs>
          <w:tab w:leader="none" w:pos="1348"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Payment in Shares</w:t>
      </w:r>
      <w:r>
        <w:rPr>
          <w:rFonts w:ascii="Arial" w:cs="Arial" w:eastAsia="Arial" w:hAnsi="Arial"/>
          <w:sz w:val="19"/>
          <w:szCs w:val="19"/>
          <w:color w:val="auto"/>
        </w:rPr>
        <w:t>. Each grant shall specify that the amount payable upon the exercise of a Stock Appreciation Right shall be paid by the Company in Shares.</w:t>
      </w:r>
    </w:p>
    <w:p>
      <w:pPr>
        <w:spacing w:after="0" w:line="172" w:lineRule="exact"/>
        <w:rPr>
          <w:rFonts w:ascii="Arial" w:cs="Arial" w:eastAsia="Arial" w:hAnsi="Arial"/>
          <w:sz w:val="19"/>
          <w:szCs w:val="19"/>
          <w:color w:val="auto"/>
        </w:rPr>
      </w:pPr>
    </w:p>
    <w:p>
      <w:pPr>
        <w:jc w:val="both"/>
        <w:ind w:left="700" w:right="59" w:hanging="2"/>
        <w:spacing w:after="0" w:line="249" w:lineRule="auto"/>
        <w:tabs>
          <w:tab w:leader="none" w:pos="1348"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Exercise Period</w:t>
      </w:r>
      <w:r>
        <w:rPr>
          <w:rFonts w:ascii="Arial" w:cs="Arial" w:eastAsia="Arial" w:hAnsi="Arial"/>
          <w:sz w:val="19"/>
          <w:szCs w:val="19"/>
          <w:color w:val="auto"/>
        </w:rPr>
        <w:t>. Any grant may specify (i) a waiting period or periods before Stock Appreciation Rights shall become exercisable and (ii) permissible dates or periods on or during which Stock Appreciation Rights shall be exercisable.</w:t>
      </w:r>
    </w:p>
    <w:p>
      <w:pPr>
        <w:spacing w:after="0" w:line="183" w:lineRule="exact"/>
        <w:rPr>
          <w:rFonts w:ascii="Arial" w:cs="Arial" w:eastAsia="Arial" w:hAnsi="Arial"/>
          <w:sz w:val="19"/>
          <w:szCs w:val="19"/>
          <w:color w:val="auto"/>
        </w:rPr>
      </w:pPr>
    </w:p>
    <w:p>
      <w:pPr>
        <w:jc w:val="both"/>
        <w:ind w:left="700" w:right="59" w:hanging="2"/>
        <w:spacing w:after="0" w:line="243" w:lineRule="auto"/>
        <w:tabs>
          <w:tab w:leader="none" w:pos="1348"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Award Agreement</w:t>
      </w:r>
      <w:r>
        <w:rPr>
          <w:rFonts w:ascii="Arial" w:cs="Arial" w:eastAsia="Arial" w:hAnsi="Arial"/>
          <w:sz w:val="19"/>
          <w:szCs w:val="19"/>
          <w:color w:val="auto"/>
        </w:rPr>
        <w:t>. Each grant shall be evidenced by an Award Agreement which shall describe the subject Stock Appreciation Rights, specify the Base Price (which shall be equal to or greater than the Fair Market Value on the Grant Date), state that the Stock Appreciation Rights are subject to all of the terms and conditions of this Plan and contain such other terms and provisions as the Committee may determine consistent with this Plan.</w:t>
      </w:r>
    </w:p>
    <w:p>
      <w:pPr>
        <w:spacing w:after="0" w:line="189" w:lineRule="exact"/>
        <w:rPr>
          <w:rFonts w:ascii="Arial" w:cs="Arial" w:eastAsia="Arial" w:hAnsi="Arial"/>
          <w:sz w:val="19"/>
          <w:szCs w:val="19"/>
          <w:color w:val="auto"/>
        </w:rPr>
      </w:pPr>
    </w:p>
    <w:p>
      <w:pPr>
        <w:ind w:left="700" w:right="59" w:hanging="2"/>
        <w:spacing w:after="0" w:line="261" w:lineRule="auto"/>
        <w:tabs>
          <w:tab w:leader="none" w:pos="1348"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Exercise Period</w:t>
      </w:r>
      <w:r>
        <w:rPr>
          <w:rFonts w:ascii="Arial" w:cs="Arial" w:eastAsia="Arial" w:hAnsi="Arial"/>
          <w:sz w:val="19"/>
          <w:szCs w:val="19"/>
          <w:color w:val="auto"/>
        </w:rPr>
        <w:t>. No Stock Appreciation Right granted under this Plan may be exercised more than ten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603885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0" w:name="page61"/>
    <w:bookmarkEnd w:id="60"/>
    <w:p>
      <w:pPr>
        <w:jc w:val="both"/>
        <w:ind w:left="700" w:right="59" w:hanging="650"/>
        <w:spacing w:after="0" w:line="249" w:lineRule="auto"/>
        <w:tabs>
          <w:tab w:leader="none" w:pos="7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Restricted Shares and Restricted Share Units</w:t>
      </w:r>
      <w:r>
        <w:rPr>
          <w:rFonts w:ascii="Arial" w:cs="Arial" w:eastAsia="Arial" w:hAnsi="Arial"/>
          <w:sz w:val="19"/>
          <w:szCs w:val="19"/>
          <w:color w:val="auto"/>
        </w:rPr>
        <w:t>. The Committee may from time to time authorize grants to Grantees of Restricted Shares and Restricted Share Units upon such terms and conditions as the Committee may determine in accordance with the following provisions:</w:t>
      </w:r>
    </w:p>
    <w:p>
      <w:pPr>
        <w:spacing w:after="0" w:line="183" w:lineRule="exact"/>
        <w:rPr>
          <w:rFonts w:ascii="Arial" w:cs="Arial" w:eastAsia="Arial" w:hAnsi="Arial"/>
          <w:sz w:val="19"/>
          <w:szCs w:val="19"/>
          <w:color w:val="auto"/>
        </w:rPr>
      </w:pPr>
    </w:p>
    <w:p>
      <w:pPr>
        <w:jc w:val="both"/>
        <w:ind w:left="700" w:right="59" w:hanging="2"/>
        <w:spacing w:after="0" w:line="270" w:lineRule="auto"/>
        <w:tabs>
          <w:tab w:leader="none" w:pos="1348"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Transfer of Shares</w:t>
      </w:r>
      <w:r>
        <w:rPr>
          <w:rFonts w:ascii="Arial" w:cs="Arial" w:eastAsia="Arial" w:hAnsi="Arial"/>
          <w:sz w:val="17"/>
          <w:szCs w:val="17"/>
          <w:color w:val="auto"/>
        </w:rPr>
        <w:t>. Each grant of Restricted Shares shall constitute an immediate transfer of the ownership of Shares to the Grantee in consideration of the performance of services, subject to the substantial risk of forfeiture and restrictions on transfer hereinafter referred to. Upon expiration of the restriction period and satisfaction of any other terms or conditions and as set forth in the Restricted Share Award Agreement, the Restricted Share shall immediately become nonforfeitable and the Shares underlying such award of Restricted Shares shall be released by the Company to the Grantee without restrictions on transfer. The Shares released by the Company hereunder may at the Company’s option be either (i) evidenced by a certificate registered in the name of the Grantee or his or her designee; or (ii) credited to a book-entry account for the benefit of the Grantee maintained by the Company’s stock transfer agent or its designee. Restricted Share Units shall become payable to a Grantee in Shares at the time or times determined by the Committee and set forth in the Restricted Share Unit Award Agreement.</w:t>
      </w:r>
    </w:p>
    <w:p>
      <w:pPr>
        <w:spacing w:after="0" w:line="173" w:lineRule="exact"/>
        <w:rPr>
          <w:rFonts w:ascii="Arial" w:cs="Arial" w:eastAsia="Arial" w:hAnsi="Arial"/>
          <w:sz w:val="17"/>
          <w:szCs w:val="17"/>
          <w:color w:val="auto"/>
        </w:rPr>
      </w:pPr>
    </w:p>
    <w:p>
      <w:pPr>
        <w:ind w:left="700" w:right="59" w:hanging="2"/>
        <w:spacing w:after="0" w:line="289" w:lineRule="auto"/>
        <w:tabs>
          <w:tab w:leader="none" w:pos="1348"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Each grant may be made without additional consideration from the Grantee or in consideration of a payment by the Grantee that is less than the Fair Market Value on the Grant Date.</w:t>
      </w:r>
    </w:p>
    <w:p>
      <w:pPr>
        <w:spacing w:after="0" w:line="149" w:lineRule="exact"/>
        <w:rPr>
          <w:rFonts w:ascii="Arial" w:cs="Arial" w:eastAsia="Arial" w:hAnsi="Arial"/>
          <w:sz w:val="18"/>
          <w:szCs w:val="18"/>
          <w:color w:val="auto"/>
        </w:rPr>
      </w:pPr>
    </w:p>
    <w:p>
      <w:pPr>
        <w:jc w:val="both"/>
        <w:ind w:left="700" w:right="59" w:hanging="2"/>
        <w:spacing w:after="0" w:line="272" w:lineRule="auto"/>
        <w:tabs>
          <w:tab w:leader="none" w:pos="1348"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Substantial Risk of Forfeiture</w:t>
      </w:r>
      <w:r>
        <w:rPr>
          <w:rFonts w:ascii="Arial" w:cs="Arial" w:eastAsia="Arial" w:hAnsi="Arial"/>
          <w:sz w:val="17"/>
          <w:szCs w:val="17"/>
          <w:color w:val="auto"/>
        </w:rPr>
        <w:t>. Each grant shall provide that the Restricted Shares or Restricted Share Units covered thereby shall be subject to a “substantial risk of forfeiture” within the meaning of Code Section 83 for a period to be determined by the Committee on the Grant Date, and any grant or sale may provide for the earlier termination of such risk of forfeiture in the event of a Change in Control of the Company or other similar transaction or event. If a Grantee ceases to be an Employee or a Nonemployee Director, the number of Shares subject to the Award, if any, to which the Grantee shall be entitled shall be determined in accordance with the applicable Award Agreement. All remaining Shares underlying Restricted Shares or Restricted Share Units as to which restrictions apply at the date of termination of employment or service shall be forfeited subject to such exceptions, if any, authorized by the Committee.</w:t>
      </w:r>
    </w:p>
    <w:p>
      <w:pPr>
        <w:spacing w:after="0" w:line="166" w:lineRule="exact"/>
        <w:rPr>
          <w:rFonts w:ascii="Arial" w:cs="Arial" w:eastAsia="Arial" w:hAnsi="Arial"/>
          <w:sz w:val="17"/>
          <w:szCs w:val="17"/>
          <w:color w:val="auto"/>
        </w:rPr>
      </w:pPr>
    </w:p>
    <w:p>
      <w:pPr>
        <w:jc w:val="both"/>
        <w:ind w:left="700" w:right="59" w:hanging="2"/>
        <w:spacing w:after="0" w:line="269" w:lineRule="auto"/>
        <w:tabs>
          <w:tab w:leader="none" w:pos="1348"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Unless otherwise determined by the Committee, an Award of Restricted Shares shall entitle the Grantee to voting rights during the period for which such substantial risk of forfeiture is to continue. Unless otherwise determined by the Committee, a Grantee shall not have any rights as a stockholder with respect to Shares underlying an Award of Restricted Share Unit until such time, if any, as the underlying Shares are actually issued to the Grantee, which may, at the option of the Company be either</w:t>
      </w:r>
    </w:p>
    <w:p>
      <w:pPr>
        <w:jc w:val="both"/>
        <w:ind w:left="700" w:right="59" w:hanging="2"/>
        <w:spacing w:after="0"/>
        <w:tabs>
          <w:tab w:leader="none" w:pos="934" w:val="left"/>
        </w:tabs>
        <w:numPr>
          <w:ilvl w:val="1"/>
          <w:numId w:val="41"/>
        </w:numPr>
        <w:rPr>
          <w:rFonts w:ascii="Arial" w:cs="Arial" w:eastAsia="Arial" w:hAnsi="Arial"/>
          <w:sz w:val="19"/>
          <w:szCs w:val="19"/>
          <w:color w:val="auto"/>
        </w:rPr>
      </w:pPr>
      <w:r>
        <w:rPr>
          <w:rFonts w:ascii="Arial" w:cs="Arial" w:eastAsia="Arial" w:hAnsi="Arial"/>
          <w:sz w:val="19"/>
          <w:szCs w:val="19"/>
          <w:color w:val="auto"/>
        </w:rPr>
        <w:t>evidenced by delivery of a certificate registered in the name of the Grantee or his or her designee; or (ii) credited to a book-entry account for the benefit of the Grantee maintained by the Company’s stock transfer agent or its designee.</w:t>
      </w:r>
    </w:p>
    <w:p>
      <w:pPr>
        <w:spacing w:after="0" w:line="192" w:lineRule="exact"/>
        <w:rPr>
          <w:rFonts w:ascii="Arial" w:cs="Arial" w:eastAsia="Arial" w:hAnsi="Arial"/>
          <w:sz w:val="19"/>
          <w:szCs w:val="19"/>
          <w:color w:val="auto"/>
        </w:rPr>
      </w:pPr>
    </w:p>
    <w:p>
      <w:pPr>
        <w:jc w:val="both"/>
        <w:ind w:left="700" w:right="59" w:hanging="2"/>
        <w:spacing w:after="0" w:line="269" w:lineRule="auto"/>
        <w:tabs>
          <w:tab w:leader="none" w:pos="134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Each grant shall provide that, during the period for which such substantial risk of forfeiture is to continue, the transferability of the Restricted Shares shall be prohibited or restricted in the manner and to the extent prescribed by the Committee on the Grant Date.</w:t>
      </w:r>
    </w:p>
    <w:p>
      <w:pPr>
        <w:spacing w:after="0" w:line="168" w:lineRule="exact"/>
        <w:rPr>
          <w:rFonts w:ascii="Arial" w:cs="Arial" w:eastAsia="Arial" w:hAnsi="Arial"/>
          <w:sz w:val="18"/>
          <w:szCs w:val="18"/>
          <w:color w:val="auto"/>
        </w:rPr>
      </w:pPr>
    </w:p>
    <w:p>
      <w:pPr>
        <w:jc w:val="both"/>
        <w:ind w:left="700" w:right="59" w:hanging="2"/>
        <w:spacing w:after="0" w:line="245" w:lineRule="auto"/>
        <w:tabs>
          <w:tab w:leader="none" w:pos="1348"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Performance-Based Restricted Shares and Restricted Share Units</w:t>
      </w:r>
      <w:r>
        <w:rPr>
          <w:rFonts w:ascii="Arial" w:cs="Arial" w:eastAsia="Arial" w:hAnsi="Arial"/>
          <w:sz w:val="19"/>
          <w:szCs w:val="19"/>
          <w:color w:val="auto"/>
        </w:rPr>
        <w:t>. Any grant or the vesting thereof may be further conditioned upon the attainment of Performance Objectives established by the Committee in accordance with the applicable provisions of Section 8 of the Plan regarding Performance Shares and Performance Units.</w:t>
      </w:r>
    </w:p>
    <w:p>
      <w:pPr>
        <w:spacing w:after="0" w:line="187" w:lineRule="exact"/>
        <w:rPr>
          <w:rFonts w:ascii="Arial" w:cs="Arial" w:eastAsia="Arial" w:hAnsi="Arial"/>
          <w:sz w:val="19"/>
          <w:szCs w:val="19"/>
          <w:color w:val="auto"/>
        </w:rPr>
      </w:pPr>
    </w:p>
    <w:p>
      <w:pPr>
        <w:jc w:val="both"/>
        <w:ind w:left="700" w:right="59" w:hanging="2"/>
        <w:spacing w:after="0" w:line="243" w:lineRule="auto"/>
        <w:tabs>
          <w:tab w:leader="none" w:pos="1348"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Award Agreements</w:t>
      </w:r>
      <w:r>
        <w:rPr>
          <w:rFonts w:ascii="Arial" w:cs="Arial" w:eastAsia="Arial" w:hAnsi="Arial"/>
          <w:sz w:val="19"/>
          <w:szCs w:val="19"/>
          <w:color w:val="auto"/>
        </w:rPr>
        <w:t>. Each grant shall be evidenced by an Award Agreement containing such terms and provisions as the Committee may determine consistent with this Plan. Unless otherwise directed by the Committee, all certificates representing Restricted Shares, together with a stock power that shall be endorsed in blank by the Grantee with respect to such Shares, shall be held in custody by the Company until all restrictions thereon lapse.</w:t>
      </w:r>
    </w:p>
    <w:p>
      <w:pPr>
        <w:spacing w:after="0" w:line="189" w:lineRule="exact"/>
        <w:rPr>
          <w:rFonts w:ascii="Arial" w:cs="Arial" w:eastAsia="Arial" w:hAnsi="Arial"/>
          <w:sz w:val="19"/>
          <w:szCs w:val="19"/>
          <w:color w:val="auto"/>
        </w:rPr>
      </w:pPr>
    </w:p>
    <w:p>
      <w:pPr>
        <w:ind w:left="700" w:right="59" w:hanging="650"/>
        <w:spacing w:after="0" w:line="28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Performance Shares and Performance Units</w:t>
      </w:r>
      <w:r>
        <w:rPr>
          <w:rFonts w:ascii="Arial" w:cs="Arial" w:eastAsia="Arial" w:hAnsi="Arial"/>
          <w:sz w:val="18"/>
          <w:szCs w:val="18"/>
          <w:color w:val="auto"/>
        </w:rPr>
        <w:t>. The Committee may from time to time authorize grants of Performance Shares and Performance Units, which shall become payable to the Grantee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452120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1" w:name="page62"/>
    <w:bookmarkEnd w:id="61"/>
    <w:p>
      <w:pPr>
        <w:ind w:left="700" w:right="59"/>
        <w:spacing w:after="0" w:line="261" w:lineRule="auto"/>
        <w:rPr>
          <w:sz w:val="20"/>
          <w:szCs w:val="20"/>
          <w:color w:val="auto"/>
        </w:rPr>
      </w:pPr>
      <w:r>
        <w:rPr>
          <w:rFonts w:ascii="Arial" w:cs="Arial" w:eastAsia="Arial" w:hAnsi="Arial"/>
          <w:sz w:val="19"/>
          <w:szCs w:val="19"/>
          <w:color w:val="auto"/>
        </w:rPr>
        <w:t>achievement of specified Performance Objectives, upon such terms and conditions as the Committee may determine in accordance with the following provisions:</w:t>
      </w:r>
    </w:p>
    <w:p>
      <w:pPr>
        <w:spacing w:after="0" w:line="173" w:lineRule="exact"/>
        <w:rPr>
          <w:sz w:val="20"/>
          <w:szCs w:val="20"/>
          <w:color w:val="auto"/>
        </w:rPr>
      </w:pPr>
    </w:p>
    <w:p>
      <w:pPr>
        <w:jc w:val="both"/>
        <w:ind w:left="700" w:right="59" w:hanging="2"/>
        <w:spacing w:after="0" w:line="249" w:lineRule="auto"/>
        <w:tabs>
          <w:tab w:leader="none" w:pos="1348"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Number of Performance Shares or Units</w:t>
      </w:r>
      <w:r>
        <w:rPr>
          <w:rFonts w:ascii="Arial" w:cs="Arial" w:eastAsia="Arial" w:hAnsi="Arial"/>
          <w:sz w:val="19"/>
          <w:szCs w:val="19"/>
          <w:color w:val="auto"/>
        </w:rPr>
        <w:t>. Each grant shall specify the number of Performance Shares or Performance Units to which it pertains, which may be subject to adjustment to reflect changes in compensation or other factors.</w:t>
      </w:r>
    </w:p>
    <w:p>
      <w:pPr>
        <w:spacing w:after="0" w:line="183" w:lineRule="exact"/>
        <w:rPr>
          <w:rFonts w:ascii="Arial" w:cs="Arial" w:eastAsia="Arial" w:hAnsi="Arial"/>
          <w:sz w:val="19"/>
          <w:szCs w:val="19"/>
          <w:color w:val="auto"/>
        </w:rPr>
      </w:pPr>
    </w:p>
    <w:p>
      <w:pPr>
        <w:jc w:val="both"/>
        <w:ind w:left="700" w:right="59" w:hanging="2"/>
        <w:spacing w:after="0" w:line="269" w:lineRule="auto"/>
        <w:tabs>
          <w:tab w:leader="none" w:pos="134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The Performance Period with respect to each Performance Share or Performance Unit shall be set forth in the Award Agreement and may be subject to earlier termination in the event of a change in control of the Company or other similar transaction or event.</w:t>
      </w:r>
    </w:p>
    <w:p>
      <w:pPr>
        <w:spacing w:after="0" w:line="168" w:lineRule="exact"/>
        <w:rPr>
          <w:rFonts w:ascii="Arial" w:cs="Arial" w:eastAsia="Arial" w:hAnsi="Arial"/>
          <w:sz w:val="18"/>
          <w:szCs w:val="18"/>
          <w:color w:val="auto"/>
        </w:rPr>
      </w:pPr>
    </w:p>
    <w:p>
      <w:pPr>
        <w:ind w:left="700" w:right="59" w:hanging="2"/>
        <w:spacing w:after="0" w:line="261" w:lineRule="auto"/>
        <w:tabs>
          <w:tab w:leader="none" w:pos="1348"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Performance Objectives</w:t>
      </w:r>
      <w:r>
        <w:rPr>
          <w:rFonts w:ascii="Arial" w:cs="Arial" w:eastAsia="Arial" w:hAnsi="Arial"/>
          <w:sz w:val="19"/>
          <w:szCs w:val="19"/>
          <w:color w:val="auto"/>
        </w:rPr>
        <w:t>. Each grant shall specify the Performance Objectives that are to be achieved by the Grantee.</w:t>
      </w:r>
    </w:p>
    <w:p>
      <w:pPr>
        <w:spacing w:after="0" w:line="172" w:lineRule="exact"/>
        <w:rPr>
          <w:rFonts w:ascii="Arial" w:cs="Arial" w:eastAsia="Arial" w:hAnsi="Arial"/>
          <w:sz w:val="19"/>
          <w:szCs w:val="19"/>
          <w:color w:val="auto"/>
        </w:rPr>
      </w:pPr>
    </w:p>
    <w:p>
      <w:pPr>
        <w:jc w:val="both"/>
        <w:ind w:left="700" w:right="59" w:hanging="2"/>
        <w:spacing w:after="0" w:line="243" w:lineRule="auto"/>
        <w:tabs>
          <w:tab w:leader="none" w:pos="1348"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Threshold Performance Objectives</w:t>
      </w:r>
      <w:r>
        <w:rPr>
          <w:rFonts w:ascii="Arial" w:cs="Arial" w:eastAsia="Arial" w:hAnsi="Arial"/>
          <w:sz w:val="19"/>
          <w:szCs w:val="19"/>
          <w:color w:val="auto"/>
        </w:rPr>
        <w:t>. Each grant may specify in respect of the specified Performance Objectives a minimum acceptable level of achievement below which no payment will be made and may set forth a formula for determining the amount of any payment to be made if performance is at or above such minimum acceptable level but falls short of the maximum achievement of the specified Performance Objectives.</w:t>
      </w:r>
    </w:p>
    <w:p>
      <w:pPr>
        <w:spacing w:after="0" w:line="189" w:lineRule="exact"/>
        <w:rPr>
          <w:rFonts w:ascii="Arial" w:cs="Arial" w:eastAsia="Arial" w:hAnsi="Arial"/>
          <w:sz w:val="19"/>
          <w:szCs w:val="19"/>
          <w:color w:val="auto"/>
        </w:rPr>
      </w:pPr>
    </w:p>
    <w:p>
      <w:pPr>
        <w:jc w:val="both"/>
        <w:ind w:left="700" w:right="59" w:hanging="2"/>
        <w:spacing w:after="0" w:line="283" w:lineRule="auto"/>
        <w:tabs>
          <w:tab w:leader="none" w:pos="1348"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Payment of Performance Shares and Units</w:t>
      </w:r>
      <w:r>
        <w:rPr>
          <w:rFonts w:ascii="Arial" w:cs="Arial" w:eastAsia="Arial" w:hAnsi="Arial"/>
          <w:sz w:val="17"/>
          <w:szCs w:val="17"/>
          <w:color w:val="auto"/>
        </w:rPr>
        <w:t>. Each grant shall specify the time and manner of payment of Performance Shares or Performance Units that shall have been earned, and any grant may specify that any such amount may be paid by the Company in cash, Shares or any combination thereof and may either grant to the Grantee or reserve to the Committee the right to elect among those alternatives.</w:t>
      </w:r>
    </w:p>
    <w:p>
      <w:pPr>
        <w:spacing w:after="0" w:line="158" w:lineRule="exact"/>
        <w:rPr>
          <w:rFonts w:ascii="Arial" w:cs="Arial" w:eastAsia="Arial" w:hAnsi="Arial"/>
          <w:sz w:val="17"/>
          <w:szCs w:val="17"/>
          <w:color w:val="auto"/>
        </w:rPr>
      </w:pPr>
    </w:p>
    <w:p>
      <w:pPr>
        <w:jc w:val="both"/>
        <w:ind w:left="700" w:right="59" w:hanging="2"/>
        <w:spacing w:after="0" w:line="263" w:lineRule="auto"/>
        <w:tabs>
          <w:tab w:leader="none" w:pos="134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Maximum Payment</w:t>
      </w:r>
      <w:r>
        <w:rPr>
          <w:rFonts w:ascii="Arial" w:cs="Arial" w:eastAsia="Arial" w:hAnsi="Arial"/>
          <w:sz w:val="18"/>
          <w:szCs w:val="18"/>
          <w:color w:val="auto"/>
        </w:rPr>
        <w:t>. Any grant of Performance Shares may specify that the amount payable with respect thereto may not exceed a maximum specified by the Committee on the Grant Date. Any grant of Performance Units may specify that the amount payable, or the number of Shares issued, with respect thereto may not exceed maximums specified by the Committee on the Grant Date.</w:t>
      </w:r>
    </w:p>
    <w:p>
      <w:pPr>
        <w:spacing w:after="0" w:line="172" w:lineRule="exact"/>
        <w:rPr>
          <w:rFonts w:ascii="Arial" w:cs="Arial" w:eastAsia="Arial" w:hAnsi="Arial"/>
          <w:sz w:val="18"/>
          <w:szCs w:val="18"/>
          <w:color w:val="auto"/>
        </w:rPr>
      </w:pPr>
    </w:p>
    <w:p>
      <w:pPr>
        <w:jc w:val="both"/>
        <w:ind w:left="700" w:right="59" w:hanging="2"/>
        <w:spacing w:after="0" w:line="256" w:lineRule="auto"/>
        <w:tabs>
          <w:tab w:leader="none" w:pos="134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Subject to Section 17(g), any grant of Performance Shares may provide for the payment to the Grantee of dividend equivalents thereon in cash or additional Shares, provided however that the Award Agreement shall provide that the Grantee shall not receive any dividends unless and until such time as the Performance Shares are earned and paid, and provided further that if the payment or crediting of dividends or dividend equivalents is in respect of an Award that is subject to Code Section 409A, then the payment or crediting of such dividends or dividend equivalents shall conform to the requirements of Code Section 409A and such requirements shall be specified in writing.</w:t>
      </w:r>
    </w:p>
    <w:p>
      <w:pPr>
        <w:spacing w:after="0" w:line="182" w:lineRule="exact"/>
        <w:rPr>
          <w:rFonts w:ascii="Arial" w:cs="Arial" w:eastAsia="Arial" w:hAnsi="Arial"/>
          <w:sz w:val="18"/>
          <w:szCs w:val="18"/>
          <w:color w:val="auto"/>
        </w:rPr>
      </w:pPr>
    </w:p>
    <w:p>
      <w:pPr>
        <w:jc w:val="both"/>
        <w:ind w:left="700" w:right="59" w:hanging="2"/>
        <w:spacing w:after="0" w:line="243" w:lineRule="auto"/>
        <w:tabs>
          <w:tab w:leader="none" w:pos="1348"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Adjustment of Performance Objectives</w:t>
      </w:r>
      <w:r>
        <w:rPr>
          <w:rFonts w:ascii="Arial" w:cs="Arial" w:eastAsia="Arial" w:hAnsi="Arial"/>
          <w:sz w:val="19"/>
          <w:szCs w:val="19"/>
          <w:color w:val="auto"/>
        </w:rPr>
        <w:t>. If provided in the terms of the grant, the Committee may adjust Performance Objectives and the related minimum acceptable level of achievement if, in the sole judgment of the Committee, events or transactions have occurred after the Grant Date that are unrelated to the performance of the Grantee and result in distortion of the Performance Objectives or the related minimum acceptable level of achievement.</w:t>
      </w:r>
    </w:p>
    <w:p>
      <w:pPr>
        <w:spacing w:after="0" w:line="189" w:lineRule="exact"/>
        <w:rPr>
          <w:rFonts w:ascii="Arial" w:cs="Arial" w:eastAsia="Arial" w:hAnsi="Arial"/>
          <w:sz w:val="19"/>
          <w:szCs w:val="19"/>
          <w:color w:val="auto"/>
        </w:rPr>
      </w:pPr>
    </w:p>
    <w:p>
      <w:pPr>
        <w:jc w:val="both"/>
        <w:ind w:left="700" w:right="59" w:hanging="2"/>
        <w:spacing w:after="0" w:line="269" w:lineRule="auto"/>
        <w:tabs>
          <w:tab w:leader="none" w:pos="134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grant shall be evidenced by an Award Agreement which shall state that the Performance Shares or Performance Units are subject to all of the terms and conditions of this Plan and such other terms and provisions as the Committee may determine consistent with this Plan.</w:t>
      </w:r>
    </w:p>
    <w:p>
      <w:pPr>
        <w:spacing w:after="0" w:line="168" w:lineRule="exact"/>
        <w:rPr>
          <w:rFonts w:ascii="Arial" w:cs="Arial" w:eastAsia="Arial" w:hAnsi="Arial"/>
          <w:sz w:val="18"/>
          <w:szCs w:val="18"/>
          <w:color w:val="auto"/>
        </w:rPr>
      </w:pPr>
    </w:p>
    <w:p>
      <w:pPr>
        <w:jc w:val="both"/>
        <w:ind w:left="700" w:right="59" w:hanging="650"/>
        <w:spacing w:after="0" w:line="269"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Cash Awards</w:t>
      </w:r>
      <w:r>
        <w:rPr>
          <w:rFonts w:ascii="Arial" w:cs="Arial" w:eastAsia="Arial" w:hAnsi="Arial"/>
          <w:sz w:val="18"/>
          <w:szCs w:val="18"/>
          <w:color w:val="auto"/>
        </w:rPr>
        <w:t>. The Committee is authorized to grant Cash Awards on a free-standing basis or as an element of, supplement to, or in lieu of any other Award under the Plan to Grantees in such amounts and subject to such other terms as the Committee in its discretion determines to be appropriate.</w:t>
      </w:r>
    </w:p>
    <w:p>
      <w:pPr>
        <w:spacing w:after="0" w:line="168" w:lineRule="exact"/>
        <w:rPr>
          <w:rFonts w:ascii="Arial" w:cs="Arial" w:eastAsia="Arial" w:hAnsi="Arial"/>
          <w:sz w:val="18"/>
          <w:szCs w:val="18"/>
          <w:color w:val="auto"/>
        </w:rPr>
      </w:pPr>
    </w:p>
    <w:p>
      <w:pPr>
        <w:jc w:val="both"/>
        <w:ind w:left="700" w:right="59" w:hanging="650"/>
        <w:spacing w:after="0" w:line="292" w:lineRule="auto"/>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Stock Payments</w:t>
      </w:r>
      <w:r>
        <w:rPr>
          <w:rFonts w:ascii="Arial" w:cs="Arial" w:eastAsia="Arial" w:hAnsi="Arial"/>
          <w:sz w:val="17"/>
          <w:szCs w:val="17"/>
          <w:color w:val="auto"/>
        </w:rPr>
        <w:t>. If not prohibited by applicable law, the Committee may from time to time issue unrestricted Shares to Grantees, in such amounts and subject to such terms and conditions as the Committee shall from time to time in its sole discretion determine. A Stock Payment may be granted as, or in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452755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2" w:name="page63"/>
    <w:bookmarkEnd w:id="62"/>
    <w:p>
      <w:pPr>
        <w:ind w:left="700" w:right="59"/>
        <w:spacing w:after="0" w:line="261" w:lineRule="auto"/>
        <w:rPr>
          <w:sz w:val="20"/>
          <w:szCs w:val="20"/>
          <w:color w:val="auto"/>
        </w:rPr>
      </w:pPr>
      <w:r>
        <w:rPr>
          <w:rFonts w:ascii="Arial" w:cs="Arial" w:eastAsia="Arial" w:hAnsi="Arial"/>
          <w:sz w:val="19"/>
          <w:szCs w:val="19"/>
          <w:color w:val="auto"/>
        </w:rPr>
        <w:t>Nonemployee Director fees, bonuses, or to provide incentives or recognize special achievements or contributions.</w:t>
      </w:r>
    </w:p>
    <w:p>
      <w:pPr>
        <w:spacing w:after="0" w:line="173" w:lineRule="exact"/>
        <w:rPr>
          <w:sz w:val="20"/>
          <w:szCs w:val="20"/>
          <w:color w:val="auto"/>
        </w:rPr>
      </w:pPr>
    </w:p>
    <w:p>
      <w:pPr>
        <w:jc w:val="both"/>
        <w:ind w:left="700" w:right="59" w:hanging="650"/>
        <w:spacing w:after="0" w:line="256"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Reduction or Elimination of Qualified Performance-Based Awards</w:t>
      </w:r>
      <w:r>
        <w:rPr>
          <w:rFonts w:ascii="Arial" w:cs="Arial" w:eastAsia="Arial" w:hAnsi="Arial"/>
          <w:sz w:val="18"/>
          <w:szCs w:val="18"/>
          <w:color w:val="auto"/>
        </w:rPr>
        <w:t>. In determining the actual amount to be paid with respect to a Qualified Performance-Based Award, the Committee may reduce or eliminate the amount payable through the use of Negative Discretion if, in its sole judgment, such reduction or elimination is appropriate. For the avoidance of doubt, the Committee shall not have the discretion to (i) grant or provide for a payment in respect of a Qualified Performance-Based Award to the extent the applicable Performance Objectives for the Performance Period have not been attained, or (ii) pay any amount in excess of the limitations set forth in Section 3(e) of the Plan.</w:t>
      </w:r>
    </w:p>
    <w:p>
      <w:pPr>
        <w:spacing w:after="0" w:line="182" w:lineRule="exact"/>
        <w:rPr>
          <w:rFonts w:ascii="Arial" w:cs="Arial" w:eastAsia="Arial" w:hAnsi="Arial"/>
          <w:sz w:val="18"/>
          <w:szCs w:val="18"/>
          <w:color w:val="auto"/>
        </w:rPr>
      </w:pPr>
    </w:p>
    <w:p>
      <w:pPr>
        <w:jc w:val="both"/>
        <w:ind w:left="700" w:right="59" w:hanging="650"/>
        <w:spacing w:after="0" w:line="278" w:lineRule="auto"/>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Clawback</w:t>
      </w:r>
      <w:r>
        <w:rPr>
          <w:rFonts w:ascii="Arial" w:cs="Arial" w:eastAsia="Arial" w:hAnsi="Arial"/>
          <w:sz w:val="17"/>
          <w:szCs w:val="17"/>
          <w:color w:val="auto"/>
        </w:rPr>
        <w:t>. Notwithstanding anything to the contrary herein, any Award or any payment made in respect of any Award that is subject to recovery under any law, government regulation, exchange listing requirement or Company policy will be subject to such deductions and/or recoupment by the Company as may be required pursuant to such law, government regulation, exchange listing requirement or Company policy (or any policy adopted by the Company pursuant to any such law, government regulation or exchange listing requirement).</w:t>
      </w:r>
    </w:p>
    <w:p>
      <w:pPr>
        <w:spacing w:after="0" w:line="163" w:lineRule="exact"/>
        <w:rPr>
          <w:rFonts w:ascii="Arial" w:cs="Arial" w:eastAsia="Arial" w:hAnsi="Arial"/>
          <w:sz w:val="17"/>
          <w:szCs w:val="17"/>
          <w:color w:val="auto"/>
        </w:rPr>
      </w:pPr>
    </w:p>
    <w:p>
      <w:pPr>
        <w:jc w:val="both"/>
        <w:ind w:left="700" w:right="59" w:hanging="650"/>
        <w:spacing w:after="0" w:line="278" w:lineRule="auto"/>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this Plan shall be transferable by a Grantee other than by will or the laws of descent and distribution, and Options and Stock Appreciation Rights shall be exercisable during a Grantee’s lifetime only by the Grantee or, in the event of the Grantee’s legal incapacity, by his guardian or legal representative acting in a fiduciary capacity on behalf of the Grantee under state law. Any attempt to transfer an Award in violation of this Plan shall render such Award null and void.</w:t>
      </w:r>
    </w:p>
    <w:p>
      <w:pPr>
        <w:spacing w:after="0" w:line="163" w:lineRule="exact"/>
        <w:rPr>
          <w:rFonts w:ascii="Arial" w:cs="Arial" w:eastAsia="Arial" w:hAnsi="Arial"/>
          <w:sz w:val="17"/>
          <w:szCs w:val="17"/>
          <w:color w:val="auto"/>
        </w:rPr>
      </w:pPr>
    </w:p>
    <w:p>
      <w:pPr>
        <w:jc w:val="both"/>
        <w:ind w:left="700" w:right="59" w:hanging="650"/>
        <w:spacing w:after="0" w:line="269" w:lineRule="auto"/>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The Committee shall make or provide for such adjustments in the (a) number of Shares or cash covered by outstanding Awards, (b) prices per share applicable to outstanding Options and Stock Appreciation Rights, and (c) kind of shares covered by Awards (including shares of another issuer), as the Committee determines in good faith to be equitably required in order to prevent dilution or enlargement of the rights of Grantees that otherwise would result from (x) any stock dividend, stock split, combination or exchange of Shares, recapitalization or other change in the capital structure of the Company, (y) any merger, consolidation, spin-off, spin-out, split-off, split-up, reorganization, partial or complete liquidation or other distribution of assets (other than a normal cash dividend), issuance of rights or warrants to purchase securities or (z) any other corporate transaction or event having an effect similar to any of the foregoing. Moreover, in the event of any such transaction or event, the Committee may provide in substitution for any or all outstanding Awards under this Plan such alternative consideration as it may in good faith determine to be equitable under the circumstances and may require in connection therewith the surrender of all Awards so replaced. The Committee may also make or provide for such adjustments in each of the limitations specified in Section 3 of the Plan as the Committee in its sole discretion may in good faith determine to be appropriate in order to reflect any transaction or event described in this Section 14.</w:t>
      </w:r>
    </w:p>
    <w:p>
      <w:pPr>
        <w:spacing w:after="0" w:line="169" w:lineRule="exact"/>
        <w:rPr>
          <w:rFonts w:ascii="Arial" w:cs="Arial" w:eastAsia="Arial" w:hAnsi="Arial"/>
          <w:sz w:val="17"/>
          <w:szCs w:val="17"/>
          <w:color w:val="auto"/>
        </w:rPr>
      </w:pPr>
    </w:p>
    <w:p>
      <w:pPr>
        <w:ind w:left="700" w:right="59" w:hanging="650"/>
        <w:spacing w:after="0" w:line="289"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Company shall not be required to issue any fractional Shares pursuant to this Plan. The Committee may provide for the elimination of fractions or for the settlement thereof in cash.</w:t>
      </w:r>
    </w:p>
    <w:p>
      <w:pPr>
        <w:spacing w:after="0" w:line="149" w:lineRule="exact"/>
        <w:rPr>
          <w:rFonts w:ascii="Arial" w:cs="Arial" w:eastAsia="Arial" w:hAnsi="Arial"/>
          <w:sz w:val="18"/>
          <w:szCs w:val="18"/>
          <w:color w:val="auto"/>
        </w:rPr>
      </w:pPr>
    </w:p>
    <w:p>
      <w:pPr>
        <w:jc w:val="both"/>
        <w:ind w:left="700" w:right="59" w:hanging="650"/>
        <w:spacing w:after="0" w:line="242" w:lineRule="auto"/>
        <w:tabs>
          <w:tab w:leader="none" w:pos="70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To the extent that the Company is required to withhold federal, state, local or foreign taxes in connection with any payment made or benefit realized by a Grantee or other person under this Plan, it shall be a condition to the receipt of such payment or the realization of such benefit that the Grantee or such other person make arrangements satisfactory to the Company for payment of all such taxes required to be withheld. At the discretion of the Committee, such arrangements may include relinquishment of a portion of such benefit.</w:t>
      </w:r>
    </w:p>
    <w:p>
      <w:pPr>
        <w:spacing w:after="0" w:line="190" w:lineRule="exact"/>
        <w:rPr>
          <w:rFonts w:ascii="Arial" w:cs="Arial" w:eastAsia="Arial" w:hAnsi="Arial"/>
          <w:sz w:val="19"/>
          <w:szCs w:val="19"/>
          <w:color w:val="auto"/>
        </w:rPr>
      </w:pPr>
    </w:p>
    <w:p>
      <w:pPr>
        <w:ind w:left="700" w:hanging="650"/>
        <w:spacing w:after="0"/>
        <w:tabs>
          <w:tab w:leader="none" w:pos="70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Amendments and Other Matters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700" w:right="59" w:hanging="2"/>
        <w:spacing w:after="0" w:line="283" w:lineRule="auto"/>
        <w:tabs>
          <w:tab w:leader="none" w:pos="1348"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Plan Amendments</w:t>
      </w:r>
      <w:r>
        <w:rPr>
          <w:rFonts w:ascii="Arial" w:cs="Arial" w:eastAsia="Arial" w:hAnsi="Arial"/>
          <w:sz w:val="17"/>
          <w:szCs w:val="17"/>
          <w:color w:val="auto"/>
        </w:rPr>
        <w:t>. This Plan may be amended from time to time by the Board, but no such amendment shall increase any of the limitations specified in Section 3 of the Plan, other than to reflect an adjustment made in accordance with Section 14 of the Plan, without the further approval of the stockholders of the Company. The Board may condition any amendment on the approval of the stockholders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3" w:name="page64"/>
    <w:bookmarkEnd w:id="63"/>
    <w:p>
      <w:pPr>
        <w:jc w:val="both"/>
        <w:ind w:left="700" w:right="59"/>
        <w:spacing w:after="0" w:line="243" w:lineRule="auto"/>
        <w:rPr>
          <w:sz w:val="20"/>
          <w:szCs w:val="20"/>
          <w:color w:val="auto"/>
        </w:rPr>
      </w:pPr>
      <w:r>
        <w:rPr>
          <w:rFonts w:ascii="Arial" w:cs="Arial" w:eastAsia="Arial" w:hAnsi="Arial"/>
          <w:sz w:val="19"/>
          <w:szCs w:val="19"/>
          <w:color w:val="auto"/>
        </w:rPr>
        <w:t>Company if such approval is necessary or deemed advisable with respect to the applicable listing or other requirements of a national securities exchange or other applicable laws, policies or regulations. No amendment, alteration, suspension or termination of the Plan shall impair the rights of any Grantee, unless mutually agreed otherwise between the Grantee and the Company, which agreement must be in writing and signed by the Grantee and the Company.</w:t>
      </w:r>
    </w:p>
    <w:p>
      <w:pPr>
        <w:spacing w:after="0" w:line="190" w:lineRule="exact"/>
        <w:rPr>
          <w:sz w:val="20"/>
          <w:szCs w:val="20"/>
          <w:color w:val="auto"/>
        </w:rPr>
      </w:pPr>
    </w:p>
    <w:p>
      <w:pPr>
        <w:jc w:val="both"/>
        <w:ind w:left="700" w:right="59" w:hanging="2"/>
        <w:spacing w:after="0" w:line="258" w:lineRule="auto"/>
        <w:tabs>
          <w:tab w:leader="none" w:pos="134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Repricing and Cash Buyouts Prohibited</w:t>
      </w:r>
      <w:r>
        <w:rPr>
          <w:rFonts w:ascii="Arial" w:cs="Arial" w:eastAsia="Arial" w:hAnsi="Arial"/>
          <w:sz w:val="18"/>
          <w:szCs w:val="18"/>
          <w:color w:val="auto"/>
        </w:rPr>
        <w:t>. The Committee shall not (i) reprice any outstanding Option or Stock Appreciation Right, directly or indirectly, or (ii) cancel or surrender in exchange for cash or another Award any outstanding Option or Stock Appreciation Right that is “underwater” (i.e., with an Option Price or exercise price, as applicable, that is equal to or greater than the Fair Market Value of a Share), in each case, without the approval of the stockholders of the Company, provided that nothing herein shall prevent the Committee from taking any action provided for in Section 14 of the Plan.</w:t>
      </w:r>
    </w:p>
    <w:p>
      <w:pPr>
        <w:spacing w:after="0" w:line="176" w:lineRule="exact"/>
        <w:rPr>
          <w:rFonts w:ascii="Arial" w:cs="Arial" w:eastAsia="Arial" w:hAnsi="Arial"/>
          <w:sz w:val="18"/>
          <w:szCs w:val="18"/>
          <w:color w:val="auto"/>
        </w:rPr>
      </w:pPr>
    </w:p>
    <w:p>
      <w:pPr>
        <w:jc w:val="both"/>
        <w:ind w:left="700" w:right="59" w:hanging="2"/>
        <w:spacing w:after="0" w:line="245" w:lineRule="auto"/>
        <w:tabs>
          <w:tab w:leader="none" w:pos="1348"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No Employment Right</w:t>
      </w:r>
      <w:r>
        <w:rPr>
          <w:rFonts w:ascii="Arial" w:cs="Arial" w:eastAsia="Arial" w:hAnsi="Arial"/>
          <w:sz w:val="19"/>
          <w:szCs w:val="19"/>
          <w:color w:val="auto"/>
        </w:rPr>
        <w:t>. This Plan shall not confer upon any Grantee any right with respect to continuance of employment or other service with the Company or any Subsidiary and shall not interfere in any way with any right that the Company or any Subsidiary would otherwise have to terminate any Grantee’s employment or other service at any time.</w:t>
      </w:r>
    </w:p>
    <w:p>
      <w:pPr>
        <w:spacing w:after="0" w:line="187" w:lineRule="exact"/>
        <w:rPr>
          <w:rFonts w:ascii="Arial" w:cs="Arial" w:eastAsia="Arial" w:hAnsi="Arial"/>
          <w:sz w:val="19"/>
          <w:szCs w:val="19"/>
          <w:color w:val="auto"/>
        </w:rPr>
      </w:pPr>
    </w:p>
    <w:p>
      <w:pPr>
        <w:jc w:val="both"/>
        <w:ind w:left="700" w:right="59" w:hanging="2"/>
        <w:spacing w:after="0" w:line="263" w:lineRule="auto"/>
        <w:tabs>
          <w:tab w:leader="none" w:pos="134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Tax Qualification</w:t>
      </w:r>
      <w:r>
        <w:rPr>
          <w:rFonts w:ascii="Arial" w:cs="Arial" w:eastAsia="Arial" w:hAnsi="Arial"/>
          <w:sz w:val="18"/>
          <w:szCs w:val="18"/>
          <w:color w:val="auto"/>
        </w:rPr>
        <w:t>. To the extent that any provision of this Plan would prevent any Option that was intended to qualify under particular provisions of the Code from so qualifying, such provision of this Plan shall be null and void with respect to such Option, provided that such provision shall remain in effect with respect to other Options, and there shall be no further effect on any provision of this Plan.</w:t>
      </w:r>
    </w:p>
    <w:p>
      <w:pPr>
        <w:spacing w:after="0" w:line="172" w:lineRule="exact"/>
        <w:rPr>
          <w:rFonts w:ascii="Arial" w:cs="Arial" w:eastAsia="Arial" w:hAnsi="Arial"/>
          <w:sz w:val="18"/>
          <w:szCs w:val="18"/>
          <w:color w:val="auto"/>
        </w:rPr>
      </w:pPr>
    </w:p>
    <w:p>
      <w:pPr>
        <w:jc w:val="both"/>
        <w:ind w:left="700" w:right="59" w:hanging="2"/>
        <w:spacing w:after="0" w:line="245" w:lineRule="auto"/>
        <w:tabs>
          <w:tab w:leader="none" w:pos="1348"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The Committee may, in its sole discretion, provide for immediate and full vesting of an Award upon the occurrence of a Change in Control of the Company. Should the Committee determine to make such a provision with respect to the grant of an Award, a representation to that effect shall be set forth in the Award Agreement.</w:t>
      </w:r>
    </w:p>
    <w:p>
      <w:pPr>
        <w:spacing w:after="0" w:line="187" w:lineRule="exact"/>
        <w:rPr>
          <w:rFonts w:ascii="Arial" w:cs="Arial" w:eastAsia="Arial" w:hAnsi="Arial"/>
          <w:sz w:val="19"/>
          <w:szCs w:val="19"/>
          <w:color w:val="auto"/>
        </w:rPr>
      </w:pPr>
    </w:p>
    <w:p>
      <w:pPr>
        <w:jc w:val="both"/>
        <w:ind w:left="700" w:right="59" w:hanging="2"/>
        <w:spacing w:after="0" w:line="255" w:lineRule="auto"/>
        <w:tabs>
          <w:tab w:leader="none" w:pos="134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Minimum Vesting Requirements</w:t>
      </w:r>
      <w:r>
        <w:rPr>
          <w:rFonts w:ascii="Arial" w:cs="Arial" w:eastAsia="Arial" w:hAnsi="Arial"/>
          <w:sz w:val="18"/>
          <w:szCs w:val="18"/>
          <w:color w:val="auto"/>
        </w:rPr>
        <w:t>. Notwithstanding anything to the contrary contained herein, and subject to Section 17(e), no portion of any Award shall vest over a period of less than one year following the Grant Date (the “</w:t>
      </w:r>
      <w:r>
        <w:rPr>
          <w:rFonts w:ascii="Arial" w:cs="Arial" w:eastAsia="Arial" w:hAnsi="Arial"/>
          <w:sz w:val="18"/>
          <w:szCs w:val="18"/>
          <w:u w:val="single" w:color="auto"/>
          <w:color w:val="auto"/>
        </w:rPr>
        <w:t>Minimum Vesting Requirements</w:t>
      </w:r>
      <w:r>
        <w:rPr>
          <w:rFonts w:ascii="Arial" w:cs="Arial" w:eastAsia="Arial" w:hAnsi="Arial"/>
          <w:sz w:val="18"/>
          <w:szCs w:val="18"/>
          <w:color w:val="auto"/>
        </w:rPr>
        <w:t>”); provided, however, that the Committee may, in its sole discretion, (i) accelerate the vesting of any Award or otherwise lapse or waive the Minimum Vesting Requirements upon (A) the termination of employment of the Grantee or (B) a Change in Control (subject to the requirements of Section 17(e)) and (ii) grant Awards that are not subject to the Minimum Vesting Requirements with respect to 5% or less of the Shares available for issuance under the Plan (as set forth in Section 3(a), as may be adjusted pursuant to Section 14).</w:t>
      </w:r>
    </w:p>
    <w:p>
      <w:pPr>
        <w:spacing w:after="0" w:line="184" w:lineRule="exact"/>
        <w:rPr>
          <w:rFonts w:ascii="Arial" w:cs="Arial" w:eastAsia="Arial" w:hAnsi="Arial"/>
          <w:sz w:val="18"/>
          <w:szCs w:val="18"/>
          <w:color w:val="auto"/>
        </w:rPr>
      </w:pPr>
    </w:p>
    <w:p>
      <w:pPr>
        <w:jc w:val="both"/>
        <w:ind w:left="700" w:right="59" w:hanging="2"/>
        <w:spacing w:after="0" w:line="255" w:lineRule="auto"/>
        <w:tabs>
          <w:tab w:leader="none" w:pos="134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Dividends on Unvested Equity</w:t>
      </w:r>
      <w:r>
        <w:rPr>
          <w:rFonts w:ascii="Arial" w:cs="Arial" w:eastAsia="Arial" w:hAnsi="Arial"/>
          <w:sz w:val="18"/>
          <w:szCs w:val="18"/>
          <w:color w:val="auto"/>
        </w:rPr>
        <w:t>. Any Award (other than Options and Stock Appreciation Rights) may provide for the payment to the Grantee of dividends or dividend equivalents thereon in cash or additional Shares; provided, however, that the Award Agreement shall provide that any dividends or dividend equivalents shall be subject to the same restrictions on vesting and forfeiture as apply to the underlying Award to which such dividends or dividend equivalents relate; provided, further, that, if the payment or crediting of dividends or dividend equivalents is in respect of an Award that is subject to Code Section 409A, then the payment or crediting of such dividends or dividend equivalents shall conform to the requirements of Code Section 409A and such requirements shall be specified in writing.</w:t>
      </w:r>
    </w:p>
    <w:p>
      <w:pPr>
        <w:spacing w:after="0" w:line="184" w:lineRule="exact"/>
        <w:rPr>
          <w:rFonts w:ascii="Arial" w:cs="Arial" w:eastAsia="Arial" w:hAnsi="Arial"/>
          <w:sz w:val="18"/>
          <w:szCs w:val="18"/>
          <w:color w:val="auto"/>
        </w:rPr>
      </w:pPr>
    </w:p>
    <w:p>
      <w:pPr>
        <w:jc w:val="both"/>
        <w:ind w:left="700" w:right="59" w:hanging="650"/>
        <w:spacing w:after="0" w:line="245" w:lineRule="auto"/>
        <w:tabs>
          <w:tab w:leader="none" w:pos="70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This CTO Realty Growth, Inc. Fifth Amended and Restated 2010 Equity Incentive Plan became effective upon its adoption by the common stockholders of the Company on June 21, 2023. It replaced and superseded the Company’s Fourth Amended and Restated 2010 Equity Incentive Plan, which became effective upon its adoption by the Board on February 16, 2023.</w:t>
      </w:r>
    </w:p>
    <w:p>
      <w:pPr>
        <w:spacing w:after="0" w:line="187" w:lineRule="exact"/>
        <w:rPr>
          <w:rFonts w:ascii="Arial" w:cs="Arial" w:eastAsia="Arial" w:hAnsi="Arial"/>
          <w:sz w:val="19"/>
          <w:szCs w:val="19"/>
          <w:color w:val="auto"/>
        </w:rPr>
      </w:pPr>
    </w:p>
    <w:p>
      <w:pPr>
        <w:ind w:left="700" w:right="59" w:hanging="650"/>
        <w:spacing w:after="0" w:line="261" w:lineRule="auto"/>
        <w:tabs>
          <w:tab w:leader="none" w:pos="70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Fifth Amended and Restated 2010 Equity Incentive Plan shall terminate on June 21, 2033, and no Award shall be granted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603885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4" w:name="page65"/>
    <w:bookmarkEnd w:id="64"/>
    <w:p>
      <w:pPr>
        <w:ind w:left="700" w:right="59" w:hanging="650"/>
        <w:spacing w:after="0" w:line="261" w:lineRule="auto"/>
        <w:tabs>
          <w:tab w:leader="none" w:pos="70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i w:val="1"/>
          <w:iCs w:val="1"/>
          <w:color w:val="auto"/>
        </w:rPr>
        <w:t>.</w:t>
      </w:r>
      <w:r>
        <w:rPr>
          <w:rFonts w:ascii="Arial" w:cs="Arial" w:eastAsia="Arial" w:hAnsi="Arial"/>
          <w:sz w:val="19"/>
          <w:szCs w:val="19"/>
          <w:color w:val="auto"/>
        </w:rPr>
        <w:t xml:space="preserve"> The Plan and any Award Agreements shall be administered, interpreted and enforced under the laws of the State of Maryland without regard to conflicts of laws thereof.</w:t>
      </w:r>
    </w:p>
    <w:p>
      <w:pPr>
        <w:spacing w:after="0" w:line="388"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i w:val="1"/>
          <w:iCs w:val="1"/>
          <w:color w:val="auto"/>
        </w:rPr>
        <w:t>The CTO Realty Growth, Inc. Fifth Amended and Restated 2010 Equity Incentive Plan was approved by the Board on April 25, 2023 and by the Company’s stockholders on June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458470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5" w:name="page66"/>
    <w:bookmarkEnd w:id="6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59" w:hanging="658"/>
        <w:spacing w:after="0" w:line="279" w:lineRule="auto"/>
        <w:tabs>
          <w:tab w:leader="none" w:pos="16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59" w:hanging="658"/>
        <w:spacing w:after="0" w:line="259" w:lineRule="auto"/>
        <w:tabs>
          <w:tab w:leader="none" w:pos="16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680" w:right="319" w:hanging="658"/>
        <w:spacing w:after="0" w:line="311" w:lineRule="auto"/>
        <w:tabs>
          <w:tab w:leader="none" w:pos="16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27, 2023</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700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6" w:name="page67"/>
    <w:bookmarkEnd w:id="6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59" w:hanging="658"/>
        <w:spacing w:after="0" w:line="279" w:lineRule="auto"/>
        <w:tabs>
          <w:tab w:leader="none" w:pos="16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59" w:hanging="658"/>
        <w:spacing w:after="0" w:line="259" w:lineRule="auto"/>
        <w:tabs>
          <w:tab w:leader="none" w:pos="1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680" w:right="319" w:hanging="658"/>
        <w:spacing w:after="0" w:line="311" w:lineRule="auto"/>
        <w:tabs>
          <w:tab w:leader="none" w:pos="16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27, 2023</w:t>
      </w:r>
    </w:p>
    <w:p>
      <w:pPr>
        <w:spacing w:after="0" w:line="198"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6828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Matthew M. Partridge, Senior Vice President and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7" w:name="page68"/>
    <w:bookmarkEnd w:id="6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99"/>
        <w:spacing w:after="0" w:line="259" w:lineRule="auto"/>
        <w:rPr>
          <w:sz w:val="20"/>
          <w:szCs w:val="20"/>
          <w:color w:val="auto"/>
        </w:rPr>
      </w:pPr>
      <w:r>
        <w:rPr>
          <w:rFonts w:ascii="Arial" w:cs="Arial" w:eastAsia="Arial" w:hAnsi="Arial"/>
          <w:sz w:val="18"/>
          <w:szCs w:val="18"/>
          <w:color w:val="auto"/>
        </w:rPr>
        <w:t>In connection with the Quarterly Report of CTO Realty Growth, Inc. (the “Company”) on Form 10-Q for the period ended June 30, 2023,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59" w:hanging="642"/>
        <w:spacing w:after="0" w:line="277"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27, 2023</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828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8" w:name="page69"/>
    <w:bookmarkEnd w:id="6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In connection with the Quarterly Report of CTO Realty Growth, Inc. (the “Company”) on Form 10-Q for the period ended June 30, 2023,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71" w:lineRule="exact"/>
        <w:rPr>
          <w:sz w:val="20"/>
          <w:szCs w:val="20"/>
          <w:color w:val="auto"/>
        </w:rPr>
      </w:pPr>
    </w:p>
    <w:p>
      <w:pPr>
        <w:ind w:left="1340" w:right="59" w:hanging="642"/>
        <w:spacing w:after="0" w:line="277"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27, 2023</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lowerRoman"/>
      <w:start w:val="1"/>
    </w:lvl>
  </w:abstractNum>
  <w:abstractNum w:abstractNumId="11">
    <w:nsid w:val="22221A70"/>
    <w:multiLevelType w:val="hybridMultilevel"/>
    <w:lvl w:ilvl="0">
      <w:lvlJc w:val="left"/>
      <w:lvlText w:val="(%1)"/>
      <w:numFmt w:val="lowerRoman"/>
      <w:start w:val="4"/>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lowerRoman"/>
      <w:start w:val="2"/>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9">
    <w:nsid w:val="3855585C"/>
    <w:multiLevelType w:val="hybridMultilevel"/>
    <w:lvl w:ilvl="0">
      <w:lvlJc w:val="left"/>
      <w:lvlText w:val="(%1)"/>
      <w:numFmt w:val="lowerLetter"/>
      <w:start w:val="7"/>
    </w:lvl>
    <w:lvl w:ilvl="1">
      <w:lvlJc w:val="left"/>
      <w:lvlText w:val="(%2)"/>
      <w:numFmt w:val="decimal"/>
      <w:start w:val="1"/>
    </w:lvl>
  </w:abstractNum>
  <w:abstractNum w:abstractNumId="30">
    <w:nsid w:val="70A64E2A"/>
    <w:multiLevelType w:val="hybridMultilevel"/>
    <w:lvl w:ilvl="0">
      <w:lvlJc w:val="left"/>
      <w:lvlText w:val="(%1)"/>
      <w:numFmt w:val="lowerLetter"/>
      <w:start w:val="20"/>
    </w:lvl>
    <w:lvl w:ilvl="1">
      <w:lvlJc w:val="left"/>
      <w:lvlText w:val="(%2)"/>
      <w:numFmt w:val="decimal"/>
      <w:start w:val="1"/>
    </w:lvl>
  </w:abstractNum>
  <w:abstractNum w:abstractNumId="31">
    <w:nsid w:val="6A2342EC"/>
    <w:multiLevelType w:val="hybridMultilevel"/>
    <w:lvl w:ilvl="0">
      <w:lvlJc w:val="left"/>
      <w:lvlText w:val="(%1)"/>
      <w:numFmt w:val="lowerLetter"/>
      <w:start w:val="21"/>
    </w:lvl>
  </w:abstractNum>
  <w:abstractNum w:abstractNumId="32">
    <w:nsid w:val="2A487CB0"/>
    <w:multiLevelType w:val="hybridMultilevel"/>
    <w:lvl w:ilvl="0">
      <w:lvlJc w:val="left"/>
      <w:lvlText w:val="(%1)"/>
      <w:numFmt w:val="lowerLetter"/>
      <w:start w:val="26"/>
    </w:lvl>
  </w:abstractNum>
  <w:abstractNum w:abstractNumId="33">
    <w:nsid w:val="1D4ED43B"/>
    <w:multiLevelType w:val="hybridMultilevel"/>
    <w:lvl w:ilvl="0">
      <w:lvlJc w:val="left"/>
      <w:lvlText w:val="(%1)"/>
      <w:numFmt w:val="lowerLetter"/>
      <w:start w:val="27"/>
    </w:lvl>
  </w:abstractNum>
  <w:abstractNum w:abstractNumId="34">
    <w:nsid w:val="725A06FB"/>
    <w:multiLevelType w:val="hybridMultilevel"/>
    <w:lvl w:ilvl="0">
      <w:lvlJc w:val="left"/>
      <w:lvlText w:val="%1."/>
      <w:numFmt w:val="decimal"/>
      <w:start w:val="3"/>
    </w:lvl>
    <w:lvl w:ilvl="1">
      <w:lvlJc w:val="left"/>
      <w:lvlText w:val="(%2)"/>
      <w:numFmt w:val="lowerLetter"/>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decimal"/>
      <w:start w:val="5"/>
    </w:lvl>
    <w:lvl w:ilvl="1">
      <w:lvlJc w:val="left"/>
      <w:lvlText w:val="(%2)"/>
      <w:numFmt w:val="lowerLetter"/>
      <w:start w:val="1"/>
    </w:lvl>
  </w:abstractNum>
  <w:abstractNum w:abstractNumId="37">
    <w:nsid w:val="7A6D8D3C"/>
    <w:multiLevelType w:val="hybridMultilevel"/>
    <w:lvl w:ilvl="0">
      <w:lvlJc w:val="left"/>
      <w:lvlText w:val="%1"/>
      <w:numFmt w:val="decimal"/>
      <w:start w:val="1"/>
    </w:lvl>
    <w:lvl w:ilvl="1">
      <w:lvlJc w:val="left"/>
      <w:lvlText w:val="(%2)"/>
      <w:numFmt w:val="lowerLetter"/>
      <w:start w:val="3"/>
    </w:lvl>
  </w:abstractNum>
  <w:abstractNum w:abstractNumId="38">
    <w:nsid w:val="4B588F54"/>
    <w:multiLevelType w:val="hybridMultilevel"/>
    <w:lvl w:ilvl="0">
      <w:lvlJc w:val="left"/>
      <w:lvlText w:val="%1."/>
      <w:numFmt w:val="decimal"/>
      <w:start w:val="6"/>
    </w:lvl>
    <w:lvl w:ilvl="1">
      <w:lvlJc w:val="left"/>
      <w:lvlText w:val="(%2)"/>
      <w:numFmt w:val="lowerLetter"/>
      <w:start w:val="1"/>
    </w:lvl>
  </w:abstractNum>
  <w:abstractNum w:abstractNumId="39">
    <w:nsid w:val="542289EC"/>
    <w:multiLevelType w:val="hybridMultilevel"/>
    <w:lvl w:ilvl="0">
      <w:lvlJc w:val="left"/>
      <w:lvlText w:val="%1."/>
      <w:numFmt w:val="decimal"/>
      <w:start w:val="7"/>
    </w:lvl>
    <w:lvl w:ilvl="1">
      <w:lvlJc w:val="left"/>
      <w:lvlText w:val="(%2)"/>
      <w:numFmt w:val="lowerLetter"/>
      <w:start w:val="1"/>
    </w:lvl>
  </w:abstractNum>
  <w:abstractNum w:abstractNumId="40">
    <w:nsid w:val="6DE91B18"/>
    <w:multiLevelType w:val="hybridMultilevel"/>
    <w:lvl w:ilvl="0">
      <w:lvlJc w:val="left"/>
      <w:lvlText w:val="%1"/>
      <w:numFmt w:val="decimal"/>
      <w:start w:val="1"/>
    </w:lvl>
    <w:lvl w:ilvl="1">
      <w:lvlJc w:val="left"/>
      <w:lvlText w:val="(%2)"/>
      <w:numFmt w:val="lowerLetter"/>
      <w:start w:val="9"/>
    </w:lvl>
  </w:abstractNum>
  <w:abstractNum w:abstractNumId="41">
    <w:nsid w:val="38437FDB"/>
    <w:multiLevelType w:val="hybridMultilevel"/>
    <w:lvl w:ilvl="0">
      <w:lvlJc w:val="left"/>
      <w:lvlText w:val="%1"/>
      <w:numFmt w:val="decimal"/>
      <w:start w:val="1"/>
    </w:lvl>
    <w:lvl w:ilvl="1">
      <w:lvlJc w:val="left"/>
      <w:lvlText w:val="(%2)"/>
      <w:numFmt w:val="lowerLetter"/>
      <w:start w:val="5"/>
    </w:lvl>
  </w:abstractNum>
  <w:abstractNum w:abstractNumId="42">
    <w:nsid w:val="7644A45C"/>
    <w:multiLevelType w:val="hybridMultilevel"/>
    <w:lvl w:ilvl="0">
      <w:lvlJc w:val="left"/>
      <w:lvlText w:val="%1."/>
      <w:numFmt w:val="decimal"/>
      <w:start w:val="8"/>
    </w:lvl>
    <w:lvl w:ilvl="1">
      <w:lvlJc w:val="left"/>
      <w:lvlText w:val="%2"/>
      <w:numFmt w:val="lowerLetter"/>
      <w:start w:val="1"/>
    </w:lvl>
  </w:abstractNum>
  <w:abstractNum w:abstractNumId="43">
    <w:nsid w:val="32FFF902"/>
    <w:multiLevelType w:val="hybridMultilevel"/>
    <w:lvl w:ilvl="0">
      <w:lvlJc w:val="left"/>
      <w:lvlText w:val="%1"/>
      <w:numFmt w:val="decimal"/>
      <w:start w:val="1"/>
    </w:lvl>
    <w:lvl w:ilvl="1">
      <w:lvlJc w:val="left"/>
      <w:lvlText w:val="(%2)"/>
      <w:numFmt w:val="lowerLetter"/>
      <w:start w:val="1"/>
    </w:lvl>
  </w:abstractNum>
  <w:abstractNum w:abstractNumId="44">
    <w:nsid w:val="684A481A"/>
    <w:multiLevelType w:val="hybridMultilevel"/>
    <w:lvl w:ilvl="0">
      <w:lvlJc w:val="left"/>
      <w:lvlText w:val="%1."/>
      <w:numFmt w:val="decimal"/>
      <w:start w:val="9"/>
    </w:lvl>
    <w:lvl w:ilvl="1">
      <w:lvlJc w:val="left"/>
      <w:lvlText w:val="%2"/>
      <w:numFmt w:val="lowerLetter"/>
      <w:start w:val="1"/>
    </w:lvl>
  </w:abstractNum>
  <w:abstractNum w:abstractNumId="45">
    <w:nsid w:val="579478FE"/>
    <w:multiLevelType w:val="hybridMultilevel"/>
    <w:lvl w:ilvl="0">
      <w:lvlJc w:val="left"/>
      <w:lvlText w:val="%1."/>
      <w:numFmt w:val="decimal"/>
      <w:start w:val="11"/>
    </w:lvl>
    <w:lvl w:ilvl="1">
      <w:lvlJc w:val="left"/>
      <w:lvlText w:val="(%2)"/>
      <w:numFmt w:val="lowerLetter"/>
      <w:start w:val="1"/>
    </w:lvl>
  </w:abstractNum>
  <w:abstractNum w:abstractNumId="46">
    <w:nsid w:val="749ABB43"/>
    <w:multiLevelType w:val="hybridMultilevel"/>
    <w:lvl w:ilvl="0">
      <w:lvlJc w:val="left"/>
      <w:lvlText w:val="%1"/>
      <w:numFmt w:val="decimal"/>
      <w:start w:val="1"/>
    </w:lvl>
    <w:lvl w:ilvl="1">
      <w:lvlJc w:val="left"/>
      <w:lvlText w:val="(%2)"/>
      <w:numFmt w:val="lowerLetter"/>
      <w:start w:val="2"/>
    </w:lvl>
  </w:abstractNum>
  <w:abstractNum w:abstractNumId="47">
    <w:nsid w:val="3DC240FB"/>
    <w:multiLevelType w:val="hybridMultilevel"/>
    <w:lvl w:ilvl="0">
      <w:lvlJc w:val="left"/>
      <w:lvlText w:val="%1."/>
      <w:numFmt w:val="decimal"/>
      <w:start w:val="18"/>
    </w:lvl>
    <w:lvl w:ilvl="1">
      <w:lvlJc w:val="left"/>
      <w:lvlText w:val="%2"/>
      <w:numFmt w:val="lowerLetter"/>
      <w:start w:val="1"/>
    </w:lvl>
  </w:abstractNum>
  <w:abstractNum w:abstractNumId="48">
    <w:nsid w:val="1BA026FA"/>
    <w:multiLevelType w:val="hybridMultilevel"/>
    <w:lvl w:ilvl="0">
      <w:lvlJc w:val="left"/>
      <w:lvlText w:val="%1."/>
      <w:numFmt w:val="decimal"/>
      <w:start w:val="20"/>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77" Type="http://schemas.openxmlformats.org/officeDocument/2006/relationships/hyperlink" Target="https://www.sec.gov/Archives/edgar/data/0000023795/000119312521023648/d113606dex31.htm" TargetMode="External"/><Relationship Id="rId78" Type="http://schemas.openxmlformats.org/officeDocument/2006/relationships/hyperlink" Target="https://www.sec.gov/Archives/edgar/data/23795/000119312521206336/d124719dex32.htm" TargetMode="External"/><Relationship Id="rId79" Type="http://schemas.openxmlformats.org/officeDocument/2006/relationships/hyperlink" Target="https://www.sec.gov/Archives/edgar/data/23795/000155837023001536/cto-20230216xex3d1.htm" TargetMode="External"/><Relationship Id="rId80" Type="http://schemas.openxmlformats.org/officeDocument/2006/relationships/hyperlink" Target="https://www.sec.gov/Archives/edgar/data/0000023795/000119312521023648/d1136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2023-07-27T15:46:33Z</dcterms:created>
  <dcterms:modified xsi:type="dcterms:W3CDTF">2023-07-27T15:46:33Z</dcterms:modified>
</cp:coreProperties>
</file>