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1031240</wp:posOffset>
            </wp:positionH>
            <wp:positionV relativeFrom="page">
              <wp:posOffset>317500</wp:posOffset>
            </wp:positionV>
            <wp:extent cx="548640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0" cy="22860"/>
                    </a:xfrm>
                    <a:prstGeom prst="rect">
                      <a:avLst/>
                    </a:prstGeom>
                    <a:noFill/>
                  </pic:spPr>
                </pic:pic>
              </a:graphicData>
            </a:graphic>
          </wp:anchor>
        </w:drawing>
        <w:drawing>
          <wp:anchor simplePos="0" relativeHeight="251657728" behindDoc="1" locked="0" layoutInCell="0" allowOverlap="1">
            <wp:simplePos x="0" y="0"/>
            <wp:positionH relativeFrom="page">
              <wp:posOffset>1031240</wp:posOffset>
            </wp:positionH>
            <wp:positionV relativeFrom="page">
              <wp:posOffset>351790</wp:posOffset>
            </wp:positionV>
            <wp:extent cx="54864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0" cy="5715"/>
                    </a:xfrm>
                    <a:prstGeom prst="rect">
                      <a:avLst/>
                    </a:prstGeom>
                    <a:noFill/>
                  </pic:spPr>
                </pic:pic>
              </a:graphicData>
            </a:graphic>
          </wp:anchor>
        </w:drawing>
        <w:t>UNITED STATES</w:t>
      </w:r>
    </w:p>
    <w:p>
      <w:pPr>
        <w:spacing w:after="0" w:line="1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2"/>
          <w:szCs w:val="12"/>
          <w:b w:val="1"/>
          <w:bCs w:val="1"/>
          <w:color w:val="auto"/>
        </w:rPr>
        <w:t>CURRENT REPORT</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27, 2026</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CTO Realty Growth, Inc.</w:t>
      </w:r>
    </w:p>
    <w:p>
      <w:pPr>
        <w:sectPr>
          <w:pgSz w:w="11900" w:h="16838" w:orient="portrait"/>
          <w:cols w:equalWidth="0" w:num="1">
            <w:col w:w="9019"/>
          </w:cols>
          <w:pgMar w:left="1440" w:top="692" w:right="1440" w:bottom="1440" w:gutter="0" w:footer="0" w:header="0"/>
        </w:sectPr>
      </w:pPr>
    </w:p>
    <w:p>
      <w:pPr>
        <w:spacing w:after="0" w:line="55" w:lineRule="exact"/>
        <w:rPr>
          <w:sz w:val="24"/>
          <w:szCs w:val="24"/>
          <w:color w:val="auto"/>
        </w:rPr>
      </w:pPr>
    </w:p>
    <w:tbl>
      <w:tblPr>
        <w:tblLayout w:type="fixed"/>
        <w:tblInd w:w="560" w:type="dxa"/>
        <w:tblCellMar>
          <w:top w:w="0" w:type="dxa"/>
          <w:left w:w="0" w:type="dxa"/>
          <w:bottom w:w="0" w:type="dxa"/>
          <w:right w:w="0" w:type="dxa"/>
        </w:tblCellMar>
      </w:tblPr>
      <w:tr>
        <w:trPr>
          <w:trHeight w:val="155"/>
        </w:trPr>
        <w:tc>
          <w:tcPr>
            <w:tcW w:w="2220" w:type="dxa"/>
            <w:vAlign w:val="bottom"/>
          </w:tcPr>
          <w:p>
            <w:pPr>
              <w:spacing w:after="0"/>
              <w:rPr>
                <w:sz w:val="13"/>
                <w:szCs w:val="13"/>
                <w:color w:val="auto"/>
              </w:rPr>
            </w:pPr>
          </w:p>
        </w:tc>
        <w:tc>
          <w:tcPr>
            <w:tcW w:w="33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56"/>
        </w:trPr>
        <w:tc>
          <w:tcPr>
            <w:tcW w:w="22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336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001-11350</w:t>
            </w:r>
          </w:p>
        </w:tc>
      </w:tr>
      <w:tr>
        <w:trPr>
          <w:trHeight w:val="155"/>
        </w:trPr>
        <w:tc>
          <w:tcPr>
            <w:tcW w:w="22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3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(Commission File Number)</w:t>
            </w:r>
          </w:p>
        </w:tc>
      </w:tr>
      <w:tr>
        <w:trPr>
          <w:trHeight w:val="228"/>
        </w:trPr>
        <w:tc>
          <w:tcPr>
            <w:tcW w:w="222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369 N. New York Avenue,</w:t>
            </w:r>
          </w:p>
        </w:tc>
      </w:tr>
      <w:tr>
        <w:trPr>
          <w:trHeight w:val="135"/>
        </w:trPr>
        <w:tc>
          <w:tcPr>
            <w:tcW w:w="2220" w:type="dxa"/>
            <w:vAlign w:val="bottom"/>
          </w:tcPr>
          <w:p>
            <w:pPr>
              <w:spacing w:after="0"/>
              <w:rPr>
                <w:sz w:val="11"/>
                <w:szCs w:val="11"/>
                <w:color w:val="auto"/>
              </w:rPr>
            </w:pPr>
          </w:p>
        </w:tc>
        <w:tc>
          <w:tcPr>
            <w:tcW w:w="3360" w:type="dxa"/>
            <w:vAlign w:val="bottom"/>
          </w:tcPr>
          <w:p>
            <w:pPr>
              <w:jc w:val="cente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Suite 201</w:t>
            </w:r>
          </w:p>
        </w:tc>
      </w:tr>
      <w:tr>
        <w:trPr>
          <w:trHeight w:val="130"/>
        </w:trPr>
        <w:tc>
          <w:tcPr>
            <w:tcW w:w="2220" w:type="dxa"/>
            <w:vAlign w:val="bottom"/>
          </w:tcPr>
          <w:p>
            <w:pPr>
              <w:spacing w:after="0"/>
              <w:rPr>
                <w:sz w:val="11"/>
                <w:szCs w:val="11"/>
                <w:color w:val="auto"/>
              </w:rPr>
            </w:pPr>
          </w:p>
        </w:tc>
        <w:tc>
          <w:tcPr>
            <w:tcW w:w="3360" w:type="dxa"/>
            <w:vAlign w:val="bottom"/>
          </w:tcPr>
          <w:p>
            <w:pPr>
              <w:jc w:val="center"/>
              <w:ind w:left="20"/>
              <w:spacing w:after="0" w:line="130" w:lineRule="exact"/>
              <w:rPr>
                <w:sz w:val="20"/>
                <w:szCs w:val="20"/>
                <w:color w:val="auto"/>
              </w:rPr>
            </w:pPr>
            <w:r>
              <w:rPr>
                <w:rFonts w:ascii="Times New Roman" w:cs="Times New Roman" w:eastAsia="Times New Roman" w:hAnsi="Times New Roman"/>
                <w:sz w:val="12"/>
                <w:szCs w:val="12"/>
                <w:b w:val="1"/>
                <w:bCs w:val="1"/>
                <w:color w:val="auto"/>
                <w:w w:val="99"/>
              </w:rPr>
              <w:t>Winter Park, Florida</w:t>
            </w:r>
          </w:p>
        </w:tc>
      </w:tr>
      <w:tr>
        <w:trPr>
          <w:trHeight w:val="155"/>
        </w:trPr>
        <w:tc>
          <w:tcPr>
            <w:tcW w:w="2220" w:type="dxa"/>
            <w:vAlign w:val="bottom"/>
          </w:tcPr>
          <w:p>
            <w:pPr>
              <w:spacing w:after="0"/>
              <w:rPr>
                <w:sz w:val="13"/>
                <w:szCs w:val="13"/>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r>
      <w:tr>
        <w:trPr>
          <w:trHeight w:val="270"/>
        </w:trPr>
        <w:tc>
          <w:tcPr>
            <w:tcW w:w="2220" w:type="dxa"/>
            <w:vAlign w:val="bottom"/>
          </w:tcPr>
          <w:p>
            <w:pPr>
              <w:spacing w:after="0"/>
              <w:rPr>
                <w:sz w:val="23"/>
                <w:szCs w:val="23"/>
                <w:color w:val="auto"/>
              </w:rPr>
            </w:pPr>
          </w:p>
        </w:tc>
        <w:tc>
          <w:tcPr>
            <w:tcW w:w="336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(407) 904-3324</w:t>
            </w:r>
          </w:p>
        </w:tc>
      </w:tr>
      <w:tr>
        <w:trPr>
          <w:trHeight w:val="241"/>
        </w:trPr>
        <w:tc>
          <w:tcPr>
            <w:tcW w:w="2220" w:type="dxa"/>
            <w:vAlign w:val="bottom"/>
          </w:tcPr>
          <w:p>
            <w:pPr>
              <w:spacing w:after="0"/>
              <w:rPr>
                <w:sz w:val="20"/>
                <w:szCs w:val="20"/>
                <w:color w:val="auto"/>
              </w:rPr>
            </w:pPr>
          </w:p>
        </w:tc>
        <w:tc>
          <w:tcPr>
            <w:tcW w:w="336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r>
      <w:tr>
        <w:trPr>
          <w:trHeight w:val="155"/>
        </w:trPr>
        <w:tc>
          <w:tcPr>
            <w:tcW w:w="2220" w:type="dxa"/>
            <w:vAlign w:val="bottom"/>
          </w:tcPr>
          <w:p>
            <w:pPr>
              <w:spacing w:after="0"/>
              <w:rPr>
                <w:sz w:val="13"/>
                <w:szCs w:val="13"/>
                <w:color w:val="auto"/>
              </w:rPr>
            </w:pPr>
          </w:p>
        </w:tc>
        <w:tc>
          <w:tcPr>
            <w:tcW w:w="33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(Former name or former address, if changed since last report.)</w:t>
            </w:r>
          </w:p>
        </w:tc>
      </w:tr>
    </w:tbl>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2"/>
          <w:szCs w:val="12"/>
          <w:b w:val="1"/>
          <w:bCs w:val="1"/>
          <w:color w:val="auto"/>
        </w:rPr>
        <w:t>59-0483700</w:t>
      </w:r>
    </w:p>
    <w:p>
      <w:pPr>
        <w:spacing w:after="0" w:line="1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3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2"/>
          <w:szCs w:val="12"/>
          <w:b w:val="1"/>
          <w:bCs w:val="1"/>
          <w:color w:val="auto"/>
        </w:rPr>
        <w:t>32789</w:t>
      </w:r>
    </w:p>
    <w:p>
      <w:pPr>
        <w:spacing w:after="0" w:line="1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2"/>
          <w:szCs w:val="12"/>
          <w:color w:val="auto"/>
        </w:rPr>
        <w:t>(Zip Code)</w:t>
      </w:r>
    </w:p>
    <w:p>
      <w:pPr>
        <w:spacing w:after="0" w:line="1010" w:lineRule="exact"/>
        <w:rPr>
          <w:sz w:val="24"/>
          <w:szCs w:val="24"/>
          <w:color w:val="auto"/>
        </w:rPr>
      </w:pPr>
    </w:p>
    <w:p>
      <w:pPr>
        <w:sectPr>
          <w:pgSz w:w="11900" w:h="16838" w:orient="portrait"/>
          <w:cols w:equalWidth="0" w:num="2">
            <w:col w:w="6140" w:space="420"/>
            <w:col w:w="2459"/>
          </w:cols>
          <w:pgMar w:left="1440" w:top="692" w:right="1440"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20" w:hanging="139"/>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 w:lineRule="exact"/>
        <w:rPr>
          <w:rFonts w:ascii="MS PGothic" w:cs="MS PGothic" w:eastAsia="MS PGothic" w:hAnsi="MS PGothic"/>
          <w:sz w:val="12"/>
          <w:szCs w:val="12"/>
          <w:color w:val="auto"/>
        </w:rPr>
      </w:pPr>
    </w:p>
    <w:p>
      <w:pPr>
        <w:ind w:left="320" w:hanging="139"/>
        <w:spacing w:after="0" w:line="234" w:lineRule="auto"/>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ind w:left="320" w:hanging="139"/>
        <w:spacing w:after="0" w:line="234" w:lineRule="auto"/>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ind w:left="320" w:hanging="139"/>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0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82" w:lineRule="exact"/>
        <w:rPr>
          <w:sz w:val="24"/>
          <w:szCs w:val="24"/>
          <w:color w:val="auto"/>
        </w:rPr>
      </w:pPr>
    </w:p>
    <w:tbl>
      <w:tblPr>
        <w:tblLayout w:type="fixed"/>
        <w:tblInd w:w="180" w:type="dxa"/>
        <w:tblCellMar>
          <w:top w:w="0" w:type="dxa"/>
          <w:left w:w="0" w:type="dxa"/>
          <w:bottom w:w="0" w:type="dxa"/>
          <w:right w:w="0" w:type="dxa"/>
        </w:tblCellMar>
      </w:tblPr>
      <w:tr>
        <w:trPr>
          <w:trHeight w:val="159"/>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1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8"/>
        </w:trPr>
        <w:tc>
          <w:tcPr>
            <w:tcW w:w="3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$0.01 par value per share</w:t>
            </w:r>
          </w:p>
        </w:tc>
        <w:tc>
          <w:tcPr>
            <w:tcW w:w="18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CTO</w:t>
            </w:r>
          </w:p>
        </w:tc>
        <w:tc>
          <w:tcPr>
            <w:tcW w:w="180" w:type="dxa"/>
            <w:vAlign w:val="bottom"/>
          </w:tcPr>
          <w:p>
            <w:pPr>
              <w:spacing w:after="0"/>
              <w:rPr>
                <w:sz w:val="12"/>
                <w:szCs w:val="12"/>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NYSE</w:t>
            </w:r>
          </w:p>
        </w:tc>
      </w:tr>
      <w:tr>
        <w:trPr>
          <w:trHeight w:val="258"/>
        </w:trPr>
        <w:tc>
          <w:tcPr>
            <w:tcW w:w="3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6.375% Series A Cumulative Redeemable Preferred Stock, $0.01</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00" w:type="dxa"/>
            <w:vAlign w:val="bottom"/>
          </w:tcPr>
          <w:p>
            <w:pPr>
              <w:spacing w:after="0"/>
              <w:rPr>
                <w:sz w:val="22"/>
                <w:szCs w:val="22"/>
                <w:color w:val="auto"/>
              </w:rPr>
            </w:pPr>
          </w:p>
        </w:tc>
      </w:tr>
      <w:tr>
        <w:trPr>
          <w:trHeight w:val="177"/>
        </w:trPr>
        <w:tc>
          <w:tcPr>
            <w:tcW w:w="3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par value per share</w:t>
            </w:r>
          </w:p>
        </w:tc>
        <w:tc>
          <w:tcPr>
            <w:tcW w:w="1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CTO/PA</w:t>
            </w:r>
          </w:p>
        </w:tc>
        <w:tc>
          <w:tcPr>
            <w:tcW w:w="180" w:type="dxa"/>
            <w:vAlign w:val="bottom"/>
          </w:tcPr>
          <w:p>
            <w:pPr>
              <w:spacing w:after="0"/>
              <w:rPr>
                <w:sz w:val="15"/>
                <w:szCs w:val="15"/>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NYSE</w:t>
            </w:r>
          </w:p>
        </w:tc>
      </w:tr>
    </w:tbl>
    <w:p>
      <w:pPr>
        <w:spacing w:after="0" w:line="124" w:lineRule="exact"/>
        <w:rPr>
          <w:sz w:val="24"/>
          <w:szCs w:val="24"/>
          <w:color w:val="auto"/>
        </w:rPr>
      </w:pPr>
    </w:p>
    <w:p>
      <w:pPr>
        <w:jc w:val="both"/>
        <w:ind w:left="180" w:right="19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18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1" w:lineRule="exact"/>
        <w:rPr>
          <w:sz w:val="24"/>
          <w:szCs w:val="24"/>
          <w:color w:val="auto"/>
        </w:rPr>
      </w:pPr>
    </w:p>
    <w:p>
      <w:pPr>
        <w:jc w:val="both"/>
        <w:ind w:left="180" w:right="1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503555</wp:posOffset>
            </wp:positionV>
            <wp:extent cx="54864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0"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74930</wp:posOffset>
            </wp:positionV>
            <wp:extent cx="54864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0" cy="571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92075</wp:posOffset>
            </wp:positionV>
            <wp:extent cx="548640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0" cy="22860"/>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type w:val="continuous"/>
        </w:sectPr>
      </w:pPr>
    </w:p>
    <w:bookmarkStart w:id="1" w:name="page2"/>
    <w:bookmarkEnd w:id="1"/>
    <w:p>
      <w:pPr>
        <w:ind w:left="180"/>
        <w:spacing w:after="0"/>
        <w:rPr>
          <w:sz w:val="20"/>
          <w:szCs w:val="20"/>
          <w:color w:val="auto"/>
        </w:rPr>
      </w:pPr>
      <w:r>
        <w:rPr>
          <w:rFonts w:ascii="Times New Roman" w:cs="Times New Roman" w:eastAsia="Times New Roman" w:hAnsi="Times New Roman"/>
          <w:sz w:val="13"/>
          <w:szCs w:val="13"/>
          <w:b w:val="1"/>
          <w:bCs w:val="1"/>
          <w:color w:val="auto"/>
        </w:rPr>
        <w:t>Item 2.02. Results of Operations and Financial Condition</w:t>
      </w:r>
    </w:p>
    <w:p>
      <w:pPr>
        <w:spacing w:after="0" w:line="178" w:lineRule="exact"/>
        <w:rPr>
          <w:sz w:val="20"/>
          <w:szCs w:val="20"/>
          <w:color w:val="auto"/>
        </w:rPr>
      </w:pPr>
    </w:p>
    <w:p>
      <w:pPr>
        <w:jc w:val="both"/>
        <w:ind w:left="180" w:right="199"/>
        <w:spacing w:after="0" w:line="265" w:lineRule="auto"/>
        <w:rPr>
          <w:sz w:val="20"/>
          <w:szCs w:val="20"/>
          <w:color w:val="auto"/>
        </w:rPr>
      </w:pPr>
      <w:r>
        <w:rPr>
          <w:rFonts w:ascii="Times New Roman" w:cs="Times New Roman" w:eastAsia="Times New Roman" w:hAnsi="Times New Roman"/>
          <w:sz w:val="13"/>
          <w:szCs w:val="13"/>
          <w:color w:val="auto"/>
        </w:rPr>
        <w:t>On October 27, 2026, CTO Realty Growth, Inc., a Maryland corporation (the "Company"), issued an earnings press release, an investor presentation, and a supplemental disclosure package relating to the Company’s financial results for the quarter and nine months ended September 30, 2026. Copies of the press release, investor presentation, and supplemental disclosure package are attached hereto as Exhibits 99.1, 99.2 and 99.3, respectively, and are incorporated herein by reference.</w:t>
      </w:r>
    </w:p>
    <w:p>
      <w:pPr>
        <w:spacing w:after="0" w:line="306" w:lineRule="exact"/>
        <w:rPr>
          <w:sz w:val="20"/>
          <w:szCs w:val="20"/>
          <w:color w:val="auto"/>
        </w:rPr>
      </w:pPr>
    </w:p>
    <w:p>
      <w:pPr>
        <w:jc w:val="both"/>
        <w:ind w:left="180" w:right="199"/>
        <w:spacing w:after="0" w:line="262" w:lineRule="auto"/>
        <w:rPr>
          <w:sz w:val="20"/>
          <w:szCs w:val="20"/>
          <w:color w:val="auto"/>
        </w:rPr>
      </w:pPr>
      <w:r>
        <w:rPr>
          <w:rFonts w:ascii="Times New Roman" w:cs="Times New Roman" w:eastAsia="Times New Roman" w:hAnsi="Times New Roman"/>
          <w:sz w:val="13"/>
          <w:szCs w:val="13"/>
          <w:color w:val="auto"/>
        </w:rPr>
        <w:t>The information in Item 2.02 of this Current Report, including Exhibits 99.1, 99.2 and 99.3, is being furnished and shall not be deemed “filed” for purposes of Section 18 of the Securities Exchange Act of 1934, as amended (the “Exchange Act”), or otherwise subject to the liabilities of that Section. The information in this Current Report shall not be incorporated by reference into any registration statement or other document pursuant to the Securities Act of 1933, as amended (the “Securities Act”), or the Exchange Act, unless it is specifically incorporated by reference therein.</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77" w:lineRule="exact"/>
        <w:rPr>
          <w:sz w:val="20"/>
          <w:szCs w:val="20"/>
          <w:color w:val="auto"/>
        </w:rPr>
      </w:pPr>
    </w:p>
    <w:p>
      <w:pPr>
        <w:jc w:val="both"/>
        <w:ind w:left="180" w:right="199"/>
        <w:spacing w:after="0" w:line="270" w:lineRule="auto"/>
        <w:rPr>
          <w:sz w:val="20"/>
          <w:szCs w:val="20"/>
          <w:color w:val="auto"/>
        </w:rPr>
      </w:pPr>
      <w:r>
        <w:rPr>
          <w:rFonts w:ascii="Times New Roman" w:cs="Times New Roman" w:eastAsia="Times New Roman" w:hAnsi="Times New Roman"/>
          <w:sz w:val="13"/>
          <w:szCs w:val="13"/>
          <w:color w:val="auto"/>
        </w:rPr>
        <w:t>On October 27, 2026, the Company issued an earnings press release, an investor presentation, and a supplemental disclosure package relating to the Company’s financial results for the quarter and nine months ended September 30, 2026. Copies of the earnings press release, investor presentation, and supplemental disclosure package are attached hereto as Exhibits 99.1, 99.2 and 99.3, respectively, and are incorporated herein by reference.</w:t>
      </w:r>
    </w:p>
    <w:p>
      <w:pPr>
        <w:spacing w:after="0" w:line="134" w:lineRule="exact"/>
        <w:rPr>
          <w:sz w:val="20"/>
          <w:szCs w:val="20"/>
          <w:color w:val="auto"/>
        </w:rPr>
      </w:pPr>
    </w:p>
    <w:p>
      <w:pPr>
        <w:jc w:val="both"/>
        <w:ind w:left="180" w:right="199"/>
        <w:spacing w:after="0" w:line="270" w:lineRule="auto"/>
        <w:rPr>
          <w:sz w:val="20"/>
          <w:szCs w:val="20"/>
          <w:color w:val="auto"/>
        </w:rPr>
      </w:pPr>
      <w:r>
        <w:rPr>
          <w:rFonts w:ascii="Times New Roman" w:cs="Times New Roman" w:eastAsia="Times New Roman" w:hAnsi="Times New Roman"/>
          <w:sz w:val="13"/>
          <w:szCs w:val="13"/>
          <w:color w:val="auto"/>
        </w:rPr>
        <w:t>The furnishing of these materials is not intended to constitute a representation that such furnishing is required by Regulation FD or other securities laws, or that the materials include material investor information that is not otherwise publicly available. In addition, the Company does not assume any obligation to update such information in the future.</w:t>
      </w:r>
    </w:p>
    <w:p>
      <w:pPr>
        <w:spacing w:after="0" w:line="134" w:lineRule="exact"/>
        <w:rPr>
          <w:sz w:val="20"/>
          <w:szCs w:val="20"/>
          <w:color w:val="auto"/>
        </w:rPr>
      </w:pPr>
    </w:p>
    <w:p>
      <w:pPr>
        <w:jc w:val="both"/>
        <w:ind w:left="180" w:right="199"/>
        <w:spacing w:after="0" w:line="265" w:lineRule="auto"/>
        <w:rPr>
          <w:sz w:val="20"/>
          <w:szCs w:val="20"/>
          <w:color w:val="auto"/>
        </w:rPr>
      </w:pPr>
      <w:r>
        <w:rPr>
          <w:rFonts w:ascii="Times New Roman" w:cs="Times New Roman" w:eastAsia="Times New Roman" w:hAnsi="Times New Roman"/>
          <w:sz w:val="13"/>
          <w:szCs w:val="13"/>
          <w:color w:val="auto"/>
        </w:rPr>
        <w:t>The information in Item 7.01 of this Current Report, including Exhibits 99.1, 99.2 and 99.3, is being furnished and shall not be deemed to be “filed” for purposes of Section 18 of the Exchange Act or otherwise subject to the liabilities of that Section. The information in this Current Report shall not be incorporated by reference into any registration statement or other document pursuant to the Securities Act or the Exchange Act, unless it is specifically incorporated by reference therein.</w:t>
      </w: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 Exhibits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0000EE"/>
        </w:rPr>
        <w:t>99.1 Earnings Press Release dated October 27, 2026</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0000EE"/>
        </w:rPr>
        <w:t>99.2 Investor Presentation dated October 27, 2026</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u w:val="single" w:color="auto"/>
          <w:color w:val="0000EE"/>
        </w:rPr>
        <w:t>99.3 Supplemental Disclosure Package</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602615</wp:posOffset>
            </wp:positionV>
            <wp:extent cx="54864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78" w:lineRule="exact"/>
        <w:rPr>
          <w:sz w:val="20"/>
          <w:szCs w:val="20"/>
          <w:color w:val="auto"/>
        </w:rPr>
      </w:pPr>
    </w:p>
    <w:p>
      <w:pPr>
        <w:ind w:left="180" w:right="199"/>
        <w:spacing w:after="0" w:line="295"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Date: October 27, 2026</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CTO Realty Growth, Inc.</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Philip R. Mays</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Senior Vice President, Chief Financial Officer,</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and Treasurer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236855</wp:posOffset>
            </wp:positionV>
            <wp:extent cx="548640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68680" cy="622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8680"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6"/>
          <w:szCs w:val="26"/>
          <w:b w:val="1"/>
          <w:bCs w:val="1"/>
          <w:color w:val="auto"/>
        </w:rPr>
        <w:t>Press Release</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C0C0C0"/>
        </w:rPr>
        <w:t>FOR</w:t>
      </w:r>
    </w:p>
    <w:p>
      <w:pPr>
        <w:ind w:left="40"/>
        <w:spacing w:after="0" w:line="190" w:lineRule="auto"/>
        <w:tabs>
          <w:tab w:leader="none" w:pos="3980" w:val="left"/>
        </w:tabs>
        <w:rPr>
          <w:sz w:val="20"/>
          <w:szCs w:val="20"/>
          <w:color w:val="auto"/>
        </w:rPr>
      </w:pPr>
      <w:r>
        <w:rPr>
          <w:rFonts w:ascii="Times New Roman" w:cs="Times New Roman" w:eastAsia="Times New Roman" w:hAnsi="Times New Roman"/>
          <w:sz w:val="11"/>
          <w:szCs w:val="11"/>
          <w:b w:val="1"/>
          <w:bCs w:val="1"/>
          <w:color w:val="C0C0C0"/>
          <w:vertAlign w:val="superscript"/>
        </w:rPr>
        <w:t>IMMEDIATE</w:t>
      </w:r>
      <w:r>
        <w:rPr>
          <w:sz w:val="20"/>
          <w:szCs w:val="20"/>
          <w:color w:val="auto"/>
        </w:rPr>
        <w:tab/>
      </w:r>
      <w:r>
        <w:rPr>
          <w:rFonts w:ascii="Times New Roman" w:cs="Times New Roman" w:eastAsia="Times New Roman" w:hAnsi="Times New Roman"/>
          <w:sz w:val="9"/>
          <w:szCs w:val="9"/>
          <w:b w:val="1"/>
          <w:bCs w:val="1"/>
          <w:color w:val="auto"/>
        </w:rPr>
        <w:t>CTO R</w:t>
      </w:r>
      <w:r>
        <w:rPr>
          <w:rFonts w:ascii="Times New Roman" w:cs="Times New Roman" w:eastAsia="Times New Roman" w:hAnsi="Times New Roman"/>
          <w:sz w:val="7"/>
          <w:szCs w:val="7"/>
          <w:b w:val="1"/>
          <w:bCs w:val="1"/>
          <w:color w:val="auto"/>
        </w:rPr>
        <w:t>ealty</w:t>
      </w:r>
      <w:r>
        <w:rPr>
          <w:rFonts w:ascii="Times New Roman" w:cs="Times New Roman" w:eastAsia="Times New Roman" w:hAnsi="Times New Roman"/>
          <w:sz w:val="9"/>
          <w:szCs w:val="9"/>
          <w:b w:val="1"/>
          <w:bCs w:val="1"/>
          <w:color w:val="auto"/>
        </w:rPr>
        <w:t xml:space="preserve"> G</w:t>
      </w:r>
      <w:r>
        <w:rPr>
          <w:rFonts w:ascii="Times New Roman" w:cs="Times New Roman" w:eastAsia="Times New Roman" w:hAnsi="Times New Roman"/>
          <w:sz w:val="7"/>
          <w:szCs w:val="7"/>
          <w:b w:val="1"/>
          <w:bCs w:val="1"/>
          <w:color w:val="auto"/>
        </w:rPr>
        <w:t>rowth</w:t>
      </w:r>
      <w:r>
        <w:rPr>
          <w:rFonts w:ascii="Times New Roman" w:cs="Times New Roman" w:eastAsia="Times New Roman" w:hAnsi="Times New Roman"/>
          <w:sz w:val="9"/>
          <w:szCs w:val="9"/>
          <w:b w:val="1"/>
          <w:bCs w:val="1"/>
          <w:color w:val="auto"/>
        </w:rPr>
        <w:t xml:space="preserve"> R</w:t>
      </w:r>
      <w:r>
        <w:rPr>
          <w:rFonts w:ascii="Times New Roman" w:cs="Times New Roman" w:eastAsia="Times New Roman" w:hAnsi="Times New Roman"/>
          <w:sz w:val="7"/>
          <w:szCs w:val="7"/>
          <w:b w:val="1"/>
          <w:bCs w:val="1"/>
          <w:color w:val="auto"/>
        </w:rPr>
        <w:t>eports</w:t>
      </w:r>
      <w:r>
        <w:rPr>
          <w:rFonts w:ascii="Times New Roman" w:cs="Times New Roman" w:eastAsia="Times New Roman" w:hAnsi="Times New Roman"/>
          <w:sz w:val="9"/>
          <w:szCs w:val="9"/>
          <w:b w:val="1"/>
          <w:bCs w:val="1"/>
          <w:color w:val="auto"/>
        </w:rPr>
        <w:t xml:space="preserve"> T</w:t>
      </w:r>
      <w:r>
        <w:rPr>
          <w:rFonts w:ascii="Times New Roman" w:cs="Times New Roman" w:eastAsia="Times New Roman" w:hAnsi="Times New Roman"/>
          <w:sz w:val="7"/>
          <w:szCs w:val="7"/>
          <w:b w:val="1"/>
          <w:bCs w:val="1"/>
          <w:color w:val="auto"/>
        </w:rPr>
        <w:t>hird</w:t>
      </w:r>
    </w:p>
    <w:p>
      <w:pPr>
        <w:ind w:left="40"/>
        <w:spacing w:after="0" w:line="204" w:lineRule="auto"/>
        <w:rPr>
          <w:sz w:val="20"/>
          <w:szCs w:val="20"/>
          <w:color w:val="auto"/>
        </w:rPr>
      </w:pPr>
      <w:r>
        <w:rPr>
          <w:rFonts w:ascii="Times New Roman" w:cs="Times New Roman" w:eastAsia="Times New Roman" w:hAnsi="Times New Roman"/>
          <w:sz w:val="10"/>
          <w:szCs w:val="10"/>
          <w:b w:val="1"/>
          <w:bCs w:val="1"/>
          <w:color w:val="C0C0C0"/>
        </w:rPr>
        <w:t>RELEASE</w:t>
      </w:r>
    </w:p>
    <w:p>
      <w:pPr>
        <w:jc w:val="center"/>
        <w:ind w:right="-999"/>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1"/>
          <w:szCs w:val="11"/>
          <w:b w:val="1"/>
          <w:bCs w:val="1"/>
          <w:color w:val="auto"/>
        </w:rPr>
        <w:t>uarter</w:t>
      </w:r>
      <w:r>
        <w:rPr>
          <w:rFonts w:ascii="Times New Roman" w:cs="Times New Roman" w:eastAsia="Times New Roman" w:hAnsi="Times New Roman"/>
          <w:sz w:val="17"/>
          <w:szCs w:val="17"/>
          <w:b w:val="1"/>
          <w:bCs w:val="1"/>
          <w:color w:val="auto"/>
        </w:rPr>
        <w:t xml:space="preserve"> 2026 O</w:t>
      </w:r>
      <w:r>
        <w:rPr>
          <w:rFonts w:ascii="Times New Roman" w:cs="Times New Roman" w:eastAsia="Times New Roman" w:hAnsi="Times New Roman"/>
          <w:sz w:val="11"/>
          <w:szCs w:val="11"/>
          <w:b w:val="1"/>
          <w:bCs w:val="1"/>
          <w:color w:val="auto"/>
        </w:rPr>
        <w:t>perating and</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inancial</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esults</w:t>
      </w:r>
    </w:p>
    <w:p>
      <w:pPr>
        <w:spacing w:after="0" w:line="17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3"/>
          <w:szCs w:val="13"/>
          <w:i w:val="1"/>
          <w:iCs w:val="1"/>
          <w:color w:val="auto"/>
        </w:rPr>
        <w:t>Year-to-Date Investment Activity Totals $472 million –</w:t>
      </w:r>
    </w:p>
    <w:p>
      <w:pPr>
        <w:spacing w:after="0" w:line="2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4"/>
          <w:szCs w:val="14"/>
          <w:i w:val="1"/>
          <w:iCs w:val="1"/>
          <w:color w:val="auto"/>
        </w:rPr>
        <w:t>– Enhances Liquidity with $1.0 billion Credit Facility –</w:t>
      </w:r>
    </w:p>
    <w:p>
      <w:pPr>
        <w:spacing w:after="0" w:line="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4"/>
          <w:szCs w:val="14"/>
          <w:i w:val="1"/>
          <w:iCs w:val="1"/>
          <w:color w:val="auto"/>
        </w:rPr>
        <w:t>– Increases 2026 Core FFO Per Diluted Share Guidance to $2.11 to $2.14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61207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5715"/>
                    </a:xfrm>
                    <a:prstGeom prst="rect">
                      <a:avLst/>
                    </a:prstGeom>
                    <a:noFill/>
                  </pic:spPr>
                </pic:pic>
              </a:graphicData>
            </a:graphic>
          </wp:anchor>
        </w:drawing>
      </w: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WINTER PARK, FL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October 27, 2026 </w:t>
      </w:r>
      <w:r>
        <w:rPr>
          <w:rFonts w:ascii="Times New Roman" w:cs="Times New Roman" w:eastAsia="Times New Roman" w:hAnsi="Times New Roman"/>
          <w:sz w:val="13"/>
          <w:szCs w:val="13"/>
          <w:color w:val="auto"/>
        </w:rPr>
        <w:t>– CTO Realty Growth, Inc. (NYSE: CTO) (the “Company” or “CTO”), an owner and operator of shopping centers located primarily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higher growth Southeast and Southwest markets, today announced its operating and financial results for the quarter ended September 30, 2026. Net Loss attributable to common stockholders was $0.19 per diluted share for the third quarter.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Third Quarter 2026 Highlights</w:t>
      </w:r>
    </w:p>
    <w:p>
      <w:pPr>
        <w:spacing w:after="0" w:line="74" w:lineRule="exact"/>
        <w:rPr>
          <w:sz w:val="20"/>
          <w:szCs w:val="20"/>
          <w:color w:val="auto"/>
        </w:rPr>
      </w:pPr>
    </w:p>
    <w:p>
      <w:pPr>
        <w:jc w:val="both"/>
        <w:ind w:left="440" w:right="3520"/>
        <w:spacing w:after="0" w:line="488" w:lineRule="auto"/>
        <w:rPr>
          <w:sz w:val="20"/>
          <w:szCs w:val="20"/>
          <w:color w:val="auto"/>
        </w:rPr>
      </w:pPr>
      <w:r>
        <w:rPr>
          <w:rFonts w:ascii="Times New Roman" w:cs="Times New Roman" w:eastAsia="Times New Roman" w:hAnsi="Times New Roman"/>
          <w:sz w:val="13"/>
          <w:szCs w:val="13"/>
          <w:color w:val="auto"/>
        </w:rPr>
        <w:t>Core Funds from Operations (“Core FFO”) attributable to common stockholders of $0.53 per diluted share. Adjusted Funds from Operations (“AFFO”) attributable to common stockholders of $0.55 per diluted share. Executed 396,000 square feet of comparable retail leases at a positive cash rent spread of 7%.</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Signed-not-open leasing pipeline totals $5.6 million as of September 30, 2026.</w:t>
      </w:r>
    </w:p>
    <w:p>
      <w:pPr>
        <w:spacing w:after="0" w:line="1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Shopping center same-property NOI increased 3.8% versus the third quarter of 2025 and 6.2% year-to-date.</w:t>
      </w:r>
    </w:p>
    <w:p>
      <w:pPr>
        <w:spacing w:after="0" w:line="147"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Secured $250 million of incremental commitments with the closing of a $1.0 billion amended and restated unsecured credit facility with the nearest maturity now in September 2029.</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Issued 1,271,472 common shares under its common stock ATM program at a weighted average gross price of $21.83 per share, for total net proceeds of $27.3 million.</w:t>
      </w:r>
    </w:p>
    <w:p>
      <w:pPr>
        <w:spacing w:after="0" w:line="147"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Income from Alpine Income Property Trust (NYSE: PINE) for the quarter was $2.2 million, consisting of $1.4 million in management fees and $0.8 million in dividend income. The annualized run-rate for income from PINE is $9.0 million as of September 30, 2026.</w:t>
      </w:r>
    </w:p>
    <w:p>
      <w:pPr>
        <w:spacing w:after="0" w:line="99"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Addressed the last 117,400 square feet of vacated anchor space at Carolina Pavilion, including a contract to sell 76,500 square feet and new leases with Cavender’s and 2nd &amp; Charles for the remaining 40,900 square feet.</w:t>
      </w:r>
    </w:p>
    <w:p>
      <w:pPr>
        <w:spacing w:after="0" w:line="99"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Acquired Zona Rosa, a 768,000 square foot mixed-use center located in Kansas City, Missouri, anchored by Dick’s Sporting Goods, Barnes &amp; Noble, Old Navy, Burlington, and DSW, for $63.3 million.</w:t>
      </w:r>
    </w:p>
    <w:p>
      <w:pPr>
        <w:spacing w:after="0" w:line="99"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Originated a $37.0 million loan secured by a leasehold interest in a mixed-use property located in Austin, Texas. The investment generates a 9.75% initial cash yield, and has a two-year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61264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0" w:right="11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auto"/>
        </w:rPr>
        <w:t>Subsequent Events</w:t>
      </w:r>
    </w:p>
    <w:p>
      <w:pPr>
        <w:spacing w:after="0" w:line="70"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Subsequent to September 30, 2026, invested an aggregate of $135.8 million comprised primarily of the previously announced $103.0 million acquisition of Summit Woods Crossing in Kansas City, Missouri and a $32.0 million preferred equity investment in a joint venture that owns a portfolio of ten shopping centers.</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Year-to-date investments, reflecting these subsequent events, total $472.3 million at a weighted average yield of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6120765" cy="382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382905"/>
                    </a:xfrm>
                    <a:prstGeom prst="rect">
                      <a:avLst/>
                    </a:prstGeom>
                    <a:noFill/>
                  </pic:spPr>
                </pic:pic>
              </a:graphicData>
            </a:graphic>
          </wp:anchor>
        </w:drawing>
      </w:r>
    </w:p>
    <w:p>
      <w:pPr>
        <w:spacing w:after="0" w:line="289"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3"/>
          <w:szCs w:val="13"/>
          <w:color w:val="auto"/>
        </w:rPr>
        <w:t>“We are pleased to deliver another excellent quarter, with Core FFO per diluted share up 10% year-over-year,” said John P. Albright, President and Chief Executive Officer of CTO Realty Growth. “We are raising our 2026 Core FFO guidance to reflect our continued leasing momentum and the $472 million we have invested year-to-date at a weighted average yield of 9.4%. With a $5.6 million signed-not-open leasing pipeline, we believe CTO is well positioned to deliver continued earnings growth into 2027.”</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Financial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data)</w:t>
            </w:r>
          </w:p>
        </w:tc>
        <w:tc>
          <w:tcPr>
            <w:tcW w:w="1040" w:type="dxa"/>
            <w:vAlign w:val="bottom"/>
          </w:tcPr>
          <w:p>
            <w:pPr>
              <w:ind w:left="92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3Q 2026</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3Q 2025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YTD 2026</w:t>
            </w:r>
          </w:p>
        </w:tc>
        <w:tc>
          <w:tcPr>
            <w:tcW w:w="200" w:type="dxa"/>
            <w:vAlign w:val="bottom"/>
          </w:tcPr>
          <w:p>
            <w:pPr>
              <w:spacing w:after="0"/>
              <w:rPr>
                <w:sz w:val="13"/>
                <w:szCs w:val="13"/>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YTD 2025</w:t>
            </w:r>
          </w:p>
        </w:tc>
      </w:tr>
      <w:tr>
        <w:trPr>
          <w:trHeight w:val="133"/>
        </w:trPr>
        <w:tc>
          <w:tcPr>
            <w:tcW w:w="3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10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(7,050)</w:t>
            </w: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1,036</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10,511</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(23,877)</w:t>
            </w: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per Common Share - Diluted</w:t>
            </w:r>
          </w:p>
        </w:tc>
        <w:tc>
          <w:tcPr>
            <w:tcW w:w="1040" w:type="dxa"/>
            <w:vAlign w:val="bottom"/>
          </w:tcPr>
          <w:p>
            <w:pPr>
              <w:spacing w:after="0"/>
              <w:rPr>
                <w:sz w:val="12"/>
                <w:szCs w:val="12"/>
                <w:color w:val="auto"/>
              </w:rPr>
            </w:pP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(0.19)</w:t>
            </w: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0.30</w:t>
            </w:r>
          </w:p>
        </w:tc>
        <w:tc>
          <w:tcPr>
            <w:tcW w:w="1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(0.74)</w:t>
            </w:r>
          </w:p>
        </w:tc>
      </w:tr>
      <w:tr>
        <w:trPr>
          <w:trHeight w:val="144"/>
        </w:trPr>
        <w:tc>
          <w:tcPr>
            <w:tcW w:w="3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Core FFO</w:t>
            </w:r>
          </w:p>
        </w:tc>
        <w:tc>
          <w:tcPr>
            <w:tcW w:w="1040" w:type="dxa"/>
            <w:vAlign w:val="bottom"/>
          </w:tcPr>
          <w:p>
            <w:pPr>
              <w:spacing w:after="0"/>
              <w:rPr>
                <w:sz w:val="12"/>
                <w:szCs w:val="12"/>
                <w:color w:val="auto"/>
              </w:rPr>
            </w:pP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19,817</w:t>
            </w:r>
          </w:p>
        </w:tc>
        <w:tc>
          <w:tcPr>
            <w:tcW w:w="140" w:type="dxa"/>
            <w:vAlign w:val="bottom"/>
          </w:tcPr>
          <w:p>
            <w:pPr>
              <w:spacing w:after="0"/>
              <w:rPr>
                <w:sz w:val="12"/>
                <w:szCs w:val="12"/>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15,632</w:t>
            </w:r>
          </w:p>
        </w:tc>
        <w:tc>
          <w:tcPr>
            <w:tcW w:w="1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55,186</w:t>
            </w:r>
          </w:p>
        </w:tc>
        <w:tc>
          <w:tcPr>
            <w:tcW w:w="1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44,736</w:t>
            </w: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Core FFO per Common Share - Diluted</w:t>
            </w: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r>
      <w:tr>
        <w:trPr>
          <w:trHeight w:val="144"/>
        </w:trPr>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AFFO</w:t>
            </w: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20,856</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58,229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47,133</w:t>
            </w:r>
          </w:p>
        </w:tc>
      </w:t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AFFO per Common Share - Diluted</w:t>
            </w:r>
          </w:p>
        </w:tc>
        <w:tc>
          <w:tcPr>
            <w:tcW w:w="1040" w:type="dxa"/>
            <w:vAlign w:val="bottom"/>
          </w:tcPr>
          <w:p>
            <w:pPr>
              <w:spacing w:after="0"/>
              <w:rPr>
                <w:sz w:val="13"/>
                <w:szCs w:val="13"/>
                <w:color w:val="auto"/>
              </w:rPr>
            </w:pP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14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14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4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r>
    </w:tbl>
    <w:p>
      <w:pPr>
        <w:spacing w:after="0" w:line="50" w:lineRule="exact"/>
        <w:rPr>
          <w:sz w:val="20"/>
          <w:szCs w:val="20"/>
          <w:color w:val="auto"/>
        </w:rPr>
      </w:pPr>
    </w:p>
    <w:p>
      <w:pPr>
        <w:ind w:left="160"/>
        <w:spacing w:after="0" w:line="286" w:lineRule="auto"/>
        <w:rPr>
          <w:sz w:val="20"/>
          <w:szCs w:val="20"/>
          <w:color w:val="auto"/>
        </w:rPr>
      </w:pPr>
      <w:r>
        <w:rPr>
          <w:rFonts w:ascii="Times New Roman" w:cs="Times New Roman" w:eastAsia="Times New Roman" w:hAnsi="Times New Roman"/>
          <w:sz w:val="11"/>
          <w:szCs w:val="11"/>
          <w:i w:val="1"/>
          <w:iCs w:val="1"/>
          <w:color w:val="auto"/>
        </w:rPr>
        <w:t>Metrics reflect amounts attributable to common stockholders. Refer to “Non-GAAP Financial Measures” for definitions and additional detail. Reconciliations of non-GAAP measures to the most directly comparable GAAP measure are provided in the tables accompanying this press release.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Portfolio Performance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Retail Leasing Activity</w:t>
      </w:r>
    </w:p>
    <w:p>
      <w:pPr>
        <w:spacing w:after="0" w:line="74"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During the three months ended September 30, 2026, the Company executed 38 new leases, renewals and extensions totaling 467,000 square feet. On a comparable space basis, the Company executed 396,000 square feet of leases at an average cash rent spread increase of 7%.</w:t>
      </w:r>
    </w:p>
    <w:p>
      <w:pPr>
        <w:spacing w:after="0" w:line="27"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During the nine months ended September 30, 2026, the Company executed 88 new leases, renewals and extensions totaling 833,000 square feet. On a comparable space basis, the Company executed 726,000 square feet of leases at an average cash rent spread increase of 9%.</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All vacated anchor spaces have now been addressed:</w:t>
      </w:r>
    </w:p>
    <w:p>
      <w:pPr>
        <w:spacing w:after="0" w:line="156" w:lineRule="exact"/>
        <w:rPr>
          <w:sz w:val="20"/>
          <w:szCs w:val="20"/>
          <w:color w:val="auto"/>
        </w:rPr>
      </w:pPr>
    </w:p>
    <w:p>
      <w:pPr>
        <w:ind w:left="860" w:hanging="209"/>
        <w:spacing w:after="0" w:line="258" w:lineRule="auto"/>
        <w:tabs>
          <w:tab w:leader="none" w:pos="860" w:val="left"/>
        </w:tabs>
        <w:numPr>
          <w:ilvl w:val="0"/>
          <w:numId w:val="5"/>
        </w:numPr>
        <w:rPr>
          <w:rFonts w:ascii="Courier New" w:cs="Courier New" w:eastAsia="Courier New" w:hAnsi="Courier New"/>
          <w:sz w:val="14"/>
          <w:szCs w:val="14"/>
          <w:color w:val="auto"/>
        </w:rPr>
      </w:pPr>
      <w:r>
        <w:rPr>
          <w:rFonts w:ascii="Times New Roman" w:cs="Times New Roman" w:eastAsia="Times New Roman" w:hAnsi="Times New Roman"/>
          <w:sz w:val="13"/>
          <w:szCs w:val="13"/>
          <w:color w:val="auto"/>
        </w:rPr>
        <w:t>Under contract to sell 76,500 square feet at Carolina Pavilion formerly leased to Value City Furniture and Jo-Ann Fabrics. Closing is expected late in the fourth quarter, subject to customary closing conditions.</w:t>
      </w:r>
    </w:p>
    <w:p>
      <w:pPr>
        <w:spacing w:after="0" w:line="14" w:lineRule="exact"/>
        <w:rPr>
          <w:rFonts w:ascii="Courier New" w:cs="Courier New" w:eastAsia="Courier New" w:hAnsi="Courier New"/>
          <w:sz w:val="14"/>
          <w:szCs w:val="14"/>
          <w:color w:val="auto"/>
        </w:rPr>
      </w:pPr>
    </w:p>
    <w:p>
      <w:pPr>
        <w:ind w:left="860" w:hanging="209"/>
        <w:spacing w:after="0"/>
        <w:tabs>
          <w:tab w:leader="none" w:pos="860" w:val="left"/>
        </w:tabs>
        <w:numPr>
          <w:ilvl w:val="0"/>
          <w:numId w:val="5"/>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Subdivided the 40,900 square feet at Carolina Pavilion formerly leased to Conn’s and executed leases with Cavender’s and 2nd &amp; Charles.</w:t>
      </w:r>
    </w:p>
    <w:p>
      <w:pPr>
        <w:spacing w:after="0" w:line="200" w:lineRule="exact"/>
        <w:rPr>
          <w:sz w:val="20"/>
          <w:szCs w:val="20"/>
          <w:color w:val="auto"/>
        </w:rPr>
      </w:pPr>
    </w:p>
    <w:p>
      <w:pPr>
        <w:spacing w:after="0" w:line="383"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0"/>
          <w:szCs w:val="1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612648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6480" cy="11430"/>
                    </a:xfrm>
                    <a:prstGeom prst="rect">
                      <a:avLst/>
                    </a:prstGeom>
                    <a:noFill/>
                  </pic:spPr>
                </pic:pic>
              </a:graphicData>
            </a:graphic>
          </wp:anchor>
        </w:drawing>
      </w:r>
    </w:p>
    <w:p>
      <w:pPr>
        <w:sectPr>
          <w:pgSz w:w="11900" w:h="16838" w:orient="portrait"/>
          <w:cols w:equalWidth="0" w:num="1">
            <w:col w:w="9640"/>
          </w:cols>
          <w:pgMar w:left="1120" w:top="122" w:right="11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color w:val="auto"/>
        </w:rPr>
        <w:t>Same-Property NOI</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During the three months ended September 30, 2026, shopping center same-property NOI increased by 3.8% versus the comparable 2025 period.</w:t>
      </w:r>
    </w:p>
    <w:p>
      <w:pPr>
        <w:spacing w:after="0" w:line="84"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During the nine months ended September 30, 2026, shopping center same-property NOI increased by 6.2% versus the comparable 2025 period. Excluding certain non-recurring recovery benefits, shopping center same-property NOI increased by 5.2% versus the comparable 2025 period.</w:t>
      </w:r>
    </w:p>
    <w:p>
      <w:pPr>
        <w:spacing w:after="0" w:line="27"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3"/>
          <w:szCs w:val="13"/>
          <w:color w:val="auto"/>
        </w:rPr>
        <w:t>Including other/non-core properties, same-property NOI increased by 2.3% for the third quarter and 3.2% for the nine months ended September 30, 2026. This growth was impacted by one tenant vacating 98,000 of our 212,000-square-foot Albuquerque, New Mexico property in December 2025. As previously announced, this vacancy was leased to the State of New Mexico which began paying rent in September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Occupancy</w:t>
      </w:r>
    </w:p>
    <w:p>
      <w:pPr>
        <w:spacing w:after="0" w:line="74"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As of September 30, 2026, total property portfolio leased occupancy was 92.4%, a decrease of 180 basis points compared to September 30, 2025, driven in part by the acquisition of Zona Rosa, which was 67% leased at acquisition.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As of September 30, 2026, same-property shopping center portfolio leased occupancy was 95.8%, up 90 basis points compared to September 30, 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Investment and Disposition Activity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Investment Activity</w:t>
      </w:r>
    </w:p>
    <w:p>
      <w:pPr>
        <w:spacing w:after="0" w:line="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During the three months ended September 30, 2026, completed $102.3 million of investments at a weighted average yield of 9.1%, consisting of:</w:t>
      </w:r>
    </w:p>
    <w:p>
      <w:pPr>
        <w:spacing w:after="0" w:line="61" w:lineRule="exact"/>
        <w:rPr>
          <w:sz w:val="20"/>
          <w:szCs w:val="20"/>
          <w:color w:val="auto"/>
        </w:rPr>
      </w:pPr>
    </w:p>
    <w:p>
      <w:pPr>
        <w:jc w:val="both"/>
        <w:ind w:left="860" w:hanging="209"/>
        <w:spacing w:after="0" w:line="254" w:lineRule="auto"/>
        <w:tabs>
          <w:tab w:leader="none" w:pos="860" w:val="left"/>
        </w:tabs>
        <w:numPr>
          <w:ilvl w:val="1"/>
          <w:numId w:val="9"/>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$63.3 million, or $82 per square foot, acquisition of Zona Rosa, a 768,000 square-foot mixed-use center in Kansas City, Missouri. The property is currently 67% leased and anchored by Dick’s Sporting Goods, Barnes &amp; Noble, Old Navy, Burlington, and DSW. The 64-acre center includes 10 acres of entitled development land and approximately 100,000 square feet of underutilized space for future value-add repositioning.</w:t>
      </w:r>
    </w:p>
    <w:p>
      <w:pPr>
        <w:spacing w:after="0" w:line="26" w:lineRule="exact"/>
        <w:rPr>
          <w:rFonts w:ascii="Courier New" w:cs="Courier New" w:eastAsia="Courier New" w:hAnsi="Courier New"/>
          <w:sz w:val="13"/>
          <w:szCs w:val="13"/>
          <w:color w:val="auto"/>
        </w:rPr>
      </w:pPr>
    </w:p>
    <w:p>
      <w:pPr>
        <w:ind w:left="860" w:hanging="209"/>
        <w:spacing w:after="0" w:line="263" w:lineRule="auto"/>
        <w:tabs>
          <w:tab w:leader="none" w:pos="860" w:val="left"/>
        </w:tabs>
        <w:numPr>
          <w:ilvl w:val="1"/>
          <w:numId w:val="9"/>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$37.0 million loan origination, of which $29.8 million was funded at closing. The investment is secured by a leasehold interest in a mixed-use property located in Austin, Texas, generates a 9.75% initial cash yield, and has a two-year term.</w:t>
      </w:r>
    </w:p>
    <w:p>
      <w:pPr>
        <w:spacing w:after="0" w:line="11" w:lineRule="exact"/>
        <w:rPr>
          <w:rFonts w:ascii="Courier New" w:cs="Courier New" w:eastAsia="Courier New" w:hAnsi="Courier New"/>
          <w:sz w:val="13"/>
          <w:szCs w:val="13"/>
          <w:color w:val="auto"/>
        </w:rPr>
      </w:pPr>
    </w:p>
    <w:p>
      <w:pPr>
        <w:ind w:left="860" w:hanging="209"/>
        <w:spacing w:after="0"/>
        <w:tabs>
          <w:tab w:leader="none" w:pos="860" w:val="left"/>
        </w:tabs>
        <w:numPr>
          <w:ilvl w:val="1"/>
          <w:numId w:val="9"/>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$2.0 million acquisition of a vacant outparcel at the Carolina Pavilion property located in Charlotte, North Carolina.</w:t>
      </w:r>
    </w:p>
    <w:p>
      <w:pPr>
        <w:spacing w:after="0" w:line="50" w:lineRule="exact"/>
        <w:rPr>
          <w:rFonts w:ascii="Courier New" w:cs="Courier New" w:eastAsia="Courier New" w:hAnsi="Courier New"/>
          <w:sz w:val="13"/>
          <w:szCs w:val="13"/>
          <w:color w:val="auto"/>
        </w:rPr>
      </w:pPr>
    </w:p>
    <w:p>
      <w:pPr>
        <w:ind w:left="220"/>
        <w:spacing w:after="0"/>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During the nine months ended September 30, 2026, completed $336.5 million of investments at a weighted average yield of 9.4%.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Disposition and Loan Repayment Activity</w:t>
      </w:r>
    </w:p>
    <w:p>
      <w:pPr>
        <w:spacing w:after="0" w:line="56"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During the nine months ended September 30, 2026, completed $90.7 million of property dispositions at a weighted average exit cash cap rate of 6.7%, generating aggregate gains of $2.1 million.</w:t>
      </w:r>
    </w:p>
    <w:p>
      <w:pPr>
        <w:ind w:left="440"/>
        <w:spacing w:after="0" w:line="281" w:lineRule="auto"/>
        <w:rPr>
          <w:sz w:val="20"/>
          <w:szCs w:val="20"/>
          <w:color w:val="auto"/>
        </w:rPr>
      </w:pPr>
      <w:r>
        <w:rPr>
          <w:rFonts w:ascii="Times New Roman" w:cs="Times New Roman" w:eastAsia="Times New Roman" w:hAnsi="Times New Roman"/>
          <w:sz w:val="13"/>
          <w:szCs w:val="13"/>
          <w:color w:val="auto"/>
        </w:rPr>
        <w:t>During the nine months ended September 30, 2026, the Company’s preferred investment in Watters Creek Village, a grocery-anchored, mixed-use property located in Allen, Texas, was repaid in full for $30.0 million.</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1264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6480" cy="11430"/>
                    </a:xfrm>
                    <a:prstGeom prst="rect">
                      <a:avLst/>
                    </a:prstGeom>
                    <a:noFill/>
                  </pic:spPr>
                </pic:pic>
              </a:graphicData>
            </a:graphic>
          </wp:anchor>
        </w:drawing>
      </w:r>
    </w:p>
    <w:p>
      <w:pPr>
        <w:sectPr>
          <w:pgSz w:w="11900" w:h="16838" w:orient="portrait"/>
          <w:cols w:equalWidth="0" w:num="1">
            <w:col w:w="9640"/>
          </w:cols>
          <w:pgMar w:left="1120" w:top="124" w:right="11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auto"/>
        </w:rPr>
        <w:t>Subsequent Events</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Inclusive of the activity subsequent to September 30, 2026, completed $472.3 million of investments at a weighted average yield of 9.4%:</w:t>
      </w:r>
    </w:p>
    <w:p>
      <w:pPr>
        <w:spacing w:after="0" w:line="61" w:lineRule="exact"/>
        <w:rPr>
          <w:sz w:val="20"/>
          <w:szCs w:val="20"/>
          <w:color w:val="auto"/>
        </w:rPr>
      </w:pPr>
    </w:p>
    <w:p>
      <w:pPr>
        <w:jc w:val="both"/>
        <w:ind w:left="860" w:hanging="209"/>
        <w:spacing w:after="0" w:line="254" w:lineRule="auto"/>
        <w:tabs>
          <w:tab w:leader="none" w:pos="860" w:val="left"/>
        </w:tabs>
        <w:numPr>
          <w:ilvl w:val="1"/>
          <w:numId w:val="12"/>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On October 5, 2026, acquired Summit Woods Crossing, a 545,000-square-foot open-air power center situated on 57 acres in the Kansas City, Missouri metro area, for $103.0 million, or $189 per square foot, significantly below replacement cost. The property is anchored by Lowe’s, Kohl’s, Best Buy, TJ Maxx, and Total Wine, with an on-site SuperTarget not owned by the Company.</w:t>
      </w:r>
    </w:p>
    <w:p>
      <w:pPr>
        <w:spacing w:after="0" w:line="26" w:lineRule="exact"/>
        <w:rPr>
          <w:rFonts w:ascii="Courier New" w:cs="Courier New" w:eastAsia="Courier New" w:hAnsi="Courier New"/>
          <w:sz w:val="13"/>
          <w:szCs w:val="13"/>
          <w:color w:val="auto"/>
        </w:rPr>
      </w:pPr>
    </w:p>
    <w:p>
      <w:pPr>
        <w:ind w:left="860" w:hanging="209"/>
        <w:spacing w:after="0"/>
        <w:tabs>
          <w:tab w:leader="none" w:pos="860" w:val="left"/>
        </w:tabs>
        <w:numPr>
          <w:ilvl w:val="1"/>
          <w:numId w:val="12"/>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On October 14, 2026, acquired a $0.8 million vacant outparcel adjacent to the Company’s existing beachfront restaurants located in Daytona Beach, Florida.</w:t>
      </w:r>
    </w:p>
    <w:p>
      <w:pPr>
        <w:spacing w:after="0" w:line="50" w:lineRule="exact"/>
        <w:rPr>
          <w:rFonts w:ascii="Courier New" w:cs="Courier New" w:eastAsia="Courier New" w:hAnsi="Courier New"/>
          <w:sz w:val="13"/>
          <w:szCs w:val="13"/>
          <w:color w:val="auto"/>
        </w:rPr>
      </w:pPr>
    </w:p>
    <w:p>
      <w:pPr>
        <w:ind w:left="860" w:hanging="209"/>
        <w:spacing w:after="0" w:line="243" w:lineRule="auto"/>
        <w:tabs>
          <w:tab w:leader="none" w:pos="860" w:val="left"/>
        </w:tabs>
        <w:numPr>
          <w:ilvl w:val="1"/>
          <w:numId w:val="12"/>
        </w:numPr>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On October 15, 2026, completed a $32.0 million preferred equity investment in a joint venture that owns a 10-property shopping center portfolio, fully funded at close, with an initial yield of 17.0% (including 7.0% paid-in-kind interest) and a 36-month term.</w:t>
      </w:r>
    </w:p>
    <w:p>
      <w:pPr>
        <w:spacing w:after="0" w:line="20" w:lineRule="exact"/>
        <w:rPr>
          <w:rFonts w:ascii="Courier New" w:cs="Courier New" w:eastAsia="Courier New" w:hAnsi="Courier New"/>
          <w:sz w:val="13"/>
          <w:szCs w:val="13"/>
          <w:color w:val="auto"/>
        </w:rPr>
      </w:pPr>
    </w:p>
    <w:p>
      <w:pPr>
        <w:ind w:left="220"/>
        <w:spacing w:after="0"/>
        <w:rPr>
          <w:rFonts w:ascii="Courier New" w:cs="Courier New" w:eastAsia="Courier New" w:hAnsi="Courier New"/>
          <w:sz w:val="13"/>
          <w:szCs w:val="13"/>
          <w:color w:val="auto"/>
        </w:rPr>
      </w:pPr>
      <w:r>
        <w:rPr>
          <w:rFonts w:ascii="Times New Roman" w:cs="Times New Roman" w:eastAsia="Times New Roman" w:hAnsi="Times New Roman"/>
          <w:sz w:val="13"/>
          <w:szCs w:val="13"/>
          <w:color w:val="auto"/>
        </w:rPr>
        <w:t>Inclusive of the activity closed subsequent to September 30, 2026, property portfolio has increased 1.3 million square feet since June 30,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Balance Sheet and Liquidity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sheet highlights as of September 30, 2026, included:</w:t>
      </w:r>
    </w:p>
    <w:p>
      <w:pPr>
        <w:spacing w:after="0" w:line="45" w:lineRule="exact"/>
        <w:rPr>
          <w:sz w:val="20"/>
          <w:szCs w:val="20"/>
          <w:color w:val="auto"/>
        </w:rPr>
      </w:pPr>
    </w:p>
    <w:p>
      <w:pPr>
        <w:ind w:left="440" w:right="660"/>
        <w:spacing w:after="0" w:line="339" w:lineRule="auto"/>
        <w:rPr>
          <w:sz w:val="20"/>
          <w:szCs w:val="20"/>
          <w:color w:val="auto"/>
        </w:rPr>
      </w:pPr>
      <w:r>
        <w:rPr>
          <w:rFonts w:ascii="Times New Roman" w:cs="Times New Roman" w:eastAsia="Times New Roman" w:hAnsi="Times New Roman"/>
          <w:sz w:val="13"/>
          <w:szCs w:val="13"/>
          <w:color w:val="auto"/>
        </w:rPr>
        <w:t>Total liquidity of $254.6 million, consisting of $245.8 million of undrawn commitments, limited by borrowing base restrictions, and $8.8 million of cash on hand. Total borrowings of $723.0 million at a weighted average interest rate of 4.7%.</w:t>
      </w:r>
    </w:p>
    <w:p>
      <w:pPr>
        <w:ind w:left="220"/>
        <w:spacing w:after="0"/>
        <w:rPr>
          <w:sz w:val="20"/>
          <w:szCs w:val="20"/>
          <w:color w:val="auto"/>
        </w:rPr>
      </w:pPr>
      <w:r>
        <w:rPr>
          <w:rFonts w:ascii="Times New Roman" w:cs="Times New Roman" w:eastAsia="Times New Roman" w:hAnsi="Times New Roman"/>
          <w:sz w:val="13"/>
          <w:szCs w:val="13"/>
          <w:color w:val="auto"/>
        </w:rPr>
        <w:t>Net Debt to Pro Forma Adjusted EBITDA was 5.9 times.</w:t>
      </w:r>
    </w:p>
    <w:p>
      <w:pPr>
        <w:spacing w:after="0" w:line="57" w:lineRule="exact"/>
        <w:rPr>
          <w:sz w:val="20"/>
          <w:szCs w:val="20"/>
          <w:color w:val="auto"/>
        </w:rPr>
      </w:pPr>
    </w:p>
    <w:p>
      <w:pPr>
        <w:ind w:left="440"/>
        <w:spacing w:after="0" w:line="257" w:lineRule="auto"/>
        <w:rPr>
          <w:sz w:val="20"/>
          <w:szCs w:val="20"/>
          <w:color w:val="auto"/>
        </w:rPr>
      </w:pPr>
      <w:r>
        <w:rPr>
          <w:rFonts w:ascii="Times New Roman" w:cs="Times New Roman" w:eastAsia="Times New Roman" w:hAnsi="Times New Roman"/>
          <w:sz w:val="13"/>
          <w:szCs w:val="13"/>
          <w:color w:val="auto"/>
        </w:rPr>
        <w:t>During the quarter ended September 30, 2026, the Company closed a $1.0 billion amended and restated unsecured credit facility (the “Credit Facility”). The Credit Facility increased total commitments by $250 million and extended the weighted average maturity of outstanding debt to 4.3 years from 1.6 years, excluding extension options. Proceeds were used to repay outstanding borrowings under the Company’s previous $300 million revolving credit facility, its $100 million term loan due January 2027, and its $100 million term loan due January 2028.</w:t>
      </w:r>
    </w:p>
    <w:p>
      <w:pPr>
        <w:spacing w:after="0" w:line="25" w:lineRule="exact"/>
        <w:rPr>
          <w:sz w:val="20"/>
          <w:szCs w:val="20"/>
          <w:color w:val="auto"/>
        </w:rPr>
      </w:pPr>
    </w:p>
    <w:p>
      <w:pPr>
        <w:ind w:left="440"/>
        <w:spacing w:after="0" w:line="281" w:lineRule="auto"/>
        <w:rPr>
          <w:sz w:val="20"/>
          <w:szCs w:val="20"/>
          <w:color w:val="auto"/>
        </w:rPr>
      </w:pPr>
      <w:r>
        <w:rPr>
          <w:rFonts w:ascii="Times New Roman" w:cs="Times New Roman" w:eastAsia="Times New Roman" w:hAnsi="Times New Roman"/>
          <w:sz w:val="13"/>
          <w:szCs w:val="13"/>
          <w:color w:val="auto"/>
        </w:rPr>
        <w:t>During the quarter ended September 30, 2026, the Company repaid its $17.8 million secured mortgage, representing its only secured debt. The Company’s nearest maturity is now September 2029.</w:t>
      </w:r>
    </w:p>
    <w:p>
      <w:pPr>
        <w:ind w:left="440"/>
        <w:spacing w:after="0" w:line="263" w:lineRule="auto"/>
        <w:rPr>
          <w:sz w:val="20"/>
          <w:szCs w:val="20"/>
          <w:color w:val="auto"/>
        </w:rPr>
      </w:pPr>
      <w:r>
        <w:rPr>
          <w:rFonts w:ascii="Times New Roman" w:cs="Times New Roman" w:eastAsia="Times New Roman" w:hAnsi="Times New Roman"/>
          <w:sz w:val="13"/>
          <w:szCs w:val="13"/>
          <w:color w:val="auto"/>
        </w:rPr>
        <w:t>During the quarter ended September 30, 2026, the Company issued 1,271,472 common shares under its common stock ATM program at a weighted average gross price of $21.83 per share, for total net proceeds of $27.3 million. During the nine months ended September 30, 2026, the Company issued 6,188,971 common shares under its common stock ATM program at a weighted average gross price of $20.52 per share, for total net proceeds of $125.1 million.</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1264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1" w:right="11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auto"/>
        </w:rPr>
        <w:t>2026 Outlook</w:t>
      </w:r>
    </w:p>
    <w:p>
      <w:pPr>
        <w:spacing w:after="0" w:line="1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Company is revising its 2026 outlook. The Company’s 2026 guidance is based on current plans and a number of assumptions and is subject to risks and uncertainties, many of which are outside the Company’s control, and are more fully described in this press release and in the Company's reports filed with the U.S. Securities and Exchange Commission.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The Company has revised its 2026 outlook as follows:</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11"/>
        </w:trPr>
        <w:tc>
          <w:tcPr>
            <w:tcW w:w="63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(Unaudited)</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Previous</w:t>
            </w:r>
          </w:p>
        </w:tc>
      </w:tr>
      <w:tr>
        <w:trPr>
          <w:trHeight w:val="142"/>
        </w:trPr>
        <w:tc>
          <w:tcPr>
            <w:tcW w:w="6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Core FFO per Common Share - Diluted</w:t>
            </w: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$2.11 to $2.14</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$2.09 to $2.13</w:t>
            </w: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AFFO per Common Share - Diluted</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$2.22 to $2.25</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$2.21 to $2.25</w:t>
            </w:r>
          </w:p>
        </w:tc>
      </w:tr>
    </w:tbl>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Metrics above reflect amounts attributable to common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The Company’s revised 2026 outlook includes but is not limited to the following assumptions (dollars in millions):</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11"/>
        </w:trPr>
        <w:tc>
          <w:tcPr>
            <w:tcW w:w="6380" w:type="dxa"/>
            <w:vAlign w:val="bottom"/>
          </w:tcPr>
          <w:p>
            <w:pPr>
              <w:spacing w:after="0"/>
              <w:rPr>
                <w:sz w:val="24"/>
                <w:szCs w:val="24"/>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Previous</w:t>
            </w:r>
          </w:p>
        </w:tc>
      </w:tr>
      <w:tr>
        <w:trPr>
          <w:trHeight w:val="142"/>
        </w:trPr>
        <w:tc>
          <w:tcPr>
            <w:tcW w:w="6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Investment Volume, Including Commercial Loans &amp; Structured Investments</w:t>
            </w:r>
          </w:p>
        </w:tc>
        <w:tc>
          <w:tcPr>
            <w:tcW w:w="15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w w:val="99"/>
              </w:rPr>
              <w:t>$472</w:t>
            </w:r>
          </w:p>
        </w:tc>
        <w:tc>
          <w:tcPr>
            <w:tcW w:w="1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w w:val="99"/>
              </w:rPr>
              <w:t>$300 to $400</w:t>
            </w:r>
          </w:p>
        </w:tc>
      </w:tr>
      <w:tr>
        <w:trPr>
          <w:trHeight w:val="153"/>
        </w:trPr>
        <w:tc>
          <w:tcPr>
            <w:tcW w:w="6380" w:type="dxa"/>
            <w:vAlign w:val="bottom"/>
          </w:tcPr>
          <w:p>
            <w:pPr>
              <w:spacing w:after="0"/>
              <w:rPr>
                <w:sz w:val="20"/>
                <w:szCs w:val="20"/>
                <w:color w:val="auto"/>
              </w:rPr>
            </w:pPr>
            <w:r>
              <w:rPr>
                <w:rFonts w:ascii="Times New Roman" w:cs="Times New Roman" w:eastAsia="Times New Roman" w:hAnsi="Times New Roman"/>
                <w:sz w:val="13"/>
                <w:szCs w:val="13"/>
                <w:color w:val="auto"/>
              </w:rPr>
              <w:t>Same-Property NOI Growth for Shopping Centers</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5.0% to 6.0%</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 to 6.0%</w:t>
            </w:r>
          </w:p>
        </w:tc>
      </w:tr>
      <w:tr>
        <w:trPr>
          <w:trHeight w:val="15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&amp; Administrative Expenses</w:t>
            </w:r>
          </w:p>
        </w:tc>
        <w:tc>
          <w:tcPr>
            <w:tcW w:w="1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rPr>
              <w:t>$21.0 to $21.5</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$20.0 to $20.2</w:t>
            </w:r>
          </w:p>
        </w:tc>
      </w:tr>
    </w:tbl>
    <w:p>
      <w:pPr>
        <w:spacing w:after="0" w:line="1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Reconciliation of the outlook range of the Company’s 2026 estimated Net Income Attributable to the Company per Diluted Share to estimated Core FFO Attributable to Common Stockholders per Diluted Share, and AFFO Attributable to Common Stockholders per Diluted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(Unaudited)</w:t>
            </w: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Revised 2026 Outlook</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Low</w:t>
            </w:r>
          </w:p>
        </w:tc>
        <w:tc>
          <w:tcPr>
            <w:tcW w:w="600" w:type="dxa"/>
            <w:vAlign w:val="bottom"/>
          </w:tcPr>
          <w:p>
            <w:pPr>
              <w:spacing w:after="0"/>
              <w:rPr>
                <w:sz w:val="12"/>
                <w:szCs w:val="12"/>
                <w:color w:val="auto"/>
              </w:rPr>
            </w:pPr>
          </w:p>
        </w:tc>
        <w:tc>
          <w:tcPr>
            <w:tcW w:w="1080" w:type="dxa"/>
            <w:vAlign w:val="bottom"/>
          </w:tcPr>
          <w:p>
            <w:pPr>
              <w:jc w:val="right"/>
              <w:ind w:right="634"/>
              <w:spacing w:after="0" w:line="142" w:lineRule="exact"/>
              <w:rPr>
                <w:sz w:val="20"/>
                <w:szCs w:val="20"/>
                <w:color w:val="auto"/>
              </w:rPr>
            </w:pPr>
            <w:r>
              <w:rPr>
                <w:rFonts w:ascii="Times New Roman" w:cs="Times New Roman" w:eastAsia="Times New Roman" w:hAnsi="Times New Roman"/>
                <w:sz w:val="13"/>
                <w:szCs w:val="13"/>
                <w:b w:val="1"/>
                <w:bCs w:val="1"/>
                <w:color w:val="auto"/>
              </w:rPr>
              <w:t>High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Income Attributable to the Company per Common Share - Diluted</w:t>
            </w:r>
          </w:p>
        </w:tc>
        <w:tc>
          <w:tcPr>
            <w:tcW w:w="38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0.66</w:t>
            </w:r>
          </w:p>
        </w:tc>
        <w:tc>
          <w:tcPr>
            <w:tcW w:w="2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5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 of Real Estate</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60" w:type="dxa"/>
            <w:vAlign w:val="bottom"/>
            <w:gridSpan w:val="2"/>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 xml:space="preserve">Gain on Disposition of Assets </w:t>
            </w:r>
            <w:r>
              <w:rPr>
                <w:rFonts w:ascii="Times New Roman" w:cs="Times New Roman" w:eastAsia="Times New Roman" w:hAnsi="Times New Roman"/>
                <w:sz w:val="17"/>
                <w:szCs w:val="17"/>
                <w:color w:val="auto"/>
                <w:vertAlign w:val="superscript"/>
              </w:rPr>
              <w:t>(1)</w:t>
            </w:r>
          </w:p>
        </w:tc>
        <w:tc>
          <w:tcPr>
            <w:tcW w:w="3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(0.06)</w:t>
            </w: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6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2"/>
                <w:szCs w:val="12"/>
                <w:color w:val="auto"/>
              </w:rPr>
              <w:t xml:space="preserve">Provision for Impairment and Adjustment to CECL Reserve </w:t>
            </w:r>
            <w:r>
              <w:rPr>
                <w:rFonts w:ascii="Times New Roman" w:cs="Times New Roman" w:eastAsia="Times New Roman" w:hAnsi="Times New Roman"/>
                <w:sz w:val="17"/>
                <w:szCs w:val="17"/>
                <w:color w:val="auto"/>
                <w:vertAlign w:val="superscript"/>
              </w:rPr>
              <w:t>(1)</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60" w:type="dxa"/>
            <w:vAlign w:val="bottom"/>
            <w:gridSpan w:val="2"/>
            <w:shd w:val="clear" w:color="auto" w:fill="CCEEFF"/>
          </w:tcPr>
          <w:p>
            <w:pPr>
              <w:ind w:left="180"/>
              <w:spacing w:after="0" w:line="153" w:lineRule="exact"/>
              <w:rPr>
                <w:sz w:val="20"/>
                <w:szCs w:val="20"/>
                <w:color w:val="auto"/>
              </w:rPr>
            </w:pPr>
            <w:r>
              <w:rPr>
                <w:rFonts w:ascii="Times New Roman" w:cs="Times New Roman" w:eastAsia="Times New Roman" w:hAnsi="Times New Roman"/>
                <w:sz w:val="12"/>
                <w:szCs w:val="12"/>
                <w:color w:val="auto"/>
              </w:rPr>
              <w:t xml:space="preserve">Realized and Unrealized Loss (Gain) on Investment Securities, Net of Income Tax </w:t>
            </w:r>
            <w:r>
              <w:rPr>
                <w:rFonts w:ascii="Times New Roman" w:cs="Times New Roman" w:eastAsia="Times New Roman" w:hAnsi="Times New Roman"/>
                <w:sz w:val="17"/>
                <w:szCs w:val="17"/>
                <w:color w:val="auto"/>
                <w:vertAlign w:val="superscript"/>
              </w:rPr>
              <w:t>(1)</w:t>
            </w:r>
          </w:p>
        </w:tc>
        <w:tc>
          <w:tcPr>
            <w:tcW w:w="3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(0.03)</w:t>
            </w: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Funds from Operations, per Common Share - Diluted</w:t>
            </w: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2.43</w:t>
            </w:r>
          </w:p>
        </w:tc>
        <w:tc>
          <w:tcPr>
            <w:tcW w:w="240" w:type="dxa"/>
            <w:vAlign w:val="bottom"/>
          </w:tcPr>
          <w:p>
            <w:pPr>
              <w:spacing w:after="0"/>
              <w:rPr>
                <w:sz w:val="12"/>
                <w:szCs w:val="12"/>
                <w:color w:val="auto"/>
              </w:rPr>
            </w:pPr>
          </w:p>
        </w:tc>
        <w:tc>
          <w:tcPr>
            <w:tcW w:w="60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Preferred Stockholders</w:t>
            </w:r>
          </w:p>
        </w:tc>
        <w:tc>
          <w:tcPr>
            <w:tcW w:w="3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(0.21)</w:t>
            </w: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Funds From Operations Attributable to Common Stockholders per Common Share - Diluted</w:t>
            </w: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2.22</w:t>
            </w:r>
          </w:p>
        </w:tc>
        <w:tc>
          <w:tcPr>
            <w:tcW w:w="240" w:type="dxa"/>
            <w:vAlign w:val="bottom"/>
          </w:tcPr>
          <w:p>
            <w:pPr>
              <w:spacing w:after="0"/>
              <w:rPr>
                <w:sz w:val="12"/>
                <w:szCs w:val="12"/>
                <w:color w:val="auto"/>
              </w:rPr>
            </w:pPr>
          </w:p>
        </w:tc>
        <w:tc>
          <w:tcPr>
            <w:tcW w:w="60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Intangibles to Lease Income</w:t>
            </w:r>
          </w:p>
        </w:tc>
        <w:tc>
          <w:tcPr>
            <w:tcW w:w="3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(0.12)</w:t>
            </w: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60" w:type="dxa"/>
            <w:vAlign w:val="bottom"/>
            <w:tcBorders>
              <w:bottom w:val="single" w:sz="8" w:color="CCEEFF"/>
            </w:tcBorders>
            <w:gridSpan w:val="2"/>
          </w:tcPr>
          <w:p>
            <w:pPr>
              <w:ind w:left="140"/>
              <w:spacing w:after="0" w:line="153" w:lineRule="exact"/>
              <w:rPr>
                <w:sz w:val="20"/>
                <w:szCs w:val="20"/>
                <w:color w:val="auto"/>
              </w:rPr>
            </w:pPr>
            <w:r>
              <w:rPr>
                <w:rFonts w:ascii="Times New Roman" w:cs="Times New Roman" w:eastAsia="Times New Roman" w:hAnsi="Times New Roman"/>
                <w:sz w:val="12"/>
                <w:szCs w:val="12"/>
                <w:color w:val="auto"/>
              </w:rPr>
              <w:t xml:space="preserve">Loss on Extinguishment of Debt </w:t>
            </w:r>
            <w:r>
              <w:rPr>
                <w:rFonts w:ascii="Times New Roman" w:cs="Times New Roman" w:eastAsia="Times New Roman" w:hAnsi="Times New Roman"/>
                <w:sz w:val="17"/>
                <w:szCs w:val="17"/>
                <w:color w:val="auto"/>
                <w:vertAlign w:val="superscript"/>
              </w:rPr>
              <w:t>(1)</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Core FFO Attributable to Common Stockholders per Common Share - Diluted</w:t>
            </w:r>
          </w:p>
        </w:tc>
        <w:tc>
          <w:tcPr>
            <w:tcW w:w="38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2.11</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5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Adjustments: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Straight-Line Rent Adjustment</w:t>
            </w:r>
          </w:p>
        </w:tc>
        <w:tc>
          <w:tcPr>
            <w:tcW w:w="3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(0.04)</w:t>
            </w: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Amortization of Loan Costs and Capitalized Interest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Compensation</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AFFO Attributable to Common Stockholders per Common Share - Diluted</w:t>
            </w: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2.22</w:t>
            </w:r>
          </w:p>
        </w:tc>
        <w:tc>
          <w:tcPr>
            <w:tcW w:w="240" w:type="dxa"/>
            <w:vAlign w:val="bottom"/>
          </w:tcPr>
          <w:p>
            <w:pPr>
              <w:spacing w:after="0"/>
              <w:rPr>
                <w:sz w:val="12"/>
                <w:szCs w:val="12"/>
                <w:color w:val="auto"/>
              </w:rPr>
            </w:pPr>
          </w:p>
        </w:tc>
        <w:tc>
          <w:tcPr>
            <w:tcW w:w="6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800" w:type="dxa"/>
            <w:vAlign w:val="bottom"/>
            <w:tcBorders>
              <w:bottom w:val="single" w:sz="8" w:color="auto"/>
            </w:tcBorders>
          </w:tcPr>
          <w:p>
            <w:pPr>
              <w:spacing w:after="0"/>
              <w:rPr>
                <w:sz w:val="5"/>
                <w:szCs w:val="5"/>
                <w:color w:val="auto"/>
              </w:rPr>
            </w:pPr>
          </w:p>
        </w:tc>
        <w:tc>
          <w:tcPr>
            <w:tcW w:w="3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0" w:right="280" w:hanging="134"/>
        <w:spacing w:after="0" w:line="232" w:lineRule="auto"/>
        <w:tabs>
          <w:tab w:leader="none" w:pos="200" w:val="left"/>
        </w:tabs>
        <w:numPr>
          <w:ilvl w:val="0"/>
          <w:numId w:val="14"/>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Gain on Disposition of Assets, Provision for Impairment and Adjustment to CECL Reserve, and Realized and Unrealized Loss (Gain) on Investment Securities, Net of Income Tax, and Loss on Extinguishment of Debt represents the actual adjustment for the nine months ended September 30, 2026. The Company’s outlook excludes projections related to these measures.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1264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1"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auto"/>
        </w:rPr>
        <w:t>Earnings Conference Call &amp; Webcast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will host a conference call to present its operating results for the third quarter ended September 30, 2026, on Wednesday, October 28, 2026 at 9:00 AM ET.</w:t>
      </w:r>
    </w:p>
    <w:p>
      <w:pPr>
        <w:spacing w:after="0" w:line="1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 live webcast of the call will be available on the Investor Relations page of the Company’s website at www.ctoreit.com or at the link provided in the event details below. To access the call by phone, please go to the registration link provided in the event details below and you will be provided with dial-in details.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Event Details:</w:t>
      </w:r>
    </w:p>
    <w:p>
      <w:pPr>
        <w:spacing w:after="0" w:line="153" w:lineRule="exact"/>
        <w:rPr>
          <w:sz w:val="20"/>
          <w:szCs w:val="20"/>
          <w:color w:val="auto"/>
        </w:rPr>
      </w:pPr>
    </w:p>
    <w:p>
      <w:pPr>
        <w:ind w:left="220"/>
        <w:spacing w:after="0"/>
        <w:tabs>
          <w:tab w:leader="none" w:pos="1280" w:val="left"/>
        </w:tabs>
        <w:rPr>
          <w:sz w:val="20"/>
          <w:szCs w:val="20"/>
          <w:color w:val="auto"/>
        </w:rPr>
      </w:pPr>
      <w:r>
        <w:rPr>
          <w:rFonts w:ascii="Times New Roman" w:cs="Times New Roman" w:eastAsia="Times New Roman" w:hAnsi="Times New Roman"/>
          <w:sz w:val="13"/>
          <w:szCs w:val="13"/>
          <w:color w:val="auto"/>
        </w:rPr>
        <w:t>Webcast:</w:t>
      </w:r>
      <w:r>
        <w:rPr>
          <w:sz w:val="20"/>
          <w:szCs w:val="20"/>
          <w:color w:val="auto"/>
        </w:rPr>
        <w:tab/>
      </w:r>
      <w:r>
        <w:rPr>
          <w:rFonts w:ascii="Times New Roman" w:cs="Times New Roman" w:eastAsia="Times New Roman" w:hAnsi="Times New Roman"/>
          <w:sz w:val="14"/>
          <w:szCs w:val="14"/>
          <w:color w:val="auto"/>
        </w:rPr>
        <w:t>https://edge.media-server.com/mmc/p/fu529fsr</w:t>
      </w:r>
    </w:p>
    <w:p>
      <w:pPr>
        <w:spacing w:after="0" w:line="77" w:lineRule="exact"/>
        <w:rPr>
          <w:sz w:val="20"/>
          <w:szCs w:val="20"/>
          <w:color w:val="auto"/>
        </w:rPr>
      </w:pPr>
    </w:p>
    <w:p>
      <w:pPr>
        <w:ind w:left="220"/>
        <w:spacing w:after="0"/>
        <w:tabs>
          <w:tab w:leader="none" w:pos="1280" w:val="left"/>
        </w:tabs>
        <w:rPr>
          <w:sz w:val="20"/>
          <w:szCs w:val="20"/>
          <w:color w:val="auto"/>
        </w:rPr>
      </w:pPr>
      <w:r>
        <w:rPr>
          <w:rFonts w:ascii="Times New Roman" w:cs="Times New Roman" w:eastAsia="Times New Roman" w:hAnsi="Times New Roman"/>
          <w:sz w:val="13"/>
          <w:szCs w:val="13"/>
          <w:color w:val="auto"/>
        </w:rPr>
        <w:t>Registration:</w:t>
      </w:r>
      <w:r>
        <w:rPr>
          <w:sz w:val="20"/>
          <w:szCs w:val="20"/>
          <w:color w:val="auto"/>
        </w:rPr>
        <w:tab/>
      </w:r>
      <w:r>
        <w:rPr>
          <w:rFonts w:ascii="Times New Roman" w:cs="Times New Roman" w:eastAsia="Times New Roman" w:hAnsi="Times New Roman"/>
          <w:sz w:val="13"/>
          <w:szCs w:val="13"/>
          <w:color w:val="auto"/>
        </w:rPr>
        <w:t>https://register-conf.media-server.com/register/BI7d08c73e0701499d94825c3c59fee239</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encourage participants to register and dial into the conference call at least fifteen minutes ahead of the scheduled start time. A replay of the earnings call will be archived and available online through the Investor Relations section of the Company’s website at www.ctoreit.com.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About CTO Realty Growth, Inc.</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CTO Realty Growth, Inc. is a publicly traded real estate investment trust that owns and operates high-quality, open-air shopping centers located primarily in the higher growth Southeast and Southwest markets of the United States. CTO also externally manages and owns a meaningful interest in Alpine Income Property Trust, Inc. (NYSE: PINE), a publicly traded net lease REIT.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encourage you to review our most recent investor presentation and supplemental financial information, which is available on our website at www.ctoreit.com.</w:t>
      </w:r>
    </w:p>
    <w:p>
      <w:pPr>
        <w:sectPr>
          <w:pgSz w:w="11900" w:h="16838" w:orient="portrait"/>
          <w:cols w:equalWidth="0" w:num="1">
            <w:col w:w="9640"/>
          </w:cols>
          <w:pgMar w:left="1120" w:top="121" w:right="1139" w:bottom="1440" w:gutter="0" w:footer="0" w:header="0"/>
        </w:sectPr>
      </w:pP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ir@ctoreit.com</w:t>
      </w:r>
    </w:p>
    <w:p>
      <w:pPr>
        <w:spacing w:after="0" w:line="200" w:lineRule="exact"/>
        <w:rPr>
          <w:sz w:val="20"/>
          <w:szCs w:val="20"/>
          <w:color w:val="auto"/>
        </w:rPr>
      </w:pPr>
    </w:p>
    <w:p>
      <w:pPr>
        <w:sectPr>
          <w:pgSz w:w="11900" w:h="16838" w:orient="portrait"/>
          <w:cols w:equalWidth="0" w:num="2">
            <w:col w:w="440" w:space="420"/>
            <w:col w:w="8780"/>
          </w:cols>
          <w:pgMar w:left="1120" w:top="121" w:right="1139" w:bottom="1440" w:gutter="0" w:footer="0" w:header="0"/>
          <w:type w:val="continuous"/>
        </w:sect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61264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1" w:right="11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auto"/>
        </w:rPr>
        <w:t>Safe Harbor</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Certain statements contained in this press release (other than statements of historical fact) are forward-looking statements within the meaning of Section 27A of the Securities Act of 1933, as amended, and Section 21E of the Securities Exchange Act of 1934, as amended. Forward-looking statements can typically be identified by words such as “outlook,” “guidance,” “believe,” “estimate,” “expect,” “intend,” “anticipate,” “will,” “could,” “may,” “should,” “plan,” “potential,” “predict,” “forecast,” “project,” and similar expressions, as well as variations or negatives of these words.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Although forward-looking statements are made based upon management’s present expectations and beliefs concerning future developments and their potential effect upon the Company, a number of factors could cause the Company’s actual results to differ materially from those set forth in the forward-looking statements. Such factors may include, but are not limited to: the Company’s ability to remain qualified as a REIT; the Company’s exposure to U.S. federal and state income tax law changes, including changes to the REIT requirements; general adverse economic and real estate conditions; macroeconomic and geopolitical factors, including but not limited to inflationary pressures, interest rate volatility, ongoing geopolitical war, distress in the banking sector, and global supply chain disruptions; credit risk associated with the Company investing in commercial loans, preferred equity, and similarly structured investments; the ultimate geographic spread, severity and duration of pandemics, actions that may be taken by governmental authorities to contain or address the impact of such pandemics, and the potential negative impacts of such pandemics on the global economy and the Company’s financial condition and results of operations; the inability of major tenants or borrowers to continue paying their rent or obligations due to bankruptcy, insolvency or a general downturn in their business; the loss or failure, or decline in the business or assets of PINE; the completion of 1031 exchange transactions; the availability of investment properties that meet the Company’s investment goals and criteria; the uncertainties associated with obtaining required governmental permits and satisfying other closing conditions for planned acquisitions and sales; and the uncertainties and risk factors discussed in the Company’s Annual Report on Form 10-K for the fiscal year ended December 31, 2025 and other risks and uncertainties discussed from time to time in the Company’s filings with the U.S. Securities and Exchange Commission.</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There can be no assurance that future developments will be in accordance with management’s expectations or that the effect of future developments on the Company will be those anticipated by management. Readers are cautioned not to place undue reliance on these forward-looking statements, which speak only as of the date of this press release. The Company undertakes no obligation to update the information contained in this press release to reflect subsequently occurring events or circumstances.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Non-GAAP Financial Measures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Our reported results are presented in accordance with accounting principles generally accepted in the United States of America (“GAAP”). We also disclose Funds From Operations (“FFO”), Core Funds From Operations (“Core FFO”), Adjusted Funds From Operations (“AFFO”), Pro Forma Adjusted Earnings Before Interest, Taxes, Depreciation and Amortization (“Pro Forma Adjusted EBITDA”), and Same-Property Net Operating Income (“Same-Property NOI”), each of which are non-GAAP financial measures. We believe these non-GAAP financial measures are useful to investors because they are widely accepted industry measures used by analysts and investors to compare the operating performance of REITs.</w:t>
      </w:r>
    </w:p>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FFO, Core FFO, AFFO, Pro Forma Adjusted EBITDA, and Same-Property NOI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GAAP financial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compute FFO in accordance with the definition adopted by the Board of Governors of the National Association of Real Estate Investment Trusts, or NAREIT.</w:t>
      </w:r>
    </w:p>
    <w:p>
      <w:pPr>
        <w:spacing w:after="0" w:line="31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0"/>
          <w:szCs w:val="10"/>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61264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1" w:right="1139" w:bottom="1440" w:gutter="0" w:footer="0" w:header="0"/>
        </w:sectPr>
      </w:pPr>
    </w:p>
    <w:bookmarkStart w:id="10" w:name="page11"/>
    <w:bookmarkEnd w:id="10"/>
    <w:p>
      <w:pPr>
        <w:jc w:val="both"/>
        <w:spacing w:after="0" w:line="249" w:lineRule="auto"/>
        <w:rPr>
          <w:sz w:val="20"/>
          <w:szCs w:val="20"/>
          <w:color w:val="auto"/>
        </w:rPr>
      </w:pPr>
      <w:r>
        <w:rPr>
          <w:rFonts w:ascii="Times New Roman" w:cs="Times New Roman" w:eastAsia="Times New Roman" w:hAnsi="Times New Roman"/>
          <w:sz w:val="13"/>
          <w:szCs w:val="13"/>
          <w:color w:val="auto"/>
        </w:rPr>
        <w:t>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current expected credit losses on commercial loans and investments at the time of origination and repayment, including the pro rata share of such adjustments of unconsolidated subsidiaries.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To derive Core FFO, we modify the NAREIT computation of FFO to include other adjustments to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To derive Pro Forma Adjusted EBITDA,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The Company also excludes the gains or losses from sales of assets incidental to the primary business of the REIT which specifically include the sales of investment securities (which are presented net of income tax expense or benefit, if applicable), in addition to the mark-to-market of the Company’s investment securities. Cash interest expense is also excluded from Pro Forma Adjusted EBITDA, and GAAP net income or loss is adjusted for the annualized impact of acquisitions, dispositions and other similar activities.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To derive Same-Property NOI, GAAP net income or loss attributable to the Company is adjusted to exclude real estate related depreciation and amortization, as well as extraordinary items (as defined by GAAP) such as net gain or loss from sales of depreciable real estate assets, impairment write-downs associated with depreciable real estate assets, impairments associated with the current expected credit losses on commercial loans and investments at the time of origination and repayment, including the pro rata share of such adjustments of unconsolidated subsidiaries, non-cash revenues and expenses such as straight-line rental revenue, amortization of deferred financing costs, gains and losses recognized on the extinguishment of debt, above- and below-market lease related intangibles, non-cash compensation, other non-recurring items such as termination fees, forfeitures of tenant security deposits, and other non-recurring items, and other non-cash income or expense. Interest expense, general and administrative expenses, investment and other income or loss, income tax benefit or expense, management fee income, and interest income from commercial loans and investments are also excluded from Same-Property NOI. GAAP net income or loss is further adjusted to remove the impact of properties that were not owned for the full current and prior year reporting periods presented. Cash rental income received under the leases pertaining to the Company’s assets that are presented as commercial loans and investments in accordance with GAAP is also used in lieu of the interest income equivalent.</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We also believe that Pro Forma Adjusted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We use</w:t>
      </w:r>
    </w:p>
    <w:p>
      <w:pPr>
        <w:spacing w:after="0" w:line="13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0"/>
          <w:szCs w:val="10"/>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61264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6" w:right="11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3"/>
          <w:szCs w:val="13"/>
          <w:color w:val="auto"/>
        </w:rPr>
        <w:t>Same-Property NOI to compare the operating performance of our assets between periods. It is an accepted and important measurement used by management, investors and analysts because it includes all property-level revenues from the Company’s properties, less operating and maintenance expenses, real estate taxes and other property-specific expenses (“Net Operating Income” or “NOI”) of properties that have been owned and stabilized for the entire current and prior year reporting periods. Same-Property NOI attempts to eliminate differences due to the acquisition or disposition of properties during the particular period presented, and therefore provides a more comparable and consistent performance measure for the comparison of the Company’s properties. FFO, Core FFO, AFFO, Pro Forma Adjusted EBITDA, and Same-Property NOI may not be comparable to similarly titled measures employed by other companies.</w:t>
      </w:r>
    </w:p>
    <w:p>
      <w:pPr>
        <w:spacing w:after="0" w:line="287"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0"/>
          <w:szCs w:val="10"/>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61264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6" w:right="11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CTO Realty Growth, Inc.</w:t>
      </w:r>
    </w:p>
    <w:p>
      <w:pPr>
        <w:spacing w:after="0" w:line="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1"/>
          <w:szCs w:val="11"/>
          <w:color w:val="auto"/>
        </w:rPr>
        <w:t>(In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1220" w:type="dxa"/>
            <w:vAlign w:val="bottom"/>
            <w:tcBorders>
              <w:bottom w:val="single" w:sz="8" w:color="auto"/>
            </w:tcBorders>
          </w:tcPr>
          <w:p>
            <w:pPr>
              <w:spacing w:after="0"/>
              <w:rPr>
                <w:sz w:val="13"/>
                <w:szCs w:val="13"/>
                <w:color w:val="auto"/>
              </w:rPr>
            </w:pPr>
          </w:p>
        </w:tc>
      </w:tr>
      <w:tr>
        <w:trPr>
          <w:trHeight w:val="118"/>
        </w:trPr>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9"/>
        </w:trPr>
        <w:tc>
          <w:tcPr>
            <w:tcW w:w="6780" w:type="dxa"/>
            <w:vAlign w:val="bottom"/>
            <w:gridSpan w:val="2"/>
          </w:tcPr>
          <w:p>
            <w:pPr>
              <w:ind w:left="66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2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33"/>
        </w:trPr>
        <w:tc>
          <w:tcPr>
            <w:tcW w:w="6760" w:type="dxa"/>
            <w:vAlign w:val="bottom"/>
            <w:tcBorders>
              <w:top w:val="single" w:sz="8" w:color="CCEEFF"/>
            </w:tcBorders>
            <w:shd w:val="clear" w:color="auto" w:fill="CCEEFF"/>
          </w:tcPr>
          <w:p>
            <w:pPr>
              <w:ind w:left="3080"/>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r>
      <w:tr>
        <w:trPr>
          <w:trHeight w:val="144"/>
        </w:trPr>
        <w:tc>
          <w:tcPr>
            <w:tcW w:w="6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Real Estate:</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4"/>
        </w:trPr>
        <w:tc>
          <w:tcPr>
            <w:tcW w:w="6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Land, at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318,401</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289,012</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Building and Improvements, at Cost</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844,484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766,371</w:t>
            </w:r>
          </w:p>
        </w:tc>
      </w:tr>
      <w:tr>
        <w:trPr>
          <w:trHeight w:val="144"/>
        </w:trPr>
        <w:tc>
          <w:tcPr>
            <w:tcW w:w="6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Furnishings and Equipment, at Cost</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Construction in Process, at Cost</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w:t>
            </w:r>
          </w:p>
        </w:tc>
      </w:tr>
      <w:tr>
        <w:trPr>
          <w:trHeight w:val="133"/>
        </w:trPr>
        <w:tc>
          <w:tcPr>
            <w:tcW w:w="67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Real Estate, at Cost</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1,169,208</w:t>
            </w: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1,060,397</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00" w:type="dxa"/>
            <w:vAlign w:val="bottom"/>
          </w:tcPr>
          <w:p>
            <w:pPr>
              <w:spacing w:after="0"/>
              <w:rPr>
                <w:sz w:val="12"/>
                <w:szCs w:val="12"/>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(129,699)</w:t>
            </w: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(107,268)</w:t>
            </w:r>
          </w:p>
        </w:tc>
      </w:tr>
      <w:tr>
        <w:trPr>
          <w:trHeight w:val="133"/>
        </w:trPr>
        <w:tc>
          <w:tcPr>
            <w:tcW w:w="67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Real Estate—Net</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1,039,509</w:t>
            </w: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953,129</w:t>
            </w:r>
          </w:p>
        </w:tc>
      </w:tr>
      <w:tr>
        <w:trPr>
          <w:trHeight w:val="144"/>
        </w:trPr>
        <w:tc>
          <w:tcPr>
            <w:tcW w:w="6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Land and Development Costs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r>
      <w:tr>
        <w:trPr>
          <w:trHeight w:val="144"/>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Lease Assets—Net</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97,092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84,710</w:t>
            </w:r>
          </w:p>
        </w:tc>
      </w:tr>
      <w:tr>
        <w:trPr>
          <w:trHeight w:val="144"/>
        </w:trPr>
        <w:tc>
          <w:tcPr>
            <w:tcW w:w="6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Investment in Alpine Income Property Trust, Inc.</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42,881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41,324</w:t>
            </w:r>
          </w:p>
        </w:tc>
      </w:tr>
      <w:tr>
        <w:trPr>
          <w:trHeight w:val="144"/>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Loans and Investments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222,480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104,804</w:t>
            </w:r>
          </w:p>
        </w:tc>
      </w:tr>
      <w:tr>
        <w:trPr>
          <w:trHeight w:val="144"/>
        </w:trPr>
        <w:tc>
          <w:tcPr>
            <w:tcW w:w="6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6,467</w:t>
            </w:r>
          </w:p>
        </w:tc>
      </w:tr>
      <w:tr>
        <w:trPr>
          <w:trHeight w:val="144"/>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34,652</w:t>
            </w:r>
          </w:p>
        </w:tc>
      </w:tr>
      <w:tr>
        <w:trPr>
          <w:trHeight w:val="144"/>
        </w:trPr>
        <w:tc>
          <w:tcPr>
            <w:tcW w:w="6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Income Taxes—Net</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2,309</w:t>
            </w:r>
          </w:p>
        </w:tc>
      </w:tr>
      <w:tr>
        <w:trPr>
          <w:trHeight w:val="144"/>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70,243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36,207</w:t>
            </w:r>
          </w:p>
        </w:tc>
      </w:tr>
      <w:tr>
        <w:trPr>
          <w:trHeight w:val="140"/>
        </w:trPr>
        <w:tc>
          <w:tcPr>
            <w:tcW w:w="676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1,495,336</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1,263,902</w:t>
            </w:r>
          </w:p>
        </w:tc>
      </w:tr>
      <w:tr>
        <w:trPr>
          <w:trHeight w:val="144"/>
        </w:trPr>
        <w:tc>
          <w:tcPr>
            <w:tcW w:w="6760" w:type="dxa"/>
            <w:vAlign w:val="bottom"/>
            <w:shd w:val="clear" w:color="auto" w:fill="CCEEFF"/>
          </w:tcPr>
          <w:p>
            <w:pPr>
              <w:ind w:left="2060"/>
              <w:spacing w:after="0" w:line="137" w:lineRule="exact"/>
              <w:rPr>
                <w:sz w:val="20"/>
                <w:szCs w:val="20"/>
                <w:color w:val="auto"/>
              </w:rPr>
            </w:pPr>
            <w:r>
              <w:rPr>
                <w:rFonts w:ascii="Times New Roman" w:cs="Times New Roman" w:eastAsia="Times New Roman" w:hAnsi="Times New Roman"/>
                <w:sz w:val="12"/>
                <w:szCs w:val="12"/>
                <w:color w:val="auto"/>
              </w:rPr>
              <w:t>LIABILITIES AND STOCKHOLDERS’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4"/>
        </w:trPr>
        <w:tc>
          <w:tcPr>
            <w:tcW w:w="6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4"/>
        </w:trPr>
        <w:tc>
          <w:tcPr>
            <w:tcW w:w="6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1,709</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Accrued and Other Liabilities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37,491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28,185</w:t>
            </w:r>
          </w:p>
        </w:tc>
      </w:tr>
      <w:tr>
        <w:trPr>
          <w:trHeight w:val="144"/>
        </w:trPr>
        <w:tc>
          <w:tcPr>
            <w:tcW w:w="6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Revenue</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18,802</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Intangible Lease Liabilities—Net</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34,784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31,486</w:t>
            </w:r>
          </w:p>
        </w:tc>
      </w:tr>
      <w:tr>
        <w:trPr>
          <w:trHeight w:val="144"/>
        </w:trPr>
        <w:tc>
          <w:tcPr>
            <w:tcW w:w="6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Taxes Payable</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Long-Term Debt—Net</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717,621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616,345</w:t>
            </w:r>
          </w:p>
        </w:tc>
      </w:tr>
      <w:tr>
        <w:trPr>
          <w:trHeight w:val="133"/>
        </w:trPr>
        <w:tc>
          <w:tcPr>
            <w:tcW w:w="67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814,005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696,556</w:t>
            </w:r>
          </w:p>
        </w:tc>
      </w:tr>
      <w:tr>
        <w:trPr>
          <w:trHeight w:val="133"/>
        </w:trPr>
        <w:tc>
          <w:tcPr>
            <w:tcW w:w="67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4"/>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3"/>
        </w:trPr>
        <w:tc>
          <w:tcPr>
            <w:tcW w:w="678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Preferred Stock – 100,000,000 shares authorized; $0.01 par value per share, 6.375% Series A Cumulative Redeemable Preferred Stock,</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5"/>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$25.00 Per Share Liquidation Preference, 4,713,069 shares issued and outstanding at September 30, 2026 and December 31, 2025</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33"/>
        </w:trPr>
        <w:tc>
          <w:tcPr>
            <w:tcW w:w="678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Common Stock – 500,000,000 shares authorized; $0.01 par value per share, 38,756,926 shares issued and outstanding at September 30,</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55"/>
        </w:trPr>
        <w:tc>
          <w:tcPr>
            <w:tcW w:w="6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2026 and 32,372,291 shares issued and outstanding at December 31, 2025</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509,513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382,494</w:t>
            </w:r>
          </w:p>
        </w:tc>
      </w:tr>
      <w:tr>
        <w:trPr>
          <w:trHeight w:val="144"/>
        </w:trPr>
        <w:tc>
          <w:tcPr>
            <w:tcW w:w="6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Retained Earnings</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153,656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184,886</w:t>
            </w:r>
          </w:p>
        </w:tc>
      </w:tr>
      <w:tr>
        <w:trPr>
          <w:trHeight w:val="144"/>
        </w:trPr>
        <w:tc>
          <w:tcPr>
            <w:tcW w:w="6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r>
      <w:tr>
        <w:trPr>
          <w:trHeight w:val="133"/>
        </w:trPr>
        <w:tc>
          <w:tcPr>
            <w:tcW w:w="67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681,331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567,346</w:t>
            </w:r>
          </w:p>
        </w:tc>
      </w:tr>
      <w:tr>
        <w:trPr>
          <w:trHeight w:val="140"/>
        </w:trPr>
        <w:tc>
          <w:tcPr>
            <w:tcW w:w="67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1,495,336</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1,263,902</w:t>
            </w:r>
          </w:p>
        </w:tc>
      </w:tr>
    </w:tbl>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1264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2" w:right="11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3"/>
          <w:szCs w:val="13"/>
          <w:b w:val="1"/>
          <w:bCs w:val="1"/>
          <w:color w:val="auto"/>
        </w:rPr>
        <w:t>CTO Realty Growth,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(Unaudited, in thousands, except share, per share and dividend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6"/>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6"/>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0" w:type="dxa"/>
            <w:vAlign w:val="bottom"/>
          </w:tcPr>
          <w:p>
            <w:pPr>
              <w:spacing w:after="0"/>
              <w:rPr>
                <w:sz w:val="1"/>
                <w:szCs w:val="1"/>
                <w:color w:val="auto"/>
              </w:rPr>
            </w:pPr>
          </w:p>
        </w:tc>
      </w:tr>
      <w:tr>
        <w:trPr>
          <w:trHeight w:val="159"/>
        </w:trPr>
        <w:tc>
          <w:tcPr>
            <w:tcW w:w="4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vMerge w:val="restart"/>
          </w:tcPr>
          <w:p>
            <w:pPr>
              <w:ind w:left="48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ind w:right="32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33"/>
        </w:trPr>
        <w:tc>
          <w:tcPr>
            <w:tcW w:w="49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Properties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38,451</w:t>
            </w:r>
          </w:p>
        </w:tc>
        <w:tc>
          <w:tcPr>
            <w:tcW w:w="40" w:type="dxa"/>
            <w:vAlign w:val="bottom"/>
          </w:tcPr>
          <w:p>
            <w:pPr>
              <w:spacing w:after="0"/>
              <w:rPr>
                <w:sz w:val="12"/>
                <w:szCs w:val="12"/>
                <w:color w:val="auto"/>
              </w:rPr>
            </w:pPr>
          </w:p>
        </w:tc>
        <w:tc>
          <w:tcPr>
            <w:tcW w:w="48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33,439</w:t>
            </w:r>
          </w:p>
        </w:tc>
        <w:tc>
          <w:tcPr>
            <w:tcW w:w="60" w:type="dxa"/>
            <w:vAlign w:val="bottom"/>
          </w:tcPr>
          <w:p>
            <w:pPr>
              <w:spacing w:after="0"/>
              <w:rPr>
                <w:sz w:val="12"/>
                <w:szCs w:val="12"/>
                <w:color w:val="auto"/>
              </w:rPr>
            </w:pP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112,167</w:t>
            </w:r>
          </w:p>
        </w:tc>
        <w:tc>
          <w:tcPr>
            <w:tcW w:w="40" w:type="dxa"/>
            <w:vAlign w:val="bottom"/>
          </w:tcPr>
          <w:p>
            <w:pPr>
              <w:spacing w:after="0"/>
              <w:rPr>
                <w:sz w:val="12"/>
                <w:szCs w:val="12"/>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98,486</w:t>
            </w: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Management Fee Income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3,601</w:t>
            </w:r>
          </w:p>
        </w:tc>
        <w:tc>
          <w:tcPr>
            <w:tcW w:w="0" w:type="dxa"/>
            <w:vAlign w:val="bottom"/>
          </w:tcPr>
          <w:p>
            <w:pPr>
              <w:spacing w:after="0"/>
              <w:rPr>
                <w:sz w:val="1"/>
                <w:szCs w:val="1"/>
                <w:color w:val="auto"/>
              </w:rPr>
            </w:pPr>
          </w:p>
        </w:tc>
      </w:tr>
      <w:tr>
        <w:trPr>
          <w:trHeight w:val="144"/>
        </w:trPr>
        <w:tc>
          <w:tcPr>
            <w:tcW w:w="4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Interest Income From Commercial Loans and Investments</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6,942</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15,415</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9,119</w:t>
            </w:r>
          </w:p>
        </w:tc>
        <w:tc>
          <w:tcPr>
            <w:tcW w:w="0" w:type="dxa"/>
            <w:vAlign w:val="bottom"/>
          </w:tcPr>
          <w:p>
            <w:pPr>
              <w:spacing w:after="0"/>
              <w:rPr>
                <w:sz w:val="1"/>
                <w:szCs w:val="1"/>
                <w:color w:val="auto"/>
              </w:rPr>
            </w:pPr>
          </w:p>
        </w:tc>
      </w:tr>
      <w:tr>
        <w:trPr>
          <w:trHeight w:val="133"/>
        </w:trPr>
        <w:tc>
          <w:tcPr>
            <w:tcW w:w="49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2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46,914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37,757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131,918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111,206</w:t>
            </w:r>
          </w:p>
        </w:tc>
        <w:tc>
          <w:tcPr>
            <w:tcW w:w="0" w:type="dxa"/>
            <w:vAlign w:val="bottom"/>
          </w:tcPr>
          <w:p>
            <w:pPr>
              <w:spacing w:after="0"/>
              <w:rPr>
                <w:sz w:val="1"/>
                <w:szCs w:val="1"/>
                <w:color w:val="auto"/>
              </w:rPr>
            </w:pPr>
          </w:p>
        </w:tc>
      </w:tr>
      <w:tr>
        <w:trPr>
          <w:trHeight w:val="133"/>
        </w:trPr>
        <w:tc>
          <w:tcPr>
            <w:tcW w:w="4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Direct Cost of Revenues</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Properties</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(11,581)</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(9,274)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(32,875)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(28,343)</w:t>
            </w:r>
          </w:p>
        </w:tc>
        <w:tc>
          <w:tcPr>
            <w:tcW w:w="0" w:type="dxa"/>
            <w:vAlign w:val="bottom"/>
          </w:tcPr>
          <w:p>
            <w:pPr>
              <w:spacing w:after="0"/>
              <w:rPr>
                <w:sz w:val="1"/>
                <w:szCs w:val="1"/>
                <w:color w:val="auto"/>
              </w:rPr>
            </w:pPr>
          </w:p>
        </w:tc>
      </w:tr>
      <w:tr>
        <w:trPr>
          <w:trHeight w:val="133"/>
        </w:trPr>
        <w:tc>
          <w:tcPr>
            <w:tcW w:w="49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Direct Cost of Revenues</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(11,581)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(9,274)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(32,875)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(28,343)</w:t>
            </w: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(5,806)</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(4,780)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(15,513)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(13,911)</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Impairment and Adjustment to CECL Reserve</w:t>
            </w:r>
          </w:p>
        </w:tc>
        <w:tc>
          <w:tcPr>
            <w:tcW w:w="22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(17,393)</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(14,929)</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(49,196)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(44,587)</w:t>
            </w:r>
          </w:p>
        </w:tc>
        <w:tc>
          <w:tcPr>
            <w:tcW w:w="0" w:type="dxa"/>
            <w:vAlign w:val="bottom"/>
          </w:tcPr>
          <w:p>
            <w:pPr>
              <w:spacing w:after="0"/>
              <w:rPr>
                <w:sz w:val="1"/>
                <w:szCs w:val="1"/>
                <w:color w:val="auto"/>
              </w:rPr>
            </w:pPr>
          </w:p>
        </w:tc>
      </w:tr>
      <w:tr>
        <w:trPr>
          <w:trHeight w:val="133"/>
        </w:trPr>
        <w:tc>
          <w:tcPr>
            <w:tcW w:w="4980" w:type="dxa"/>
            <w:vAlign w:val="bottom"/>
            <w:tcBorders>
              <w:bottom w:val="single" w:sz="8" w:color="CCEEFF"/>
            </w:tcBorders>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(35,134)</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(29,051)</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(98,701)</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(86,909)</w:t>
            </w:r>
          </w:p>
        </w:tc>
        <w:tc>
          <w:tcPr>
            <w:tcW w:w="0" w:type="dxa"/>
            <w:vAlign w:val="bottom"/>
          </w:tcPr>
          <w:p>
            <w:pPr>
              <w:spacing w:after="0"/>
              <w:rPr>
                <w:sz w:val="1"/>
                <w:szCs w:val="1"/>
                <w:color w:val="auto"/>
              </w:rPr>
            </w:pPr>
          </w:p>
        </w:tc>
      </w:tr>
      <w:tr>
        <w:trPr>
          <w:trHeight w:val="133"/>
        </w:trPr>
        <w:tc>
          <w:tcPr>
            <w:tcW w:w="4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Gain on Disposition of Assets</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1,373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1,373</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22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(211)</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(20,449)</w:t>
            </w:r>
          </w:p>
        </w:tc>
        <w:tc>
          <w:tcPr>
            <w:tcW w:w="0" w:type="dxa"/>
            <w:vAlign w:val="bottom"/>
          </w:tcPr>
          <w:p>
            <w:pPr>
              <w:spacing w:after="0"/>
              <w:rPr>
                <w:sz w:val="1"/>
                <w:szCs w:val="1"/>
                <w:color w:val="auto"/>
              </w:rPr>
            </w:pPr>
          </w:p>
        </w:tc>
      </w:tr>
      <w:tr>
        <w:trPr>
          <w:trHeight w:val="133"/>
        </w:trPr>
        <w:tc>
          <w:tcPr>
            <w:tcW w:w="498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Other Gain (Loss)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1,320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1,896</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(19,076)</w:t>
            </w:r>
          </w:p>
        </w:tc>
        <w:tc>
          <w:tcPr>
            <w:tcW w:w="0" w:type="dxa"/>
            <w:vAlign w:val="bottom"/>
          </w:tcPr>
          <w:p>
            <w:pPr>
              <w:spacing w:after="0"/>
              <w:rPr>
                <w:sz w:val="1"/>
                <w:szCs w:val="1"/>
                <w:color w:val="auto"/>
              </w:rPr>
            </w:pPr>
          </w:p>
        </w:tc>
      </w:tr>
      <w:tr>
        <w:trPr>
          <w:trHeight w:val="133"/>
        </w:trPr>
        <w:tc>
          <w:tcPr>
            <w:tcW w:w="498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Operating Income</w:t>
            </w:r>
          </w:p>
        </w:tc>
        <w:tc>
          <w:tcPr>
            <w:tcW w:w="2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11,569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10,026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35,113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5,221</w:t>
            </w: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and Other Income (Loss)</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(9,419)</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(3,333)</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(7,934)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(6,833)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(22,988)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(19,828)</w:t>
            </w:r>
          </w:p>
        </w:tc>
        <w:tc>
          <w:tcPr>
            <w:tcW w:w="0" w:type="dxa"/>
            <w:vAlign w:val="bottom"/>
          </w:tcPr>
          <w:p>
            <w:pPr>
              <w:spacing w:after="0"/>
              <w:rPr>
                <w:sz w:val="1"/>
                <w:szCs w:val="1"/>
                <w:color w:val="auto"/>
              </w:rPr>
            </w:pPr>
          </w:p>
        </w:tc>
      </w:tr>
      <w:tr>
        <w:trPr>
          <w:trHeight w:val="133"/>
        </w:trPr>
        <w:tc>
          <w:tcPr>
            <w:tcW w:w="498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Income (Loss) Before Income Tax Expense</w:t>
            </w: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(5,784)</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2,972</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16,714</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(17,940)</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(569)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0" w:type="dxa"/>
            <w:vAlign w:val="bottom"/>
          </w:tcPr>
          <w:p>
            <w:pPr>
              <w:spacing w:after="0"/>
              <w:rPr>
                <w:sz w:val="1"/>
                <w:szCs w:val="1"/>
                <w:color w:val="auto"/>
              </w:rPr>
            </w:pPr>
          </w:p>
        </w:tc>
      </w:tr>
      <w:tr>
        <w:trPr>
          <w:trHeight w:val="133"/>
        </w:trPr>
        <w:tc>
          <w:tcPr>
            <w:tcW w:w="498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Net Income (Loss) Attributable to the Company</w:t>
            </w: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(5,172)</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2,914</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16,145</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(18,243)</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to Preferred Stockholders</w:t>
            </w:r>
          </w:p>
        </w:tc>
        <w:tc>
          <w:tcPr>
            <w:tcW w:w="22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(1,878)</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(1,878)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(5,634)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(5,634)</w:t>
            </w:r>
          </w:p>
        </w:tc>
        <w:tc>
          <w:tcPr>
            <w:tcW w:w="0" w:type="dxa"/>
            <w:vAlign w:val="bottom"/>
          </w:tcPr>
          <w:p>
            <w:pPr>
              <w:spacing w:after="0"/>
              <w:rPr>
                <w:sz w:val="1"/>
                <w:szCs w:val="1"/>
                <w:color w:val="auto"/>
              </w:rPr>
            </w:pPr>
          </w:p>
        </w:tc>
      </w:tr>
      <w:tr>
        <w:trPr>
          <w:trHeight w:val="140"/>
        </w:trPr>
        <w:tc>
          <w:tcPr>
            <w:tcW w:w="4980" w:type="dxa"/>
            <w:vAlign w:val="bottom"/>
            <w:tcBorders>
              <w:top w:val="single" w:sz="8" w:color="CCEEFF"/>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Net Income (Loss) Attributable to Common Stockholders</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(7,050)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10,511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(23,877)</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Share Information:</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 Net Income (Loss) Attributable to Common Stockholders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(0.19)</w:t>
            </w:r>
          </w:p>
        </w:tc>
        <w:tc>
          <w:tcPr>
            <w:tcW w:w="48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60" w:type="dxa"/>
            <w:vAlign w:val="bottom"/>
          </w:tcPr>
          <w:p>
            <w:pPr>
              <w:spacing w:after="0"/>
              <w:rPr>
                <w:sz w:val="12"/>
                <w:szCs w:val="12"/>
                <w:color w:val="auto"/>
              </w:rPr>
            </w:pP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0.30</w:t>
            </w:r>
          </w:p>
        </w:tc>
        <w:tc>
          <w:tcPr>
            <w:tcW w:w="40" w:type="dxa"/>
            <w:vAlign w:val="bottom"/>
          </w:tcPr>
          <w:p>
            <w:pPr>
              <w:spacing w:after="0"/>
              <w:rPr>
                <w:sz w:val="12"/>
                <w:szCs w:val="12"/>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Common Shares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37,537,899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32,651,101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35,033,606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32,298,304</w:t>
            </w:r>
          </w:p>
        </w:tc>
        <w:tc>
          <w:tcPr>
            <w:tcW w:w="0" w:type="dxa"/>
            <w:vAlign w:val="bottom"/>
          </w:tcPr>
          <w:p>
            <w:pPr>
              <w:spacing w:after="0"/>
              <w:rPr>
                <w:sz w:val="1"/>
                <w:szCs w:val="1"/>
                <w:color w:val="auto"/>
              </w:rPr>
            </w:pPr>
          </w:p>
        </w:tc>
      </w:tr>
      <w:tr>
        <w:trPr>
          <w:trHeight w:val="144"/>
        </w:trPr>
        <w:tc>
          <w:tcPr>
            <w:tcW w:w="4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37,621,472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32,682,775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35,081,726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32,313,895</w:t>
            </w: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Declared and Paid - Preferred Stock</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40" w:type="dxa"/>
            <w:vAlign w:val="bottom"/>
          </w:tcPr>
          <w:p>
            <w:pPr>
              <w:spacing w:after="0"/>
              <w:rPr>
                <w:sz w:val="12"/>
                <w:szCs w:val="12"/>
                <w:color w:val="auto"/>
              </w:rPr>
            </w:pPr>
          </w:p>
        </w:tc>
        <w:tc>
          <w:tcPr>
            <w:tcW w:w="48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60" w:type="dxa"/>
            <w:vAlign w:val="bottom"/>
          </w:tcPr>
          <w:p>
            <w:pPr>
              <w:spacing w:after="0"/>
              <w:rPr>
                <w:sz w:val="12"/>
                <w:szCs w:val="12"/>
                <w:color w:val="auto"/>
              </w:rPr>
            </w:pP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40" w:type="dxa"/>
            <w:vAlign w:val="bottom"/>
          </w:tcPr>
          <w:p>
            <w:pPr>
              <w:spacing w:after="0"/>
              <w:rPr>
                <w:sz w:val="12"/>
                <w:szCs w:val="12"/>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44"/>
        </w:trPr>
        <w:tc>
          <w:tcPr>
            <w:tcW w:w="4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Dividends Declared and Paid - Common Stock</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0"/>
          <w:szCs w:val="10"/>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61264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2" w:right="11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b w:val="1"/>
          <w:bCs w:val="1"/>
          <w:color w:val="auto"/>
        </w:rPr>
        <w:t>CTO Realty Growth,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Funds from Operations, Core Funds from Operations, and Adjusted Funds from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Attributable to Common Stockholders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(Unaudited)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(In thousands,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00" w:type="dxa"/>
            <w:vAlign w:val="bottom"/>
          </w:tcPr>
          <w:p>
            <w:pPr>
              <w:spacing w:after="0"/>
              <w:rPr>
                <w:sz w:val="12"/>
                <w:szCs w:val="12"/>
                <w:color w:val="auto"/>
              </w:rPr>
            </w:pPr>
          </w:p>
        </w:tc>
        <w:tc>
          <w:tcPr>
            <w:tcW w:w="1620" w:type="dxa"/>
            <w:vAlign w:val="bottom"/>
            <w:gridSpan w:val="4"/>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59"/>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00" w:type="dxa"/>
            <w:vAlign w:val="bottom"/>
          </w:tcPr>
          <w:p>
            <w:pPr>
              <w:spacing w:after="0"/>
              <w:rPr>
                <w:sz w:val="13"/>
                <w:szCs w:val="13"/>
                <w:color w:val="auto"/>
              </w:rPr>
            </w:pPr>
          </w:p>
        </w:tc>
        <w:tc>
          <w:tcPr>
            <w:tcW w:w="1620" w:type="dxa"/>
            <w:vAlign w:val="bottom"/>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September 30,</w:t>
            </w:r>
          </w:p>
        </w:tc>
      </w:tr>
      <w:tr>
        <w:trPr>
          <w:trHeight w:val="133"/>
        </w:trPr>
        <w:tc>
          <w:tcPr>
            <w:tcW w:w="60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r>
      <w:tr>
        <w:trPr>
          <w:trHeight w:val="133"/>
        </w:trPr>
        <w:tc>
          <w:tcPr>
            <w:tcW w:w="6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 (Loss) Attributable to the Company</w:t>
            </w:r>
          </w:p>
        </w:tc>
        <w:tc>
          <w:tcPr>
            <w:tcW w:w="20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(5,172)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2,914</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16,145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(18,243)</w:t>
            </w:r>
          </w:p>
        </w:tc>
      </w:tr>
      <w:tr>
        <w:trPr>
          <w:trHeight w:val="144"/>
        </w:trPr>
        <w:tc>
          <w:tcPr>
            <w:tcW w:w="604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Real Estate</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17,376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49,145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44,536</w:t>
            </w:r>
          </w:p>
        </w:tc>
      </w:tr>
      <w:tr>
        <w:trPr>
          <w:trHeight w:val="144"/>
        </w:trPr>
        <w:tc>
          <w:tcPr>
            <w:tcW w:w="6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on Disposition of Assets</w:t>
            </w:r>
          </w:p>
        </w:tc>
        <w:tc>
          <w:tcPr>
            <w:tcW w:w="2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(1,373)</w:t>
            </w:r>
          </w:p>
        </w:tc>
        <w:tc>
          <w:tcPr>
            <w:tcW w:w="20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(2,107)</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w:t>
            </w:r>
          </w:p>
        </w:tc>
      </w:tr>
      <w:tr>
        <w:trPr>
          <w:trHeight w:val="14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Provision for Impairment and Adjustment to CECL Reserve</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6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Realized and Unrealized Loss (Gain) on Investment Securities, Net of Income Tax</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(1,203)</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5,829</w:t>
            </w:r>
          </w:p>
        </w:tc>
      </w:tr>
      <w:tr>
        <w:trPr>
          <w:trHeight w:val="133"/>
        </w:trPr>
        <w:tc>
          <w:tcPr>
            <w:tcW w:w="6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Funds from Operations</w:t>
            </w:r>
          </w:p>
        </w:tc>
        <w:tc>
          <w:tcPr>
            <w:tcW w:w="20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22,363</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17,637</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63,097</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30,817</w:t>
            </w:r>
          </w:p>
        </w:tc>
      </w:tr>
      <w:tr>
        <w:trPr>
          <w:trHeight w:val="144"/>
        </w:trPr>
        <w:tc>
          <w:tcPr>
            <w:tcW w:w="6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 to Preferred Stockholders</w:t>
            </w:r>
          </w:p>
        </w:tc>
        <w:tc>
          <w:tcPr>
            <w:tcW w:w="2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(1,878)</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(1,878)</w:t>
            </w:r>
          </w:p>
        </w:tc>
        <w:tc>
          <w:tcPr>
            <w:tcW w:w="20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(5,634)</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(5,634)</w:t>
            </w:r>
          </w:p>
        </w:tc>
      </w:tr>
      <w:tr>
        <w:trPr>
          <w:trHeight w:val="133"/>
        </w:trPr>
        <w:tc>
          <w:tcPr>
            <w:tcW w:w="6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Funds From Operations Attributable to Common Stockholders</w:t>
            </w:r>
          </w:p>
        </w:tc>
        <w:tc>
          <w:tcPr>
            <w:tcW w:w="20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20,485</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15,759</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57,463</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25,183</w:t>
            </w:r>
          </w:p>
        </w:tc>
      </w:tr>
      <w:tr>
        <w:trPr>
          <w:trHeight w:val="144"/>
        </w:trPr>
        <w:tc>
          <w:tcPr>
            <w:tcW w:w="604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20,449</w:t>
            </w:r>
          </w:p>
        </w:tc>
      </w:tr>
      <w:tr>
        <w:trPr>
          <w:trHeight w:val="144"/>
        </w:trPr>
        <w:tc>
          <w:tcPr>
            <w:tcW w:w="6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Intangibles to Lease Income</w:t>
            </w:r>
          </w:p>
        </w:tc>
        <w:tc>
          <w:tcPr>
            <w:tcW w:w="2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(879)</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(180)</w:t>
            </w:r>
          </w:p>
        </w:tc>
        <w:tc>
          <w:tcPr>
            <w:tcW w:w="20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(2,488)</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w:t>
            </w:r>
          </w:p>
        </w:tc>
      </w:tr>
      <w:tr>
        <w:trPr>
          <w:trHeight w:val="133"/>
        </w:trPr>
        <w:tc>
          <w:tcPr>
            <w:tcW w:w="6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Core Funds From Operations Attributable to Common Stockholders</w:t>
            </w:r>
          </w:p>
        </w:tc>
        <w:tc>
          <w:tcPr>
            <w:tcW w:w="20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19,817</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15,632</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55,186</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44,736</w:t>
            </w:r>
          </w:p>
        </w:tc>
      </w:tr>
      <w:tr>
        <w:trPr>
          <w:trHeight w:val="144"/>
        </w:trPr>
        <w:tc>
          <w:tcPr>
            <w:tcW w:w="6040" w:type="dxa"/>
            <w:vAlign w:val="bottom"/>
          </w:tcPr>
          <w:p>
            <w:pPr>
              <w:spacing w:after="0"/>
              <w:rPr>
                <w:sz w:val="20"/>
                <w:szCs w:val="20"/>
                <w:color w:val="auto"/>
              </w:rPr>
            </w:pPr>
            <w:r>
              <w:rPr>
                <w:rFonts w:ascii="Times New Roman" w:cs="Times New Roman" w:eastAsia="Times New Roman" w:hAnsi="Times New Roman"/>
                <w:sz w:val="12"/>
                <w:szCs w:val="12"/>
                <w:color w:val="auto"/>
              </w:rPr>
              <w:t>Adjustments: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Straight-Line Rent Adjustment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(1,140)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(1,690)</w:t>
            </w:r>
          </w:p>
        </w:tc>
      </w:tr>
      <w:tr>
        <w:trPr>
          <w:trHeight w:val="144"/>
        </w:trPr>
        <w:tc>
          <w:tcPr>
            <w:tcW w:w="6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Depreciation and Amortization</w:t>
            </w:r>
          </w:p>
        </w:tc>
        <w:tc>
          <w:tcPr>
            <w:tcW w:w="2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(34)</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4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Loan Costs, Discount on Convertible Debt, and Capitalized Interest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w:t>
            </w:r>
          </w:p>
        </w:tc>
      </w:tr>
      <w:tr>
        <w:trPr>
          <w:trHeight w:val="144"/>
        </w:trPr>
        <w:tc>
          <w:tcPr>
            <w:tcW w:w="6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Non-Cash Compensation</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1,121</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3,643</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3,222</w:t>
            </w:r>
          </w:p>
        </w:tc>
      </w:tr>
      <w:tr>
        <w:trPr>
          <w:trHeight w:val="140"/>
        </w:trPr>
        <w:tc>
          <w:tcPr>
            <w:tcW w:w="60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Adjusted Funds From Operations Attributable to Common Stockholders</w:t>
            </w: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20,856</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16,345</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58,229</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47,133</w:t>
            </w:r>
          </w:p>
        </w:tc>
      </w:tr>
      <w:tr>
        <w:trPr>
          <w:trHeight w:val="144"/>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FFO Attributable to Common Stockholders per Common Share - Diluted</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0.78</w:t>
            </w:r>
          </w:p>
        </w:tc>
      </w:tr>
      <w:tr>
        <w:trPr>
          <w:trHeight w:val="144"/>
        </w:trPr>
        <w:tc>
          <w:tcPr>
            <w:tcW w:w="6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Core FFO Attributable to Common Stockholders per Common Share - Diluted</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2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2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r>
      <w:tr>
        <w:trPr>
          <w:trHeight w:val="14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AFFO Attributable to Common Stockholders per Common Share - Diluted</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r>
      <w:tr>
        <w:trPr>
          <w:trHeight w:val="153"/>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Supplemental Disclosure:</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44"/>
        </w:trPr>
        <w:tc>
          <w:tcPr>
            <w:tcW w:w="6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PIK Interest Earned</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3"/>
          </w:tcPr>
          <w:p>
            <w:pPr>
              <w:jc w:val="right"/>
              <w:ind w:right="86"/>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PIK Interest Paid</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0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PIK Interest Earned in Excess of PIK Interest Paid</w:t>
            </w:r>
          </w:p>
        </w:tc>
        <w:tc>
          <w:tcPr>
            <w:tcW w:w="200" w:type="dxa"/>
            <w:vAlign w:val="bottom"/>
            <w:tcBorders>
              <w:top w:val="single" w:sz="8" w:color="auto"/>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224</w:t>
            </w: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357</w:t>
            </w: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1264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2" w:right="11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3"/>
          <w:szCs w:val="13"/>
          <w:b w:val="1"/>
          <w:bCs w:val="1"/>
          <w:color w:val="auto"/>
        </w:rPr>
        <w:t>CTO Realty Growth,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Same-Property NOI Reconciliation</w:t>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1"/>
          <w:szCs w:val="11"/>
          <w:color w:val="auto"/>
        </w:rPr>
        <w:t>(Unaudited)</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1"/>
          <w:szCs w:val="1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80" w:type="dxa"/>
            <w:vAlign w:val="bottom"/>
          </w:tcPr>
          <w:p>
            <w:pPr>
              <w:spacing w:after="0"/>
              <w:rPr>
                <w:sz w:val="12"/>
                <w:szCs w:val="12"/>
                <w:color w:val="auto"/>
              </w:rPr>
            </w:pPr>
          </w:p>
        </w:tc>
        <w:tc>
          <w:tcPr>
            <w:tcW w:w="2020" w:type="dxa"/>
            <w:vAlign w:val="bottom"/>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7"/>
              </w:rPr>
              <w:t>Nine Months Ended</w:t>
            </w:r>
          </w:p>
        </w:tc>
        <w:tc>
          <w:tcPr>
            <w:tcW w:w="440" w:type="dxa"/>
            <w:vAlign w:val="bottom"/>
          </w:tcPr>
          <w:p>
            <w:pPr>
              <w:spacing w:after="0"/>
              <w:rPr>
                <w:sz w:val="12"/>
                <w:szCs w:val="12"/>
                <w:color w:val="auto"/>
              </w:rPr>
            </w:pPr>
          </w:p>
        </w:tc>
      </w:tr>
      <w:tr>
        <w:trPr>
          <w:trHeight w:val="159"/>
        </w:trPr>
        <w:tc>
          <w:tcPr>
            <w:tcW w:w="46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440" w:type="dxa"/>
            <w:vAlign w:val="bottom"/>
            <w:tcBorders>
              <w:bottom w:val="single" w:sz="8" w:color="auto"/>
            </w:tcBorders>
          </w:tcPr>
          <w:p>
            <w:pPr>
              <w:spacing w:after="0"/>
              <w:rPr>
                <w:sz w:val="13"/>
                <w:szCs w:val="13"/>
                <w:color w:val="auto"/>
              </w:rPr>
            </w:pPr>
          </w:p>
        </w:tc>
      </w:tr>
      <w:tr>
        <w:trPr>
          <w:trHeight w:val="133"/>
        </w:trPr>
        <w:tc>
          <w:tcPr>
            <w:tcW w:w="46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2026</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Borders>
              <w:bottom w:val="single" w:sz="8" w:color="auto"/>
            </w:tcBorders>
          </w:tcPr>
          <w:p>
            <w:pPr>
              <w:spacing w:after="0"/>
              <w:rPr>
                <w:sz w:val="11"/>
                <w:szCs w:val="11"/>
                <w:color w:val="auto"/>
              </w:rPr>
            </w:pPr>
          </w:p>
        </w:tc>
      </w:tr>
      <w:tr>
        <w:trPr>
          <w:trHeight w:val="133"/>
        </w:trPr>
        <w:tc>
          <w:tcPr>
            <w:tcW w:w="4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 (Loss) Attributable to the Company</w:t>
            </w:r>
          </w:p>
        </w:tc>
        <w:tc>
          <w:tcPr>
            <w:tcW w:w="760" w:type="dxa"/>
            <w:vAlign w:val="bottom"/>
            <w:shd w:val="clear" w:color="auto" w:fill="CCEEFF"/>
          </w:tcPr>
          <w:p>
            <w:pPr>
              <w:jc w:val="right"/>
              <w:ind w:right="6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(5,172)</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6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2,914</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16,145</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(18,243)</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on Disposition of Assets</w:t>
            </w:r>
          </w:p>
        </w:tc>
        <w:tc>
          <w:tcPr>
            <w:tcW w:w="7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(1,373)</w:t>
            </w: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(2,107)</w:t>
            </w: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w:t>
            </w:r>
          </w:p>
        </w:tc>
      </w:tr>
      <w:tr>
        <w:trPr>
          <w:trHeight w:val="14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20,449</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Provision for Impairment and Adjustment to CECL Reserve</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17,393</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14,929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49,196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44,587</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Intangibles to Lease Income</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2,488</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w:t>
            </w:r>
          </w:p>
        </w:tc>
      </w:tr>
      <w:tr>
        <w:trPr>
          <w:trHeight w:val="14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Straight-Line Rent Adjustment</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1,690</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Accretion of Tenant Contribution</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22,988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19,828</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5,806</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15,513</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13,911</w:t>
            </w:r>
          </w:p>
        </w:tc>
      </w:tr>
      <w:tr>
        <w:trPr>
          <w:trHeight w:val="14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Investment and Other Income</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(4,589)</w:t>
            </w: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3,333</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(612)</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w:t>
            </w:r>
          </w:p>
        </w:tc>
      </w:tr>
      <w:tr>
        <w:trPr>
          <w:trHeight w:val="14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Management Fee Income</w:t>
            </w:r>
          </w:p>
        </w:tc>
        <w:tc>
          <w:tcPr>
            <w:tcW w:w="7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(1,521)</w:t>
            </w:r>
          </w:p>
        </w:tc>
        <w:tc>
          <w:tcPr>
            <w:tcW w:w="7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(1,176)</w:t>
            </w: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(4,336)</w:t>
            </w: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(3,601)</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Income From Commercial Loans and Investments</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(6,942)</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(3,142)</w:t>
            </w: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(15,415)</w:t>
            </w: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(9,119)</w:t>
            </w:r>
          </w:p>
        </w:tc>
      </w:tr>
      <w:tr>
        <w:trPr>
          <w:trHeight w:val="144"/>
        </w:trPr>
        <w:tc>
          <w:tcPr>
            <w:tcW w:w="46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 xml:space="preserve">Other Non-Recurring Items </w:t>
            </w:r>
            <w:r>
              <w:rPr>
                <w:rFonts w:ascii="Times New Roman" w:cs="Times New Roman" w:eastAsia="Times New Roman" w:hAnsi="Times New Roman"/>
                <w:sz w:val="16"/>
                <w:szCs w:val="16"/>
                <w:color w:val="auto"/>
                <w:vertAlign w:val="superscript"/>
              </w:rPr>
              <w:t>(1)</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(519)</w:t>
            </w: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(416)</w:t>
            </w: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Less: Impact of Properties Not Owned for the Full Reporting Period</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(6,970)</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(3,283)</w:t>
            </w: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(25,347)</w:t>
            </w: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(16,607)</w:t>
            </w:r>
          </w:p>
        </w:tc>
      </w:tr>
      <w:tr>
        <w:trPr>
          <w:trHeight w:val="133"/>
        </w:trPr>
        <w:tc>
          <w:tcPr>
            <w:tcW w:w="4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Same-Property NOI</w:t>
            </w:r>
          </w:p>
        </w:tc>
        <w:tc>
          <w:tcPr>
            <w:tcW w:w="760" w:type="dxa"/>
            <w:vAlign w:val="bottom"/>
            <w:tcBorders>
              <w:top w:val="single" w:sz="8" w:color="auto"/>
            </w:tcBorders>
            <w:shd w:val="clear" w:color="auto" w:fill="CCEEFF"/>
          </w:tcPr>
          <w:p>
            <w:pPr>
              <w:jc w:val="right"/>
              <w:ind w:right="6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21,450</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6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20,961</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5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57,228</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55,435</w:t>
            </w:r>
          </w:p>
        </w:tc>
      </w:tr>
      <w:tr>
        <w:trPr>
          <w:trHeight w:val="144"/>
        </w:trPr>
        <w:tc>
          <w:tcPr>
            <w:tcW w:w="4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Less: Same Property NOI for Other Properties</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(1,016)</w:t>
            </w:r>
          </w:p>
        </w:tc>
        <w:tc>
          <w:tcPr>
            <w:tcW w:w="7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(1,277)</w:t>
            </w: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(2,277)</w:t>
            </w: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(3,683)</w:t>
            </w:r>
          </w:p>
        </w:tc>
      </w:tr>
      <w:tr>
        <w:trPr>
          <w:trHeight w:val="140"/>
        </w:trPr>
        <w:tc>
          <w:tcPr>
            <w:tcW w:w="46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Same-Property NOI for Shopping Centers</w:t>
            </w:r>
          </w:p>
        </w:tc>
        <w:tc>
          <w:tcPr>
            <w:tcW w:w="760" w:type="dxa"/>
            <w:vAlign w:val="bottom"/>
            <w:tcBorders>
              <w:top w:val="single" w:sz="8" w:color="auto"/>
              <w:bottom w:val="single" w:sz="8" w:color="auto"/>
            </w:tcBorders>
            <w:shd w:val="clear" w:color="auto" w:fill="CCEEFF"/>
          </w:tcPr>
          <w:p>
            <w:pPr>
              <w:jc w:val="right"/>
              <w:ind w:right="6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20,434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19,684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5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54,951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6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51,752</w:t>
            </w:r>
          </w:p>
        </w:tc>
      </w:tr>
    </w:tbl>
    <w:p>
      <w:pPr>
        <w:spacing w:after="0" w:line="19" w:lineRule="exact"/>
        <w:rPr>
          <w:sz w:val="20"/>
          <w:szCs w:val="20"/>
          <w:color w:val="auto"/>
        </w:rPr>
      </w:pPr>
    </w:p>
    <w:p>
      <w:pPr>
        <w:ind w:left="260" w:hanging="212"/>
        <w:spacing w:after="0"/>
        <w:tabs>
          <w:tab w:leader="none" w:pos="26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non-recurring items such as termination fees, forfeitures of tenant security deposits, and other non-recurring items.</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1264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2" w:right="11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4"/>
        </w:trPr>
        <w:tc>
          <w:tcPr>
            <w:tcW w:w="7540" w:type="dxa"/>
            <w:vAlign w:val="bottom"/>
          </w:tcPr>
          <w:p>
            <w:pPr>
              <w:jc w:val="center"/>
              <w:ind w:left="2040"/>
              <w:spacing w:after="0"/>
              <w:rPr>
                <w:sz w:val="20"/>
                <w:szCs w:val="20"/>
                <w:color w:val="auto"/>
              </w:rPr>
            </w:pPr>
            <w:r>
              <w:rPr>
                <w:rFonts w:ascii="Times New Roman" w:cs="Times New Roman" w:eastAsia="Times New Roman" w:hAnsi="Times New Roman"/>
                <w:sz w:val="13"/>
                <w:szCs w:val="13"/>
                <w:b w:val="1"/>
                <w:bCs w:val="1"/>
                <w:color w:val="auto"/>
              </w:rPr>
              <w:t>CTO Realty Growth, Inc.</w:t>
            </w: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3"/>
        </w:trPr>
        <w:tc>
          <w:tcPr>
            <w:tcW w:w="7540" w:type="dxa"/>
            <w:vAlign w:val="bottom"/>
          </w:tcPr>
          <w:p>
            <w:pPr>
              <w:jc w:val="center"/>
              <w:ind w:left="206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0"/>
        </w:trPr>
        <w:tc>
          <w:tcPr>
            <w:tcW w:w="7540" w:type="dxa"/>
            <w:vAlign w:val="bottom"/>
          </w:tcPr>
          <w:p>
            <w:pPr>
              <w:jc w:val="center"/>
              <w:ind w:left="2040"/>
              <w:spacing w:after="0"/>
              <w:rPr>
                <w:sz w:val="20"/>
                <w:szCs w:val="20"/>
                <w:color w:val="auto"/>
              </w:rPr>
            </w:pPr>
            <w:r>
              <w:rPr>
                <w:rFonts w:ascii="Times New Roman" w:cs="Times New Roman" w:eastAsia="Times New Roman" w:hAnsi="Times New Roman"/>
                <w:sz w:val="13"/>
                <w:szCs w:val="13"/>
                <w:b w:val="1"/>
                <w:bCs w:val="1"/>
                <w:color w:val="auto"/>
              </w:rPr>
              <w:t>Reconciliation of Net Debt to Pro Forma Adjusted EBITDA</w:t>
            </w: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35"/>
        </w:trPr>
        <w:tc>
          <w:tcPr>
            <w:tcW w:w="7540" w:type="dxa"/>
            <w:vAlign w:val="bottom"/>
          </w:tcPr>
          <w:p>
            <w:pPr>
              <w:jc w:val="center"/>
              <w:ind w:left="2040"/>
              <w:spacing w:after="0"/>
              <w:rPr>
                <w:sz w:val="20"/>
                <w:szCs w:val="20"/>
                <w:color w:val="auto"/>
              </w:rPr>
            </w:pPr>
            <w:r>
              <w:rPr>
                <w:rFonts w:ascii="Times New Roman" w:cs="Times New Roman" w:eastAsia="Times New Roman" w:hAnsi="Times New Roman"/>
                <w:sz w:val="11"/>
                <w:szCs w:val="11"/>
                <w:color w:val="auto"/>
                <w:w w:val="97"/>
              </w:rPr>
              <w:t>(Unaudited)</w:t>
            </w:r>
          </w:p>
        </w:tc>
        <w:tc>
          <w:tcPr>
            <w:tcW w:w="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0"/>
        </w:trPr>
        <w:tc>
          <w:tcPr>
            <w:tcW w:w="7540" w:type="dxa"/>
            <w:vAlign w:val="bottom"/>
          </w:tcPr>
          <w:p>
            <w:pPr>
              <w:jc w:val="center"/>
              <w:ind w:left="2060"/>
              <w:spacing w:after="0"/>
              <w:rPr>
                <w:sz w:val="20"/>
                <w:szCs w:val="20"/>
                <w:color w:val="auto"/>
              </w:rPr>
            </w:pPr>
            <w:r>
              <w:rPr>
                <w:rFonts w:ascii="Times New Roman" w:cs="Times New Roman" w:eastAsia="Times New Roman" w:hAnsi="Times New Roman"/>
                <w:sz w:val="11"/>
                <w:szCs w:val="11"/>
                <w:color w:val="auto"/>
                <w:w w:val="97"/>
              </w:rPr>
              <w:t>(In thousands)</w:t>
            </w: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77"/>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2"/>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59"/>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2"/>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September 30, 2026</w:t>
            </w:r>
          </w:p>
        </w:tc>
      </w:tr>
      <w:tr>
        <w:trPr>
          <w:trHeight w:val="133"/>
        </w:trPr>
        <w:tc>
          <w:tcPr>
            <w:tcW w:w="7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 Attributable to the Company</w:t>
            </w: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(5,172)</w:t>
            </w:r>
          </w:p>
        </w:tc>
        <w:tc>
          <w:tcPr>
            <w:tcW w:w="180" w:type="dxa"/>
            <w:vAlign w:val="bottom"/>
            <w:tcBorders>
              <w:top w:val="single" w:sz="8" w:color="CCEEFF"/>
            </w:tcBorders>
            <w:shd w:val="clear" w:color="auto" w:fill="CCEEFF"/>
          </w:tcPr>
          <w:p>
            <w:pPr>
              <w:spacing w:after="0"/>
              <w:rPr>
                <w:sz w:val="11"/>
                <w:szCs w:val="11"/>
                <w:color w:val="auto"/>
              </w:rPr>
            </w:pPr>
          </w:p>
        </w:tc>
      </w:tr>
      <w:tr>
        <w:trPr>
          <w:trHeight w:val="144"/>
        </w:trPr>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Real Estate</w:t>
            </w:r>
          </w:p>
        </w:tc>
        <w:tc>
          <w:tcPr>
            <w:tcW w:w="2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17,376</w:t>
            </w:r>
          </w:p>
        </w:tc>
        <w:tc>
          <w:tcPr>
            <w:tcW w:w="180" w:type="dxa"/>
            <w:vAlign w:val="bottom"/>
          </w:tcPr>
          <w:p>
            <w:pPr>
              <w:spacing w:after="0"/>
              <w:rPr>
                <w:sz w:val="12"/>
                <w:szCs w:val="12"/>
                <w:color w:val="auto"/>
              </w:rPr>
            </w:pPr>
          </w:p>
        </w:tc>
      </w:tr>
      <w:tr>
        <w:trPr>
          <w:trHeight w:val="14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Provision for Impairment and Adjustment to CECL Reserve</w:t>
            </w:r>
          </w:p>
        </w:tc>
        <w:tc>
          <w:tcPr>
            <w:tcW w:w="2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180" w:type="dxa"/>
            <w:vAlign w:val="bottom"/>
            <w:shd w:val="clear" w:color="auto" w:fill="CCEEFF"/>
          </w:tcPr>
          <w:p>
            <w:pPr>
              <w:spacing w:after="0"/>
              <w:rPr>
                <w:sz w:val="12"/>
                <w:szCs w:val="12"/>
                <w:color w:val="auto"/>
              </w:rPr>
            </w:pPr>
          </w:p>
        </w:tc>
      </w:tr>
      <w:tr>
        <w:trPr>
          <w:trHeight w:val="144"/>
        </w:trPr>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Realized and Unrealized Loss (Gain) on Investment Securities, Net of Income Tax</w:t>
            </w:r>
          </w:p>
        </w:tc>
        <w:tc>
          <w:tcPr>
            <w:tcW w:w="2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9,805</w:t>
            </w:r>
          </w:p>
        </w:tc>
        <w:tc>
          <w:tcPr>
            <w:tcW w:w="180" w:type="dxa"/>
            <w:vAlign w:val="bottom"/>
          </w:tcPr>
          <w:p>
            <w:pPr>
              <w:spacing w:after="0"/>
              <w:rPr>
                <w:sz w:val="12"/>
                <w:szCs w:val="12"/>
                <w:color w:val="auto"/>
              </w:rPr>
            </w:pPr>
          </w:p>
        </w:tc>
      </w:tr>
      <w:tr>
        <w:trPr>
          <w:trHeight w:val="14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Distributions to Preferred Stockholders</w:t>
            </w:r>
          </w:p>
        </w:tc>
        <w:tc>
          <w:tcPr>
            <w:tcW w:w="24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(1,878)</w:t>
            </w:r>
          </w:p>
        </w:tc>
      </w:tr>
      <w:tr>
        <w:trPr>
          <w:trHeight w:val="144"/>
        </w:trPr>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2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80" w:type="dxa"/>
            <w:vAlign w:val="bottom"/>
          </w:tcPr>
          <w:p>
            <w:pPr>
              <w:spacing w:after="0"/>
              <w:rPr>
                <w:sz w:val="12"/>
                <w:szCs w:val="12"/>
                <w:color w:val="auto"/>
              </w:rPr>
            </w:pPr>
          </w:p>
        </w:tc>
      </w:tr>
      <w:tr>
        <w:trPr>
          <w:trHeight w:val="14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Intangibles to Lease Income</w:t>
            </w:r>
          </w:p>
        </w:tc>
        <w:tc>
          <w:tcPr>
            <w:tcW w:w="24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(879)</w:t>
            </w:r>
          </w:p>
        </w:tc>
      </w:tr>
      <w:tr>
        <w:trPr>
          <w:trHeight w:val="144"/>
        </w:trPr>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Straight-Line Rent Adjustment</w:t>
            </w:r>
          </w:p>
        </w:tc>
        <w:tc>
          <w:tcPr>
            <w:tcW w:w="240" w:type="dxa"/>
            <w:vAlign w:val="bottom"/>
          </w:tcPr>
          <w:p>
            <w:pPr>
              <w:spacing w:after="0"/>
              <w:rPr>
                <w:sz w:val="12"/>
                <w:szCs w:val="12"/>
                <w:color w:val="auto"/>
              </w:rPr>
            </w:pPr>
          </w:p>
        </w:tc>
        <w:tc>
          <w:tcPr>
            <w:tcW w:w="18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(277)</w:t>
            </w:r>
          </w:p>
        </w:tc>
      </w:tr>
      <w:tr>
        <w:trPr>
          <w:trHeight w:val="14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Depreciation and Amortization</w:t>
            </w:r>
          </w:p>
        </w:tc>
        <w:tc>
          <w:tcPr>
            <w:tcW w:w="24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Loan Costs and Capitalized Interest</w:t>
            </w:r>
          </w:p>
        </w:tc>
        <w:tc>
          <w:tcPr>
            <w:tcW w:w="2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180" w:type="dxa"/>
            <w:vAlign w:val="bottom"/>
          </w:tcPr>
          <w:p>
            <w:pPr>
              <w:spacing w:after="0"/>
              <w:rPr>
                <w:sz w:val="12"/>
                <w:szCs w:val="12"/>
                <w:color w:val="auto"/>
              </w:rPr>
            </w:pPr>
          </w:p>
        </w:tc>
      </w:tr>
      <w:tr>
        <w:trPr>
          <w:trHeight w:val="14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Non-Cash Compensation</w:t>
            </w:r>
          </w:p>
        </w:tc>
        <w:tc>
          <w:tcPr>
            <w:tcW w:w="2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w:t>
            </w:r>
          </w:p>
        </w:tc>
        <w:tc>
          <w:tcPr>
            <w:tcW w:w="180" w:type="dxa"/>
            <w:vAlign w:val="bottom"/>
            <w:shd w:val="clear" w:color="auto" w:fill="CCEEFF"/>
          </w:tcPr>
          <w:p>
            <w:pPr>
              <w:spacing w:after="0"/>
              <w:rPr>
                <w:sz w:val="12"/>
                <w:szCs w:val="12"/>
                <w:color w:val="auto"/>
              </w:rPr>
            </w:pPr>
          </w:p>
        </w:tc>
      </w:tr>
      <w:tr>
        <w:trPr>
          <w:trHeight w:val="144"/>
        </w:trPr>
        <w:tc>
          <w:tcPr>
            <w:tcW w:w="754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 xml:space="preserve">Other Non-Recurring Items </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80" w:type="dxa"/>
            <w:vAlign w:val="bottom"/>
          </w:tcPr>
          <w:p>
            <w:pPr>
              <w:spacing w:after="0"/>
              <w:rPr>
                <w:sz w:val="12"/>
                <w:szCs w:val="12"/>
                <w:color w:val="auto"/>
              </w:rPr>
            </w:pPr>
          </w:p>
        </w:tc>
      </w:tr>
      <w:tr>
        <w:trPr>
          <w:trHeight w:val="14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Expense, Net of Amortization of Loan Costs</w:t>
            </w:r>
          </w:p>
        </w:tc>
        <w:tc>
          <w:tcPr>
            <w:tcW w:w="24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7,708</w:t>
            </w:r>
          </w:p>
        </w:tc>
        <w:tc>
          <w:tcPr>
            <w:tcW w:w="180" w:type="dxa"/>
            <w:vAlign w:val="bottom"/>
            <w:shd w:val="clear" w:color="auto" w:fill="CCEEFF"/>
          </w:tcPr>
          <w:p>
            <w:pPr>
              <w:spacing w:after="0"/>
              <w:rPr>
                <w:sz w:val="12"/>
                <w:szCs w:val="12"/>
                <w:color w:val="auto"/>
              </w:rPr>
            </w:pPr>
          </w:p>
        </w:tc>
      </w:tr>
      <w:tr>
        <w:trPr>
          <w:trHeight w:val="140"/>
        </w:trPr>
        <w:tc>
          <w:tcPr>
            <w:tcW w:w="75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Adjusted EBITDA</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28,913</w:t>
            </w:r>
          </w:p>
        </w:tc>
        <w:tc>
          <w:tcPr>
            <w:tcW w:w="180" w:type="dxa"/>
            <w:vAlign w:val="bottom"/>
            <w:tcBorders>
              <w:bottom w:val="single" w:sz="8" w:color="CCEEFF"/>
            </w:tcBorders>
          </w:tcPr>
          <w:p>
            <w:pPr>
              <w:spacing w:after="0"/>
              <w:rPr>
                <w:sz w:val="12"/>
                <w:szCs w:val="12"/>
                <w:color w:val="auto"/>
              </w:rPr>
            </w:pPr>
          </w:p>
        </w:tc>
      </w:tr>
      <w:tr>
        <w:trPr>
          <w:trHeight w:val="144"/>
        </w:trPr>
        <w:tc>
          <w:tcPr>
            <w:tcW w:w="7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4"/>
        </w:trPr>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Annualized Adjusted EBITDA</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115,652</w:t>
            </w:r>
          </w:p>
        </w:tc>
        <w:tc>
          <w:tcPr>
            <w:tcW w:w="180" w:type="dxa"/>
            <w:vAlign w:val="bottom"/>
          </w:tcPr>
          <w:p>
            <w:pPr>
              <w:spacing w:after="0"/>
              <w:rPr>
                <w:sz w:val="12"/>
                <w:szCs w:val="12"/>
                <w:color w:val="auto"/>
              </w:rPr>
            </w:pPr>
          </w:p>
        </w:tc>
      </w:tr>
      <w:tr>
        <w:trPr>
          <w:trHeight w:val="144"/>
        </w:trPr>
        <w:tc>
          <w:tcPr>
            <w:tcW w:w="754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 xml:space="preserve">Pro Forma Annualized Impact of Current Quarter Investments and Dispositions, Net </w:t>
            </w:r>
            <w:r>
              <w:rPr>
                <w:rFonts w:ascii="Times New Roman" w:cs="Times New Roman" w:eastAsia="Times New Roman" w:hAnsi="Times New Roman"/>
                <w:sz w:val="16"/>
                <w:szCs w:val="16"/>
                <w:color w:val="auto"/>
                <w:vertAlign w:val="superscript"/>
              </w:rPr>
              <w:t>(2)</w:t>
            </w:r>
          </w:p>
        </w:tc>
        <w:tc>
          <w:tcPr>
            <w:tcW w:w="24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4,799</w:t>
            </w:r>
          </w:p>
        </w:tc>
        <w:tc>
          <w:tcPr>
            <w:tcW w:w="180" w:type="dxa"/>
            <w:vAlign w:val="bottom"/>
            <w:shd w:val="clear" w:color="auto" w:fill="CCEEFF"/>
          </w:tcPr>
          <w:p>
            <w:pPr>
              <w:spacing w:after="0"/>
              <w:rPr>
                <w:sz w:val="12"/>
                <w:szCs w:val="12"/>
                <w:color w:val="auto"/>
              </w:rPr>
            </w:pPr>
          </w:p>
        </w:tc>
      </w:tr>
      <w:tr>
        <w:trPr>
          <w:trHeight w:val="140"/>
        </w:trPr>
        <w:tc>
          <w:tcPr>
            <w:tcW w:w="75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Pro Forma Adjusted EBITDA</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120,451</w:t>
            </w:r>
          </w:p>
        </w:tc>
        <w:tc>
          <w:tcPr>
            <w:tcW w:w="180" w:type="dxa"/>
            <w:vAlign w:val="bottom"/>
            <w:tcBorders>
              <w:bottom w:val="single" w:sz="8" w:color="CCEEFF"/>
            </w:tcBorders>
          </w:tcPr>
          <w:p>
            <w:pPr>
              <w:spacing w:after="0"/>
              <w:rPr>
                <w:sz w:val="12"/>
                <w:szCs w:val="12"/>
                <w:color w:val="auto"/>
              </w:rPr>
            </w:pPr>
          </w:p>
        </w:tc>
      </w:tr>
      <w:tr>
        <w:trPr>
          <w:trHeight w:val="144"/>
        </w:trPr>
        <w:tc>
          <w:tcPr>
            <w:tcW w:w="7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4"/>
        </w:trPr>
        <w:tc>
          <w:tcPr>
            <w:tcW w:w="7540" w:type="dxa"/>
            <w:vAlign w:val="bottom"/>
          </w:tcPr>
          <w:p>
            <w:pPr>
              <w:spacing w:after="0"/>
              <w:rPr>
                <w:sz w:val="20"/>
                <w:szCs w:val="20"/>
                <w:color w:val="auto"/>
              </w:rPr>
            </w:pPr>
            <w:r>
              <w:rPr>
                <w:rFonts w:ascii="Times New Roman" w:cs="Times New Roman" w:eastAsia="Times New Roman" w:hAnsi="Times New Roman"/>
                <w:sz w:val="12"/>
                <w:szCs w:val="12"/>
                <w:color w:val="auto"/>
              </w:rPr>
              <w:t>Total Long-Term Debt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717,621</w:t>
            </w:r>
          </w:p>
        </w:tc>
        <w:tc>
          <w:tcPr>
            <w:tcW w:w="180" w:type="dxa"/>
            <w:vAlign w:val="bottom"/>
          </w:tcPr>
          <w:p>
            <w:pPr>
              <w:spacing w:after="0"/>
              <w:rPr>
                <w:sz w:val="12"/>
                <w:szCs w:val="12"/>
                <w:color w:val="auto"/>
              </w:rPr>
            </w:pPr>
          </w:p>
        </w:tc>
      </w:tr>
      <w:tr>
        <w:trPr>
          <w:trHeight w:val="144"/>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Financing Costs, Net of Accumulated Amortization</w:t>
            </w:r>
          </w:p>
        </w:tc>
        <w:tc>
          <w:tcPr>
            <w:tcW w:w="24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5,379</w:t>
            </w:r>
          </w:p>
        </w:tc>
        <w:tc>
          <w:tcPr>
            <w:tcW w:w="180" w:type="dxa"/>
            <w:vAlign w:val="bottom"/>
            <w:shd w:val="clear" w:color="auto" w:fill="CCEEFF"/>
          </w:tcPr>
          <w:p>
            <w:pPr>
              <w:spacing w:after="0"/>
              <w:rPr>
                <w:sz w:val="12"/>
                <w:szCs w:val="12"/>
                <w:color w:val="auto"/>
              </w:rPr>
            </w:pPr>
          </w:p>
        </w:tc>
      </w:tr>
      <w:tr>
        <w:trPr>
          <w:trHeight w:val="144"/>
        </w:trPr>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0" w:type="dxa"/>
            <w:vAlign w:val="bottom"/>
          </w:tcPr>
          <w:p>
            <w:pPr>
              <w:spacing w:after="0"/>
              <w:rPr>
                <w:sz w:val="12"/>
                <w:szCs w:val="12"/>
                <w:color w:val="auto"/>
              </w:rPr>
            </w:pPr>
          </w:p>
        </w:tc>
        <w:tc>
          <w:tcPr>
            <w:tcW w:w="186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(8,815)</w:t>
            </w:r>
          </w:p>
        </w:tc>
      </w:tr>
      <w:tr>
        <w:trPr>
          <w:trHeight w:val="140"/>
        </w:trPr>
        <w:tc>
          <w:tcPr>
            <w:tcW w:w="75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Debt</w:t>
            </w: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714,185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75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140"/>
        </w:trPr>
        <w:tc>
          <w:tcPr>
            <w:tcW w:w="75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Debt to Pro Forma Adjusted EBITDA</w:t>
            </w:r>
          </w:p>
        </w:tc>
        <w:tc>
          <w:tcPr>
            <w:tcW w:w="24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w:t>
            </w: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x</w:t>
            </w:r>
          </w:p>
        </w:tc>
      </w:tr>
    </w:tbl>
    <w:p>
      <w:pPr>
        <w:spacing w:after="0" w:line="154" w:lineRule="exact"/>
        <w:rPr>
          <w:sz w:val="20"/>
          <w:szCs w:val="20"/>
          <w:color w:val="auto"/>
        </w:rPr>
      </w:pPr>
    </w:p>
    <w:p>
      <w:pPr>
        <w:ind w:left="200" w:hanging="152"/>
        <w:spacing w:after="0"/>
        <w:tabs>
          <w:tab w:leader="none" w:pos="20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non-recurring items such as termination fees, forfeitures of tenant security deposits, and other non-recurring items.</w:t>
      </w:r>
    </w:p>
    <w:p>
      <w:pPr>
        <w:spacing w:after="0" w:line="73" w:lineRule="exact"/>
        <w:rPr>
          <w:rFonts w:ascii="Times New Roman" w:cs="Times New Roman" w:eastAsia="Times New Roman" w:hAnsi="Times New Roman"/>
          <w:sz w:val="16"/>
          <w:szCs w:val="16"/>
          <w:color w:val="auto"/>
          <w:vertAlign w:val="superscript"/>
        </w:rPr>
      </w:pPr>
    </w:p>
    <w:p>
      <w:pPr>
        <w:ind w:left="200" w:hanging="152"/>
        <w:spacing w:after="0" w:line="197" w:lineRule="auto"/>
        <w:tabs>
          <w:tab w:leader="none" w:pos="20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Reflects the pro forma annualized impact on Annualized Adjusted EBITDA of the Company’s investments and disposition activity during the three months ended September 30, 2026.</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61264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6480" cy="17145"/>
                    </a:xfrm>
                    <a:prstGeom prst="rect">
                      <a:avLst/>
                    </a:prstGeom>
                    <a:noFill/>
                  </pic:spPr>
                </pic:pic>
              </a:graphicData>
            </a:graphic>
          </wp:anchor>
        </w:drawing>
      </w:r>
    </w:p>
    <w:p>
      <w:pPr>
        <w:sectPr>
          <w:pgSz w:w="11900" w:h="16838" w:orient="portrait"/>
          <w:cols w:equalWidth="0" w:num="1">
            <w:col w:w="9640"/>
          </w:cols>
          <w:pgMar w:left="1120" w:top="122" w:right="1139" w:bottom="1440" w:gutter="0" w:footer="0" w:header="0"/>
        </w:sectPr>
      </w:pPr>
    </w:p>
    <w:bookmarkStart w:id="17" w:name="page18"/>
    <w:bookmarkEnd w:id="17"/>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ind w:left="9540"/>
        <w:spacing w:after="0"/>
        <w:rPr>
          <w:sz w:val="20"/>
          <w:szCs w:val="20"/>
          <w:color w:val="auto"/>
        </w:rPr>
      </w:pPr>
      <w:r>
        <w:rPr>
          <w:rFonts w:ascii="Times New Roman" w:cs="Times New Roman" w:eastAsia="Times New Roman" w:hAnsi="Times New Roman"/>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37465</wp:posOffset>
            </wp:positionV>
            <wp:extent cx="6800850" cy="6526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0850" cy="65265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
      <w:numFmt w:val="bullet"/>
      <w:start w:val="1"/>
    </w:lvl>
  </w:abstractNum>
  <w:abstractNum w:abstractNumId="2">
    <w:nsid w:val="12200854"/>
    <w:multiLevelType w:val="hybridMultilevel"/>
    <w:lvl w:ilvl="0">
      <w:lvlJc w:val="left"/>
      <w:lvlText w:val=" "/>
      <w:numFmt w:val="bullet"/>
      <w:start w:val="1"/>
    </w:lvl>
  </w:abstractNum>
  <w:abstractNum w:abstractNumId="3">
    <w:nsid w:val="4DB127F8"/>
    <w:multiLevelType w:val="hybridMultilevel"/>
    <w:lvl w:ilvl="0">
      <w:lvlJc w:val="left"/>
      <w:lvlText w:val=" "/>
      <w:numFmt w:val="bullet"/>
      <w:start w:val="1"/>
    </w:lvl>
  </w:abstractNum>
  <w:abstractNum w:abstractNumId="4">
    <w:nsid w:val="216231B"/>
    <w:multiLevelType w:val="hybridMultilevel"/>
    <w:lvl w:ilvl="0">
      <w:lvlJc w:val="left"/>
      <w:lvlText w:val="o"/>
      <w:numFmt w:val="bullet"/>
      <w:start w:val="1"/>
    </w:lvl>
  </w:abstractNum>
  <w:abstractNum w:abstractNumId="5">
    <w:nsid w:val="1F16E9E8"/>
    <w:multiLevelType w:val="hybridMultilevel"/>
    <w:lvl w:ilvl="0">
      <w:lvlJc w:val="left"/>
      <w:lvlText w:val=" "/>
      <w:numFmt w:val="bullet"/>
      <w:start w:val="1"/>
    </w:lvl>
  </w:abstractNum>
  <w:abstractNum w:abstractNumId="6">
    <w:nsid w:val="1190CDE7"/>
    <w:multiLevelType w:val="hybridMultilevel"/>
    <w:lvl w:ilvl="0">
      <w:lvlJc w:val="left"/>
      <w:lvlText w:val=" "/>
      <w:numFmt w:val="bullet"/>
      <w:start w:val="1"/>
    </w:lvl>
  </w:abstractNum>
  <w:abstractNum w:abstractNumId="7">
    <w:nsid w:val="66EF438D"/>
    <w:multiLevelType w:val="hybridMultilevel"/>
    <w:lvl w:ilvl="0">
      <w:lvlJc w:val="left"/>
      <w:lvlText w:val=" "/>
      <w:numFmt w:val="bullet"/>
      <w:start w:val="1"/>
    </w:lvl>
  </w:abstractNum>
  <w:abstractNum w:abstractNumId="8">
    <w:nsid w:val="140E0F76"/>
    <w:multiLevelType w:val="hybridMultilevel"/>
    <w:lvl w:ilvl="0">
      <w:lvlJc w:val="left"/>
      <w:lvlText w:val=" "/>
      <w:numFmt w:val="bullet"/>
      <w:start w:val="1"/>
    </w:lvl>
    <w:lvl w:ilvl="1">
      <w:lvlJc w:val="left"/>
      <w:lvlText w:val="o"/>
      <w:numFmt w:val="bullet"/>
      <w:start w:val="1"/>
    </w:lvl>
  </w:abstractNum>
  <w:abstractNum w:abstractNumId="9">
    <w:nsid w:val="3352255A"/>
    <w:multiLevelType w:val="hybridMultilevel"/>
    <w:lvl w:ilvl="0">
      <w:lvlJc w:val="left"/>
      <w:lvlText w:val=" "/>
      <w:numFmt w:val="bullet"/>
      <w:start w:val="1"/>
    </w:lvl>
  </w:abstractNum>
  <w:abstractNum w:abstractNumId="10">
    <w:nsid w:val="109CF92E"/>
    <w:multiLevelType w:val="hybridMultilevel"/>
    <w:lvl w:ilvl="0">
      <w:lvlJc w:val="left"/>
      <w:lvlText w:val=" "/>
      <w:numFmt w:val="bullet"/>
      <w:start w:val="1"/>
    </w:lvl>
  </w:abstractNum>
  <w:abstractNum w:abstractNumId="11">
    <w:nsid w:val="DED7263"/>
    <w:multiLevelType w:val="hybridMultilevel"/>
    <w:lvl w:ilvl="0">
      <w:lvlJc w:val="left"/>
      <w:lvlText w:val=" "/>
      <w:numFmt w:val="bullet"/>
      <w:start w:val="1"/>
    </w:lvl>
    <w:lvl w:ilvl="1">
      <w:lvlJc w:val="left"/>
      <w:lvlText w:val="o"/>
      <w:numFmt w:val="bullet"/>
      <w:start w:val="1"/>
    </w:lvl>
  </w:abstractNum>
  <w:abstractNum w:abstractNumId="12">
    <w:nsid w:val="7FDCC233"/>
    <w:multiLevelType w:val="hybridMultilevel"/>
    <w:lvl w:ilvl="0">
      <w:lvlJc w:val="left"/>
      <w:lvlText w:val=" "/>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2026-10-27T15:43:39Z</dcterms:created>
  <dcterms:modified xsi:type="dcterms:W3CDTF">2026-10-27T15:43:39Z</dcterms:modified>
</cp:coreProperties>
</file>