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112395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9" w:lineRule="exact"/>
        <w:rPr>
          <w:sz w:val="24"/>
          <w:szCs w:val="24"/>
          <w:color w:val="auto"/>
        </w:rPr>
      </w:pPr>
    </w:p>
    <w:p>
      <w:pPr>
        <w:ind w:left="430" w:right="180" w:hanging="430"/>
        <w:spacing w:after="0" w:line="273" w:lineRule="auto"/>
        <w:tabs>
          <w:tab w:leader="none" w:pos="43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2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2" w:lineRule="exact"/>
        <w:rPr>
          <w:sz w:val="24"/>
          <w:szCs w:val="24"/>
          <w:color w:val="auto"/>
        </w:rPr>
      </w:pPr>
    </w:p>
    <w:p>
      <w:pPr>
        <w:ind w:left="430" w:right="180" w:hanging="430"/>
        <w:spacing w:after="0" w:line="287" w:lineRule="auto"/>
        <w:tabs>
          <w:tab w:leader="none" w:pos="43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30"/>
        <w:spacing w:after="0"/>
        <w:tabs>
          <w:tab w:leader="none" w:pos="60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-3175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0"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0"/>
          <w:szCs w:val="40"/>
          <w:b w:val="1"/>
          <w:bCs w:val="1"/>
          <w:color w:val="auto"/>
        </w:rPr>
        <w:t>CTO REALTY GROWTH, INC.</w:t>
      </w:r>
    </w:p>
    <w:p>
      <w:pPr>
        <w:spacing w:after="0" w:line="5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60325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1" w:lineRule="exact"/>
        <w:rPr>
          <w:sz w:val="24"/>
          <w:szCs w:val="24"/>
          <w:color w:val="auto"/>
        </w:rPr>
      </w:pPr>
    </w:p>
    <w:tbl>
      <w:tblPr>
        <w:tblLayout w:type="fixed"/>
        <w:tblInd w:w="1210" w:type="dxa"/>
        <w:tblCellMar>
          <w:top w:w="0" w:type="dxa"/>
          <w:left w:w="0" w:type="dxa"/>
          <w:bottom w:w="0" w:type="dxa"/>
          <w:right w:w="0" w:type="dxa"/>
        </w:tblCellMar>
      </w:tblPr>
      <w:tr>
        <w:trPr>
          <w:trHeight w:val="189"/>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59-0483700</w:t>
            </w:r>
          </w:p>
        </w:tc>
      </w:tr>
      <w:tr>
        <w:trPr>
          <w:trHeight w:val="189"/>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74"/>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369 N. New York Avenue, Suite 201</w:t>
            </w:r>
          </w:p>
        </w:tc>
        <w:tc>
          <w:tcPr>
            <w:tcW w:w="1360" w:type="dxa"/>
            <w:vAlign w:val="bottom"/>
          </w:tcPr>
          <w:p>
            <w:pPr>
              <w:spacing w:after="0"/>
              <w:rPr>
                <w:sz w:val="23"/>
                <w:szCs w:val="23"/>
                <w:color w:val="auto"/>
              </w:rPr>
            </w:pPr>
          </w:p>
        </w:tc>
      </w:tr>
      <w:tr>
        <w:trPr>
          <w:trHeight w:val="189"/>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Winter Park, Florida</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12"/>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33"/>
        </w:trPr>
        <w:tc>
          <w:tcPr>
            <w:tcW w:w="5840" w:type="dxa"/>
            <w:vAlign w:val="bottom"/>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(386) 274-2202</w:t>
            </w:r>
          </w:p>
        </w:tc>
        <w:tc>
          <w:tcPr>
            <w:tcW w:w="1360" w:type="dxa"/>
            <w:vAlign w:val="bottom"/>
          </w:tcPr>
          <w:p>
            <w:pPr>
              <w:spacing w:after="0"/>
              <w:rPr>
                <w:sz w:val="20"/>
                <w:szCs w:val="20"/>
                <w:color w:val="auto"/>
              </w:rPr>
            </w:pPr>
          </w:p>
        </w:tc>
      </w:tr>
      <w:tr>
        <w:trPr>
          <w:trHeight w:val="212"/>
        </w:trPr>
        <w:tc>
          <w:tcPr>
            <w:tcW w:w="5840" w:type="dxa"/>
            <w:vAlign w:val="bottom"/>
          </w:tcPr>
          <w:p>
            <w:pPr>
              <w:jc w:val="center"/>
              <w:ind w:left="189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60" w:type="dxa"/>
            <w:vAlign w:val="bottom"/>
          </w:tcPr>
          <w:p>
            <w:pPr>
              <w:spacing w:after="0"/>
              <w:rPr>
                <w:sz w:val="18"/>
                <w:szCs w:val="18"/>
                <w:color w:val="auto"/>
              </w:rPr>
            </w:pPr>
          </w:p>
        </w:tc>
      </w:tr>
    </w:tbl>
    <w:p>
      <w:pPr>
        <w:spacing w:after="0" w:line="17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8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0230"/>
          </w:cols>
          <w:pgMar w:left="830" w:top="661" w:right="839" w:bottom="1440" w:gutter="0" w:footer="0" w:header="0"/>
        </w:sectPr>
      </w:pPr>
    </w:p>
    <w:p>
      <w:pPr>
        <w:spacing w:after="0" w:line="233" w:lineRule="exact"/>
        <w:rPr>
          <w:sz w:val="24"/>
          <w:szCs w:val="24"/>
          <w:color w:val="auto"/>
        </w:rPr>
      </w:pPr>
    </w:p>
    <w:p>
      <w:pPr>
        <w:jc w:val="center"/>
        <w:ind w:left="41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2151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8" w:lineRule="exact"/>
        <w:rPr>
          <w:sz w:val="24"/>
          <w:szCs w:val="24"/>
          <w:color w:val="auto"/>
        </w:rPr>
      </w:pPr>
    </w:p>
    <w:p>
      <w:pPr>
        <w:jc w:val="both"/>
        <w:ind w:left="410" w:firstLine="13"/>
        <w:spacing w:after="0" w:line="280" w:lineRule="auto"/>
        <w:rPr>
          <w:sz w:val="20"/>
          <w:szCs w:val="20"/>
          <w:color w:val="auto"/>
        </w:rPr>
      </w:pPr>
      <w:r>
        <w:rPr>
          <w:rFonts w:ascii="Times New Roman" w:cs="Times New Roman" w:eastAsia="Times New Roman" w:hAnsi="Times New Roman"/>
          <w:sz w:val="14"/>
          <w:szCs w:val="14"/>
          <w:b w:val="1"/>
          <w:bCs w:val="1"/>
          <w:color w:val="auto"/>
        </w:rPr>
        <w:t>Common Stock, $0.01 par value per share 6.375% Series A Cumulative Redeemable Preferred Stock, $0.01 par value per share</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4"/>
        </w:trPr>
        <w:tc>
          <w:tcPr>
            <w:tcW w:w="3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CTO</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r>
        <w:trPr>
          <w:trHeight w:val="371"/>
        </w:trPr>
        <w:tc>
          <w:tcPr>
            <w:tcW w:w="3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CTO</w:t>
            </w: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4"/>
                <w:szCs w:val="14"/>
                <w:b w:val="1"/>
                <w:bCs w:val="1"/>
                <w:color w:val="auto"/>
                <w:w w:val="99"/>
              </w:rPr>
              <w:t>PA</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168" w:lineRule="exact"/>
        <w:rPr>
          <w:sz w:val="24"/>
          <w:szCs w:val="24"/>
          <w:color w:val="auto"/>
        </w:rPr>
      </w:pPr>
    </w:p>
    <w:p>
      <w:pPr>
        <w:sectPr>
          <w:pgSz w:w="11900" w:h="16838" w:orient="portrait"/>
          <w:cols w:equalWidth="0" w:num="2">
            <w:col w:w="2990" w:space="600"/>
            <w:col w:w="6640"/>
          </w:cols>
          <w:pgMar w:left="830" w:top="661" w:right="839" w:bottom="1440" w:gutter="0" w:footer="0" w:header="0"/>
          <w:type w:val="continuous"/>
        </w:sectPr>
      </w:pPr>
    </w:p>
    <w:p>
      <w:pPr>
        <w:ind w:left="10" w:right="160" w:firstLine="441"/>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left="10" w:right="180" w:firstLine="441"/>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160" w:firstLine="441"/>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 w:lineRule="exact"/>
        <w:rPr>
          <w:sz w:val="24"/>
          <w:szCs w:val="24"/>
          <w:color w:val="auto"/>
        </w:rPr>
      </w:pPr>
    </w:p>
    <w:p>
      <w:pPr>
        <w:ind w:left="10" w:right="140" w:firstLine="441"/>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50" w:right="128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17, 2024, there were 29,976,153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587375</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210185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193040</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10"/>
          </w:tcPr>
          <w:p>
            <w:pPr>
              <w:ind w:left="1060"/>
              <w:spacing w:after="0"/>
              <w:rPr>
                <w:sz w:val="20"/>
                <w:szCs w:val="20"/>
                <w:color w:val="auto"/>
              </w:rPr>
            </w:pPr>
            <w:r>
              <w:rPr>
                <w:rFonts w:ascii="Times New Roman" w:cs="Times New Roman" w:eastAsia="Times New Roman" w:hAnsi="Times New Roman"/>
                <w:sz w:val="18"/>
                <w:szCs w:val="18"/>
                <w:color w:val="auto"/>
              </w:rPr>
              <w:t>INDEX</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84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56"/>
        </w:trPr>
        <w:tc>
          <w:tcPr>
            <w:tcW w:w="8460" w:type="dxa"/>
            <w:vAlign w:val="bottom"/>
            <w:gridSpan w:val="25"/>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580" w:type="dxa"/>
            <w:vAlign w:val="bottom"/>
            <w:tcBorders>
              <w:top w:val="single" w:sz="8" w:color="0000EE"/>
              <w:bottom w:val="single" w:sz="8" w:color="0000EE"/>
            </w:tcBorders>
            <w:gridSpan w:val="7"/>
          </w:tcPr>
          <w:p>
            <w:pPr>
              <w:ind w:left="8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680" w:type="dxa"/>
            <w:vAlign w:val="bottom"/>
            <w:tcBorders>
              <w:top w:val="single" w:sz="8" w:color="0000EE"/>
            </w:tcBorders>
            <w:gridSpan w:val="4"/>
          </w:tcPr>
          <w:p>
            <w:pPr>
              <w:spacing w:after="0"/>
              <w:rPr>
                <w:sz w:val="24"/>
                <w:szCs w:val="24"/>
                <w:color w:val="auto"/>
              </w:rPr>
            </w:pPr>
          </w:p>
        </w:tc>
        <w:tc>
          <w:tcPr>
            <w:tcW w:w="55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6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Balance Sheets – September 30, 2024 (Unaudited) and December 31, 2023</w:t>
            </w:r>
          </w:p>
        </w:tc>
        <w:tc>
          <w:tcPr>
            <w:tcW w:w="17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Operations – Three and nine months ended September 30, 2024 and 2023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3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8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Three and nine months ended September 30, 2024 and</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2023 (Unaudited)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6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and nine months ended September 30, 2024 and</w:t>
            </w:r>
          </w:p>
        </w:tc>
        <w:tc>
          <w:tcPr>
            <w:tcW w:w="4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2023 (Unaudited)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Cash Flows – Nine months ended September 30, 2024 and 2023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5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58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22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3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9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80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760" w:type="dxa"/>
            <w:vAlign w:val="bottom"/>
            <w:gridSpan w:val="22"/>
          </w:tcPr>
          <w:p>
            <w:pPr>
              <w:ind w:left="80"/>
              <w:spacing w:after="0"/>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1020" w:type="dxa"/>
            <w:vAlign w:val="bottom"/>
            <w:tcBorders>
              <w:top w:val="single" w:sz="8" w:color="0000EE"/>
              <w:bottom w:val="single" w:sz="8" w:color="0000EE"/>
            </w:tcBorders>
            <w:gridSpan w:val="4"/>
          </w:tcPr>
          <w:p>
            <w:pPr>
              <w:ind w:left="80"/>
              <w:spacing w:after="0"/>
              <w:rPr>
                <w:sz w:val="20"/>
                <w:szCs w:val="20"/>
                <w:color w:val="auto"/>
              </w:rPr>
            </w:pPr>
            <w:r>
              <w:rPr>
                <w:rFonts w:ascii="Times New Roman" w:cs="Times New Roman" w:eastAsia="Times New Roman" w:hAnsi="Times New Roman"/>
                <w:sz w:val="18"/>
                <w:szCs w:val="18"/>
                <w:color w:val="0000EE"/>
                <w:w w:val="99"/>
              </w:rPr>
              <w:t>Risk Factors</w:t>
            </w:r>
          </w:p>
        </w:tc>
        <w:tc>
          <w:tcPr>
            <w:tcW w:w="380" w:type="dxa"/>
            <w:vAlign w:val="bottom"/>
            <w:tcBorders>
              <w:top w:val="single" w:sz="8" w:color="0000EE"/>
            </w:tcBorders>
            <w:gridSpan w:val="2"/>
          </w:tcPr>
          <w:p>
            <w:pPr>
              <w:spacing w:after="0"/>
              <w:rPr>
                <w:sz w:val="24"/>
                <w:szCs w:val="24"/>
                <w:color w:val="auto"/>
              </w:rPr>
            </w:pPr>
          </w:p>
        </w:tc>
        <w:tc>
          <w:tcPr>
            <w:tcW w:w="636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31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2020" w:type="dxa"/>
            <w:vAlign w:val="bottom"/>
            <w:tcBorders>
              <w:top w:val="single" w:sz="8" w:color="0000EE"/>
            </w:tcBorders>
            <w:gridSpan w:val="2"/>
          </w:tcPr>
          <w:p>
            <w:pPr>
              <w:spacing w:after="0"/>
              <w:rPr>
                <w:sz w:val="24"/>
                <w:szCs w:val="24"/>
                <w:color w:val="auto"/>
              </w:rPr>
            </w:pPr>
          </w:p>
        </w:tc>
        <w:tc>
          <w:tcPr>
            <w:tcW w:w="334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1840" w:type="dxa"/>
            <w:vAlign w:val="bottom"/>
            <w:tcBorders>
              <w:top w:val="single" w:sz="8" w:color="0000EE"/>
            </w:tcBorders>
            <w:gridSpan w:val="8"/>
          </w:tcPr>
          <w:p>
            <w:pPr>
              <w:ind w:left="80"/>
              <w:spacing w:after="0"/>
              <w:rPr>
                <w:sz w:val="20"/>
                <w:szCs w:val="20"/>
                <w:color w:val="auto"/>
              </w:rPr>
            </w:pPr>
            <w:r>
              <w:rPr>
                <w:rFonts w:ascii="Times New Roman" w:cs="Times New Roman" w:eastAsia="Times New Roman" w:hAnsi="Times New Roman"/>
                <w:sz w:val="18"/>
                <w:szCs w:val="18"/>
                <w:color w:val="0000EE"/>
              </w:rPr>
              <w:t>Other Information</w:t>
            </w:r>
          </w:p>
        </w:tc>
        <w:tc>
          <w:tcPr>
            <w:tcW w:w="592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680" w:type="dxa"/>
            <w:vAlign w:val="bottom"/>
            <w:tcBorders>
              <w:top w:val="single" w:sz="8" w:color="0000EE"/>
              <w:bottom w:val="single" w:sz="8" w:color="0000EE"/>
            </w:tcBorders>
            <w:gridSpan w:val="3"/>
          </w:tcPr>
          <w:p>
            <w:pPr>
              <w:ind w:left="80"/>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638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36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187"/>
        </w:trPr>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6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14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at Cost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222,232</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559,389</w:t>
            </w: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Furnishings and Equipment, at Cost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Construction in Process, at Cost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0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786,475</w:t>
            </w:r>
          </w:p>
        </w:tc>
      </w:tr>
      <w:tr>
        <w:trPr>
          <w:trHeight w:val="216"/>
        </w:trPr>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(52,012)</w:t>
            </w:r>
          </w:p>
        </w:tc>
      </w:tr>
      <w:tr>
        <w:trPr>
          <w:trHeight w:val="20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734,463</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Land and Development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97,109</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Alpine Income Property Trust, Inc.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39,445</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Mitigation Credits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61,849</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Assets—See Note 11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w:t>
            </w:r>
          </w:p>
        </w:tc>
      </w:tr>
      <w:tr>
        <w:trPr>
          <w:trHeight w:val="249"/>
        </w:trPr>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1,176,124</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989,668</w:t>
            </w:r>
          </w:p>
        </w:tc>
      </w:tr>
      <w:tr>
        <w:trPr>
          <w:trHeight w:val="197"/>
        </w:trPr>
        <w:tc>
          <w:tcPr>
            <w:tcW w:w="6140" w:type="dxa"/>
            <w:vAlign w:val="bottom"/>
            <w:shd w:val="clear" w:color="auto" w:fill="CCEEFF"/>
          </w:tcPr>
          <w:p>
            <w:pPr>
              <w:ind w:left="1180"/>
              <w:spacing w:after="0" w:line="195"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Liabilities—See Note 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18,373</w:t>
            </w: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Revenue—See Note 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526,838</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495,370</w:t>
            </w:r>
          </w:p>
        </w:tc>
      </w:tr>
      <w:tr>
        <w:trPr>
          <w:trHeight w:val="210"/>
        </w:trPr>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580,342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532,142</w:t>
            </w: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Contingencies—See Note 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8"/>
        </w:trPr>
        <w:tc>
          <w:tcPr>
            <w:tcW w:w="61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 100,000,000 shares authorized; $0.01 par value, 6.375% Series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 Cumulative Redeemable Preferred Stock, $25.00 Per Share Liquidation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Preference, 4,713,069 shares issued and outstanding at September 30, 2024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4"/>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2,978,808 shares issued and outstanding at December 31, 2023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61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 500,000,000 shares authorized; $0.01 par value, 29,971,538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at September 30, 2024 and 22,643,034 shares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outstanding at December 31, 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168,435</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281,944</w:t>
            </w: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r>
      <w:tr>
        <w:trPr>
          <w:trHeight w:val="209"/>
        </w:trPr>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595,782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457,526</w:t>
            </w:r>
          </w:p>
        </w:tc>
      </w:tr>
      <w:tr>
        <w:trPr>
          <w:trHeight w:val="210"/>
        </w:trPr>
        <w:tc>
          <w:tcPr>
            <w:tcW w:w="6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1,176,124</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989,668</w:t>
            </w: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300" w:type="dxa"/>
            <w:vAlign w:val="bottom"/>
            <w:gridSpan w:val="3"/>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80" w:type="dxa"/>
            <w:vAlign w:val="bottom"/>
          </w:tcPr>
          <w:p>
            <w:pPr>
              <w:spacing w:after="0"/>
              <w:rPr>
                <w:sz w:val="16"/>
                <w:szCs w:val="16"/>
                <w:color w:val="auto"/>
              </w:rPr>
            </w:pPr>
          </w:p>
        </w:tc>
        <w:tc>
          <w:tcPr>
            <w:tcW w:w="11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6"/>
                <w:szCs w:val="16"/>
                <w:color w:val="auto"/>
              </w:rPr>
            </w:pPr>
          </w:p>
        </w:tc>
        <w:tc>
          <w:tcPr>
            <w:tcW w:w="11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Properties</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25,183</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79,029</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 Fee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Operations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88,777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Revenues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Operations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Direct Cost of Revenues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Gain (Loss)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Operating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Income (Loss) Before Income Tax Benefit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32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Per Share Information—See Note 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25,445,411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22,484,561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23,601,389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25,521,749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22,484,561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23,625,369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22,556,642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80" w:type="dxa"/>
            <w:vAlign w:val="bottom"/>
            <w:gridSpan w:val="3"/>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Pr>
          <w:p>
            <w:pPr>
              <w:spacing w:after="0"/>
              <w:rPr>
                <w:sz w:val="16"/>
                <w:szCs w:val="16"/>
                <w:color w:val="auto"/>
              </w:rPr>
            </w:pPr>
          </w:p>
        </w:tc>
        <w:tc>
          <w:tcPr>
            <w:tcW w:w="11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6"/>
                <w:szCs w:val="16"/>
                <w:color w:val="auto"/>
              </w:rPr>
            </w:pPr>
          </w:p>
        </w:tc>
        <w:tc>
          <w:tcPr>
            <w:tcW w:w="11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36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36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Cash Flow Hedging Derivative - Interest Rate</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Swaps</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r>
      <w:tr>
        <w:trPr>
          <w:trHeight w:val="209"/>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8,389</w:t>
            </w:r>
          </w:p>
        </w:tc>
      </w:tr>
      <w:tr>
        <w:trPr>
          <w:trHeight w:val="210"/>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r>
      <w:tr>
        <w:trPr>
          <w:trHeight w:val="20"/>
        </w:trPr>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For the three months ended September 30, 2024:</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July 1, 2024</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207,882</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268,269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15,386</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491,815</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 and Stock Issuance to Directors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Net of Equity Issuance Costs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125,835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125,904</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(11,245)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(11,245)</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(15,791)</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(15,791)</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2024</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334,467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261,373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595,782</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For the three months ended September 30, 2023:</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July 1, 2023</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168,103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291,958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18,249</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478,567</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2,686</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 and Stock Issuance to Directors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5,901</w:t>
            </w:r>
          </w:p>
        </w:tc>
        <w:tc>
          <w:tcPr>
            <w:tcW w:w="0" w:type="dxa"/>
            <w:vAlign w:val="bottom"/>
          </w:tcPr>
          <w:p>
            <w:pPr>
              <w:spacing w:after="0"/>
              <w:rPr>
                <w:sz w:val="1"/>
                <w:szCs w:val="1"/>
                <w:color w:val="auto"/>
              </w:rPr>
            </w:pPr>
          </w:p>
        </w:tc>
      </w:tr>
      <w:tr>
        <w:trPr>
          <w:trHeight w:val="142"/>
        </w:trPr>
        <w:tc>
          <w:tcPr>
            <w:tcW w:w="3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2023</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227</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168,875</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284,789</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24,150</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478,071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For the nine months ended September 30, 2024:</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January 1, 2024</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168,435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281,944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457,526</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13,252</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Restricted Stock and Performance Shares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 and Stock Issuance to Directors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26"/>
        </w:trPr>
        <w:tc>
          <w:tcPr>
            <w:tcW w:w="3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Preferred Stock, Net of Underwriting Discount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32,979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32,996</w:t>
            </w: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Expenses</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Net of Equity Issuance Costs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132,127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132,200</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(4,936)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(4,936)</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(28,887)</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(28,887)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(7,296)</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(7,296)</w:t>
            </w:r>
          </w:p>
        </w:tc>
        <w:tc>
          <w:tcPr>
            <w:tcW w:w="0" w:type="dxa"/>
            <w:vAlign w:val="bottom"/>
          </w:tcPr>
          <w:p>
            <w:pPr>
              <w:spacing w:after="0"/>
              <w:rPr>
                <w:sz w:val="1"/>
                <w:szCs w:val="1"/>
                <w:color w:val="auto"/>
              </w:rPr>
            </w:pPr>
          </w:p>
        </w:tc>
      </w:tr>
      <w:tr>
        <w:trPr>
          <w:trHeight w:val="142"/>
        </w:trPr>
        <w:tc>
          <w:tcPr>
            <w:tcW w:w="3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2024</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300</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334,467</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261,373</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595,782</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For the nine months ended September 30, 2023:</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January 1, 2023</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172,471</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316,279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15,761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504,770</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(1,507)</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(5,169)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(5,172)</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Restricted Stock and Performance Shares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 and Stock Issuance to Directors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2,424</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(3,585)</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(3,585)</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(26,398)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(26,398)</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8,389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8,389</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2023</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168,875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284,789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478,071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5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3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20" w:type="dxa"/>
            <w:vAlign w:val="bottom"/>
          </w:tcPr>
          <w:p>
            <w:pPr>
              <w:spacing w:after="0"/>
              <w:rPr>
                <w:sz w:val="12"/>
                <w:szCs w:val="12"/>
                <w:color w:val="auto"/>
              </w:rPr>
            </w:pPr>
          </w:p>
        </w:tc>
      </w:tr>
      <w:tr>
        <w:trPr>
          <w:trHeight w:val="142"/>
        </w:trPr>
        <w:tc>
          <w:tcPr>
            <w:tcW w:w="594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the Company</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13,252</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w:t>
            </w:r>
          </w:p>
        </w:tc>
        <w:tc>
          <w:tcPr>
            <w:tcW w:w="20" w:type="dxa"/>
            <w:vAlign w:val="bottom"/>
          </w:tcPr>
          <w:p>
            <w:pPr>
              <w:spacing w:after="0"/>
              <w:rPr>
                <w:sz w:val="12"/>
                <w:szCs w:val="12"/>
                <w:color w:val="auto"/>
              </w:rPr>
            </w:pPr>
          </w:p>
        </w:tc>
      </w:tr>
      <w:tr>
        <w:trPr>
          <w:trHeight w:val="126"/>
        </w:trPr>
        <w:tc>
          <w:tcPr>
            <w:tcW w:w="5940" w:type="dxa"/>
            <w:vAlign w:val="bottom"/>
            <w:tcBorders>
              <w:left w:val="single" w:sz="8" w:color="CCEEFF"/>
            </w:tcBorders>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(Loss) Attributable to the Company to Net Cash Provided by</w:t>
            </w: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32,814</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Intangible Liabilities to Income Property Revenue</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Discount on Convertible Debt</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Disposition of Real Estate and Intangible Lease Assets and Liabilities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(3,565)</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Disposition of Subsurface Interests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(4,545)</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Impairment</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Commercial Loans and Investments Origination Fees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Imputed Interest</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Loss (Gain) on Investment Securities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(2,250)</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5,663</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Extinguishment of Contingent Obligation</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2,802</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Land and Development Costs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Mitigation Credits and Mitigation Credit Rights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(3,985)</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(3,792)</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(684)</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1,424</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and Other Liabilities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3,092</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20" w:type="dxa"/>
            <w:vAlign w:val="bottom"/>
          </w:tcPr>
          <w:p>
            <w:pPr>
              <w:spacing w:after="0"/>
              <w:rPr>
                <w:sz w:val="12"/>
                <w:szCs w:val="12"/>
                <w:color w:val="auto"/>
              </w:rPr>
            </w:pPr>
          </w:p>
        </w:tc>
      </w:tr>
      <w:tr>
        <w:trPr>
          <w:trHeight w:val="142"/>
        </w:trPr>
        <w:tc>
          <w:tcPr>
            <w:tcW w:w="594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45,833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39,945</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Real Estate and Intangible Lease Assets and Liabilities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(207,757)</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(82,810)</w:t>
            </w: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Investments in and Improvements to Real Estate</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(9,229)</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(17,778)</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Commercial Loans and Investments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(60,206)</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(17,477)</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Disposition of Property, Plant, and Equipment, Net and Assets Held for Sale</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21,689</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Disposition of Subsurface Interests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Received on Commercial Loans and Investments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Investment Securities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(2,883)</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the Sale of Investment Securities</w:t>
            </w: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594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(215,336)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(98,273)</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132,850</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(286,000)</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(30,600)</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Received Exercise of Stock Options and Common Stock Issuance</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Issuance of Preferred Stock, Net of Underwriting Discount and Expenses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Used to Purchase Common and Preferred Stock</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(5,172)</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Vesting of Restricted Stock</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(Cash Paid for) Issuance of Common and Preferred Stock, Net</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Paid - Preferred Stock</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(4,936)</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(3,585)</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Paid - Common Stock</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(28,339)</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(25,744)</w:t>
            </w:r>
          </w:p>
        </w:tc>
        <w:tc>
          <w:tcPr>
            <w:tcW w:w="20" w:type="dxa"/>
            <w:vAlign w:val="bottom"/>
          </w:tcPr>
          <w:p>
            <w:pPr>
              <w:spacing w:after="0"/>
              <w:rPr>
                <w:sz w:val="12"/>
                <w:szCs w:val="12"/>
                <w:color w:val="auto"/>
              </w:rPr>
            </w:pPr>
          </w:p>
        </w:tc>
      </w:tr>
      <w:tr>
        <w:trPr>
          <w:trHeight w:val="142"/>
        </w:trPr>
        <w:tc>
          <w:tcPr>
            <w:tcW w:w="594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161,552</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66,767</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8,439</w:t>
            </w:r>
          </w:p>
        </w:tc>
        <w:tc>
          <w:tcPr>
            <w:tcW w:w="20" w:type="dxa"/>
            <w:vAlign w:val="bottom"/>
          </w:tcPr>
          <w:p>
            <w:pPr>
              <w:spacing w:after="0"/>
              <w:rPr>
                <w:sz w:val="12"/>
                <w:szCs w:val="12"/>
                <w:color w:val="auto"/>
              </w:rPr>
            </w:pPr>
          </w:p>
        </w:tc>
      </w:tr>
      <w:tr>
        <w:trPr>
          <w:trHeight w:val="148"/>
        </w:trPr>
        <w:tc>
          <w:tcPr>
            <w:tcW w:w="59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21,194</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9,868</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29,633</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0"/>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8,172</w:t>
            </w:r>
          </w:p>
        </w:tc>
        <w:tc>
          <w:tcPr>
            <w:tcW w:w="1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7,015</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1,696</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22,618</w:t>
            </w:r>
          </w:p>
        </w:tc>
        <w:tc>
          <w:tcPr>
            <w:tcW w:w="20" w:type="dxa"/>
            <w:vAlign w:val="bottom"/>
          </w:tcPr>
          <w:p>
            <w:pPr>
              <w:spacing w:after="0"/>
              <w:rPr>
                <w:sz w:val="12"/>
                <w:szCs w:val="12"/>
                <w:color w:val="auto"/>
              </w:rPr>
            </w:pPr>
          </w:p>
        </w:tc>
      </w:tr>
      <w:tr>
        <w:trPr>
          <w:trHeight w:val="142"/>
        </w:trPr>
        <w:tc>
          <w:tcPr>
            <w:tcW w:w="5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9,868</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29,633</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2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2"/>
                <w:szCs w:val="12"/>
                <w:color w:val="auto"/>
              </w:rPr>
            </w:pPr>
          </w:p>
        </w:tc>
        <w:tc>
          <w:tcPr>
            <w:tcW w:w="13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42"/>
        </w:trPr>
        <w:tc>
          <w:tcPr>
            <w:tcW w:w="59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Taxes, Net of Refunds Received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Cash Paid for Interest </w:t>
            </w:r>
            <w:r>
              <w:rPr>
                <w:rFonts w:ascii="Times New Roman" w:cs="Times New Roman" w:eastAsia="Times New Roman" w:hAnsi="Times New Roman"/>
                <w:sz w:val="17"/>
                <w:szCs w:val="17"/>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15,178</w:t>
            </w:r>
          </w:p>
        </w:tc>
      </w:tr>
      <w:tr>
        <w:trPr>
          <w:trHeight w:val="149"/>
        </w:trPr>
        <w:tc>
          <w:tcPr>
            <w:tcW w:w="2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Cash Flow Hedges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(7,296)</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8,389</w:t>
            </w: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and Unpaid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w:t>
            </w:r>
          </w:p>
        </w:tc>
      </w:tr>
      <w:tr>
        <w:trPr>
          <w:trHeight w:val="115"/>
        </w:trPr>
        <w:tc>
          <w:tcPr>
            <w:tcW w:w="224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r>
    </w:tbl>
    <w:p>
      <w:pPr>
        <w:spacing w:after="0" w:line="53" w:lineRule="exact"/>
        <w:rPr>
          <w:sz w:val="20"/>
          <w:szCs w:val="20"/>
          <w:color w:val="auto"/>
        </w:rPr>
      </w:pPr>
    </w:p>
    <w:p>
      <w:pPr>
        <w:ind w:left="320" w:hanging="270"/>
        <w:spacing w:after="0"/>
        <w:tabs>
          <w:tab w:leader="none" w:pos="3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Includes capitalized interest of $0.1 and $0.2 million during the nine months ended September 30, 2024 and 2023, respectively.</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DESCRIPTION OF BUSINESS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83" w:lineRule="exact"/>
        <w:rPr>
          <w:sz w:val="20"/>
          <w:szCs w:val="20"/>
          <w:color w:val="auto"/>
        </w:rPr>
      </w:pPr>
    </w:p>
    <w:p>
      <w:pPr>
        <w:jc w:val="both"/>
        <w:ind w:left="60" w:right="59" w:firstLine="441"/>
        <w:spacing w:after="0" w:line="289" w:lineRule="auto"/>
        <w:rPr>
          <w:sz w:val="20"/>
          <w:szCs w:val="20"/>
          <w:color w:val="auto"/>
        </w:rPr>
      </w:pPr>
      <w:r>
        <w:rPr>
          <w:rFonts w:ascii="Times New Roman" w:cs="Times New Roman" w:eastAsia="Times New Roman" w:hAnsi="Times New Roman"/>
          <w:sz w:val="17"/>
          <w:szCs w:val="17"/>
          <w:color w:val="auto"/>
        </w:rPr>
        <w:t>As of September 30, 2024, we own and manage, sometimes utilizing third-party property management companies, 22 commercial real estate properties in seven states in the United States, comprising 4.6 million square feet of gross leasable space. In addition to our income property portfolio, as of September 30, 2024, our business included the following:</w:t>
      </w:r>
    </w:p>
    <w:p>
      <w:pPr>
        <w:spacing w:after="0" w:line="158"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u w:val="single" w:color="auto"/>
          <w:color w:val="auto"/>
        </w:rPr>
        <w:t>Management Services:</w:t>
      </w:r>
      <w:r>
        <w:rPr>
          <w:rFonts w:ascii="Times New Roman" w:cs="Times New Roman" w:eastAsia="Times New Roman" w:hAnsi="Times New Roman"/>
          <w:sz w:val="18"/>
          <w:szCs w:val="18"/>
          <w:color w:val="auto"/>
        </w:rPr>
        <w:t xml:space="preserve"> A fee-based management business that is engaged in managing Alpine Income Property Trust, Inc.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w:t>
      </w:r>
    </w:p>
    <w:p>
      <w:pPr>
        <w:spacing w:after="0" w:line="180"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u w:val="single" w:color="auto"/>
          <w:color w:val="auto"/>
        </w:rPr>
        <w:t>Commercial Loans and Investments:</w:t>
      </w:r>
      <w:r>
        <w:rPr>
          <w:rFonts w:ascii="Times New Roman" w:cs="Times New Roman" w:eastAsia="Times New Roman" w:hAnsi="Times New Roman"/>
          <w:sz w:val="18"/>
          <w:szCs w:val="18"/>
          <w:color w:val="auto"/>
        </w:rPr>
        <w:t xml:space="preserve"> A portfolio of four commercial loan investments and two preferred equity investments which are classified as commercial loan investments.</w:t>
      </w:r>
    </w:p>
    <w:p>
      <w:pPr>
        <w:spacing w:after="0" w:line="162"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u w:val="single" w:color="auto"/>
          <w:color w:val="auto"/>
        </w:rPr>
        <w:t>Real Estate Operations:</w:t>
      </w:r>
      <w:r>
        <w:rPr>
          <w:rFonts w:ascii="Times New Roman" w:cs="Times New Roman" w:eastAsia="Times New Roman" w:hAnsi="Times New Roman"/>
          <w:sz w:val="18"/>
          <w:szCs w:val="18"/>
          <w:color w:val="auto"/>
        </w:rPr>
        <w:t xml:space="preserve"> During the nine months ended September 30, 2024, the Company sold its remaining mitigation credits. These credits were produced by the Company’s formerly owned mitigation bank. During the nine months ended September 30,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87"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u w:val="single" w:color="auto"/>
          <w:color w:val="auto"/>
        </w:rPr>
        <w:t>Investment in PINE:</w:t>
      </w:r>
      <w:r>
        <w:rPr>
          <w:rFonts w:ascii="Times New Roman" w:cs="Times New Roman" w:eastAsia="Times New Roman" w:hAnsi="Times New Roman"/>
          <w:sz w:val="18"/>
          <w:szCs w:val="18"/>
          <w:color w:val="auto"/>
        </w:rPr>
        <w:t xml:space="preserve"> Our business also includes our investment in PINE. As of September 30, 2024, the fair value of our investment totaled $43.0 million, or 15.3%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Information</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2023,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spacing w:after="0" w:line="192"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2024 are not necessarily indicative of results to be expected for the year ending December 31, 2024.</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September 30, 2024, the Company has an equity investment in PINE.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7"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color w:val="auto"/>
        </w:rPr>
        <w:t>ASC Topic 280</w:t>
      </w:r>
      <w:r>
        <w:rPr>
          <w:rFonts w:ascii="Times New Roman" w:cs="Times New Roman" w:eastAsia="Times New Roman" w:hAnsi="Times New Roman"/>
          <w:sz w:val="18"/>
          <w:szCs w:val="18"/>
          <w:i w:val="1"/>
          <w:iCs w:val="1"/>
          <w:color w:val="auto"/>
        </w:rPr>
        <w:t>, Segment Reporting</w:t>
      </w:r>
      <w:r>
        <w:rPr>
          <w:rFonts w:ascii="Times New Roman" w:cs="Times New Roman" w:eastAsia="Times New Roman" w:hAnsi="Times New Roman"/>
          <w:sz w:val="18"/>
          <w:szCs w:val="18"/>
          <w:color w:val="auto"/>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22, “Business Segment Data”. The Company has no other reportable segments. The Company’s chief executive officer, who is the chief operating decision maker, reviews financial information on a disaggregated basis for purposes of allocating and evaluating financial performance.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Company’s real estate assets are stated at cost, less accumulated depreciation and amortization. Such assets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Company’s consolidated statement of operations. The amount of depreciation of real estate, exclusive of amortization related to intangible assets, recognized for the three months ended September 30, 2024 and September 30, 2023, was $8.0 million and $6.8 million, respectively. The amount of depreciation of real estate, exclusive of amortization related to intangible assets, recognized for the nine months ended September 30, 2024 and September 30, 2023, was $21.2 million and $19.1 million,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on hand, bank demand accounts, and money market accounts having original maturities of 90 days or less. The Company’s bank balances as of September 30, 2024 and December 31, 2023 include certain amounts over the Federal Deposit Insurance Corporation limits.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Restricted cash totaled $1.7 million at September 30, 2024, which is being held in four interest and/or real estate tax reserve accounts related to the Company’s commercial loans and investments.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Activity</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Depending upon the hedge’s value at each balance sheet date, the derivatives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other assets or accrued and other liabilities on the consolidated balance sheet at their fair value. On the date each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interest rate swap was entered into, the Company designated the derivatives as a hedge of the variability of cash flows to be paid related to the recognized long-term debt liabilities.</w:t>
      </w:r>
    </w:p>
    <w:p>
      <w:pPr>
        <w:spacing w:after="0" w:line="16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180"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16, “Interest Rate Swaps”).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accounts payable, and accrued and other liabilities at September 30, 2024 and December 31, 2023, approximate fair value because of the short maturity of these instruments. The carrying value of the Company’s Credit Facility (hereinafter defined) as of September 30, 2024 and December 31, 2023,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the 2029 Term Loan (hereinafter defined), mortgage note, and convertible debt held as of September 30, 2024 and December 31, 2023 are measured at fair value based on current market rates for financial instruments with similar risks and maturities (see Note 8, “Fair Value of Financial Instruments”).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83" w:lineRule="exact"/>
        <w:rPr>
          <w:sz w:val="20"/>
          <w:szCs w:val="20"/>
          <w:color w:val="auto"/>
        </w:rPr>
      </w:pPr>
    </w:p>
    <w:p>
      <w:pPr>
        <w:ind w:left="840" w:hanging="33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840" w:right="79" w:hanging="33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1" w:lineRule="exact"/>
        <w:rPr>
          <w:rFonts w:ascii="Times New Roman" w:cs="Times New Roman" w:eastAsia="Times New Roman" w:hAnsi="Times New Roman"/>
          <w:sz w:val="18"/>
          <w:szCs w:val="18"/>
          <w:color w:val="auto"/>
        </w:rPr>
      </w:pPr>
    </w:p>
    <w:p>
      <w:pPr>
        <w:jc w:val="both"/>
        <w:ind w:left="840" w:right="79" w:hanging="33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Interest Income from Commercial Loans and Investments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Mitigation Credits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Mitigation credits are stated at historical cost. As these assets are sold, the related revenues and cost of sales are reported as revenues from, and direct costs of, real estate operations, respectively, in the consolidated statements of operations. As of September 30, 2024, the Company had disposed of all of its remaining mitigation credits.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$5.1 million and $4.6 million as of September 30, 2024 and December 31, 2023, respectively.</w:t>
      </w:r>
    </w:p>
    <w:p>
      <w:pPr>
        <w:spacing w:after="0" w:line="180"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Accounts receivable related to real estate operations, which are classified in other assets on the consolidated balance sheets, totaled $0.6 million as of September 30, 2024 and December 31, 2023. The accounts receivable as of September 30, 2024 and December 31, 2023 are primarily related to the reimbursement of certain infrastructure costs completed by the Company in conjunction with two land sale transactions that closed during the fourth quarter of 2015 as more fully described in Note 11, “Other Assets.”</w:t>
      </w:r>
    </w:p>
    <w:p>
      <w:pPr>
        <w:spacing w:after="0" w:line="183"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collectability of the aforementioned receivables shall be considered and adjusted through an allowance for doubtful accounts which is included in income property revenue on the consolidated statements of operations. As of September 30, 2024 and December 31, 2023, the Company’s allowance for doubtful accounts totaled $2.2 million and $1.7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for Acquisitions of Real Estate Subject to a Lease</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90"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of Real Estate</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spacing w:after="0" w:line="183"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 xml:space="preserve">Gains and losses on land sales, in addition to the sale of Subsurface Interests and mitigation credits, are accounted for as required by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For the taxable year ended December 31, 2023, the Company held a total of two TRSs, each subject to taxation and the separate filing of its corporate income tax returns. As of January 1, 2024, the Company consolidated its TRSs into one TRS subject to taxation and the filing of a single corporate income tax return.</w:t>
      </w:r>
    </w:p>
    <w:p>
      <w:pPr>
        <w:spacing w:after="0" w:line="193"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for the Company’s TRS. Deferred income taxes result primarily from the net tax effect of temporary differences between the carrying amounts of assets and liabilities for financial reporting purposes and the amounts used for income tax purposes (see Note 20,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In November 2023, the FASB issued ASU 2023-07 which enhances segment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entities required to report segment information in accordance with FASB ASC 280, Segment Reporting. The amendments in this update are effective for annual reporting periods beginning after December 15, 2023.</w:t>
      </w:r>
    </w:p>
    <w:p>
      <w:pPr>
        <w:spacing w:after="0" w:line="173"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FASB issued ASU 2023-09 which enhances income tax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 accordance with FASB ASC 740, Income Taxes. The amendments in this update are effective for annual reporting periods beginning after December 15,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INCOME PROPERTIES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percentage rents, reimbursements from tenants for common area maintenance, insurance, real estate taxes, other operating expenses, and termination fee payments.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8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28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8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55,187</w:t>
            </w:r>
          </w:p>
        </w:tc>
      </w:tr>
      <w:tr>
        <w:trPr>
          <w:trHeight w:val="216"/>
        </w:trPr>
        <w:tc>
          <w:tcPr>
            <w:tcW w:w="2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w:t>
            </w:r>
          </w:p>
        </w:tc>
      </w:tr>
      <w:tr>
        <w:trPr>
          <w:trHeight w:val="21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Leasing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70,373</w:t>
            </w:r>
          </w:p>
        </w:tc>
      </w:tr>
      <w:tr>
        <w:trPr>
          <w:trHeight w:val="20"/>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Minimum future base rental receipts under non-cancelable operating leases, excluding percentage rent and other lease payments that are not fixed and determinable, having remaining terms in excess of one year subsequent to September 30, 2024, are summarized as follows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19"/>
                <w:szCs w:val="19"/>
                <w:color w:val="auto"/>
              </w:rPr>
            </w:pP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78,802</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66,802</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54,079</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40,515</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 (Cumulative)</w:t>
            </w: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106,608</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456,716</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Acquisitions. </w:t>
      </w:r>
      <w:r>
        <w:rPr>
          <w:rFonts w:ascii="Times New Roman" w:cs="Times New Roman" w:eastAsia="Times New Roman" w:hAnsi="Times New Roman"/>
          <w:sz w:val="18"/>
          <w:szCs w:val="18"/>
          <w:color w:val="auto"/>
        </w:rPr>
        <w:t>During the nine months ended September 30, 2024, the Company acquired four multi-tenant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properties, one vacant land parcel within an existing multi-tenant property, and one building within an existing multi-tenant income property for an aggregate purchase price of $210.0 million, or a total acquisition cost of $207.8 million, as follows:</w:t>
      </w:r>
    </w:p>
    <w:p>
      <w:pPr>
        <w:spacing w:after="0" w:line="74" w:lineRule="exact"/>
        <w:rPr>
          <w:sz w:val="20"/>
          <w:szCs w:val="20"/>
          <w:color w:val="auto"/>
        </w:rPr>
      </w:pPr>
    </w:p>
    <w:p>
      <w:pPr>
        <w:jc w:val="both"/>
        <w:ind w:left="1160" w:right="79" w:hanging="327"/>
        <w:spacing w:after="0" w:line="254"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portfolio of three open-air shopping centers ( the “Three Property Portfolio”) for a gross purchase price of $137.5 million, less certain purchase credits, for a total acquisition cost of $135.1 million. The Three Property Portfolio consists of Carolina Pavilion in Charlotte, North Carolina; Millenia Crossing in Orlando, Florida; and Lake Brandon Village in Tampa, Florida. Carolina Pavilion comprises approximately 686,000 square feet, was 93% occupied, and had a weighted average remaining lease term of 5.9 years at acquisition. Millenia Crossing comprises approximately 100,000 square feet, was 96% occupied, and had a remaining lease term of 6.1 years at acquisition. Lake Brandon Village comprises approximately 102,000 square feet, was 100% occupied, and had a remaining lease term of 7.4 years at acquisition.</w:t>
      </w:r>
    </w:p>
    <w:p>
      <w:pPr>
        <w:spacing w:after="0" w:line="83" w:lineRule="exact"/>
        <w:rPr>
          <w:rFonts w:ascii="Times New Roman" w:cs="Times New Roman" w:eastAsia="Times New Roman" w:hAnsi="Times New Roman"/>
          <w:sz w:val="18"/>
          <w:szCs w:val="18"/>
          <w:color w:val="auto"/>
        </w:rPr>
      </w:pPr>
    </w:p>
    <w:p>
      <w:pPr>
        <w:jc w:val="both"/>
        <w:ind w:left="1160" w:right="79" w:hanging="327"/>
        <w:spacing w:after="0" w:line="261"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Marketplace at Seminole Towne Center, a multi-tenant income property located in Sanford, Florida, for a purchase price of $68.7 million, or a total acquisition cost of $68.8 million including capitalized acquisition costs. The Marketplace at Seminole Towne Center comprises 315,066 square feet, was 98% occupied at acquisition, and had a weighted average remaining lease term of 4.7 years at acquisition.</w:t>
      </w:r>
    </w:p>
    <w:p>
      <w:pPr>
        <w:spacing w:after="0" w:line="71" w:lineRule="exact"/>
        <w:rPr>
          <w:rFonts w:ascii="Times New Roman" w:cs="Times New Roman" w:eastAsia="Times New Roman" w:hAnsi="Times New Roman"/>
          <w:sz w:val="18"/>
          <w:szCs w:val="18"/>
          <w:color w:val="auto"/>
        </w:rPr>
      </w:pPr>
    </w:p>
    <w:p>
      <w:pPr>
        <w:jc w:val="both"/>
        <w:ind w:left="1160" w:right="79" w:hanging="327"/>
        <w:spacing w:after="0" w:line="256"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property, totaling 4,000 square feet, within the 28,100 square foot retail portion of Phase II of The Exchange at Gwinnett located in Buford, Georgia for an aggregate purchase price of $2.3 million including capitalized acquisition costs. The weighted average remaining lease term at acquisition is 10.0 years. As a result of this acquisition, the Company has acquired the entire retail portion of Phase II of the Exchange at Gwinnett. The Company previously purchased the Sprouts-anchored Phase I portion of The Exchange at Gwinnett in December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160" w:right="79" w:hanging="327"/>
        <w:spacing w:after="0" w:line="266"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vacant land parcel, for future development, within the previously acquired West Broad Village property, located in the Short Pump submarket of Richmond, Virginia, for a purchase price of $1.5 million including capitalized acquisition costs.</w:t>
      </w:r>
    </w:p>
    <w:p>
      <w:pPr>
        <w:spacing w:after="0" w:line="68"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Of the aggregate $207.8 million total acquisition cost, $42.5 million was allocated to land, $144.5 million was allocated to buildings and improvements, and $32.3 million was allocated to intangible assets pertaining to the in-place lease value, leasing costs, and above market lease value and $11.5 million was allocated to intangible liabilities for the below market lease value. The amortization period for the intangible assets and liabilities was 5.8 years at acquisition.</w:t>
      </w:r>
    </w:p>
    <w:p>
      <w:pPr>
        <w:spacing w:after="0" w:line="178"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Dispositions. </w:t>
      </w:r>
      <w:r>
        <w:rPr>
          <w:rFonts w:ascii="Times New Roman" w:cs="Times New Roman" w:eastAsia="Times New Roman" w:hAnsi="Times New Roman"/>
          <w:sz w:val="18"/>
          <w:szCs w:val="18"/>
          <w:color w:val="auto"/>
        </w:rPr>
        <w:t>During the nine months ended September 30, 2024, the Company sold two income properties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sales price of $38.0 million and aggregate gains on sales of $3.8 million. The sales consisted of (i) one mixed use income property in downtown Santa Fe, New Mexico for $20.0 million, resulting in a gain of $4.6 million, and (ii) one multi-tenant income property located in West Jordan, Utah for $18.0 million resulting in a loss on sale of $0.8 million.</w:t>
      </w:r>
    </w:p>
    <w:p>
      <w:pPr>
        <w:spacing w:after="0" w:line="180"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2023 Acquisitions</w:t>
      </w:r>
      <w:r>
        <w:rPr>
          <w:rFonts w:ascii="Times New Roman" w:cs="Times New Roman" w:eastAsia="Times New Roman" w:hAnsi="Times New Roman"/>
          <w:sz w:val="18"/>
          <w:szCs w:val="18"/>
          <w:color w:val="auto"/>
        </w:rPr>
        <w:t>. During the nine months ended September 30, 2023, the Company acquired four buildings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existing multi-tenant income property, one multi-tenant income property, and one vacant land parcel adjacent to an existing multi-tenant property for an aggregate purchase price of $80.0 million, or a total acquisition cost of $80.3 million, as follows:</w:t>
      </w:r>
    </w:p>
    <w:p>
      <w:pPr>
        <w:spacing w:after="0" w:line="74" w:lineRule="exact"/>
        <w:rPr>
          <w:sz w:val="20"/>
          <w:szCs w:val="20"/>
          <w:color w:val="auto"/>
        </w:rPr>
      </w:pPr>
    </w:p>
    <w:p>
      <w:pPr>
        <w:jc w:val="both"/>
        <w:ind w:left="1160" w:right="79" w:hanging="327"/>
        <w:spacing w:after="0" w:line="25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properties, totaling 24,100 square feet, within the 28,100 square foot retail portion of Phase II of The Exchange at Gwinnett located in Buford, Georgia for an aggregate purchase price of $14.6 million, or a total acquisition cost of $14.7 million including capitalized acquisition costs. The four properties are leased to six different tenants and had a weighted average remaining lease term of 9.9 years at acquisition. The Company previously purchased the Sprouts-anchored Phase I portion of The Exchange at Gwinnett in December 2021.</w:t>
      </w:r>
    </w:p>
    <w:p>
      <w:pPr>
        <w:spacing w:after="0" w:line="79" w:lineRule="exact"/>
        <w:rPr>
          <w:rFonts w:ascii="Times New Roman" w:cs="Times New Roman" w:eastAsia="Times New Roman" w:hAnsi="Times New Roman"/>
          <w:sz w:val="18"/>
          <w:szCs w:val="18"/>
          <w:color w:val="auto"/>
        </w:rPr>
      </w:pPr>
    </w:p>
    <w:p>
      <w:pPr>
        <w:jc w:val="both"/>
        <w:ind w:left="1160" w:right="79" w:hanging="327"/>
        <w:spacing w:after="0" w:line="261"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Plaza at Rockwall, a multi-tenant income property located in Rockwall, Texas for a purchase price of $61.2 million, or a total acquisition cost of $61.3 million including capitalized acquisition costs. The Plaza at Rockwall comprises 446,500 square feet, was 95% occupied at acquisition, and had a weighted average remaining lease term of 4.2 years at acquisition.</w:t>
      </w:r>
    </w:p>
    <w:p>
      <w:pPr>
        <w:spacing w:after="0" w:line="71" w:lineRule="exact"/>
        <w:rPr>
          <w:rFonts w:ascii="Times New Roman" w:cs="Times New Roman" w:eastAsia="Times New Roman" w:hAnsi="Times New Roman"/>
          <w:sz w:val="18"/>
          <w:szCs w:val="18"/>
          <w:color w:val="auto"/>
        </w:rPr>
      </w:pPr>
    </w:p>
    <w:p>
      <w:pPr>
        <w:ind w:left="1160" w:right="79" w:hanging="327"/>
        <w:spacing w:after="0" w:line="282"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 vacant land parcel adjacent to the previously acquired Collection at Forsyth property, located in the Forsyth County submarket of Atlanta, Georgia, for a purchase price of $4.3 million.</w:t>
      </w:r>
    </w:p>
    <w:p>
      <w:pPr>
        <w:spacing w:after="0" w:line="16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212529"/>
        </w:rPr>
        <w:t xml:space="preserve">Of the aggregate $80.3 million total acquisition cost, $21.2 million was allocated to land, $53.6 million was allocated to buildings and </w:t>
      </w:r>
      <w:r>
        <w:rPr>
          <w:rFonts w:ascii="Times New Roman" w:cs="Times New Roman" w:eastAsia="Times New Roman" w:hAnsi="Times New Roman"/>
          <w:sz w:val="18"/>
          <w:szCs w:val="18"/>
          <w:color w:val="000000"/>
        </w:rPr>
        <w:t>improvements</w:t>
      </w:r>
      <w:r>
        <w:rPr>
          <w:rFonts w:ascii="Times New Roman" w:cs="Times New Roman" w:eastAsia="Times New Roman" w:hAnsi="Times New Roman"/>
          <w:sz w:val="18"/>
          <w:szCs w:val="18"/>
          <w:color w:val="212529"/>
        </w:rPr>
        <w:t>, and $8.7 million was allocated to intangible assets pertaining to the in-place lease value, leasing costs, and above market lease value and $3.2 million was allocated to intangible liabilities for the below market lease value. The amortization period for the intangible assets and liabilities was 5.6 years at acquisition.</w:t>
      </w:r>
    </w:p>
    <w:p>
      <w:pPr>
        <w:spacing w:after="0" w:line="218"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2023 Dispositions. </w:t>
      </w:r>
      <w:r>
        <w:rPr>
          <w:rFonts w:ascii="Times New Roman" w:cs="Times New Roman" w:eastAsia="Times New Roman" w:hAnsi="Times New Roman"/>
          <w:sz w:val="18"/>
          <w:szCs w:val="18"/>
          <w:color w:val="auto"/>
        </w:rPr>
        <w:t>During the nine months ended September 30, 2023, the Company sold three income properties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 aggregate sales price of $22.9 million and aggregate gains on sales of $3.3 million. </w:t>
      </w:r>
      <w:r>
        <w:rPr>
          <w:rFonts w:ascii="Times New Roman" w:cs="Times New Roman" w:eastAsia="Times New Roman" w:hAnsi="Times New Roman"/>
          <w:sz w:val="18"/>
          <w:szCs w:val="18"/>
          <w:color w:val="212529"/>
        </w:rPr>
        <w:t>The sales consisted of (i)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outparcel of the multi-tenant property known as Eastern Commons, located in Henderson, Nevada, for $2.1 million, resulting in a gain of $0.8 million, (ii) an outparcel of the multi-tenant property known as Crossroads Towne Center, located in Chandler, Arizona, for $2.3 million, resulting in a gain of $1.2 million, and (iii) a single tenant office property located in Reston, Virginia leased to General Dynamics for $18.5 million, resulting in a gain of $1.3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COMMERCIAL LOANS AND INVESTMENTS</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Activity. </w:t>
      </w:r>
      <w:r>
        <w:rPr>
          <w:rFonts w:ascii="Times New Roman" w:cs="Times New Roman" w:eastAsia="Times New Roman" w:hAnsi="Times New Roman"/>
          <w:sz w:val="18"/>
          <w:szCs w:val="18"/>
          <w:color w:val="auto"/>
        </w:rPr>
        <w:t>On February 2, 2024, the borrower under the construction loan originated in January 2022 and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property and improvements constructed thereon for the second phase of The Exchange at Gwinnett project located in Buford, Georgia repaid the principal balance of $1.9 million, leaving no remaining balance outstanding as of September 30, 2024. There is no remaining commitment to the borrower as of September 30, 2024.</w:t>
      </w:r>
    </w:p>
    <w:p>
      <w:pPr>
        <w:spacing w:after="0" w:line="182"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March 26, 2024, the Company originated a construction loan secured by the property and improvements to be constructed thereon consisting of seven outparcel locations, known as the Hypoluxo Project, located in Lake Worth, Florida for $10.0 million. On September 25, 2024, the Company signed an amendment with the borrower of the Hypoluxo project, reducing the total funding obligation to $5.6 million and adjusting the maturity date to June 1, 2025. The construction loan continues to bear a fixed interest rate of 11.0% and requires interest only payments prior to maturity. As of September 30, 2024, the Company has fully funded this obligation.</w:t>
      </w:r>
    </w:p>
    <w:p>
      <w:pPr>
        <w:spacing w:after="0" w:line="187"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On April 18, 2024, the borrower on the mortgage loan secured by the Sabal Pavilion property, as described below, repaid the mortgage loan, at a $0.2 million discount, for proceeds to the Company of $15.2 million.</w:t>
      </w:r>
    </w:p>
    <w:p>
      <w:pPr>
        <w:spacing w:after="0" w:line="162"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July 11, 2024, the Company funded $10.0 million into an escrow account, which escrow closed on August 1, 2024 in exchange for 10,000 shares of 14.000% Series A preferred stock, with a $0.01 par value per share, of a subsidiary of a publicly-traded hospitality, entertainment and real-estate company (the “Series A Preferred Investment”). In connection with the investment, the Company received an origination fee of 1.0% or $0.1 million. The investment is not redeemable prior to July 11, 2029, except upon the occurrence of certain specified events. In connection with the investment, the Company received an origination fee of 1.0% or $0.1 million. The investment is not redeemable prior to July 11, 2029, except upon the occurrence of certain specified events. The Company determined, pursuant to FASB ASC Topic 810, Consolidation, that we do not have a variable interest in the entity underlying the Series A Preferred Investment; accordingly, FASB Topic ASC 320, Investments-Debt Securities, was applied and the investment was recorded in the consolidated balance sheets as a commercial loan investment at the time of acquisition.</w:t>
      </w:r>
    </w:p>
    <w:p>
      <w:pPr>
        <w:spacing w:after="0" w:line="194"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On September 27, 2024, the Company originated a $43.8 million first mortgage loan secured by the Rivana at Innovation Station property located in Herndon, Virginia. The loan is interest-only with a term of two years with a fixed interest rate of 11.0%. The Company received an origination fee of 1.25% or $0.5 million.</w:t>
      </w:r>
    </w:p>
    <w:p>
      <w:pPr>
        <w:spacing w:after="0" w:line="174"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2023 Activity</w:t>
      </w:r>
      <w:r>
        <w:rPr>
          <w:rFonts w:ascii="Times New Roman" w:cs="Times New Roman" w:eastAsia="Times New Roman" w:hAnsi="Times New Roman"/>
          <w:sz w:val="18"/>
          <w:szCs w:val="18"/>
          <w:color w:val="auto"/>
        </w:rPr>
        <w:t>. On February 21, 2023, the borrower of the mortgage note secured by the 4311 Maple Avenue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in Dallas, Texas repaid the principal balance of $0.4 million, leaving no remaining balance outstanding as of March 31, 2023.</w:t>
      </w:r>
    </w:p>
    <w:p>
      <w:pPr>
        <w:spacing w:after="0" w:line="175"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On March 1, 2023, the Company originated a $15.0 million first mortgage loan secured by the Founders Square property located in Dallas, Texas. The loan is interest-only with a term of three years with a fixed interest rate of 8.75%. The Company received an origination fee of 1.0% or $0.15 million.</w:t>
      </w:r>
    </w:p>
    <w:p>
      <w:pPr>
        <w:spacing w:after="0" w:line="1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funded $2.2 million to the borrower and received $0.6 million in principal repayments under the construction loan originated in January 2022 and secured by the property and improvements to be constructed thereon for the second phase of The Exchange at Gwinnett project located in Buford, Georgia. As of September 30, 2023, there is no remaining commitment to the borrower.</w:t>
      </w:r>
    </w:p>
    <w:p>
      <w:pPr>
        <w:spacing w:after="0" w:line="180"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December 20, 2023, simultaneous with the sale of the property, the Company originated a $15.4 million first mortgage loan secured by the Sabal Pavilion property located in Tampa, Florida. The loan was interest-only with a term of nine months with a fixed interest rate of 7.50%. During the nine months ended September 30, 2024, the borrower repaid the mortgage loan, at a $0.2 million discount, for proceeds to the Company of $15.2 million.</w:t>
      </w:r>
    </w:p>
    <w:p>
      <w:pPr>
        <w:spacing w:after="0" w:line="178"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Watters Creek Investment. </w:t>
      </w:r>
      <w:r>
        <w:rPr>
          <w:rFonts w:ascii="Times New Roman" w:cs="Times New Roman" w:eastAsia="Times New Roman" w:hAnsi="Times New Roman"/>
          <w:sz w:val="18"/>
          <w:szCs w:val="18"/>
          <w:color w:val="auto"/>
        </w:rPr>
        <w:t>On April 7, 2022, the Company entered into a preferred equity agreement to provide $30.0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funding towards the total investment in Watters Creek at Montgomery Farm, a grocery-anchored, mixed-use property located in Allen, Texas (the “Watters Creek Investment”). The Watters Creek Investment matures on April 6, 2025, has two one-year extension options, bears a fixed interest rate of 8.50% at the time of acquisition with increases during the initial term as well as the option terms, and requires payments of interest only prior to maturity. At closing, an origination fee of $0.15 million was received by the Company.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60" w:firstLine="513"/>
        <w:spacing w:after="0" w:line="253" w:lineRule="auto"/>
        <w:rPr>
          <w:sz w:val="20"/>
          <w:szCs w:val="20"/>
          <w:color w:val="auto"/>
        </w:rPr>
      </w:pPr>
      <w:r>
        <w:rPr>
          <w:rFonts w:ascii="Times New Roman" w:cs="Times New Roman" w:eastAsia="Times New Roman" w:hAnsi="Times New Roman"/>
          <w:sz w:val="18"/>
          <w:szCs w:val="18"/>
          <w:color w:val="auto"/>
        </w:rPr>
        <w:t xml:space="preserve">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 an unrelated third-party and (ii) the Company’s position as minority lender with fixed returns and maturity dates for the repayment of the $30.0 million preferred investment.</w:t>
      </w:r>
    </w:p>
    <w:p>
      <w:pPr>
        <w:spacing w:after="0" w:line="86" w:lineRule="exact"/>
        <w:rPr>
          <w:sz w:val="20"/>
          <w:szCs w:val="20"/>
          <w:color w:val="auto"/>
        </w:rPr>
      </w:pPr>
    </w:p>
    <w:p>
      <w:pPr>
        <w:jc w:val="both"/>
        <w:ind w:left="60" w:right="160" w:firstLine="441"/>
        <w:spacing w:after="0" w:line="282"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September 30, 2024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Original</w:t>
            </w: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100" w:type="dxa"/>
            <w:vAlign w:val="bottom"/>
          </w:tcPr>
          <w:p>
            <w:pPr>
              <w:spacing w:after="0"/>
              <w:rPr>
                <w:sz w:val="14"/>
                <w:szCs w:val="14"/>
                <w:color w:val="auto"/>
              </w:rPr>
            </w:pPr>
          </w:p>
        </w:tc>
        <w:tc>
          <w:tcPr>
            <w:tcW w:w="7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84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5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Coupon</w:t>
            </w:r>
          </w:p>
        </w:tc>
        <w:tc>
          <w:tcPr>
            <w:tcW w:w="0" w:type="dxa"/>
            <w:vAlign w:val="bottom"/>
          </w:tcPr>
          <w:p>
            <w:pPr>
              <w:spacing w:after="0"/>
              <w:rPr>
                <w:sz w:val="1"/>
                <w:szCs w:val="1"/>
                <w:color w:val="auto"/>
              </w:rPr>
            </w:pPr>
          </w:p>
        </w:tc>
      </w:tr>
      <w:tr>
        <w:trPr>
          <w:trHeight w:val="18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Rate</w:t>
            </w:r>
          </w:p>
        </w:tc>
        <w:tc>
          <w:tcPr>
            <w:tcW w:w="0" w:type="dxa"/>
            <w:vAlign w:val="bottom"/>
          </w:tcPr>
          <w:p>
            <w:pPr>
              <w:spacing w:after="0"/>
              <w:rPr>
                <w:sz w:val="1"/>
                <w:szCs w:val="1"/>
                <w:color w:val="auto"/>
              </w:rPr>
            </w:pPr>
          </w:p>
        </w:tc>
      </w:tr>
      <w:tr>
        <w:trPr>
          <w:trHeight w:val="155"/>
        </w:trPr>
        <w:tc>
          <w:tcPr>
            <w:tcW w:w="346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Preferred Investment – Watters Creek – Allen,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April 2022</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April 2025</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29,974</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9.00%</w:t>
            </w:r>
          </w:p>
        </w:tc>
        <w:tc>
          <w:tcPr>
            <w:tcW w:w="0" w:type="dxa"/>
            <w:vAlign w:val="bottom"/>
          </w:tcPr>
          <w:p>
            <w:pPr>
              <w:spacing w:after="0"/>
              <w:rPr>
                <w:sz w:val="1"/>
                <w:szCs w:val="1"/>
                <w:color w:val="auto"/>
              </w:rPr>
            </w:pPr>
          </w:p>
        </w:tc>
      </w:tr>
      <w:tr>
        <w:trPr>
          <w:trHeight w:val="162"/>
        </w:trPr>
        <w:tc>
          <w:tcPr>
            <w:tcW w:w="36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Founders Square – Dallas, TX</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2023</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2026</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14,930</w:t>
            </w:r>
          </w:p>
        </w:tc>
        <w:tc>
          <w:tcPr>
            <w:tcW w:w="16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8.75%</w:t>
            </w: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Promissory Note – Main Street – Daytona Beach, FL</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2023</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May 2033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7.00%</w:t>
            </w:r>
          </w:p>
        </w:tc>
        <w:tc>
          <w:tcPr>
            <w:tcW w:w="0" w:type="dxa"/>
            <w:vAlign w:val="bottom"/>
          </w:tcPr>
          <w:p>
            <w:pPr>
              <w:spacing w:after="0"/>
              <w:rPr>
                <w:sz w:val="1"/>
                <w:szCs w:val="1"/>
                <w:color w:val="auto"/>
              </w:rPr>
            </w:pP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Construction Loan - Hypoluxo - Lake Worth, FL</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March 2024</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June 2025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5,575</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11.00%</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A Preferred Investment</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July 2024</w:t>
            </w:r>
          </w:p>
        </w:tc>
        <w:tc>
          <w:tcPr>
            <w:tcW w:w="1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July 2029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9,904</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14.00%</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Mortgage Note - Rivana - Herndon, VA</w:t>
            </w:r>
          </w:p>
        </w:tc>
        <w:tc>
          <w:tcPr>
            <w:tcW w:w="118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2024</w:t>
            </w:r>
          </w:p>
        </w:tc>
        <w:tc>
          <w:tcPr>
            <w:tcW w:w="118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September 2026</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43,818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43,280</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11.00%</w:t>
            </w:r>
          </w:p>
        </w:tc>
        <w:tc>
          <w:tcPr>
            <w:tcW w:w="0" w:type="dxa"/>
            <w:vAlign w:val="bottom"/>
          </w:tcPr>
          <w:p>
            <w:pPr>
              <w:spacing w:after="0"/>
              <w:rPr>
                <w:sz w:val="1"/>
                <w:szCs w:val="1"/>
                <w:color w:val="auto"/>
              </w:rPr>
            </w:pPr>
          </w:p>
        </w:tc>
      </w:tr>
      <w:tr>
        <w:trPr>
          <w:trHeight w:val="156"/>
        </w:trPr>
        <w:tc>
          <w:tcPr>
            <w:tcW w:w="34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104,856</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104,856</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104,063</w:t>
            </w: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CECL Reserve</w:t>
            </w: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(1,049)</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20" w:type="dxa"/>
            <w:vAlign w:val="bottom"/>
            <w:tcBorders>
              <w:top w:val="single" w:sz="8" w:color="CCEEFF"/>
              <w:bottom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103,014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180" w:firstLine="441"/>
        <w:spacing w:after="0" w:line="253"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December 31, 2023 (in thousands):</w:t>
      </w:r>
    </w:p>
    <w:tbl>
      <w:tblPr>
        <w:tblLayout w:type="fixed"/>
        <w:tblInd w:w="40" w:type="dxa"/>
        <w:tblCellMar>
          <w:top w:w="0" w:type="dxa"/>
          <w:left w:w="0" w:type="dxa"/>
          <w:bottom w:w="0" w:type="dxa"/>
          <w:right w:w="0" w:type="dxa"/>
        </w:tblCellMar>
      </w:tblPr>
      <w:tr>
        <w:trPr>
          <w:trHeight w:val="155"/>
        </w:trPr>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5"/>
                <w:szCs w:val="15"/>
                <w:b w:val="1"/>
                <w:bCs w:val="1"/>
                <w:color w:val="auto"/>
              </w:rPr>
              <w:t>Original</w:t>
            </w:r>
          </w:p>
        </w:tc>
        <w:tc>
          <w:tcPr>
            <w:tcW w:w="76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5"/>
                <w:szCs w:val="15"/>
                <w:b w:val="1"/>
                <w:bCs w:val="1"/>
                <w:color w:val="auto"/>
                <w:w w:val="98"/>
              </w:rPr>
              <w:t>Current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2"/>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9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Maturity</w:t>
            </w:r>
          </w:p>
        </w:tc>
        <w:tc>
          <w:tcPr>
            <w:tcW w:w="100" w:type="dxa"/>
            <w:vAlign w:val="bottom"/>
          </w:tcPr>
          <w:p>
            <w:pPr>
              <w:spacing w:after="0"/>
              <w:rPr>
                <w:sz w:val="14"/>
                <w:szCs w:val="14"/>
                <w:color w:val="auto"/>
              </w:rPr>
            </w:pPr>
          </w:p>
        </w:tc>
        <w:tc>
          <w:tcPr>
            <w:tcW w:w="6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100" w:type="dxa"/>
            <w:vAlign w:val="bottom"/>
          </w:tcPr>
          <w:p>
            <w:pPr>
              <w:spacing w:after="0"/>
              <w:rPr>
                <w:sz w:val="14"/>
                <w:szCs w:val="14"/>
                <w:color w:val="auto"/>
              </w:rPr>
            </w:pPr>
          </w:p>
        </w:tc>
        <w:tc>
          <w:tcPr>
            <w:tcW w:w="6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7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Coupon</w:t>
            </w:r>
          </w:p>
        </w:tc>
      </w:tr>
      <w:tr>
        <w:trPr>
          <w:trHeight w:val="18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0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Rate</w:t>
            </w:r>
          </w:p>
        </w:tc>
      </w:tr>
      <w:tr>
        <w:trPr>
          <w:trHeight w:val="155"/>
        </w:trPr>
        <w:tc>
          <w:tcPr>
            <w:tcW w:w="392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Construction Loan – The Exchange At Gwinnett – Buford, GA</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January 2022</w:t>
            </w: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January 2024</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8,700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1,857</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1,854</w:t>
            </w: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7.25%</w:t>
            </w:r>
          </w:p>
        </w:tc>
      </w:tr>
      <w:tr>
        <w:trPr>
          <w:trHeight w:val="162"/>
        </w:trPr>
        <w:tc>
          <w:tcPr>
            <w:tcW w:w="40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Preferred Investment – Watters Creek – Allen, TX</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April 2022</w:t>
            </w:r>
          </w:p>
        </w:tc>
        <w:tc>
          <w:tcPr>
            <w:tcW w:w="9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April 2025</w:t>
            </w: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29,937</w:t>
            </w:r>
          </w:p>
        </w:tc>
        <w:tc>
          <w:tcPr>
            <w:tcW w:w="160" w:type="dxa"/>
            <w:vAlign w:val="bottom"/>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8.75%</w:t>
            </w:r>
          </w:p>
        </w:tc>
      </w:tr>
      <w:tr>
        <w:trPr>
          <w:trHeight w:val="162"/>
        </w:trPr>
        <w:tc>
          <w:tcPr>
            <w:tcW w:w="40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Founders Square – Dallas, TX</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2023</w:t>
            </w:r>
          </w:p>
        </w:tc>
        <w:tc>
          <w:tcPr>
            <w:tcW w:w="9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14,892</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8.75%</w:t>
            </w:r>
          </w:p>
        </w:tc>
      </w:tr>
      <w:tr>
        <w:trPr>
          <w:trHeight w:val="162"/>
        </w:trPr>
        <w:tc>
          <w:tcPr>
            <w:tcW w:w="40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Promissory Note – Main Street – Daytona Beach,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2023</w:t>
            </w:r>
          </w:p>
        </w:tc>
        <w:tc>
          <w:tcPr>
            <w:tcW w:w="9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May 2033</w:t>
            </w: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7.00%</w:t>
            </w:r>
          </w:p>
        </w:tc>
      </w:tr>
      <w:tr>
        <w:trPr>
          <w:trHeight w:val="162"/>
        </w:trPr>
        <w:tc>
          <w:tcPr>
            <w:tcW w:w="40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Sabal Pavilion – Tampa, FL</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December 2023</w:t>
            </w:r>
          </w:p>
        </w:tc>
        <w:tc>
          <w:tcPr>
            <w:tcW w:w="9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2024</w:t>
            </w: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15,400</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15,400</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15,393</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7.50%</w:t>
            </w:r>
          </w:p>
        </w:tc>
      </w:tr>
      <w:tr>
        <w:trPr>
          <w:trHeight w:val="195"/>
        </w:trPr>
        <w:tc>
          <w:tcPr>
            <w:tcW w:w="39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69,500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62,657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62,476</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r>
      <w:tr>
        <w:trPr>
          <w:trHeight w:val="143"/>
        </w:trPr>
        <w:tc>
          <w:tcPr>
            <w:tcW w:w="408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color w:val="auto"/>
              </w:rPr>
              <w:t>CECL Reserve</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(627)</w:t>
            </w:r>
          </w:p>
        </w:tc>
        <w:tc>
          <w:tcPr>
            <w:tcW w:w="560" w:type="dxa"/>
            <w:vAlign w:val="bottom"/>
            <w:shd w:val="clear" w:color="auto" w:fill="CCEEFF"/>
          </w:tcPr>
          <w:p>
            <w:pPr>
              <w:spacing w:after="0"/>
              <w:rPr>
                <w:sz w:val="12"/>
                <w:szCs w:val="12"/>
                <w:color w:val="auto"/>
              </w:rPr>
            </w:pPr>
          </w:p>
        </w:tc>
      </w:tr>
      <w:tr>
        <w:trPr>
          <w:trHeight w:val="156"/>
        </w:trPr>
        <w:tc>
          <w:tcPr>
            <w:tcW w:w="40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61,849</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60" w:firstLine="441"/>
        <w:spacing w:after="0" w:line="282" w:lineRule="auto"/>
        <w:rPr>
          <w:sz w:val="20"/>
          <w:szCs w:val="20"/>
          <w:color w:val="auto"/>
        </w:rPr>
      </w:pPr>
      <w:r>
        <w:rPr>
          <w:rFonts w:ascii="Times New Roman" w:cs="Times New Roman" w:eastAsia="Times New Roman" w:hAnsi="Times New Roman"/>
          <w:sz w:val="18"/>
          <w:szCs w:val="18"/>
          <w:color w:val="auto"/>
        </w:rPr>
        <w:t>The carrying value of the commercial loans and investments portfolio at September 30, 2024 and December 31, 2023 consisted of the following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1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r>
      <w:tr>
        <w:trPr>
          <w:trHeight w:val="210"/>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62,657</w:t>
            </w:r>
          </w:p>
        </w:tc>
        <w:tc>
          <w:tcPr>
            <w:tcW w:w="2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Origination Fees</w:t>
            </w:r>
          </w:p>
        </w:tc>
        <w:tc>
          <w:tcPr>
            <w:tcW w:w="5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(793)</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 Reserve</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(1,049)</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8"/>
                <w:szCs w:val="18"/>
                <w:color w:val="auto"/>
              </w:rPr>
            </w:pP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 Loans and Investments</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103,014</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61,849</w:t>
            </w:r>
          </w:p>
        </w:tc>
        <w:tc>
          <w:tcPr>
            <w:tcW w:w="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MANAGEMENT SERVICES BUSINESS</w:t>
      </w:r>
    </w:p>
    <w:p>
      <w:pPr>
        <w:spacing w:after="0" w:line="227" w:lineRule="exact"/>
        <w:rPr>
          <w:sz w:val="20"/>
          <w:szCs w:val="20"/>
          <w:color w:val="auto"/>
        </w:rPr>
      </w:pPr>
    </w:p>
    <w:p>
      <w:pPr>
        <w:jc w:val="both"/>
        <w:ind w:left="60" w:right="180" w:firstLine="441"/>
        <w:spacing w:after="0" w:line="284" w:lineRule="auto"/>
        <w:rPr>
          <w:sz w:val="20"/>
          <w:szCs w:val="20"/>
          <w:color w:val="auto"/>
        </w:rPr>
      </w:pPr>
      <w:r>
        <w:rPr>
          <w:rFonts w:ascii="Times New Roman" w:cs="Times New Roman" w:eastAsia="Times New Roman" w:hAnsi="Times New Roman"/>
          <w:sz w:val="18"/>
          <w:szCs w:val="18"/>
          <w:color w:val="auto"/>
        </w:rPr>
        <w:t xml:space="preserve">The Company’s management fee income is within the scope of FASB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Management fee income is recognized as revenue over time, over the period the services are performed.</w:t>
      </w:r>
    </w:p>
    <w:p>
      <w:pPr>
        <w:sectPr>
          <w:pgSz w:w="11900" w:h="16838" w:orient="portrait"/>
          <w:cols w:equalWidth="0" w:num="1">
            <w:col w:w="9120"/>
          </w:cols>
          <w:pgMar w:left="1440" w:top="51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20"/>
          </w:cols>
          <w:pgMar w:left="1440" w:top="513" w:right="1339"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Alpine Income Property Trust. </w:t>
      </w:r>
      <w:r>
        <w:rPr>
          <w:rFonts w:ascii="Times New Roman" w:cs="Times New Roman" w:eastAsia="Times New Roman" w:hAnsi="Times New Roman"/>
          <w:sz w:val="18"/>
          <w:szCs w:val="18"/>
          <w:color w:val="auto"/>
        </w:rPr>
        <w:t>Pursuant to the Company’s management agreement with PINE,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2023.</w:t>
      </w:r>
    </w:p>
    <w:p>
      <w:pPr>
        <w:spacing w:after="0" w:line="187"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The Company earned management fee revenue from PINE for each of the three month periods ended September 30, 2024 and 2023 of $1.1 million. During the nine months ended September 30, 2024 and 2023, the Company earned management fee revenue from PINE totaling $3.1 million and $3.3 million, respectively. Dividend income for the three months ended September 30, 2024 and 2023 totaled $0.7 and $0.6 million, respectively. Dividend income for each of the nine months ended September 30, 2024 and 2023 totaled $1.9 million. Management fee revenue from PINE, included in management services, and dividend income, included in investment and other income (loss), are reflected in the accompanying consolidated statements of operations.</w:t>
      </w:r>
    </w:p>
    <w:p>
      <w:pPr>
        <w:spacing w:after="0" w:line="18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represents amounts due from PINE as of September 30, 2024 and December 31, 2023 which are included in other assets on the consolidated balance sheets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 Fee due From PINE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Receivable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October 26, 2021, the Board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February 16, 2023, the Board cancelled the Prior PINE Share Purchase Authorization and authorized the purchase by the Company of up to $2.1 million in shares of common stock of PINE (the “February 2023 PINE Share Purchase Authorization”). Pursuant to the February 2023 PINE Share Purchase Authorization, during the nine months ended September 30, 2023, the Company purchased 129,271 shares of PINE common stock on the open market for a total of $2.1 million, or an average price of $16.21 per share, which completed the February 2023 PINE Share Purchase Authorization.</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December 12, 2023, the Board authorized the purchase by the Company of up to $2.0 million in shares of common stock of PINE (the “December 2023 PINE Share Purchase Authorization”). No purchases of PINE common stock were made pursuant to the December 2023 PINE Share Purchase Authorization during the three months ended December 31, 2023. Pursuant to the December 2023 PINE Share Purchase Authorization, during the nine months ended September 30, 2024, the Company purchased 29,807 shares of PINE common stock on the open market for a total of $0.4 million, or an average price of $14.97 per share.</w:t>
      </w:r>
    </w:p>
    <w:p>
      <w:pPr>
        <w:spacing w:after="0" w:line="187"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As of September 30, 2024, CTO owns, in the aggregate, 1,223,854 OP Units and 1,138,621 shares of PINE common stock, representing an investment totaling $43.0 million, or 15.3% of PINE’s outstanding equity.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Portfolio Management Agreement. </w:t>
      </w:r>
      <w:r>
        <w:rPr>
          <w:rFonts w:ascii="Times New Roman" w:cs="Times New Roman" w:eastAsia="Times New Roman" w:hAnsi="Times New Roman"/>
          <w:sz w:val="18"/>
          <w:szCs w:val="18"/>
          <w:color w:val="auto"/>
        </w:rPr>
        <w:t>On December 4, 2023, the Company entered into an asset management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receives (or expects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During the three and nine months ended September 30, 2024, the Company recognized less than $0.1 million and $0.2 million of revenue, respectively, pursuant to the Portfolio Management Agreement, which is included in management fee income on the Company’s consolidated statement of operations.</w:t>
      </w:r>
    </w:p>
    <w:p>
      <w:pPr>
        <w:spacing w:after="0" w:line="232"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Asset Management Agreement. </w:t>
      </w:r>
      <w:r>
        <w:rPr>
          <w:rFonts w:ascii="Times New Roman" w:cs="Times New Roman" w:eastAsia="Times New Roman" w:hAnsi="Times New Roman"/>
          <w:sz w:val="18"/>
          <w:szCs w:val="18"/>
          <w:color w:val="auto"/>
        </w:rPr>
        <w:t>On February 16, 2024, the Company entered into the Subsurface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a third party in conjunction with the sale of the Company’s remaining Subsurface Interests as further described in Note 6, “Real Estate Operations” below. The Company is expected to receive management and other fees pursuant to the Subsurface Management Agreement. During the three and nine months ended September 30, 2024, the Company recognized less than $0.1 million and $0.1 million of revenue, respectively, pursuant to the Subsurface Management Agreement, which is included in management fee income on the Company’s consolidated statement of operations.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6. REAL ESTATE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Land and development costs at September 30, 2024 and December 31, 2023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Development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Subsurface Interests</w:t>
            </w:r>
          </w:p>
        </w:tc>
        <w:tc>
          <w:tcPr>
            <w:tcW w:w="16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Land and Development Costs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Subsurface Interests. </w:t>
      </w:r>
      <w:r>
        <w:rPr>
          <w:rFonts w:ascii="Times New Roman" w:cs="Times New Roman" w:eastAsia="Times New Roman" w:hAnsi="Times New Roman"/>
          <w:sz w:val="18"/>
          <w:szCs w:val="18"/>
          <w:color w:val="auto"/>
        </w:rPr>
        <w:t>As of December 31, 2023, the Company owned 352,000 acres of Subsurface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sold its remaining acres of Subsurface Interests during the nine months ended September 30, 2024 for $5.0 million, or a gain on sale of $4.5 million.</w:t>
      </w:r>
    </w:p>
    <w:p>
      <w:pPr>
        <w:spacing w:after="0" w:line="216"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The Company historically leased certain of the Subsurface Interests to mineral exploration firms for exploration. The Company’s subsurface historical operations consisted of revenue from the leasing of exploration rights and in some instances, additional revenues from royalties applicable to production from the leased acreage, which revenues are included within real estate operations in the consolidated statements of operations. There were no sales of subsurface oil, gas, and mineral rights during the nine months ended September 30, 2024. During the three and nine months ended September 30, 2023, the Company sold subsurface oil, gas, and mineral rights of 465 acres for a sales price of $0.6 million and 3,481 acres for a sales price of $1.0 million, respectively.</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historically released surface entry rights or other rights upon request of a surface owner for a negotiated release fee typically based on a percentage of the surface value. Cash payments for the release of surface entry rights totaled $0.1 million and $0.5 million in the nine months ended September 30, 2024 and 2023, respectively.</w:t>
      </w:r>
    </w:p>
    <w:p>
      <w:pPr>
        <w:spacing w:after="0" w:line="201" w:lineRule="exact"/>
        <w:rPr>
          <w:sz w:val="20"/>
          <w:szCs w:val="20"/>
          <w:color w:val="auto"/>
        </w:rPr>
      </w:pPr>
    </w:p>
    <w:p>
      <w:pPr>
        <w:jc w:val="both"/>
        <w:ind w:left="60" w:right="5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Mitigation Credits. </w:t>
      </w:r>
      <w:r>
        <w:rPr>
          <w:rFonts w:ascii="Times New Roman" w:cs="Times New Roman" w:eastAsia="Times New Roman" w:hAnsi="Times New Roman"/>
          <w:sz w:val="18"/>
          <w:szCs w:val="18"/>
          <w:color w:val="auto"/>
        </w:rPr>
        <w:t>During the nine months ended September 30, 2024, the Company sold its remaining mitigation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As of December 31, 2023, the Company owned mitigation credits with an aggregate cost basis of $1.0 million.</w:t>
      </w:r>
    </w:p>
    <w:p>
      <w:pPr>
        <w:spacing w:after="0" w:line="201"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Revenues and the cost of sales of mitigation credit sales are reported as revenues from, and direct costs of, real estate operations, respectively, in the consolidated statements of operations. During the nine months ended September 30, 2024, 14.99 mitigation credits were sold for $1.8 million, resulting in a gain on sale of $0.5 million. During the nine months ended September 30, 2023, 9.45 mitigation credits were sold for $1.1 million, resulting in a gain on sale of $0.3 million.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INVESTMENT SECURITIES</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 owns, in the aggregate and on a fully diluted basis, 2.36 million shares of PINE, or 15.3% of PINE’s total shares outstanding for an investment value of $43.0 million, which total includes 1.2 million OP Units, or 7.9%, which the Company received in exchange for the contribution of certain income properties to the PINE Operating Partnership, in addition to 1,138,621 shares of common stock owned by the Company, or 7.4%.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spacing w:after="0" w:line="19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loss in the accompanying consolidated statements of operations.</w:t>
      </w:r>
    </w:p>
    <w:p>
      <w:pPr>
        <w:spacing w:after="0" w:line="1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Company’s available-for-sale securities as of September 30, 2024 and December 31, 2023 are summarized below (in thousands):</w:t>
      </w:r>
    </w:p>
    <w:tbl>
      <w:tblPr>
        <w:tblLayout w:type="fixed"/>
        <w:tblInd w:w="40" w:type="dxa"/>
        <w:tblCellMar>
          <w:top w:w="0" w:type="dxa"/>
          <w:left w:w="0" w:type="dxa"/>
          <w:bottom w:w="0" w:type="dxa"/>
          <w:right w:w="0" w:type="dxa"/>
        </w:tblCellMar>
      </w:tblPr>
      <w:tr>
        <w:trPr>
          <w:trHeight w:val="207"/>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Gains 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Losses in</w:t>
            </w: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53"/>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00" w:type="dxa"/>
            <w:vAlign w:val="bottom"/>
          </w:tcPr>
          <w:p>
            <w:pPr>
              <w:jc w:val="center"/>
              <w:ind w:left="153"/>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 1 Inputs)</w:t>
            </w: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200" w:type="dxa"/>
            <w:vAlign w:val="bottom"/>
          </w:tcPr>
          <w:p>
            <w:pPr>
              <w:spacing w:after="0"/>
              <w:rPr>
                <w:sz w:val="18"/>
                <w:szCs w:val="18"/>
                <w:color w:val="auto"/>
              </w:rPr>
            </w:pPr>
          </w:p>
        </w:tc>
        <w:tc>
          <w:tcPr>
            <w:tcW w:w="1100" w:type="dxa"/>
            <w:vAlign w:val="bottom"/>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20,723</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Units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22,274</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42,997</w:t>
            </w: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42,997</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20,482</w:t>
            </w:r>
          </w:p>
        </w:tc>
        <w:tc>
          <w:tcPr>
            <w:tcW w:w="200" w:type="dxa"/>
            <w:vAlign w:val="bottom"/>
          </w:tcPr>
          <w:p>
            <w:pPr>
              <w:spacing w:after="0"/>
              <w:rPr>
                <w:sz w:val="18"/>
                <w:szCs w:val="18"/>
                <w:color w:val="auto"/>
              </w:rPr>
            </w:pPr>
          </w:p>
        </w:tc>
        <w:tc>
          <w:tcPr>
            <w:tcW w:w="1100" w:type="dxa"/>
            <w:vAlign w:val="bottom"/>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Units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20,695</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43,735</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39,445</w:t>
            </w: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43,735</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39,445</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8. FAIR VALUE OF FINANCIAL INSTRUMENTS</w:t>
      </w:r>
    </w:p>
    <w:p>
      <w:pPr>
        <w:spacing w:after="0" w:line="20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September 30, 2024 and December 31, 2023 (in thousands):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20"/>
                <w:szCs w:val="20"/>
                <w:color w:val="auto"/>
              </w:rPr>
            </w:pPr>
          </w:p>
        </w:tc>
        <w:tc>
          <w:tcPr>
            <w:tcW w:w="21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4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 - 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63,261</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526,838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510,842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495,370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473,807</w:t>
            </w:r>
          </w:p>
        </w:tc>
      </w:tr>
    </w:tbl>
    <w:p>
      <w:pPr>
        <w:spacing w:after="0" w:line="179" w:lineRule="exact"/>
        <w:rPr>
          <w:sz w:val="20"/>
          <w:szCs w:val="20"/>
          <w:color w:val="auto"/>
        </w:rPr>
      </w:pPr>
    </w:p>
    <w:p>
      <w:pPr>
        <w:jc w:val="both"/>
        <w:ind w:left="60" w:right="59" w:firstLine="441"/>
        <w:spacing w:after="0" w:line="245" w:lineRule="auto"/>
        <w:rPr>
          <w:sz w:val="20"/>
          <w:szCs w:val="20"/>
          <w:color w:val="auto"/>
        </w:rPr>
      </w:pPr>
      <w:r>
        <w:rPr>
          <w:rFonts w:ascii="Times New Roman" w:cs="Times New Roman" w:eastAsia="Times New Roman" w:hAnsi="Times New Roman"/>
          <w:sz w:val="18"/>
          <w:szCs w:val="18"/>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fair value of assets measured on a recurring basis by level as of September 30, 2024 and December 31, 2023 (in thousands). See Note 16, “Interest Rate Swaps” for further disclosure related to the Company’s interest rate swaps.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Fair Value at Reporting Date Using</w:t>
            </w:r>
          </w:p>
        </w:tc>
      </w:tr>
      <w:tr>
        <w:trPr>
          <w:trHeight w:val="183"/>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2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5"/>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19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- 2026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- 2027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- 2028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(3,034)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- 2029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Credit Facility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- 2026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- 2027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- 2028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Credit Facility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INTANGIBLE ASSETS AND LIABILITIES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September 30, 2024 and December 31, 2023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6"/>
                <w:szCs w:val="16"/>
                <w:color w:val="auto"/>
              </w:rPr>
            </w:pPr>
          </w:p>
        </w:tc>
        <w:tc>
          <w:tcPr>
            <w:tcW w:w="12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r>
      <w:tr>
        <w:trPr>
          <w:trHeight w:val="238"/>
        </w:trPr>
        <w:tc>
          <w:tcPr>
            <w:tcW w:w="5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90,246</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31,533</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24,974</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146,753</w:t>
            </w:r>
          </w:p>
        </w:tc>
        <w:tc>
          <w:tcPr>
            <w:tcW w:w="20" w:type="dxa"/>
            <w:vAlign w:val="bottom"/>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(63,803)</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(49,644)</w:t>
            </w:r>
          </w:p>
        </w:tc>
        <w:tc>
          <w:tcPr>
            <w:tcW w:w="20" w:type="dxa"/>
            <w:vAlign w:val="bottom"/>
          </w:tcPr>
          <w:p>
            <w:pPr>
              <w:spacing w:after="0"/>
              <w:rPr>
                <w:sz w:val="18"/>
                <w:szCs w:val="18"/>
                <w:color w:val="auto"/>
              </w:rPr>
            </w:pPr>
          </w:p>
        </w:tc>
      </w:tr>
      <w:tr>
        <w:trPr>
          <w:trHeight w:val="210"/>
        </w:trPr>
        <w:tc>
          <w:tcPr>
            <w:tcW w:w="5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97,109</w:t>
            </w:r>
          </w:p>
        </w:tc>
        <w:tc>
          <w:tcPr>
            <w:tcW w:w="20" w:type="dxa"/>
            <w:vAlign w:val="bottom"/>
          </w:tcPr>
          <w:p>
            <w:pPr>
              <w:spacing w:after="0"/>
              <w:rPr>
                <w:sz w:val="18"/>
                <w:szCs w:val="18"/>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(25,898)</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20" w:type="dxa"/>
            <w:vAlign w:val="bottom"/>
          </w:tcPr>
          <w:p>
            <w:pPr>
              <w:spacing w:after="0"/>
              <w:rPr>
                <w:sz w:val="18"/>
                <w:szCs w:val="18"/>
                <w:color w:val="auto"/>
              </w:rPr>
            </w:pPr>
          </w:p>
        </w:tc>
      </w:tr>
      <w:tr>
        <w:trPr>
          <w:trHeight w:val="21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(25,898)</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0" w:type="dxa"/>
            <w:vAlign w:val="bottom"/>
          </w:tcPr>
          <w:p>
            <w:pPr>
              <w:spacing w:after="0"/>
              <w:rPr>
                <w:sz w:val="18"/>
                <w:szCs w:val="18"/>
                <w:color w:val="auto"/>
              </w:rPr>
            </w:pPr>
          </w:p>
        </w:tc>
      </w:tr>
      <w:tr>
        <w:trPr>
          <w:trHeight w:val="210"/>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0" w:type="dxa"/>
            <w:vAlign w:val="bottom"/>
          </w:tcPr>
          <w:p>
            <w:pPr>
              <w:spacing w:after="0"/>
              <w:rPr>
                <w:sz w:val="18"/>
                <w:szCs w:val="18"/>
                <w:color w:val="auto"/>
              </w:rPr>
            </w:pPr>
          </w:p>
        </w:tc>
      </w:tr>
      <w:tr>
        <w:trPr>
          <w:trHeight w:val="21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86,668</w:t>
            </w:r>
          </w:p>
        </w:tc>
        <w:tc>
          <w:tcPr>
            <w:tcW w:w="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and nine months ended September 30, 2024 and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0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4200" w:type="dxa"/>
            <w:vAlign w:val="bottom"/>
          </w:tcPr>
          <w:p>
            <w:pPr>
              <w:spacing w:after="0"/>
              <w:rPr>
                <w:sz w:val="16"/>
                <w:szCs w:val="16"/>
                <w:color w:val="auto"/>
              </w:rPr>
            </w:pPr>
          </w:p>
        </w:tc>
        <w:tc>
          <w:tcPr>
            <w:tcW w:w="118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 w:type="dxa"/>
            <w:vAlign w:val="bottom"/>
          </w:tcPr>
          <w:p>
            <w:pPr>
              <w:spacing w:after="0"/>
              <w:rPr>
                <w:sz w:val="16"/>
                <w:szCs w:val="16"/>
                <w:color w:val="auto"/>
              </w:rPr>
            </w:pPr>
          </w:p>
        </w:tc>
        <w:tc>
          <w:tcPr>
            <w:tcW w:w="120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8"/>
        </w:trPr>
        <w:tc>
          <w:tcPr>
            <w:tcW w:w="4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w:t>
            </w:r>
          </w:p>
        </w:tc>
      </w:tr>
      <w:tr>
        <w:trPr>
          <w:trHeight w:val="216"/>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to Income Properties 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1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 of Intangible Assets and Liabilities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Accretion to</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Intangible</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r>
      <w:tr>
        <w:trPr>
          <w:trHeight w:val="238"/>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 Liabilities</w:t>
            </w:r>
          </w:p>
        </w:tc>
      </w:tr>
      <w:tr>
        <w:trPr>
          <w:trHeight w:val="209"/>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20,675</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16,224</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r>
      <w:tr>
        <w:trPr>
          <w:trHeight w:val="21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r>
      <w:tr>
        <w:trPr>
          <w:trHeight w:val="20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88,801</w:t>
            </w: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As of September 30, 2024, the weighted average amortization period of total intangible assets and liabilities was 7.0 years and 5.4 years,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PROVISION FOR IMPAIRMENT</w:t>
      </w:r>
    </w:p>
    <w:p>
      <w:pPr>
        <w:spacing w:after="0" w:line="227"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Properties. </w:t>
      </w:r>
      <w:r>
        <w:rPr>
          <w:rFonts w:ascii="Times New Roman" w:cs="Times New Roman" w:eastAsia="Times New Roman" w:hAnsi="Times New Roman"/>
          <w:sz w:val="18"/>
          <w:szCs w:val="18"/>
          <w:color w:val="auto"/>
        </w:rPr>
        <w:t>The Company assesses the impairment of long-lived assets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85"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on the Company’s income property portfolio during the three or nine months ended September 30, 2024.</w:t>
      </w:r>
    </w:p>
    <w:p>
      <w:pPr>
        <w:spacing w:after="0" w:line="16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212529"/>
        </w:rPr>
        <w:t>During the three and nine months ended September 30,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spacing w:after="0" w:line="181"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Commercial Loans and Investments</w:t>
      </w:r>
      <w:r>
        <w:rPr>
          <w:rFonts w:ascii="Times New Roman" w:cs="Times New Roman" w:eastAsia="Times New Roman" w:hAnsi="Times New Roman"/>
          <w:sz w:val="18"/>
          <w:szCs w:val="18"/>
          <w:color w:val="auto"/>
        </w:rPr>
        <w:t>. Pursuant to ASC 326, Financial Instruments - Credit Losses,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4"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recorded a $0.7 million impairment charge, comprised of a $0.2 million charge related to the discount provided to the borrower on their early repayment of the Sabal Pavilion loan, as described in Note 4, “Commercial Loans and Investments”, and a $0.5 million increase in our CECL allowance due to a net increase in principal outstanding. During the nine months ended September 30, 2023, the Company recorded a $0.5 million impairment charge, representing the provision for credit losses related to our commercial loans and investments.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OTHER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consisted of the following as of September 30, 2024 and December 31, 2023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187"/>
        </w:trPr>
        <w:tc>
          <w:tcPr>
            <w:tcW w:w="22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44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1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24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20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Income Property Tenant Receivables, Net of Allowance for Doubtful Accounts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Property Straight-line Rent Adjustment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r>
      <w:tr>
        <w:trPr>
          <w:trHeight w:val="21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Property Leasing Commissions and Costs,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Right-of-Use Asset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Golf Rounds Surcharge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 Hedge - Interest Rate Swap</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w:t>
            </w:r>
          </w:p>
        </w:tc>
      </w:tr>
      <w:tr>
        <w:trPr>
          <w:trHeight w:val="21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Reimbursement Receivables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1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Alpine Income Property Trust, Inc.</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16"/>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09"/>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w:t>
            </w: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ind w:left="380" w:hanging="330"/>
        <w:spacing w:after="0" w:line="214" w:lineRule="auto"/>
        <w:tabs>
          <w:tab w:leader="none" w:pos="38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Allowance for doubtful accounts was $2.2 million and $1.7 million as of September 30, 2024 and December 31, 2023, respectively.</w:t>
      </w:r>
    </w:p>
    <w:p>
      <w:pPr>
        <w:spacing w:after="0" w:line="179"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Infrastructure Reimbursement Receivables. </w:t>
      </w:r>
      <w:r>
        <w:rPr>
          <w:rFonts w:ascii="Times New Roman" w:cs="Times New Roman" w:eastAsia="Times New Roman" w:hAnsi="Times New Roman"/>
          <w:sz w:val="18"/>
          <w:szCs w:val="18"/>
          <w:color w:val="auto"/>
        </w:rPr>
        <w:t>As of September 30, 2024 and December 31, 2023, the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receivables were all related to two land sale transactions which closed in the fourth quarter of 2015 within the Tomoka Town Center.</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22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“2021 Registration Statement”). The Securities and Exchange Commission declared the 2021 Registration Statement effective on April 19, 2021.</w:t>
      </w:r>
    </w:p>
    <w:p>
      <w:pPr>
        <w:spacing w:after="0" w:line="180"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On October 11, 2022, the Company filed a new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 The 2021 Registration Statement was terminated concurrently with the effectiveness of the 2022 Registration Statement.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22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Company was not active under the 2021 ATM Program during the year ended December 31, 2021. The 2021 ATM Program was terminated in connection with the establishment of the 2022 ATM Program (hereinafter defined).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On October 28, 2022, the Company implemented a $150.0 million “at-the-market” equity offering program (the “2022 ATM 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 The Company was not active under the 2022 ATM Program during the year ended December 31, 2023. During the nine months ended September 30, 2024, the Company sold 7,226,192 shares under the 2022 ATM Program for gross proceeds of $134.2 million at a weighted average price of $18.57 per share, generating net proceeds of $132.2 million after deducting transaction fees of $2.0 million. As of September 30, 2024, $3.6 million of availability remained under the 2022 ATM Program.</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w:t>
      </w:r>
    </w:p>
    <w:p>
      <w:pPr>
        <w:spacing w:after="0" w:line="180"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April 4, 2024, the Company priced a public offering of 1,500,000 additional shares of the Series A Preferred Stock, liquidation preference $25.00 per share, at a public offering price of $20.00 per share. The Company also granted the underwriters a 30-day option to purchase up to an additional 225,000 shares of the Series A Preferred Stock to cover over-allotments, which the underwriters exercised with respect to 218,417 shares on April 9, 2024. Upon closing on April 11, 2024, 1,718,417 shares of the Series A Preferred Stock (including the 218,417 shares of Series A Preferred Stock issued pursuant to the underwriters’ option) were issued generating net proceeds of $33.1 million, after deducting the underwriting discount and offering expenses payable by the Company.</w:t>
      </w:r>
    </w:p>
    <w:p>
      <w:pPr>
        <w:spacing w:after="0" w:line="189"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 xml:space="preserve">On August 23, 2024, the Company implemented a $24.5 million “at-the-market” preferred stock equity offering program (the “2024 Preferred Stock ATM Program”) pursuant to which the Company may sell, from time to time, shares of the </w:t>
      </w:r>
      <w:r>
        <w:rPr>
          <w:rFonts w:ascii="Times New Roman" w:cs="Times New Roman" w:eastAsia="Times New Roman" w:hAnsi="Times New Roman"/>
          <w:sz w:val="18"/>
          <w:szCs w:val="18"/>
          <w:color w:val="212529"/>
        </w:rPr>
        <w:t>Company’s 6.375% Series A Cumulative Redeemable Preferred Stock, par value $0.01 per share, with a 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preference of $25.00 per share</w:t>
      </w:r>
      <w:r>
        <w:rPr>
          <w:rFonts w:ascii="Times New Roman" w:cs="Times New Roman" w:eastAsia="Times New Roman" w:hAnsi="Times New Roman"/>
          <w:sz w:val="18"/>
          <w:szCs w:val="18"/>
          <w:color w:val="000000"/>
        </w:rPr>
        <w:t>. During the nine months ended September 30, 2024, the Company sold 15,844 shares under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2024 Preferred Stock ATM Program generating net proceeds of $0.4 million at a weighted average price of $23.22 per share after deducting transaction fees of less than $0.1 million. As of September 30, 2024, $24.1 million of availability remained under the 2024 Preferred Stock ATM Program.</w:t>
      </w:r>
    </w:p>
    <w:p>
      <w:pPr>
        <w:spacing w:after="0" w:line="18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76"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14, “Share Repurchases” for the Company’s Series A Preferred Stock repurchase activity.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Company may generate operating cash flow in excess of its dividends, or alternatively, may elect to make dividend payments in excess of operating cash flows.</w:t>
      </w:r>
    </w:p>
    <w:p>
      <w:pPr>
        <w:spacing w:after="0" w:line="162"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outlines dividends declared and paid for each issuance of CTO’s stock during the three and nine months ended September 30, 2024 and 2023 (in thousands, except per share data):</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9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2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4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4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Dividends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16"/>
        </w:trPr>
        <w:tc>
          <w:tcPr>
            <w:tcW w:w="2460" w:type="dxa"/>
            <w:vAlign w:val="bottom"/>
            <w:shd w:val="clear" w:color="auto" w:fill="CCEEFF"/>
          </w:tcPr>
          <w:p>
            <w:pPr>
              <w:jc w:val="center"/>
              <w:ind w:right="1230"/>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460" w:type="dxa"/>
            <w:vAlign w:val="bottom"/>
            <w:shd w:val="clear" w:color="auto" w:fill="CCEEFF"/>
          </w:tcPr>
          <w:p>
            <w:pPr>
              <w:jc w:val="center"/>
              <w:ind w:right="1210"/>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4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Dividends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25,744</w:t>
            </w:r>
          </w:p>
        </w:tc>
      </w:tr>
      <w:tr>
        <w:trPr>
          <w:trHeight w:val="216"/>
        </w:trPr>
        <w:tc>
          <w:tcPr>
            <w:tcW w:w="2460" w:type="dxa"/>
            <w:vAlign w:val="bottom"/>
            <w:shd w:val="clear" w:color="auto" w:fill="CCEEFF"/>
          </w:tcPr>
          <w:p>
            <w:pPr>
              <w:jc w:val="center"/>
              <w:ind w:right="1230"/>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COMMON STOCK AND EARNINGS PER SHARE</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vesting of restricted stock at the beginning of each period using the treasury stock method at average cost for the periods. Effective as of January 1, 2022, diluted earnings per common share also reflects the 2025 Notes (hereinafter defined) on an if-converted basis.</w:t>
      </w:r>
    </w:p>
    <w:p>
      <w:pPr>
        <w:spacing w:after="0" w:line="170" w:lineRule="exact"/>
        <w:rPr>
          <w:sz w:val="20"/>
          <w:szCs w:val="20"/>
          <w:color w:val="auto"/>
        </w:rPr>
      </w:pPr>
    </w:p>
    <w:p>
      <w:pPr>
        <w:jc w:val="both"/>
        <w:ind w:left="60" w:right="59" w:firstLine="441"/>
        <w:spacing w:after="0" w:line="250"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for each of the periods presented (in thousands, except share and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2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30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Earnings: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Used in Basic EPS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(5,092)</w:t>
            </w:r>
          </w:p>
        </w:tc>
        <w:tc>
          <w:tcPr>
            <w:tcW w:w="0" w:type="dxa"/>
            <w:vAlign w:val="bottom"/>
          </w:tcPr>
          <w:p>
            <w:pPr>
              <w:spacing w:after="0"/>
              <w:rPr>
                <w:sz w:val="1"/>
                <w:szCs w:val="1"/>
                <w:color w:val="auto"/>
              </w:rPr>
            </w:pPr>
          </w:p>
        </w:tc>
      </w:tr>
      <w:tr>
        <w:trPr>
          <w:trHeight w:val="190"/>
        </w:trPr>
        <w:tc>
          <w:tcPr>
            <w:tcW w:w="3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Add Back: Effect of Dilutive Interest Related to</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2025 Notes </w:t>
            </w:r>
            <w:r>
              <w:rPr>
                <w:rFonts w:ascii="Times New Roman" w:cs="Times New Roman" w:eastAsia="Times New Roman" w:hAnsi="Times New Roman"/>
                <w:sz w:val="26"/>
                <w:szCs w:val="26"/>
                <w:color w:val="auto"/>
                <w:vertAlign w:val="superscript"/>
              </w:rPr>
              <w:t>(1)</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8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8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0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20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(5,092)</w:t>
            </w:r>
          </w:p>
        </w:tc>
        <w:tc>
          <w:tcPr>
            <w:tcW w:w="0" w:type="dxa"/>
            <w:vAlign w:val="bottom"/>
          </w:tcPr>
          <w:p>
            <w:pPr>
              <w:spacing w:after="0"/>
              <w:rPr>
                <w:sz w:val="1"/>
                <w:szCs w:val="1"/>
                <w:color w:val="auto"/>
              </w:rPr>
            </w:pPr>
          </w:p>
        </w:tc>
      </w:tr>
      <w:tr>
        <w:trPr>
          <w:trHeight w:val="261"/>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Used in Diluted EPS</w:t>
            </w:r>
          </w:p>
        </w:tc>
        <w:tc>
          <w:tcPr>
            <w:tcW w:w="1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Shares: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25,445,411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22,484,561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23,601,389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Shares Applicable to Unvested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Using the Treasury Stock Method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3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Shares Applicable to Dilutive Effect of</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2025 Notes </w:t>
            </w:r>
            <w:r>
              <w:rPr>
                <w:rFonts w:ascii="Times New Roman" w:cs="Times New Roman" w:eastAsia="Times New Roman" w:hAnsi="Times New Roman"/>
                <w:sz w:val="26"/>
                <w:szCs w:val="26"/>
                <w:color w:val="auto"/>
                <w:vertAlign w:val="superscript"/>
              </w:rPr>
              <w:t>(2)</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25,521,749</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22,484,561</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23,625,369</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22,556,642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jc w:val="both"/>
        <w:ind w:left="380" w:right="79" w:hanging="330"/>
        <w:spacing w:after="0" w:line="217" w:lineRule="auto"/>
        <w:tabs>
          <w:tab w:leader="none" w:pos="3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As applicable, includes interest expense, amortization of discount, amortization of fees, and other changes in net income or loss that would result from the assumed conversion of the 2025 Convertible Senior Notes effective January 1, 2022 due to the implementation of ASU 2020-06 which requires presentation on an if-converted basis. For the three and nine months ended September 30, 2024, a total of $0.5 million and $1.6 million of interest was not included, respectively, as the impact of the 2025 Notes, if-converted, would have been antidilutive to net income attributable to common stockholders for the respective periods. </w:t>
      </w:r>
      <w:r>
        <w:rPr>
          <w:rFonts w:ascii="Times New Roman" w:cs="Times New Roman" w:eastAsia="Times New Roman" w:hAnsi="Times New Roman"/>
          <w:sz w:val="14"/>
          <w:szCs w:val="14"/>
          <w:color w:val="212529"/>
        </w:rPr>
        <w:t>For the three and nine months ended September 30, 2023, a total of $0.5 million and $1.6 million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59"/>
        <w:spacing w:after="0" w:line="226" w:lineRule="auto"/>
        <w:rPr>
          <w:sz w:val="20"/>
          <w:szCs w:val="20"/>
          <w:color w:val="auto"/>
        </w:rPr>
      </w:pPr>
      <w:r>
        <w:rPr>
          <w:rFonts w:ascii="Times New Roman" w:cs="Times New Roman" w:eastAsia="Times New Roman" w:hAnsi="Times New Roman"/>
          <w:sz w:val="14"/>
          <w:szCs w:val="14"/>
          <w:color w:val="212529"/>
        </w:rPr>
        <w:t>of interest was not included, respectively, as the impact of the 2025 Notes, if-converted, would have been antidilutive to net income (loss) attributable to common stockholders for the respective periods.</w:t>
      </w:r>
    </w:p>
    <w:p>
      <w:pPr>
        <w:spacing w:after="0" w:line="1" w:lineRule="exact"/>
        <w:rPr>
          <w:sz w:val="20"/>
          <w:szCs w:val="20"/>
          <w:color w:val="auto"/>
        </w:rPr>
      </w:pPr>
    </w:p>
    <w:p>
      <w:pPr>
        <w:jc w:val="both"/>
        <w:ind w:left="380" w:right="79" w:hanging="330"/>
        <w:spacing w:after="0"/>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 total of 3.7 million and 3.6 million shares representing the dilutive impact of the 2025 Notes, upon adoption of ASU 2020-06 effective January 1, 2022, were not included in the computation of diluted net income per share attributable to common stockholders for the three and nine months ended September 30, 2024, respectively, because they were antidilutive to net income attributable to common stockholders for the respective periods. A total of 3.4 million and 3.3 million shares, representing the dilutive impact of the 2025 Notes, upon adoption of ASU 2020-06 effective January 1, 2022, were not included in the computation of diluted net income (loss) attributable to common stockholders for each of the three and nine month periods ended September 30, 2023, respectively, because they were antidilutive to net income (loss) attributable to common stockholders for the respective periods.</w:t>
      </w:r>
    </w:p>
    <w:p>
      <w:pPr>
        <w:spacing w:after="0" w:line="19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There were 76,338 and 23,980 potentially dilutive shares related to the Company’s restricted stock for the three and nine months ended September 30, 2024. There were no potentially dilutive securities for the three and nine months ended September 30, 2023 related to the Company’s stock options and restricted stock. The effect of 36,307 dilutive restricted stock units were not included for the nine months ended September 30, 2023, as the effect would be anti-dilutive.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SHARE REPURCHASES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REPURCHASE PROGRAM</w:t>
      </w:r>
    </w:p>
    <w:p>
      <w:pPr>
        <w:spacing w:after="0" w:line="227"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In February 2020, the Company’s Board approved a $10.0 million common stock repurchase program (the “$10.0 Million Common Stock Repurchase Program”). During the year ended December 31, 2020, the Company repurchased 265,695 shares of its common stock on the open market for a total cost of $4.1 million, or an average price per share of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average price per share of $19.15. No repurchases were made pursuant to the $10.0 Million Common Stock Repurchase Program during the year ended December 31, 2023.</w:t>
      </w:r>
    </w:p>
    <w:p>
      <w:pPr>
        <w:spacing w:after="0" w:line="192"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On February 16, 2023, the Company’s Board of Directors approved a common stock repurchase program (the “February 2023 $5.0 Million Common Stock Repurchase Program”), which eliminated the unutilized portion of the $10.0 Million Common Stock Repurchase Program. Pursuant to the February 2023 $5.0 Million Common Stock Repurchase Program, the Company was authorized to repurchase shares of its common stock for a total purchase price of up to $5.0 million. During the three months ended March 31, 2023, the Company repurchased 303,354 shares of its common stock on the open market for a total cost of $5.0 million, or an average price per share of $16.48, pursuant to the February 2023 $5.0 Million Common Stock Repurchase Program. Accordingly, as of March 31, 2023, no shares of the Company’s common stock remained available for repurchase under the February 2023 $5.0 Million Common Stock Repurchase Program.</w:t>
      </w:r>
    </w:p>
    <w:p>
      <w:pPr>
        <w:spacing w:after="0" w:line="192"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April 25, 2023, the Company’s Board of Directors approved a common stock repurchase program, (the “April 2023 $5.0 Million Common Stock Repurchase Program”). Pursuant to the April 2023 $5.0 Million Common Stock Repurchase Program, the Company was authorized to repurchase shares of its common stock for a total purchase price of up to $5.0 million. During the year ended December 31, 2023, the Company repurchased 62,015 shares of its common stock on the open market for a total cost of $1.0 million, or an average price per share of $15.72. The April 2023 $5.0 Million Common Stock Repurchase Program was terminated in connection with the establishment of the December 2023 $5.0 Million Common Stock Repurchase Program (hereinafter defined).</w:t>
      </w:r>
    </w:p>
    <w:p>
      <w:pPr>
        <w:spacing w:after="0" w:line="18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December 12, 2023, the Company’s Board of Directors approved a common stock repurchase program, which is expected to be in effect until the approved dollar amount has been used to repurchase shares (the “December 2023 $5.0 Million Common Stock Repurchase Program”). Pursuant to the December 2023 $5.0 Million Common Stock Repurchase Program, the Company may repurchase shares of its common stock for a total purchase price of up to $5.0 million. Shares may be purchased under the December 2023 $5.0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December 2023 $5.0 Million Common Stock Repurchase Program does not obligate the Company to acquire any particular amount of shares of its common stock and may be modified or suspended. During the nine months ended September 30, 2024, the Company repurchased 40,726 shares of its common stock on the open market for a total cost of $0.7 million, or an average price per share of $16.28, pursuant to the December 2023 $5.0 Million Common Stock Repurchase Program, leaving $4.3 million remaining of the December 2023 $5.0 Million Common Stock Repurchase Program as of September 30,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SERIES A PREFERRED STOCK REPURCHASE PROGRAM</w:t>
      </w:r>
    </w:p>
    <w:p>
      <w:pPr>
        <w:spacing w:after="0" w:line="268" w:lineRule="exact"/>
        <w:rPr>
          <w:sz w:val="20"/>
          <w:szCs w:val="20"/>
          <w:color w:val="auto"/>
        </w:rPr>
      </w:pPr>
    </w:p>
    <w:p>
      <w:pPr>
        <w:jc w:val="both"/>
        <w:ind w:left="60" w:right="100" w:firstLine="441"/>
        <w:spacing w:after="0" w:line="253" w:lineRule="auto"/>
        <w:rPr>
          <w:sz w:val="20"/>
          <w:szCs w:val="20"/>
          <w:color w:val="auto"/>
        </w:rPr>
      </w:pPr>
      <w:r>
        <w:rPr>
          <w:rFonts w:ascii="Times New Roman" w:cs="Times New Roman" w:eastAsia="Times New Roman" w:hAnsi="Times New Roman"/>
          <w:sz w:val="18"/>
          <w:szCs w:val="18"/>
          <w:color w:val="auto"/>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The Company did not purchase any shares of its Series A Preferred Stock under the Series A Preferred Stock Repurchase Program during the nine months ended September 30, 2024. During the nine months ended September 30, 2023, the Company repurchased 6,794 shares of Series A Preferred Stock on the open market for a total cost of $0.1 million, or an average price per share of $18.55.</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the Company’s outstanding indebtedness, at face value,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Wtd. Avg. Rate as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September 30,</w:t>
            </w:r>
          </w:p>
        </w:tc>
        <w:tc>
          <w:tcPr>
            <w:tcW w:w="0" w:type="dxa"/>
            <w:vAlign w:val="bottom"/>
          </w:tcPr>
          <w:p>
            <w:pPr>
              <w:spacing w:after="0"/>
              <w:rPr>
                <w:sz w:val="1"/>
                <w:szCs w:val="1"/>
                <w:color w:val="auto"/>
              </w:rPr>
            </w:pPr>
          </w:p>
        </w:tc>
      </w:tr>
      <w:tr>
        <w:trPr>
          <w:trHeight w:val="238"/>
        </w:trPr>
        <w:tc>
          <w:tcPr>
            <w:tcW w:w="22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Face Value Debt</w:t>
            </w:r>
          </w:p>
        </w:tc>
        <w:tc>
          <w:tcPr>
            <w:tcW w:w="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2"/>
        </w:trPr>
        <w:tc>
          <w:tcPr>
            <w:tcW w:w="2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Credit Facility </w:t>
            </w:r>
            <w:r>
              <w:rPr>
                <w:rFonts w:ascii="Times New Roman" w:cs="Times New Roman" w:eastAsia="Times New Roman" w:hAnsi="Times New Roman"/>
                <w:sz w:val="26"/>
                <w:szCs w:val="26"/>
                <w:color w:val="auto"/>
                <w:vertAlign w:val="superscript"/>
              </w:rPr>
              <w:t>(1)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January 2027</w:t>
            </w:r>
          </w:p>
        </w:tc>
        <w:tc>
          <w:tcPr>
            <w:tcW w:w="136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6"/>
                <w:szCs w:val="16"/>
                <w:color w:val="auto"/>
              </w:rPr>
              <w:t>SOFR + 0.10% +</w:t>
            </w:r>
          </w:p>
        </w:tc>
        <w:tc>
          <w:tcPr>
            <w:tcW w:w="20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28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 - 2.20%]</w:t>
            </w:r>
          </w:p>
        </w:tc>
        <w:tc>
          <w:tcPr>
            <w:tcW w:w="20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2026 Term Loan </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tcPr>
          <w:p>
            <w:pPr>
              <w:spacing w:after="0"/>
              <w:rPr>
                <w:sz w:val="16"/>
                <w:szCs w:val="16"/>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March 2026</w:t>
            </w: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SOFR + 0.10% +</w:t>
            </w:r>
          </w:p>
        </w:tc>
        <w:tc>
          <w:tcPr>
            <w:tcW w:w="14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 - 2.20%]</w:t>
            </w:r>
          </w:p>
        </w:tc>
        <w:tc>
          <w:tcPr>
            <w:tcW w:w="2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2027 Term Loan </w:t>
            </w:r>
            <w:r>
              <w:rPr>
                <w:rFonts w:ascii="Times New Roman" w:cs="Times New Roman" w:eastAsia="Times New Roman" w:hAnsi="Times New Roman"/>
                <w:sz w:val="26"/>
                <w:szCs w:val="26"/>
                <w:color w:val="auto"/>
                <w:vertAlign w:val="superscript"/>
              </w:rPr>
              <w:t>(3)</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6"/>
                <w:szCs w:val="16"/>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January 2027</w:t>
            </w: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SOFR + 0.10% +</w:t>
            </w:r>
          </w:p>
        </w:tc>
        <w:tc>
          <w:tcPr>
            <w:tcW w:w="14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 - 2.20%]</w:t>
            </w:r>
          </w:p>
        </w:tc>
        <w:tc>
          <w:tcPr>
            <w:tcW w:w="20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2028 Term Loan </w:t>
            </w:r>
            <w:r>
              <w:rPr>
                <w:rFonts w:ascii="Times New Roman" w:cs="Times New Roman" w:eastAsia="Times New Roman" w:hAnsi="Times New Roman"/>
                <w:sz w:val="26"/>
                <w:szCs w:val="26"/>
                <w:color w:val="auto"/>
                <w:vertAlign w:val="superscript"/>
              </w:rPr>
              <w:t>(4)</w:t>
            </w:r>
          </w:p>
        </w:tc>
        <w:tc>
          <w:tcPr>
            <w:tcW w:w="1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6"/>
                <w:szCs w:val="16"/>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January 2028</w:t>
            </w: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SOFR + 0.10% +</w:t>
            </w:r>
          </w:p>
        </w:tc>
        <w:tc>
          <w:tcPr>
            <w:tcW w:w="14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2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[1.20% - 2.15%]</w:t>
            </w:r>
          </w:p>
        </w:tc>
        <w:tc>
          <w:tcPr>
            <w:tcW w:w="2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2029 Term Loan </w:t>
            </w:r>
            <w:r>
              <w:rPr>
                <w:rFonts w:ascii="Times New Roman" w:cs="Times New Roman" w:eastAsia="Times New Roman" w:hAnsi="Times New Roman"/>
                <w:sz w:val="26"/>
                <w:szCs w:val="26"/>
                <w:color w:val="auto"/>
                <w:vertAlign w:val="superscript"/>
              </w:rPr>
              <w:t>(5)</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6"/>
                <w:szCs w:val="16"/>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2029</w:t>
            </w:r>
          </w:p>
        </w:tc>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SOFR + 0.10% +</w:t>
            </w:r>
          </w:p>
        </w:tc>
        <w:tc>
          <w:tcPr>
            <w:tcW w:w="14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2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[1.20% - 2.15%]</w:t>
            </w:r>
          </w:p>
        </w:tc>
        <w:tc>
          <w:tcPr>
            <w:tcW w:w="20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3.875% Convertible Senior Notes</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2025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51,034</w:t>
            </w:r>
          </w:p>
        </w:tc>
        <w:tc>
          <w:tcPr>
            <w:tcW w:w="2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2025</w:t>
            </w:r>
          </w:p>
        </w:tc>
        <w:tc>
          <w:tcPr>
            <w:tcW w:w="136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3.875%</w:t>
            </w:r>
          </w:p>
        </w:tc>
        <w:tc>
          <w:tcPr>
            <w:tcW w:w="200" w:type="dxa"/>
            <w:vAlign w:val="bottom"/>
          </w:tcPr>
          <w:p>
            <w:pPr>
              <w:spacing w:after="0"/>
              <w:rPr>
                <w:sz w:val="20"/>
                <w:szCs w:val="20"/>
                <w:color w:val="auto"/>
              </w:rPr>
            </w:pPr>
          </w:p>
        </w:tc>
        <w:tc>
          <w:tcPr>
            <w:tcW w:w="14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August 2026</w:t>
            </w:r>
          </w:p>
        </w:tc>
        <w:tc>
          <w:tcPr>
            <w:tcW w:w="136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4.060%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Face Value Debt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528,834</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120" w:hanging="330"/>
        <w:spacing w:after="0" w:line="202"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Prior to September 30, 2024, the Company utilized interest rate swaps on $150.0 million of the Credit Facility balance to fix SOFR and achieve a weighted average fixed swap rate of 3.47% plus the 10 bps SOFR adjustment plus the applicable spread. Effective September 30, 2024, the Company redesignated $100.0 million of interest rate swaps to the 2029 Term Loan. Accordingly, as of September 30, 2024, the Company utilized interest rate swaps on $50.0 million of the Credit Facility balance to fix SOFR and achieve a weighted average fixed swap rate of 3.85% plus the 10 bps SOFR adjustment plus the applicable spread.</w:t>
      </w:r>
    </w:p>
    <w:p>
      <w:pPr>
        <w:spacing w:after="0" w:line="3" w:lineRule="exact"/>
        <w:rPr>
          <w:rFonts w:ascii="Times New Roman" w:cs="Times New Roman" w:eastAsia="Times New Roman" w:hAnsi="Times New Roman"/>
          <w:sz w:val="22"/>
          <w:szCs w:val="22"/>
          <w:color w:val="auto"/>
          <w:vertAlign w:val="superscript"/>
        </w:rPr>
      </w:pPr>
    </w:p>
    <w:p>
      <w:pPr>
        <w:ind w:left="380" w:right="100" w:hanging="330"/>
        <w:spacing w:after="0" w:line="182" w:lineRule="auto"/>
        <w:tabs>
          <w:tab w:leader="none" w:pos="445"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$65.0 million 2026 Term Loan balance to fix SOFR and achieve a weighted average fixed swap rate of 1.27% plus the 10 bps SOFR adjustment plus the applicable spread.</w:t>
      </w:r>
    </w:p>
    <w:p>
      <w:pPr>
        <w:ind w:left="380" w:right="120" w:hanging="330"/>
        <w:spacing w:after="0" w:line="182" w:lineRule="auto"/>
        <w:tabs>
          <w:tab w:leader="none" w:pos="38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$100.0 million 2027 Term Loan balance to fix SOFR and achieve a fixed swap rate of 1.35% plus the 10 bps SOFR adjustment plus the applicable spread.</w:t>
      </w:r>
    </w:p>
    <w:p>
      <w:pPr>
        <w:ind w:left="380" w:right="120" w:hanging="330"/>
        <w:spacing w:after="0" w:line="182" w:lineRule="auto"/>
        <w:tabs>
          <w:tab w:leader="none" w:pos="38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$100.0 million 2028 Term Loan balance to fix SOFR and achieve a weighted average fixed swap rate of 3.78% plus the 10 bps SOFR adjustment plus the applicable spread.</w:t>
      </w:r>
    </w:p>
    <w:p>
      <w:pPr>
        <w:ind w:left="380" w:right="120" w:hanging="330"/>
        <w:spacing w:after="0" w:line="185"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Company utilized interest rate swaps on the $100.0 million 2029 Term Loan balance to fix SOFR and achieve a weighted average fixed swap rate of 3.28% plus the 10 bps SOFR adjustment plus the applicable spread.</w:t>
      </w:r>
    </w:p>
    <w:p>
      <w:pPr>
        <w:spacing w:after="0" w:line="167" w:lineRule="exact"/>
        <w:rPr>
          <w:sz w:val="20"/>
          <w:szCs w:val="20"/>
          <w:color w:val="auto"/>
        </w:rPr>
      </w:pPr>
    </w:p>
    <w:p>
      <w:pPr>
        <w:jc w:val="both"/>
        <w:ind w:left="60" w:right="10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The Credit Facility, with Bank of Montreal (“BMO”) as the administrative agent for the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Amendment and the Eighth Amendment, both as defined below, The Huntington National Bank, PNC Bank, National Association, and Regions Bank, were added as lenders to the Company’s Credit Facility.</w:t>
      </w:r>
    </w:p>
    <w:p>
      <w:pPr>
        <w:sectPr>
          <w:pgSz w:w="11900" w:h="16838" w:orient="portrait"/>
          <w:cols w:equalWidth="0" w:num="1">
            <w:col w:w="9060"/>
          </w:cols>
          <w:pgMar w:left="144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SOFR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spacing w:after="0" w:line="192"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July 1, 2020, the Company entered into the fourth amendment to the 2017 Amended Credit Facility (the “July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2020 Revolver Amendment”) whereby the tangible net worth covenant was adjusted to be more reflective of market terms.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July 2020 Revolver Amendment was effective as of March 31, 2020.</w:t>
      </w:r>
    </w:p>
    <w:p>
      <w:pPr>
        <w:spacing w:after="0" w:line="207" w:lineRule="exact"/>
        <w:rPr>
          <w:sz w:val="20"/>
          <w:szCs w:val="20"/>
          <w:color w:val="auto"/>
        </w:rPr>
      </w:pPr>
    </w:p>
    <w:p>
      <w:pPr>
        <w:jc w:val="both"/>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On November 12, 2020, the Company entered into the fifth amendment to the 2017 Amended Credit Facility (the “November 2020 Revolver Amendment”). The November 2020 Revolver Amendment provided that, among other things,</w:t>
      </w:r>
    </w:p>
    <w:p>
      <w:pPr>
        <w:jc w:val="both"/>
        <w:ind w:left="60" w:right="59" w:hanging="10"/>
        <w:spacing w:after="0" w:line="253" w:lineRule="auto"/>
        <w:tabs>
          <w:tab w:leader="none" w:pos="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89"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a term loan in the aggregate amount of $50.0 million (the “2026 Term Loan”), (iii) updates to certain financing rate provisions provided therein, and</w:t>
      </w:r>
    </w:p>
    <w:p>
      <w:pPr>
        <w:spacing w:after="0" w:line="3" w:lineRule="exact"/>
        <w:rPr>
          <w:sz w:val="20"/>
          <w:szCs w:val="20"/>
          <w:color w:val="auto"/>
        </w:rPr>
      </w:pPr>
    </w:p>
    <w:p>
      <w:pPr>
        <w:jc w:val="both"/>
        <w:ind w:left="60" w:right="59" w:hanging="10"/>
        <w:spacing w:after="0" w:line="253" w:lineRule="auto"/>
        <w:tabs>
          <w:tab w:leader="none" w:pos="3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six months ended June 30, 2021, the Company exercised the 2026 Term Loan accordion option for $15.0 million, increasing total lender commitments to $65.0 million.</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November 5, 2021, the Company entered into the seventh amendment to the 2017 Amended Credit Facility (the “November 2021 Revolver Amendment”). The November 2021 Revolver Amendment included, among other things, (i) addition of a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spacing w:after="0" w:line="187"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Association (“PNC”) as a Term Loan Lender, as defined in the Credit Agreement, and PNC and Regions Bank as Revolving Lenders, as defined in the Credit Agreement.</w:t>
      </w:r>
    </w:p>
    <w:p>
      <w:pPr>
        <w:spacing w:after="0" w:line="135" w:lineRule="exact"/>
        <w:rPr>
          <w:sz w:val="20"/>
          <w:szCs w:val="20"/>
          <w:color w:val="auto"/>
        </w:rPr>
      </w:pPr>
    </w:p>
    <w:p>
      <w:pPr>
        <w:jc w:val="both"/>
        <w:ind w:left="60" w:right="59" w:firstLine="441"/>
        <w:spacing w:after="0" w:line="312" w:lineRule="auto"/>
        <w:rPr>
          <w:sz w:val="20"/>
          <w:szCs w:val="20"/>
          <w:color w:val="auto"/>
        </w:rPr>
      </w:pPr>
      <w:r>
        <w:rPr>
          <w:rFonts w:ascii="Times New Roman" w:cs="Times New Roman" w:eastAsia="Times New Roman" w:hAnsi="Times New Roman"/>
          <w:sz w:val="17"/>
          <w:szCs w:val="17"/>
          <w:color w:val="auto"/>
        </w:rPr>
        <w:t>On December 20, 2023, the Company entered into the ninth amendment to the 2017 Amended Credit Facility (the “Ninth Amendment”), which revises certain non-monetary limitations as described in more detail in the Ninth Amendment.</w:t>
      </w:r>
    </w:p>
    <w:p>
      <w:pPr>
        <w:spacing w:after="0" w:line="9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At September 30, 2024, the current commitment level under the Credit Facility was $300.0 million, and the undrawn commitment under the Credit Facility totaled $205.0 million. As of September 30, 2024, the Credit Facility had a $95.0 million balance outstanding.</w:t>
      </w:r>
    </w:p>
    <w:p>
      <w:pPr>
        <w:spacing w:after="0" w:line="135"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90"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2029 Term Loan. </w:t>
      </w:r>
      <w:r>
        <w:rPr>
          <w:rFonts w:ascii="Times New Roman" w:cs="Times New Roman" w:eastAsia="Times New Roman" w:hAnsi="Times New Roman"/>
          <w:sz w:val="18"/>
          <w:szCs w:val="18"/>
          <w:color w:val="auto"/>
        </w:rPr>
        <w:t>On September 30, 2024, the Company and certain subsidiaries of the Company entered into a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KeyBank National Association, as administrative agent, and certain other lenders named therein, for a term loan (the “2029 Term Loan”) in an aggregate principal amount of $100.0 million with a maturity of five years. The 2029 Term Loan bears interest at SOFR plus a spread based on the Company’s leverage ratio. The Company applied existing SOFR swap agreements, previously used to fix the interest rate on $100.0 million of borrowings under the Company’s revolving credit facility, to the 2029 Term Loan resulting in an initial effective fixed interest rate on the 2029 Term Loan of 4.68%.</w:t>
      </w:r>
    </w:p>
    <w:p>
      <w:pPr>
        <w:spacing w:after="0" w:line="156"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Mortgage Notes Payable</w:t>
      </w:r>
      <w:r>
        <w:rPr>
          <w:rFonts w:ascii="Times New Roman" w:cs="Times New Roman" w:eastAsia="Times New Roman" w:hAnsi="Times New Roman"/>
          <w:sz w:val="18"/>
          <w:szCs w:val="18"/>
          <w:color w:val="auto"/>
        </w:rPr>
        <w:t>. On March 3, 2022, in connection with the acquisition of Price Plaza Shopping Center,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assumed an existing $17.8 million secured fixed-rate mortgage note payable, which bears interest at a fixed rate of 4.06% and matures in August 2026.</w:t>
      </w:r>
    </w:p>
    <w:p>
      <w:pPr>
        <w:spacing w:after="0" w:line="173"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Convertible Debt</w:t>
      </w:r>
      <w:r>
        <w:rPr>
          <w:rFonts w:ascii="Times New Roman" w:cs="Times New Roman" w:eastAsia="Times New Roman" w:hAnsi="Times New Roman"/>
          <w:sz w:val="18"/>
          <w:szCs w:val="18"/>
          <w:color w:val="auto"/>
        </w:rPr>
        <w:t>. The Company had an initial aggregate principal amount of $75.0 million of 3.875%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(the “2025 Notes”). During the year ended December 31, 2020, the Company repurchased $12.5 million aggregate principal amount of 2025 Notes at a $2.6 million discount, resulting in a gain on extinguishment of debt of $1.1 million. During the year ended December 31, 2021, the Company repurchased $11.4 million aggregate principal amount of 2025 Notes at a $1.6 million premium, resulting in a loss on extinguishment of debt of $2.9 million. Following these repurchases, $51.0 million aggregate principal amount of the 2025 Notes remains outstanding at September 30, 2024.</w:t>
      </w:r>
    </w:p>
    <w:p>
      <w:pPr>
        <w:spacing w:after="0" w:line="184"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February 16, 2023, the Company’s Board of Directors approved a 2025 Notes repurchase program, which is expected to be in effect until the approved dollar amount has been used to repurchase 2025 Notes (the “2025 Notes Repurchase Program”). Pursuant to the 2025 Notes Repurchase Program, the Company may repurchase, in one or more transactions, 2025 Notes in the aggregate principal amount of not more than $4.74 million. The 2025 Notes Repurchase Program does not obligate the Company to acquire any particular amount of 2025 Notes and may be modified or suspended. The Company was not active under the 2025 Notes Repurchase Program during the nine months ended September 30, 2024 and 2023.</w:t>
      </w:r>
    </w:p>
    <w:p>
      <w:pPr>
        <w:spacing w:after="0" w:line="18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third quarter 2024 dividend, the conversion rate is equal to 71.3007 shares of common stock for each $1,000 principal amount of 2025 Notes, which represents an adjusted conversion price of $14.03 per share of common stock. At the maturity date, the Company is required to settle the 2025 Notes in cash. Should certain corporate transactions or events occur prior to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stated maturity date, the Company will increase the conversion rate for a holder that elects to convert its 2025 Notes in connection with such corporate transaction or event.</w:t>
      </w:r>
    </w:p>
    <w:p>
      <w:pPr>
        <w:spacing w:after="0" w:line="162"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In the event a holder surrenders its 2025 Notes for conversion, the Company may, at its election, settle the conversion in cash, shares of the Company’s common stock, or a combination of cash and shares of the Company’s common stock. The Company’s ultimate election regarding settlement of 2025 Notes upon any conversion thereof will be made based on a variety of factors, including but not limited to economic and market conditions, and the Company’s liquidity. At time of issuance, in accordance with U.S. GAAP, the 2025 Notes were accounted for as a liability with a separate equity component recorded for the conversion option. The equity component was eliminated on January 1, 2022 with the 2025 Notes Adjustment.</w:t>
      </w:r>
    </w:p>
    <w:p>
      <w:pPr>
        <w:spacing w:after="0" w:line="192"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As of September 30, 2024, the unamortized debt discount of our 2025 Notes was $0.1 million, which represents the cash component of the discount.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28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2026 Term Loan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Term Loan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2028 Term Loan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Term Loan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3.875% Convertible Senior Notes,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of Discount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50,949</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Note Payable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Financing Costs, net of</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526,838</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495,370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Payments applicable to reduction of principal amounts as of September 30, 2024 will be required as follows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660" w:type="dxa"/>
            <w:vAlign w:val="bottom"/>
          </w:tcPr>
          <w:p>
            <w:pPr>
              <w:spacing w:after="0"/>
              <w:rPr>
                <w:sz w:val="20"/>
                <w:szCs w:val="20"/>
                <w:color w:val="auto"/>
              </w:rPr>
            </w:pPr>
          </w:p>
        </w:tc>
        <w:tc>
          <w:tcPr>
            <w:tcW w:w="242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51,034</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82,800</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66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528,834</w:t>
            </w:r>
          </w:p>
        </w:tc>
      </w:tr>
      <w:tr>
        <w:trPr>
          <w:trHeight w:val="20"/>
        </w:trPr>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value of long-term debt as of September 30, 2024 consisted of the following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Face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right="1420"/>
        <w:spacing w:after="0" w:line="263" w:lineRule="auto"/>
        <w:rPr>
          <w:sz w:val="20"/>
          <w:szCs w:val="20"/>
          <w:color w:val="auto"/>
        </w:rPr>
      </w:pPr>
      <w:r>
        <w:rPr>
          <w:rFonts w:ascii="Times New Roman" w:cs="Times New Roman" w:eastAsia="Times New Roman" w:hAnsi="Times New Roman"/>
          <w:sz w:val="18"/>
          <w:szCs w:val="18"/>
          <w:color w:val="auto"/>
        </w:rPr>
        <w:t>Unamortized Discount on Convertible Debt Financing Costs, net of Accumulated Amortization 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-285750</wp:posOffset>
            </wp:positionV>
            <wp:extent cx="56489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720" w:type="dxa"/>
            <w:vAlign w:val="bottom"/>
          </w:tcPr>
          <w:p>
            <w:pPr>
              <w:jc w:val="right"/>
              <w:ind w:right="5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528,834</w:t>
            </w:r>
          </w:p>
        </w:tc>
      </w:tr>
      <w:tr>
        <w:trPr>
          <w:trHeight w:val="216"/>
        </w:trPr>
        <w:tc>
          <w:tcPr>
            <w:tcW w:w="7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7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10"/>
        </w:trPr>
        <w:tc>
          <w:tcPr>
            <w:tcW w:w="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526,838</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40" w:space="720"/>
            <w:col w:w="3159"/>
          </w:cols>
          <w:pgMar w:left="1440" w:top="513" w:right="144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 addition to the $1.9 million of financing costs, net of accumulated amortization included in the table above, as of September 30, 2024, the Company also had financing costs, net of accumulated amortization related to the Credit Facility of $1.3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7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2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22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r>
      <w:tr>
        <w:trPr>
          <w:trHeight w:val="198"/>
        </w:trPr>
        <w:tc>
          <w:tcPr>
            <w:tcW w:w="26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Deferred</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Costs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198"/>
        </w:trPr>
        <w:tc>
          <w:tcPr>
            <w:tcW w:w="26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Discount on</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9"/>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16,161</w:t>
            </w:r>
          </w:p>
        </w:tc>
      </w:tr>
      <w:tr>
        <w:trPr>
          <w:trHeight w:val="197"/>
        </w:trPr>
        <w:tc>
          <w:tcPr>
            <w:tcW w:w="2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26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Total Interest Paid </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15,178</w:t>
            </w:r>
          </w:p>
        </w:tc>
      </w:tr>
      <w:tr>
        <w:trPr>
          <w:trHeight w:val="20"/>
        </w:trPr>
        <w:tc>
          <w:tcPr>
            <w:tcW w:w="2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r>
    </w:tbl>
    <w:p>
      <w:pPr>
        <w:spacing w:after="0" w:line="53" w:lineRule="exact"/>
        <w:rPr>
          <w:sz w:val="20"/>
          <w:szCs w:val="20"/>
          <w:color w:val="auto"/>
        </w:rPr>
      </w:pPr>
    </w:p>
    <w:p>
      <w:pPr>
        <w:ind w:left="380" w:right="79" w:hanging="330"/>
        <w:spacing w:after="0" w:line="246" w:lineRule="auto"/>
        <w:tabs>
          <w:tab w:leader="none" w:pos="3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of capitalized interest of $0.1 million during the three and nine months ended September 30, 2024 and capitalized interest of $0.1 million and $0.2 million during the three and nine months ended September 30, 2023, respectively.</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September 30, 2024 and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INTEREST RATE SWAPS</w:t>
      </w:r>
    </w:p>
    <w:p>
      <w:pPr>
        <w:spacing w:after="0" w:line="216"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and nine months ended September 30, 2024 and 2023. Accordingly, the changes in fair value on the interest rate swaps have been classified in accumulated other comprehensive income. The fair value of the interest rate swap agreements are included in other assets and accrued and other liabilities, respectively, on the consolidated balance sheets. Information related to the Company’s interest rate swap agreements as of September 30, 2024 is presented below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Hedged Item </w:t>
            </w:r>
            <w:r>
              <w:rPr>
                <w:rFonts w:ascii="Times New Roman" w:cs="Times New Roman" w:eastAsia="Times New Roman" w:hAnsi="Times New Roman"/>
                <w:sz w:val="24"/>
                <w:szCs w:val="24"/>
                <w:b w:val="1"/>
                <w:bCs w:val="1"/>
                <w:color w:val="auto"/>
                <w:vertAlign w:val="superscript"/>
              </w:rPr>
              <w:t>(1)</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18"/>
        </w:trPr>
        <w:tc>
          <w:tcPr>
            <w:tcW w:w="1860" w:type="dxa"/>
            <w:vAlign w:val="bottom"/>
            <w:gridSpan w:val="3"/>
            <w:vMerge w:val="continue"/>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196"/>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3/29/2024</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3/10/2026</w:t>
            </w:r>
          </w:p>
        </w:tc>
        <w:tc>
          <w:tcPr>
            <w:tcW w:w="1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1.44% + 0.10% + applicable spread</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02"/>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3/10/2026</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0.70% + 0.10% + applicable spread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5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3/10/2026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3/10/2031</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3.80% + 0.10% + applicable spread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3/29/2024</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1/31/2027</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1.35% + 0.10% + applicable spread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5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1/31/2027</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1/30/2032</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3.75% + 0.10% + applicable spread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2028</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9/30/2022</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1/31/2028</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3.78% + 0.10% + applicable spread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2028</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9/30/2022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1/31/2028</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3.78% + 0.10% + applicable spread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2028</w:t>
            </w:r>
          </w:p>
        </w:tc>
        <w:tc>
          <w:tcPr>
            <w:tcW w:w="15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1/31/2028</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1/31/2033</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3.81% + 0.10% + applicable spread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2029</w:t>
            </w:r>
          </w:p>
        </w:tc>
        <w:tc>
          <w:tcPr>
            <w:tcW w:w="15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1/31/2030</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3.27% + 0.10% + applicable spread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2029</w:t>
            </w:r>
          </w:p>
        </w:tc>
        <w:tc>
          <w:tcPr>
            <w:tcW w:w="15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1/31/2030</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3.26% + 0.10% + applicable spread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2029</w:t>
            </w:r>
          </w:p>
        </w:tc>
        <w:tc>
          <w:tcPr>
            <w:tcW w:w="15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1/31/2030</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3.36% + 0.10% + applicable spread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0"/>
        </w:trPr>
        <w:tc>
          <w:tcPr>
            <w:tcW w:w="1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2/1/2024</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1/31/2028</w:t>
            </w:r>
          </w:p>
        </w:tc>
        <w:tc>
          <w:tcPr>
            <w:tcW w:w="140" w:type="dxa"/>
            <w:vAlign w:val="bottom"/>
          </w:tcPr>
          <w:p>
            <w:pPr>
              <w:spacing w:after="0"/>
              <w:rPr>
                <w:sz w:val="18"/>
                <w:szCs w:val="18"/>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3.85% + 0.10% + applicable spread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54"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On September 30, 2022, the Company converted its existing interest rate swaps from 1-month LIBOR to SOFR.</w:t>
      </w:r>
    </w:p>
    <w:p>
      <w:pPr>
        <w:ind w:left="380" w:right="79" w:hanging="330"/>
        <w:spacing w:after="0"/>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The Company entered into forward swaps to further fix interest rates through periods that the Company reasonably expects to extend its current term loans.</w:t>
      </w:r>
    </w:p>
    <w:p>
      <w:pPr>
        <w:spacing w:after="0" w:line="44" w:lineRule="exact"/>
        <w:rPr>
          <w:rFonts w:ascii="Times New Roman" w:cs="Times New Roman" w:eastAsia="Times New Roman" w:hAnsi="Times New Roman"/>
          <w:sz w:val="22"/>
          <w:szCs w:val="22"/>
          <w:color w:val="auto"/>
          <w:vertAlign w:val="superscript"/>
        </w:rPr>
      </w:pPr>
    </w:p>
    <w:p>
      <w:pPr>
        <w:ind w:left="380" w:right="79" w:hanging="330"/>
        <w:spacing w:after="0" w:line="180" w:lineRule="auto"/>
        <w:tabs>
          <w:tab w:leader="none" w:pos="3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Prior to September 30, 2024, these interest rate swaps were assigned to the Credit Facility. Effective September 30, 2024, these hedges were redesignated to the 2029 Term Loan.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September 30, 2024, there were no events of default related to the Company’s interest rate swap agreements.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 17. ACCRUED AND OTHER LIABILITIES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100" w:type="dxa"/>
            <w:vAlign w:val="bottom"/>
          </w:tcPr>
          <w:p>
            <w:pPr>
              <w:spacing w:after="0"/>
              <w:rPr>
                <w:sz w:val="24"/>
                <w:szCs w:val="24"/>
                <w:color w:val="auto"/>
              </w:rPr>
            </w:pP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Property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Reserve for Tenant Improvements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Environmental Reserve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 - Interest Rate Swaps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10"/>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Reserve for Tenant Improvements. </w:t>
      </w:r>
      <w:r>
        <w:rPr>
          <w:rFonts w:ascii="Times New Roman" w:cs="Times New Roman" w:eastAsia="Times New Roman" w:hAnsi="Times New Roman"/>
          <w:sz w:val="18"/>
          <w:szCs w:val="18"/>
          <w:color w:val="auto"/>
        </w:rPr>
        <w:t>In connection with recent acquisitions, the Company received an aggregate of $6.4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the sellers of certain properties for tenant improvement allowances, leasing commissions and other capital improvements. These amounts are included in accrued and other liabilities on the consolidated balance sheets. Through September 30, 2024, payments totaling $5.0 million were made leaving a remaining reserve for tenant improvements of $1.4 million.</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 18. DEFERRED REVENUE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Deferred revenue consisted of the following (in thousands):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6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r>
      <w:tr>
        <w:trPr>
          <w:trHeight w:val="216"/>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Reserve from Commercial Loans and Investments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Contributions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09"/>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Interest Reserve from Commercial Loans and Investments</w:t>
      </w:r>
      <w:r>
        <w:rPr>
          <w:rFonts w:ascii="Times New Roman" w:cs="Times New Roman" w:eastAsia="Times New Roman" w:hAnsi="Times New Roman"/>
          <w:sz w:val="18"/>
          <w:szCs w:val="18"/>
          <w:color w:val="auto"/>
        </w:rPr>
        <w:t>. In connection with four of the Company’s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investments, the borrower has deposited interest and/or real estate tax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19.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STOCK-BASED COMPENSATION</w:t>
      </w:r>
    </w:p>
    <w:p>
      <w:pPr>
        <w:spacing w:after="0" w:line="229"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A summary of share activity for all equity classified stock compensation during the nine months ended September 30, 2024 is presented below.</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Exercised</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Expired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1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at 1/1/2024</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at 9/30/2024</w:t>
            </w:r>
          </w:p>
        </w:tc>
        <w:tc>
          <w:tcPr>
            <w:tcW w:w="0" w:type="dxa"/>
            <w:vAlign w:val="bottom"/>
          </w:tcPr>
          <w:p>
            <w:pPr>
              <w:spacing w:after="0"/>
              <w:rPr>
                <w:sz w:val="1"/>
                <w:szCs w:val="1"/>
                <w:color w:val="auto"/>
              </w:rPr>
            </w:pPr>
          </w:p>
        </w:tc>
      </w:tr>
      <w:tr>
        <w:trPr>
          <w:trHeight w:val="185"/>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800" w:type="dxa"/>
            <w:vAlign w:val="bottom"/>
            <w:tcBorders>
              <w:top w:val="single" w:sz="8" w:color="auto"/>
              <w:right w:val="single" w:sz="8" w:color="CCEEFF"/>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 Market Condition Vesting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237,375</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100,391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(85,938)</w:t>
            </w:r>
          </w:p>
        </w:tc>
        <w:tc>
          <w:tcPr>
            <w:tcW w:w="78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(43,825)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208,003</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Classified - Three Year Vest Restricted</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216,357</w:t>
            </w:r>
          </w:p>
        </w:tc>
        <w:tc>
          <w:tcPr>
            <w:tcW w:w="3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107,191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(75,434)</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(51,045)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197,069</w:t>
            </w: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Shares</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gridSpan w:val="2"/>
            <w:vMerge w:val="continue"/>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453,732</w:t>
            </w:r>
          </w:p>
        </w:tc>
        <w:tc>
          <w:tcPr>
            <w:tcW w:w="32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207,582</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(161,372)</w:t>
            </w:r>
          </w:p>
        </w:tc>
        <w:tc>
          <w:tcPr>
            <w:tcW w:w="78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(94,870)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405,072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recognized in the financial statements for stock-based compensation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3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Pr>
          <w:p>
            <w:pPr>
              <w:spacing w:after="0"/>
              <w:rPr>
                <w:sz w:val="16"/>
                <w:szCs w:val="16"/>
                <w:color w:val="auto"/>
              </w:rPr>
            </w:pPr>
          </w:p>
        </w:tc>
        <w:tc>
          <w:tcPr>
            <w:tcW w:w="13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38"/>
        </w:trPr>
        <w:tc>
          <w:tcPr>
            <w:tcW w:w="38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78"/>
        </w:trPr>
        <w:tc>
          <w:tcPr>
            <w:tcW w:w="38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Cost of Share-Based Plans Charged Against</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21"/>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EQUITY-CLASSIFIED STOCK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 – Peer Group Market Condition Vesting</w:t>
      </w:r>
    </w:p>
    <w:p>
      <w:pPr>
        <w:spacing w:after="0" w:line="121"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100,391 performance shares during the nine months ended September 30, 2024.</w:t>
      </w:r>
    </w:p>
    <w:p>
      <w:pPr>
        <w:spacing w:after="0" w:line="187"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8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$2.0 million of unrecognized compensation cost, adjusted for estimated forfeitures, related to the non-vested performance share awards, which will be recognized over a remaining weighted average period of 1.8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nine months ended September 30, 2024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Wtd. Avg. Fair</w:t>
            </w:r>
          </w:p>
        </w:tc>
      </w:tr>
      <w:tr>
        <w:trPr>
          <w:trHeight w:val="23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Shares With Market Conditions</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r>
      <w:tr>
        <w:trPr>
          <w:trHeight w:val="209"/>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(85,938)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0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0"/>
        </w:trPr>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 entirely on the third anniversary of the grant date, or July 1, 2025, provided the grantee is an employee of the Company on that date. In addition, any unvested portion of the restricted shares will vest upon a change in control. The Company granted a total of 107,191 shares of restricted Company common stock during the nine months ended September 30, 2024.</w:t>
      </w:r>
    </w:p>
    <w:p>
      <w:pPr>
        <w:spacing w:after="0" w:line="187"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spacing w:after="0" w:line="17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$2.1 million of unrecognized compensation cost, adjusted for estimated forfeitures, related to the non-vested restricted share awards, which will be recognized over a remaining weighted average period of 1.8 years.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nine months ended September 30, 2024 is presented below:</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Wtd. Avg. Fair</w:t>
            </w:r>
          </w:p>
        </w:tc>
      </w:tr>
      <w:tr>
        <w:trPr>
          <w:trHeight w:val="23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Shares</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216,357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(75,434)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(51,045)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0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197,069</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NON-EMPLOYEE DIRECTOR STOCK COMPENSATION</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last day of the quarter, rounded down to the nearest whole number of shares.</w:t>
      </w:r>
    </w:p>
    <w:p>
      <w:pPr>
        <w:spacing w:after="0" w:line="183"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Each non-employee director serving as of the beginning of each calendar year shall receive an annual award of the Company’s common stock. The value of such award totaled $62,500 and $35,000 for the nine months ended September 30, 2024 and 2023, respectively, (the “Annual Award”). The number of shares awarded is calculated based on the trailing 20-day average price of the Company’s common stock as of the date two business days prior to the date of the award, rounded down to the nearest whole number of shares. Non-employee directors do not receive meeting fees, but do receive additional retainers for service on Board committees, as set forth in the Company’s Non-Employee Director Compensation Policy available on the Company’s website (www.ctoreit.com).</w:t>
      </w:r>
    </w:p>
    <w:p>
      <w:pPr>
        <w:spacing w:after="0" w:line="229" w:lineRule="exact"/>
        <w:rPr>
          <w:sz w:val="20"/>
          <w:szCs w:val="20"/>
          <w:color w:val="auto"/>
        </w:rPr>
      </w:pPr>
    </w:p>
    <w:p>
      <w:pPr>
        <w:jc w:val="both"/>
        <w:ind w:left="60" w:right="59" w:firstLine="441"/>
        <w:spacing w:after="0" w:line="281" w:lineRule="auto"/>
        <w:rPr>
          <w:sz w:val="20"/>
          <w:szCs w:val="20"/>
          <w:color w:val="auto"/>
        </w:rPr>
      </w:pPr>
      <w:r>
        <w:rPr>
          <w:rFonts w:ascii="Times New Roman" w:cs="Times New Roman" w:eastAsia="Times New Roman" w:hAnsi="Times New Roman"/>
          <w:sz w:val="17"/>
          <w:szCs w:val="17"/>
          <w:color w:val="auto"/>
        </w:rPr>
        <w:t>During the nine months ended September 30, 2024 and 2023, the expense recognized for the value of the Company’s common stock received by non-employee directors totaled $0.6 million, or 33,629 shares, and $0.4 million, or 21,247 shares, respectively. The expense recognized includes the Annual Award received during the first quarter of each respective year, which totaled $0.3 million and $0.2 million during the nine months ended September 30, 2024 and 2023, respectively.</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20. INCOME TAXES</w:t>
      </w:r>
    </w:p>
    <w:p>
      <w:pPr>
        <w:spacing w:after="0" w:line="270"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For the taxable year ended December 31, 2023, the Company held a total of two TRSs, each subject to taxation and the separate filing of its corporate income tax returns. As of January 1, 2024, the Company consolidated its TRSs into one TRS subject to taxation and the filing of a single corporate income tax return.</w:t>
      </w:r>
    </w:p>
    <w:p>
      <w:pPr>
        <w:spacing w:after="0" w:line="230"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21. COMMITMENTS AND CONTINGENCIES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 Expenditures</w:t>
      </w:r>
    </w:p>
    <w:p>
      <w:pPr>
        <w:spacing w:after="0" w:line="229" w:lineRule="exact"/>
        <w:rPr>
          <w:sz w:val="20"/>
          <w:szCs w:val="20"/>
          <w:color w:val="auto"/>
        </w:rPr>
      </w:pPr>
    </w:p>
    <w:p>
      <w:pPr>
        <w:jc w:val="both"/>
        <w:ind w:left="60" w:right="59" w:firstLine="492"/>
        <w:spacing w:after="0" w:line="250" w:lineRule="auto"/>
        <w:rPr>
          <w:sz w:val="20"/>
          <w:szCs w:val="20"/>
          <w:color w:val="auto"/>
        </w:rPr>
      </w:pPr>
      <w:r>
        <w:rPr>
          <w:rFonts w:ascii="Times New Roman" w:cs="Times New Roman" w:eastAsia="Times New Roman" w:hAnsi="Times New Roman"/>
          <w:sz w:val="18"/>
          <w:szCs w:val="18"/>
          <w:color w:val="auto"/>
        </w:rPr>
        <w:t>The Company has committed to fund the following capital improvements. The improvements, which are related to several properties, are estimated to be generally completed within twelve months. These commitments, as of September 30, 2024, are as follows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20" w:type="dxa"/>
            <w:vAlign w:val="bottom"/>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Total Commitment </w:t>
            </w:r>
            <w:r>
              <w:rPr>
                <w:rFonts w:ascii="Times New Roman" w:cs="Times New Roman" w:eastAsia="Times New Roman" w:hAnsi="Times New Roman"/>
                <w:sz w:val="24"/>
                <w:szCs w:val="24"/>
                <w:color w:val="auto"/>
                <w:vertAlign w:val="superscript"/>
              </w:rPr>
              <w:t>(1)</w:t>
            </w:r>
          </w:p>
        </w:tc>
        <w:tc>
          <w:tcPr>
            <w:tcW w:w="4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Funded</w:t>
            </w:r>
          </w:p>
        </w:tc>
        <w:tc>
          <w:tcPr>
            <w:tcW w:w="4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Commitment</w:t>
            </w:r>
          </w:p>
        </w:tc>
        <w:tc>
          <w:tcPr>
            <w:tcW w:w="4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28" w:lineRule="exact"/>
        <w:rPr>
          <w:sz w:val="20"/>
          <w:szCs w:val="20"/>
          <w:color w:val="auto"/>
        </w:rPr>
      </w:pPr>
    </w:p>
    <w:p>
      <w:pPr>
        <w:ind w:left="340" w:hanging="290"/>
        <w:spacing w:after="0"/>
        <w:tabs>
          <w:tab w:leader="none" w:pos="3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Commitment includes tenant improvements, leasing commissions, rebranding, facility expansion and other capital improvements.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22. BUSINESS SEGMENT DATA</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 operates in four primary business segments: income properties, management services, commercial loans and investments, and real estate operations. Our income property operations consist of income-producing properties, and our business plan is focused on investing in additional income-producing properties. Our income property operations accounted for 89.3% and 89.7% of our identifiable assets as of September 30, 2024 and December 31, 2023, and 89.0% and 88.8% of our consolidated revenues for the nine months ended September 30, 2024 and 2023, respectively. Our management fee income consists primarily of the management fees earned for the management of PINE as well as from the Portfolio Management Agreement and the Subsurface Management Agreement. As of September 30, 2024, our commercial loans and investments portfolio consisted of four commercial loan investments and two preferred equity investments which are classified as commercial loan investments. Our real estate operations consist of revenues generated from the sale of and royalty income related to our interests in subsurface oil, gas, and mineral rights, and the sale of mitigation credits.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evaluates segment performance based on operating income. The Company’s reportable segments are strategic business units that offer different products. They are managed separately because each segment requires different management techniques, knowledge, and skills.</w:t>
      </w:r>
    </w:p>
    <w:p>
      <w:pPr>
        <w:spacing w:after="0" w:line="176"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and nine months ended September 30, 2024 and 2023 is as follows (in thousands):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6"/>
                <w:szCs w:val="16"/>
                <w:color w:val="auto"/>
              </w:rPr>
            </w:pPr>
          </w:p>
        </w:tc>
        <w:tc>
          <w:tcPr>
            <w:tcW w:w="11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80" w:type="dxa"/>
            <w:vAlign w:val="bottom"/>
          </w:tcPr>
          <w:p>
            <w:pPr>
              <w:spacing w:after="0"/>
              <w:rPr>
                <w:sz w:val="16"/>
                <w:szCs w:val="16"/>
                <w:color w:val="auto"/>
              </w:rPr>
            </w:pPr>
          </w:p>
        </w:tc>
        <w:tc>
          <w:tcPr>
            <w:tcW w:w="13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6"/>
                <w:szCs w:val="16"/>
                <w:color w:val="auto"/>
              </w:rPr>
            </w:pPr>
          </w:p>
        </w:tc>
        <w:tc>
          <w:tcPr>
            <w:tcW w:w="11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38"/>
        </w:trPr>
        <w:tc>
          <w:tcPr>
            <w:tcW w:w="35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Income Properties</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25,183</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79,029</w:t>
            </w:r>
          </w:p>
        </w:tc>
        <w:tc>
          <w:tcPr>
            <w:tcW w:w="20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70,373</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Income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Operations</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28,470</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88,777</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79,234</w:t>
            </w: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Income Properties</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56,399</w:t>
            </w:r>
          </w:p>
        </w:tc>
        <w:tc>
          <w:tcPr>
            <w:tcW w:w="20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Income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Operations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Corporate Expense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Properties</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32,814</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Properties</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138,850</w:t>
            </w: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216,969</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0"/>
        </w:trPr>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192,028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277,192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Identifiable assets of each segment as of September 30, 2024 and December 31, 2023 are as follows (in thousands):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0"/>
        </w:trPr>
        <w:tc>
          <w:tcPr>
            <w:tcW w:w="5420" w:type="dxa"/>
            <w:vAlign w:val="bottom"/>
          </w:tcPr>
          <w:p>
            <w:pPr>
              <w:spacing w:after="0"/>
              <w:rPr>
                <w:sz w:val="18"/>
                <w:szCs w:val="18"/>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20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4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1,049,915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887,345</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62,099</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16"/>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36,486</w:t>
            </w:r>
          </w:p>
        </w:tc>
      </w:tr>
      <w:tr>
        <w:trPr>
          <w:trHeight w:val="21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1,176,124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989,668</w:t>
            </w:r>
          </w:p>
        </w:tc>
      </w:tr>
      <w:tr>
        <w:trPr>
          <w:trHeight w:val="20"/>
        </w:trPr>
        <w:tc>
          <w:tcPr>
            <w:tcW w:w="5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Operating income represents income from operations before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primarily includes the identifiable assets of the Company’s Subsurface Interests and mitigation credits. Corporate and other assets consist primarily of cash and restricted cash, property, plant, and equipment related to the other operations, as well as the general and corporate operations. The management services and real estate operations segments had no capital expenditures during the nine months ended September 30, 2024 or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23. SUBSEQUENT EVENTS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October 24, 2024, the date the consolidated financial statements were issued.</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On October 16, 2024, the Company filed a new shelf registration statement on Form S-3, relating to the registration and potential issuance of its common stock, preferred stock, debt securities, warrants, rights, and units with a maximum aggregate offering price of up to $500.0 million (the “2024 Registration Statement”). As of October 24, 2024, the 2024 Registration Statement had not yet been declared effective by the Securities and Exchange Commission.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firstLine="492"/>
        <w:spacing w:after="0" w:line="252" w:lineRule="auto"/>
        <w:rPr>
          <w:sz w:val="20"/>
          <w:szCs w:val="20"/>
          <w:color w:val="auto"/>
        </w:rPr>
      </w:pPr>
      <w:r>
        <w:rPr>
          <w:rFonts w:ascii="Times New Roman" w:cs="Times New Roman" w:eastAsia="Times New Roman" w:hAnsi="Times New Roman"/>
          <w:sz w:val="18"/>
          <w:szCs w:val="18"/>
          <w:color w:val="auto"/>
        </w:rPr>
        <w:t>Statements contained in this Quarterly Report on Form 10-Q that are not historical facts are forward-looking statements within the meaning of Section 27A of the Securities Act of 1933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4" w:lineRule="exact"/>
        <w:rPr>
          <w:sz w:val="20"/>
          <w:szCs w:val="20"/>
          <w:color w:val="auto"/>
        </w:rPr>
      </w:pP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ownership of commercial real estate that could affect the performance and value of our properties;</w:t>
      </w: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our tenants successfully operating their businesses, and their failure to do so could materially and adversely affect us;</w:t>
      </w: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that traditional retail tenants face from e-commerce retail sales, or the integration of brick and mortar stores with e-commerce retail operators, could adversely affect our business;</w:t>
      </w: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the acquisition of income properties and more established entities or other investors may be able to compete more effectively for acquisition opportunities than we can;</w:t>
      </w:r>
    </w:p>
    <w:p>
      <w:pPr>
        <w:ind w:left="700" w:hanging="20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execute on asset acquisitions or dispositions;</w:t>
      </w:r>
    </w:p>
    <w:p>
      <w:pPr>
        <w:spacing w:after="0" w:line="9"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revenues from our income property portfolio or certain tenants would adversely impact our results of operations and cash flows;</w:t>
      </w:r>
    </w:p>
    <w:p>
      <w:pPr>
        <w:jc w:val="both"/>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various potential conflicts of interest in our relationship with PINE, including that some of our executive officers and/or directors are also officers and/or directors of PINE, which could result in decisions that are not in the best interest of our stockholders;</w:t>
      </w:r>
    </w:p>
    <w:p>
      <w:pPr>
        <w:spacing w:after="0" w:line="1"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downturn in economic conditions could adversely impact our business, particularly with regard to our ability to maintain revenues from our income-producing assets;</w:t>
      </w: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our investment strategy is focused on investing in commercial loans and investments which may involve credit risk or the risk that our borrowers will fail to pay scheduled contractual payments to us when due;</w:t>
      </w: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losses when a borrower defaults on a loan and the value of the underlying collateral is less than the amount due;</w:t>
      </w:r>
    </w:p>
    <w:p>
      <w:pPr>
        <w:ind w:left="700" w:hanging="20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real estate investments are generally illiquid;</w:t>
      </w:r>
    </w:p>
    <w:p>
      <w:pPr>
        <w:spacing w:after="0" w:line="9"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p>
      <w:pPr>
        <w:spacing w:after="0" w:line="1"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unable to obtain debt or equity capital on favorable terms, if at all, or additional borrowings may impact our liquidity or ability to monetize any assets securing such borrowings;</w:t>
      </w: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requires a significant amount of cash, and we may not have sufficient cash flow from our business to service or pay our debt;</w:t>
      </w: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properties could be adversely affected in the event of natural disasters, pandemics, or other significant disruptions;</w:t>
      </w:r>
    </w:p>
    <w:p>
      <w:pPr>
        <w:ind w:left="680" w:right="79" w:hanging="198"/>
        <w:spacing w:after="0" w:line="26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environmental problems which require remediation or the incurrence of significant costs to resolve, which could adversely impact our financial condition, results of operations, and cash flows;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80" w:right="79" w:hanging="198"/>
        <w:spacing w:after="0" w:line="257"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qualified as real estate investment trust (“REIT”) for U.S. federal income tax purposes would cause us to be taxed as a regular corporation, which would substantially reduce funds available for distribution to stockholders;</w:t>
      </w:r>
    </w:p>
    <w:p>
      <w:pPr>
        <w:spacing w:after="0" w:line="1"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REIT requirements could limit our financial flexibility;</w:t>
      </w:r>
    </w:p>
    <w:p>
      <w:pPr>
        <w:spacing w:after="0" w:line="9"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operating as a REIT;</w:t>
      </w:r>
    </w:p>
    <w:p>
      <w:pPr>
        <w:spacing w:after="0" w:line="9"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consistent with the REIT requirements, and expectations as to timing and amounts of such dividends;</w:t>
      </w:r>
    </w:p>
    <w:p>
      <w:pPr>
        <w:ind w:left="700" w:hanging="209"/>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(the “Board”) to revoke our REIT status without stockholder approval;</w:t>
      </w:r>
    </w:p>
    <w:p>
      <w:pPr>
        <w:spacing w:after="0" w:line="9"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changes in U.S. federal and state income tax laws, including changes to the REIT requirements;</w:t>
      </w:r>
    </w:p>
    <w:p>
      <w:pPr>
        <w:spacing w:after="0" w:line="9"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 including unstable macroeconomic conditions due to, among other things, political unrest and economic uncertainty due to terrorism or war, inflation, rising interest rates and distress in the banking sector; and</w:t>
      </w:r>
    </w:p>
    <w:p>
      <w:pPr>
        <w:spacing w:after="0" w:line="1" w:lineRule="exact"/>
        <w:rPr>
          <w:rFonts w:ascii="Times New Roman" w:cs="Times New Roman" w:eastAsia="Times New Roman" w:hAnsi="Times New Roman"/>
          <w:sz w:val="18"/>
          <w:szCs w:val="18"/>
          <w:color w:val="auto"/>
        </w:rPr>
      </w:pPr>
    </w:p>
    <w:p>
      <w:pPr>
        <w:jc w:val="both"/>
        <w:ind w:left="680" w:right="79" w:hanging="198"/>
        <w:spacing w:after="0" w:line="253"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epidemic or pandemic (such as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 describes the risks and uncertainties that could cause actual results and events to differ materially in “Risk Factors” (Part II, Item 1A of this Quarterly Report on Form 10-Q and Part I, Item 1A of our Annual Report on Form 10-K for the year ended December 31, 2023), “Quantitative and Qualitative Disclosures about Market Risk” (Part I, Item 3 of this Quarterly Report on Form 10-Q), and “Management’s Discussion and Analysis of Financial Conditions and Results of Operations” (Part I, Item 2 of this Quarterly Report on Form 10-Q).</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83" w:lineRule="exact"/>
        <w:rPr>
          <w:sz w:val="20"/>
          <w:szCs w:val="20"/>
          <w:color w:val="auto"/>
        </w:rPr>
      </w:pPr>
    </w:p>
    <w:p>
      <w:pPr>
        <w:jc w:val="both"/>
        <w:ind w:left="60" w:right="59" w:firstLine="441"/>
        <w:spacing w:after="0" w:line="289" w:lineRule="auto"/>
        <w:rPr>
          <w:sz w:val="20"/>
          <w:szCs w:val="20"/>
          <w:color w:val="auto"/>
        </w:rPr>
      </w:pPr>
      <w:r>
        <w:rPr>
          <w:rFonts w:ascii="Times New Roman" w:cs="Times New Roman" w:eastAsia="Times New Roman" w:hAnsi="Times New Roman"/>
          <w:sz w:val="17"/>
          <w:szCs w:val="17"/>
          <w:color w:val="auto"/>
        </w:rPr>
        <w:t>As of September 30, 2024, we own and manage, sometimes utilizing third-party property management companies, 22 commercial real estate properties in seven states in the United States, comprising 4.6 million square feet of gross leasable space. In addition to our income property portfolio, as of September 30, 2024, our business included the following:</w:t>
      </w:r>
    </w:p>
    <w:p>
      <w:pPr>
        <w:spacing w:after="0" w:line="158"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Management Services: A fee-based management business that is engaged in managing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w:t>
      </w:r>
    </w:p>
    <w:p>
      <w:pPr>
        <w:spacing w:after="0" w:line="180"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Commercial Loans and Investments: A portfolio of four commercial loan investments and two preferred equity investments which are classified as commercial loan investments.</w:t>
      </w:r>
    </w:p>
    <w:p>
      <w:pPr>
        <w:spacing w:after="0" w:line="162"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Real Estate Operations: During the nine months ended September 30, 2024, the Company sold its remaining mitigation credits. These credits were produced by the Company’s formerly owned mitigation bank. During the nine months ended September 30,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87" w:lineRule="exact"/>
        <w:rPr>
          <w:sz w:val="20"/>
          <w:szCs w:val="20"/>
          <w:color w:val="auto"/>
        </w:rPr>
      </w:pPr>
    </w:p>
    <w:p>
      <w:pPr>
        <w:jc w:val="both"/>
        <w:ind w:left="60" w:right="59" w:firstLine="441"/>
        <w:spacing w:after="0" w:line="273" w:lineRule="auto"/>
        <w:rPr>
          <w:sz w:val="20"/>
          <w:szCs w:val="20"/>
          <w:color w:val="auto"/>
        </w:rPr>
      </w:pPr>
      <w:r>
        <w:rPr>
          <w:rFonts w:ascii="Times New Roman" w:cs="Times New Roman" w:eastAsia="Times New Roman" w:hAnsi="Times New Roman"/>
          <w:sz w:val="17"/>
          <w:szCs w:val="17"/>
          <w:color w:val="auto"/>
        </w:rPr>
        <w:t>Investment in PINE: Our business also includes our investment in PINE. As of September 30, 2024, the fair value of our investment totaled $43.0 million, or 15.3%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76"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spacing w:after="0" w:line="188"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During the nine months ended September 30, 2024, the Company sold two income properties for an aggregate sales price of $38.0 million and aggregate gains on sale of $3.8 million. 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9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Our current portfolio of 16 multi-tenant properties generates $85.8 million of revenue from annualized straight-line base lease payments and had a weighted average remaining lease term of 5.0 years as of September 30, 2024. Our current portfolio of 6 single-tenant income properties generates $5.6 million of revenues from annualized straight-line base lease payments and had a weighted average remaining lease term of 5.5 years as of September 30, 2024.</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Total revenue for the three months ended September 30, 2024 is presented in the following summary and indicates the changes as compared to the three months ended September 30,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Borders>
              <w:top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5"/>
              </w:rPr>
              <w:t>$ Variance</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10"/>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09"/>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Total revenue for the three months ended September 30, 2024 increased to $31.8 million, compared to $28.5 million during the three months ended September 30, 2023. The $3.3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increased, which was offset by reduced revenues from our real estate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54" w:lineRule="auto"/>
        <w:rPr>
          <w:sz w:val="20"/>
          <w:szCs w:val="20"/>
          <w:color w:val="auto"/>
        </w:rPr>
      </w:pPr>
      <w:r>
        <w:rPr>
          <w:rFonts w:ascii="Times New Roman" w:cs="Times New Roman" w:eastAsia="Times New Roman" w:hAnsi="Times New Roman"/>
          <w:sz w:val="18"/>
          <w:szCs w:val="18"/>
          <w:color w:val="auto"/>
        </w:rPr>
        <w:t>Revenue and operating income from our income property operations totaled $28.5 million and $20.7 million, respectively, during the three months ended September 30, 2024, compared to total revenue and operating income of $25.2 million and $18.1 million, respectively, for the three months ended September 30, 2023. The direct costs of revenues for our income property operations totaled $7.8 million and $7.1 million for the three months ended September 30, 2024 and 2023, respectively. The increase in revenues of $3.3 million, or 13.3%, during the three months ended September 30, 2024 is primarily related to the overall growth and lease up of the Company’s income property portfolio, as well as the timing of acquisitions versus dispositions. The increase in operating income of $2.6 million from our income property operations reflects increased rent revenues related to net investment as well as leasing activity.</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Revenue from our management services from PINE totaled $1.1 million during the three months ended September 30, 2024 and 2023. Management services during the three months ended September 30, 2024 also included less than $0.1 million of revenue, from each of the asset management agreement with a third party to manage a portfolio of multi-tenant and single-tenant assets (the “Portfolio Management Agreement”) and the Subsurface Management Agreement, with no such revenue recognized during the three months ended September 30,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Interest income from our commercial loans and investments totaled $1.6 million and $1.1 million during the three months ended September 30, 2024 and 2023, respectively. The increase is primarily due to increased income as a result of the timing of investments made related to new loan originations and structured investments during the nine months ended September 30,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2024 and 2023, operating income from real estate operations was $0.2 million and $0.9 million on revenues totaling $0.5 million and $1.1 million, respectively. During the three months ended September 30, 2024, there were $0.4 million more in mitigation credit sales, increasing mitigation credit cost of sales by $0.3 million, offset by $0.9 million less in subsurface sales as compared to the three months ended September 30, 2023. As of September 30, 2024 no mitigation credits or Subsurface Interests remain to be sold.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for the three months ended September 30, 2024 is presented in the following summary and indicates the changes as compared to the three months ended September 30, 2023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Borders>
              <w:top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5"/>
              </w:rPr>
              <w:t>$ Variance</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10"/>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9"/>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primary reason for the increase in total general and administrative expenses is the overall higher employee count as a result of the increased operating activity from the significant increase in managed income property assets.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totaled $13.2 million and $11.7 million during the three months ended September 30, 2024 and 2023, respectively. The increase of $1.5 million is due to the overall growth in the Company’s income property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(Loss) on Disposition of Assets and Provision for Impairment</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(Loss) on Dispositions of Assets. </w:t>
      </w:r>
      <w:r>
        <w:rPr>
          <w:rFonts w:ascii="Times New Roman" w:cs="Times New Roman" w:eastAsia="Times New Roman" w:hAnsi="Times New Roman"/>
          <w:sz w:val="18"/>
          <w:szCs w:val="18"/>
          <w:color w:val="auto"/>
        </w:rPr>
        <w:t>During the three months ended September 30, 2024, the Company sold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multi-tenant income property located in West Jordan, Utah for $18.0 million resulting in a loss on sale of $0.8 million.</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2023, the Company sold two income properties, including (i) an outparcel of the multi-tenant property known as Crossroads Towne Center, located in Chandler, Arizona, for $2.3 million and (ii) a single tenant office property located in Reston, Virginia leased to General Dynamics for $18.5 million. The sale of these two properties reflect a total disposition volume of $20.9 million, resulting in aggregate gains of $2.5 million.</w:t>
      </w:r>
    </w:p>
    <w:p>
      <w:pPr>
        <w:spacing w:after="0" w:line="17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Impairment. </w:t>
      </w:r>
      <w:r>
        <w:rPr>
          <w:rFonts w:ascii="Times New Roman" w:cs="Times New Roman" w:eastAsia="Times New Roman" w:hAnsi="Times New Roman"/>
          <w:sz w:val="18"/>
          <w:szCs w:val="18"/>
          <w:color w:val="auto"/>
        </w:rPr>
        <w:t>There were no impairment charges on the Company’s income property portfolio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2024. During the three months ended September 30, 2023, the Company recorded a $0.9 million impairment charge on the sale of the Westcliff Property which represents the sales price, less the book value of the asset as of September 30, 2023, less costs to sell.</w:t>
      </w:r>
    </w:p>
    <w:p>
      <w:pPr>
        <w:spacing w:after="0" w:line="18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impairment charges of $0.5 million during the three months ended September 30, 2024, related to an increase in our current expected credit losses (“CECL”) allowance due to the net increase in principal outstanding on the Company’s portfolio of commercial loans and investments. No such impairment charges related to CECL were recorded during the three months ended September 30,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the closing stock price of PINE increased by $2.64 per share, with a closing price of $18.20 on September 30, 2024. During the three months ended September 30, 2023, the closing stock price of PINE increased by $0.11 per share, with a closing price of $16.36 on September 30, 2023. The change in stock price resulted in an unrealized non-cash gain on the Company’s investment in PINE in the amount of $6.2 million and $0.3 million which is included in investment and other income in the consolidated statements of operations for the three months ended September 30, 2024 and 2023, respectively.</w:t>
      </w:r>
    </w:p>
    <w:p>
      <w:pPr>
        <w:spacing w:after="0" w:line="187"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Company earned dividend income from the investment in PINE of $0.7 million and 0.6 million during the three months ended September 30,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Interest expense totaled $5.6 million and $6.3 million for the three months ended September 30, 2024 and 2023, respectively. The decrease of $0.7 million is primarily due to the $1.0 million reduction in interest on the Credit Facility due to a lower average outstanding balance during the three months ended September 30, 2024, as compared to the same period in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Net income attributable to the Company totaled $6.2 million and $2.7 million during the three months ended September 30, 2024 and 2023, respectively. The $3.5 million decrease in net income is attributable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Total revenue for the nine months ended September 30, 2024 is presented in the following summary and indicates the changes as compared to the nine months ended September 30,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7"/>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09"/>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09"/>
        </w:trPr>
        <w:tc>
          <w:tcPr>
            <w:tcW w:w="3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Total revenue for the nine months ended September 30, 2024 increased to $88.7 million, compared to $79.2 million during the nine months ended September 30, 2023. The $9.5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increased as a result of the growth in the commercial loan and investment portfolio.</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54" w:lineRule="auto"/>
        <w:rPr>
          <w:sz w:val="20"/>
          <w:szCs w:val="20"/>
          <w:color w:val="auto"/>
        </w:rPr>
      </w:pPr>
      <w:r>
        <w:rPr>
          <w:rFonts w:ascii="Times New Roman" w:cs="Times New Roman" w:eastAsia="Times New Roman" w:hAnsi="Times New Roman"/>
          <w:sz w:val="18"/>
          <w:szCs w:val="18"/>
          <w:color w:val="auto"/>
        </w:rPr>
        <w:t>Revenue and operating income from our income property operations totaled $79.0 million and $56.4 million, respectively, during the nine months ended September 30, 2024, compared to total revenue and operating income of $70.4 million and $49.5 million, respectively, for the nine months ended September 30, 2023. The direct costs of revenues for our income property operations totaled $22.6 million and $20.9 million for the nine months ended September 30, 2024 and 2023, respectively. The increase in revenues of $8.6 million, or 12.3%, during the nine months ended September 30, 2024 is primarily related to the overall growth and lease up of the Company’s income property portfolio, as well as the timing of acquisitions versus dispositions. The increase in operating income of $6.9 million from our income property operations reflects increased rent revenues related to net investments as well as leasing activity.</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Revenue from our management services from PINE totaled $3.1 million and $3.3 million during the nine months ended September 30, 2024 and 2023, respectively, which decrease is due to the decrease in PINE’s total equity. Management services during the nine months ended September 30, 2024 also included $0.1 million of revenue, from each of the Portfolio Management Agreement and the Subsurface Management Agreement, with no such revenue recognized during the nine months ended September 30,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Interest income from our commercial loans and investments totaled $4.4 million and $3.0 million during the nine months ended September 30, 2024 and 2023, respectively. The increase is primarily due to increased income as a result of the timing of investments made related to new loan originations and structured investments during the twelve-month period ended September 30, 2024, partially offset by a reduction in interest income attributable to the repayment of one loan during the nine months ended September 30,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and 2023, operating income from real estate operations was $0.5 million and $1.7 million on revenues totaling $2.0 million and $2.6 million, respectively. The $1.2 million decrease in operating income is due to $0.7 million more mitigation credit sales during the nine months ended September 30, 2024 having an increased cost basis compared to mitigation credit sales during the nine months ended September 30, 2023,</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offset by $1.4 million less in subsurface sales as compared to the nine months ended September 30, 2023. As of September 30, 2024 no mitigation credits or Subsurface Interests remain to be sold.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for the nine months ended September 30, 2024 is presented in the following summary and indicates the changes as compared to the nine months ended September 30, 2023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7"/>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09"/>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primary reason for the increase in total general and administrative expenses is the overall higher employee count as a result of the increased operating activity from the significant increase in managed income property assets, partially offset by reduced executive compensation during the nine months ended September 30, 2024.</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totaled $35.7 million and $32.8 million during the nine months ended September 30, 2024 and 2023, respectively. The increase of $2.9 million is due to the overall growth in the Company’s income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 and Provision for Impairment</w:t>
      </w:r>
    </w:p>
    <w:p>
      <w:pPr>
        <w:spacing w:after="0" w:line="227" w:lineRule="exact"/>
        <w:rPr>
          <w:sz w:val="20"/>
          <w:szCs w:val="20"/>
          <w:color w:val="auto"/>
        </w:rPr>
      </w:pPr>
    </w:p>
    <w:p>
      <w:pPr>
        <w:jc w:val="both"/>
        <w:ind w:left="60" w:right="59"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Gain on Disposition of Assets. </w:t>
      </w:r>
      <w:r>
        <w:rPr>
          <w:rFonts w:ascii="Times New Roman" w:cs="Times New Roman" w:eastAsia="Times New Roman" w:hAnsi="Times New Roman"/>
          <w:sz w:val="18"/>
          <w:szCs w:val="18"/>
          <w:color w:val="auto"/>
        </w:rPr>
        <w:t>During the nine months ended September 30, 2024, the Company sold two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for an aggregate sales price of $38.0 million and aggregate gains on sales of $3.8 million. The sales consisted of</w:t>
      </w:r>
    </w:p>
    <w:p>
      <w:pPr>
        <w:jc w:val="both"/>
        <w:ind w:left="60" w:right="59" w:hanging="10"/>
        <w:spacing w:after="0" w:line="253" w:lineRule="auto"/>
        <w:tabs>
          <w:tab w:leader="none" w:pos="3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mixed use income property in downtown Santa Fe, New Mexico for $20.0 million, resulting in a gain of $4.6 million, and (ii) one multi-tenant income property located in West Jordan, Utah for $18.0 million resulting in a loss on sale of $0.8 million. Additionally, during the nine months ended September 30, 2024, the Company sold its portfolio of Subsurface Interests for $5.0 million, resulting in a gain of $4.5 million.</w:t>
      </w:r>
    </w:p>
    <w:p>
      <w:pPr>
        <w:spacing w:after="0" w:line="189" w:lineRule="exact"/>
        <w:rPr>
          <w:sz w:val="20"/>
          <w:szCs w:val="20"/>
          <w:color w:val="auto"/>
        </w:rPr>
      </w:pPr>
    </w:p>
    <w:p>
      <w:pPr>
        <w:jc w:val="both"/>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sold three income properties for an aggregate sales price of $22.9 million and aggregate gains on sales of $3.3 million. The sales consisted of (i) an outparcel of the multi-tenant property known as Eastern Commons, located in Henderson, Nevada, for $2.1 million, resulting in a gain of $0.8 million, (ii) an outparcel of the multi-tenant property known as Crossroads Towne Center, located in Chandler, Arizona, for $2.3 million, resulting in a gain of $1.2 million, and (iii) a single tenant office property located in Reston, Virginia leased to General Dynamics for $18.5 million, resulting in a gain of $1.3 million.</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Impairment. </w:t>
      </w:r>
      <w:r>
        <w:rPr>
          <w:rFonts w:ascii="Times New Roman" w:cs="Times New Roman" w:eastAsia="Times New Roman" w:hAnsi="Times New Roman"/>
          <w:sz w:val="18"/>
          <w:szCs w:val="18"/>
          <w:color w:val="auto"/>
        </w:rPr>
        <w:t>There were no impairment charges on the Company’s income property portfolio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During the three months ended September 30, 2023, the Company recorded a $0.9 million impairment charge on the sale of the Westcliff Property which represents the sales price, less the book value of the asset as of September 30, 2023, less costs to sell.</w:t>
      </w:r>
    </w:p>
    <w:p>
      <w:pPr>
        <w:spacing w:after="0" w:line="18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recorded a $0.7 million impairment charge, comprised of a $0.2 million charge related to the discount provided to the borrower on their early repayment of the Sabal Pavilion loan, as described in Note 4, “Commercial Loans and Investments”, and a $0.5 million increase in our CECL allowance due to a net increase in principal outstanding on the Company’s portfolio of commercial loans and investments. During the nine months ended September 30, 2023, the Company recorded a $0.5 million impairment charge, representing the provision for credit losses related to our commercial loans and investments.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closing stock price of PINE increased by $1.29 per share, with a closing price of $18.20 on September 30, 2024. During the nine months ended September 30, 2023, the closing stock price of PINE decreased by $2.72 per share, with a closing price of $16.36 on September 30, 2023. The change 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stock price resulted in unrealized non-cash gains (losses) on the Company’s investment in PINE in the amount of $3.1 million and $(6.0) million which is included in investment and other income (loss) in the consolidated statements of operations for the nine months ended September 30, 2024 and 2023, respectively.</w:t>
      </w:r>
    </w:p>
    <w:p>
      <w:pPr>
        <w:spacing w:after="0" w:line="176"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Company earned dividend income from the investment in PINE of $1.9 million during each of the nine months ended September 30, 2024 and 2023.</w:t>
      </w:r>
    </w:p>
    <w:p>
      <w:pPr>
        <w:spacing w:after="0" w:line="16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derecognized a contingent obligation through a $2.3 million increase in investment and other income (loss) during the nine months ended September 30, 2023, pursuant to a lease amendment whereby the Company’s obligation to fund certain tenant improvements was eliminated. The liability was previously included in Accrued and Other Liabilities on the Company’s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Interest expense totaled $16.8 million and $16.2 million for the nine months ended September 30, 2024 and 2023, respectively. The increase of $0.6 million is primarily related to increases in the Company’s fixed rates on the 2026 Term Loan and the 2027 Term Loan due to swaps effective on March 29, 2024, which was partially offset by a $0.4 million reduction in interest on the Credit Facility due to a lower average outstanding balance during the nine months ended September 30, 2024, as compared to the same period in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Net income (loss) attributable to the Company totaled $13.3 million and $(1.5) million during the nine months ended September 30, 2024 and 2023, respectively. The $14.8 million increase in net income is attributable to the factors described above, most notably the $6.5 million increase in investment and other income, as well as an increase in operating income from our income property portfolio as described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Cash and cash equivalents totaled $8.2 million at September 30, 2024, while restricted cash totaled $1.7 million, see Note 2, “Summary of Significant Accounting Policies” under the heading Restricted Cash for the Company’s disclosure related to its restricted cash balance at September 30, 2024.</w:t>
      </w:r>
    </w:p>
    <w:p>
      <w:pPr>
        <w:spacing w:after="0" w:line="176"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Our cash flows provided by operating activities totaled $45.8 million during the nine months ended September 30, 2024, as compared to $39.9 million during the nine months ended September 30, 2023, an increase of $5.9 million. The primary reason for the increase is the increased cash flows provided by income properties, which is the result of the overall growth and lease up of the Company’s income property portfolio, as well as increased cash flows from our commercial loans and investments.</w:t>
      </w:r>
    </w:p>
    <w:p>
      <w:pPr>
        <w:spacing w:after="0" w:line="183"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cash flows used in investing activities totaled $215.3 million during the nine months ended September 30, 2024, as compared to $98.3 million during the nine months ended September 30, 2023, for an increase in cash outflows of $117.0 million. The increase in cash used in investing activities is primarily the result of an increase in acquisition activity of income properties and commercial loans and investments, partially offset by an increase in proceeds from dispositions, for an increase in net cash used of $121.2 million during the nine months ended September 30, 2024 as compared to the same period in 2023.</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cash flows provided by financing activities totaled $161.6 million for the nine months ended September 30, 2024, compared to $66.8 million for the nine months ended September 30, 2023, an increase in cash inflows of $94.8 million. The increase is primarily due to a $132.3 million increase in proceeds from common and preferred stock issuances under the respective ATM programs, proceeds from preferred equity issuances of $33.0 million, partially offset by a $70.3 million decrease in cash inflows provided by net debt activity during the nine months ended September 30, 2024 as compared to the same period in 2023.</w:t>
      </w:r>
    </w:p>
    <w:p>
      <w:pPr>
        <w:spacing w:after="0" w:line="185"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At September 30, 2024, the current commitment level under the Credit Facility was $300.0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The undrawn commitment under the Credit Facility totaled $205.0 million. As of September 30, 2024, the Credit Facility had a $95.0 million balance outstanding. See Note 15, “Long-Term Debt” for the Company’s disclosure related to its long-term debt balance at September 30, 2024.</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During the nine months ended September 30, 2024, the Company acquired four multi-tenant income properties, one vacant land parcel within an existing multi-tenant property, and one building within an existing multi-tenant income property for an aggregate purchase price of $210.0 million, or a total acquisition cost of $207.8 million. During the nine months ended September 30, 2024, the Company also originated three structured investments consisting of a construction loan, a first mortgage, and a preferred equity investment for an aggregate investment of $63.8 million. During the nine months ended September 30, 2023, the Company acquired four buildings within an existing multi-tenant income property, one multi-tenant income property, and one vacant land parcel adjacent to an existing multi-tenant property for an aggregate purchase price of $80.0 million, or a total acquisition cost of $80.3 million. During the nine months ended September 30, 2023, the Company also originated one structured investment, a first mortgage, in the amount of $15.0 million.</w:t>
      </w:r>
    </w:p>
    <w:p>
      <w:pPr>
        <w:spacing w:after="0" w:line="187"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Company’s guidance for 2024 investments in income-producing properties, including structured investments, ranges from $300.0 million to $350.0 million. We expect to fund future acquisitions utilizing cash on hand, cash from operations, proceeds from the dispositions of income properties through 1031 like-kind exchanges, borrowings on our Credit Facility, if available, and additional financing sources. We expect dispositions of income properties will qualify under the like-kind exchange deferred-tax structure.</w:t>
      </w:r>
    </w:p>
    <w:p>
      <w:pPr>
        <w:spacing w:after="0" w:line="181"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During the nine months ended September 30, 2024, the Company sold two income properties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sales price of $38.0 million and aggregate gains on sales of $3.8 million. During the nine months ended September 30, 2023, the Company sold three income properties for an aggregate sales price of $22.9 million and aggregate gains on sales of $3.3 million.</w:t>
      </w:r>
    </w:p>
    <w:p>
      <w:pPr>
        <w:spacing w:after="0" w:line="180"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ATM Program</w:t>
      </w:r>
      <w:r>
        <w:rPr>
          <w:rFonts w:ascii="Times New Roman" w:cs="Times New Roman" w:eastAsia="Times New Roman" w:hAnsi="Times New Roman"/>
          <w:sz w:val="18"/>
          <w:szCs w:val="18"/>
          <w:color w:val="auto"/>
        </w:rPr>
        <w:t>. During the nine months ended September 30, 2024, the Company sold 7,226,192 shares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ATM Program for gross proceeds of $134.2 million at a weighted average price of $18.57 per share, generating net proceeds of $132.2 million after deducting transaction fees of $2.0 million.</w:t>
      </w:r>
    </w:p>
    <w:p>
      <w:pPr>
        <w:spacing w:after="0" w:line="173"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Commitments – Expenditures. </w:t>
      </w:r>
      <w:r>
        <w:rPr>
          <w:rFonts w:ascii="Times New Roman" w:cs="Times New Roman" w:eastAsia="Times New Roman" w:hAnsi="Times New Roman"/>
          <w:sz w:val="18"/>
          <w:szCs w:val="18"/>
          <w:color w:val="auto"/>
        </w:rPr>
        <w:t>The Company has committed to fund the following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The improvements, which are related to several properties, are estimated to be generally completed within twelve months. These commitments, as of September 30, 2024,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As of September 30, 2024</w:t>
            </w:r>
          </w:p>
        </w:tc>
      </w:tr>
      <w:tr>
        <w:trPr>
          <w:trHeight w:val="210"/>
        </w:trPr>
        <w:tc>
          <w:tcPr>
            <w:tcW w:w="694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Commitment </w:t>
            </w:r>
            <w:r>
              <w:rPr>
                <w:rFonts w:ascii="Times New Roman" w:cs="Times New Roman" w:eastAsia="Times New Roman" w:hAnsi="Times New Roman"/>
                <w:sz w:val="24"/>
                <w:szCs w:val="24"/>
                <w:color w:val="auto"/>
                <w:vertAlign w:val="superscript"/>
              </w:rPr>
              <w:t>(1)</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r>
      <w:tr>
        <w:trPr>
          <w:trHeight w:val="216"/>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 Funded</w:t>
            </w: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10"/>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Commitment</w:t>
            </w: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19,467</w:t>
            </w:r>
          </w:p>
        </w:tc>
      </w:tr>
      <w:tr>
        <w:trPr>
          <w:trHeight w:val="20"/>
        </w:trPr>
        <w:tc>
          <w:tcPr>
            <w:tcW w:w="2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spacing w:after="0" w:line="28" w:lineRule="exact"/>
        <w:rPr>
          <w:sz w:val="20"/>
          <w:szCs w:val="20"/>
          <w:color w:val="auto"/>
        </w:rPr>
      </w:pPr>
    </w:p>
    <w:p>
      <w:pPr>
        <w:ind w:left="340" w:hanging="290"/>
        <w:spacing w:after="0"/>
        <w:tabs>
          <w:tab w:leader="none" w:pos="34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Commitment includes tenant improvements, leasing commissions, rebranding, facility expansion and other capital improvements.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r>
        <w:rPr>
          <w:rFonts w:ascii="Times New Roman" w:cs="Times New Roman" w:eastAsia="Times New Roman" w:hAnsi="Times New Roman"/>
          <w:sz w:val="18"/>
          <w:szCs w:val="18"/>
          <w:color w:val="auto"/>
        </w:rPr>
        <w:t>. None.</w:t>
      </w:r>
    </w:p>
    <w:p>
      <w:pPr>
        <w:spacing w:after="0" w:line="21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We believe we will have sufficient liquidity to fund our operations, capital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debt service requirements over the next twelve months and into the foreseeable future, with cash on hand, cash flow from our operations, $3.6 million of availability remaining under the 2022 ATM Program, and $205.0 million undrawn commitment under the existing $300.0 million Credit Facility as of September 30, 2024.</w:t>
      </w:r>
    </w:p>
    <w:p>
      <w:pPr>
        <w:spacing w:after="0" w:line="182"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pacing w:after="0" w:line="189" w:lineRule="exact"/>
        <w:rPr>
          <w:sz w:val="20"/>
          <w:szCs w:val="20"/>
          <w:color w:val="auto"/>
        </w:rPr>
      </w:pPr>
    </w:p>
    <w:p>
      <w:pPr>
        <w:jc w:val="both"/>
        <w:ind w:left="60" w:right="59" w:firstLine="441"/>
        <w:spacing w:after="0" w:line="289" w:lineRule="auto"/>
        <w:rPr>
          <w:sz w:val="20"/>
          <w:szCs w:val="20"/>
          <w:color w:val="auto"/>
        </w:rPr>
      </w:pPr>
      <w:r>
        <w:rPr>
          <w:rFonts w:ascii="Times New Roman" w:cs="Times New Roman" w:eastAsia="Times New Roman" w:hAnsi="Times New Roman"/>
          <w:sz w:val="17"/>
          <w:szCs w:val="17"/>
          <w:color w:val="auto"/>
        </w:rPr>
        <w:t>We believe that we currently have a reasonable level of leverage. Our strategy is to utilize leverage, when appropriate and necessary, and proceeds from sales of income properties and the disposition or payoffs on our commercial loans and investments to acquire income properties. We may also acquire or originate commercial loans and investments, invest in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securities of real estate companies, or make other shorter-term investments. Our targeted investment classes may include the following:</w:t>
      </w:r>
    </w:p>
    <w:p>
      <w:pPr>
        <w:ind w:left="840" w:right="79" w:hanging="331"/>
        <w:spacing w:after="0" w:line="250"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Multi-tenant, primarily retail-oriented, properties in major metropolitan areas and growth markets, typically stabilized;</w:t>
      </w:r>
    </w:p>
    <w:p>
      <w:pPr>
        <w:ind w:left="840" w:right="79" w:hanging="331"/>
        <w:spacing w:after="0" w:line="250"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Single-tenant retail or other commercial, double or triple net leased, properties in major metropolitan areas and growth markets that are compliant with our commitments under the PINE ROFO Agreement;</w:t>
      </w:r>
    </w:p>
    <w:p>
      <w:pPr>
        <w:ind w:left="840" w:right="79" w:hanging="331"/>
        <w:spacing w:after="0" w:line="250"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whether purchased or originated by the Company, that are compliant with our commitments under the ROFO Agreement;</w:t>
      </w:r>
    </w:p>
    <w:p>
      <w:pPr>
        <w:ind w:left="840" w:hanging="331"/>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Self-developed retail or other commercial properties;</w:t>
      </w:r>
    </w:p>
    <w:p>
      <w:pPr>
        <w:spacing w:after="0" w:line="9" w:lineRule="exact"/>
        <w:rPr>
          <w:rFonts w:ascii="Times New Roman" w:cs="Times New Roman" w:eastAsia="Times New Roman" w:hAnsi="Times New Roman"/>
          <w:sz w:val="18"/>
          <w:szCs w:val="18"/>
          <w:color w:val="auto"/>
        </w:rPr>
      </w:pPr>
    </w:p>
    <w:p>
      <w:pPr>
        <w:jc w:val="both"/>
        <w:ind w:left="840" w:right="79" w:hanging="331"/>
        <w:spacing w:after="0" w:line="250"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loans and investments, whether purchased or originated by the Company, with loan terms of 1-10 years with strong risk-adjusted yields secured by property types to include hotel, retail, residential, land and industrial;</w:t>
      </w:r>
    </w:p>
    <w:p>
      <w:pPr>
        <w:spacing w:after="0" w:line="1" w:lineRule="exact"/>
        <w:rPr>
          <w:rFonts w:ascii="Times New Roman" w:cs="Times New Roman" w:eastAsia="Times New Roman" w:hAnsi="Times New Roman"/>
          <w:sz w:val="18"/>
          <w:szCs w:val="18"/>
          <w:color w:val="auto"/>
        </w:rPr>
      </w:pPr>
    </w:p>
    <w:p>
      <w:pPr>
        <w:ind w:left="840" w:right="79" w:hanging="331"/>
        <w:spacing w:after="0" w:line="250"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regional area investments using Company market knowledge and expertise to earn strong risk-adjusted yields; and</w:t>
      </w:r>
    </w:p>
    <w:p>
      <w:pPr>
        <w:ind w:left="840" w:right="79" w:hanging="331"/>
        <w:spacing w:after="0" w:line="260"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estate-related investment securities, including commercial mortgage-backed securities, preferred or common stock, and corporate bonds.</w:t>
      </w:r>
    </w:p>
    <w:p>
      <w:pPr>
        <w:spacing w:after="0" w:line="181"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229" w:lineRule="exact"/>
        <w:rPr>
          <w:sz w:val="20"/>
          <w:szCs w:val="20"/>
          <w:color w:val="auto"/>
        </w:rPr>
      </w:pPr>
    </w:p>
    <w:p>
      <w:pPr>
        <w:jc w:val="both"/>
        <w:ind w:left="60" w:right="59" w:firstLine="441"/>
        <w:spacing w:after="0" w:line="281" w:lineRule="auto"/>
        <w:rPr>
          <w:sz w:val="20"/>
          <w:szCs w:val="20"/>
          <w:color w:val="auto"/>
        </w:rPr>
      </w:pPr>
      <w:r>
        <w:rPr>
          <w:rFonts w:ascii="Times New Roman" w:cs="Times New Roman" w:eastAsia="Times New Roman" w:hAnsi="Times New Roman"/>
          <w:sz w:val="17"/>
          <w:szCs w:val="17"/>
          <w:color w:val="auto"/>
        </w:rPr>
        <w:t>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6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80"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w:t>
      </w:r>
    </w:p>
    <w:p>
      <w:pPr>
        <w:spacing w:after="0" w:line="162"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NAREIT defines FFO as U.S. GAAP net income or loss adjusted to exclude real estate related depreciation and amortization, as well as extraordinary items (as defined by U.S.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and interest related to the 2025 Convertible Senior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as well as adding back the interest related to the 2025 Convertible Senior Notes, if the effect is dilutive. To derive AFFO, we further modify the NAREIT computation of FFO and Core FFO to include other adjustments to U.S.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w:t>
      </w:r>
    </w:p>
    <w:p>
      <w:pPr>
        <w:spacing w:after="0" w:line="195"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1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Non-U.S. GAAP Measures (in thousands, except share and dividend data):</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0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380" w:type="dxa"/>
            <w:vAlign w:val="bottom"/>
            <w:tcBorders>
              <w:top w:val="single" w:sz="8" w:color="auto"/>
            </w:tcBorders>
            <w:gridSpan w:val="8"/>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30,September 30,September 30,September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4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Add Back: Effect of Dilutive Interest Related to 2025 Notes </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 If-Converted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Real Estate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(Gain) on Disposition of Assets, Net of Tax</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Disposition of Other Assets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Realized and Unrealized Loss (Gain) on Investment Securities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Extinguishment of Contingent Obligation</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From Operations Attributable to Common Stockholders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to Lease Income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Less: Effect of Dilutive Interest Related to 2025 Notes </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74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Core Funds From Operations Attributable to Common</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COVID-19 Rent Repayments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Depreciation and Amortization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Loan Costs, Discount on Convertible Debt,</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Capitalized Interest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7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Adjusted Funds From Operations Attributable to Common</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25,445,411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22,484,561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23,601,389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25,521,749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22,484,561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23,625,369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Preferred Stock</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Common Stock</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380" w:right="220" w:hanging="330"/>
        <w:spacing w:after="0" w:line="233" w:lineRule="auto"/>
        <w:tabs>
          <w:tab w:leader="none" w:pos="3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 applicable, includes interest expense, amortization of discount, amortization of fees, and other changes in net income or loss that would result from the assumed conversion of the 2025 Convertible Senior Notes to derive FFO (as defined herein) effective January 1, 2022 due to the implementation of ASU 2020-06 which requires presentation on an if-converted basis. For the three and nine months ended September 30, 2024 and 2023, a total of $0.5 million and $1.6 million of interest was not included, respectively, as the impact of the 2025 Notes, if-converted, would be antidilutive to net income (loss) attributable to common stockholders for the respective periods.</w:t>
      </w:r>
    </w:p>
    <w:p>
      <w:pPr>
        <w:spacing w:after="0" w:line="69" w:lineRule="exact"/>
        <w:rPr>
          <w:rFonts w:ascii="Times New Roman" w:cs="Times New Roman" w:eastAsia="Times New Roman" w:hAnsi="Times New Roman"/>
          <w:sz w:val="12"/>
          <w:szCs w:val="12"/>
          <w:color w:val="auto"/>
        </w:rPr>
      </w:pPr>
    </w:p>
    <w:p>
      <w:pPr>
        <w:jc w:val="both"/>
        <w:ind w:left="380" w:right="220" w:hanging="330"/>
        <w:spacing w:after="0" w:line="229" w:lineRule="auto"/>
        <w:tabs>
          <w:tab w:leader="none" w:pos="3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 total of 3.7 million and 3.6 million shares, representing the dilutive impact of the 2025 Notes, upon adoption of ASU 2020-06 effective January 1, 2022, were not included in the computation of diluted net income per share attributable to common stockholders for the three and nine months ended September 30, 2024, respectively, because they were antidilutive to net income (loss) attributable to common stockholders for the respective periods. A total of 3.4 million and 3.3 million shares, representing the dilutive impact of the 2025 Notes, upon adoption of ASU 2020-06 effective January 1, 2022, were not included in the computation of diluted net income (loss) attributable to common stockholders for each of the three and nine month periods ended September 30, 2023, respectively, because they were antidilutive to net income (loss) attributable to common stockholders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60"/>
          </w:cols>
          <w:pgMar w:left="1440" w:top="513" w:right="1299"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5"/>
        </w:trPr>
        <w:tc>
          <w:tcPr>
            <w:tcW w:w="2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2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6"/>
                <w:szCs w:val="16"/>
                <w:color w:val="auto"/>
              </w:rPr>
            </w:pPr>
          </w:p>
        </w:tc>
        <w:tc>
          <w:tcPr>
            <w:tcW w:w="122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8"/>
        </w:trPr>
        <w:tc>
          <w:tcPr>
            <w:tcW w:w="224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Attributable to Common Stockholders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27,144</w:t>
            </w:r>
          </w:p>
        </w:tc>
      </w:tr>
      <w:tr>
        <w:trPr>
          <w:trHeight w:val="190"/>
        </w:trPr>
        <w:tc>
          <w:tcPr>
            <w:tcW w:w="41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FFO Attributable to Common Stockholders per</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2"/>
        </w:trPr>
        <w:tc>
          <w:tcPr>
            <w:tcW w:w="414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Common Share - Diluted </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 FFO Attributable to Common Stockholders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28,937</w:t>
            </w:r>
          </w:p>
        </w:tc>
      </w:tr>
      <w:tr>
        <w:trPr>
          <w:trHeight w:val="190"/>
        </w:trPr>
        <w:tc>
          <w:tcPr>
            <w:tcW w:w="4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Core FFO Attributable to Common Stockholders per</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42"/>
        </w:trPr>
        <w:tc>
          <w:tcPr>
            <w:tcW w:w="4140" w:type="dxa"/>
            <w:vAlign w:val="bottom"/>
            <w:gridSpan w:val="2"/>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Common Share - Diluted </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2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Attributable to Common Stockholders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31,410</w:t>
            </w:r>
          </w:p>
        </w:tc>
      </w:tr>
      <w:tr>
        <w:trPr>
          <w:trHeight w:val="190"/>
        </w:trPr>
        <w:tc>
          <w:tcPr>
            <w:tcW w:w="41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AFFO Attributable to Common Stockholders per</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57"/>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Common Share - Diluted </w:t>
            </w:r>
            <w:r>
              <w:rPr>
                <w:rFonts w:ascii="Times New Roman" w:cs="Times New Roman" w:eastAsia="Times New Roman" w:hAnsi="Times New Roman"/>
                <w:sz w:val="26"/>
                <w:szCs w:val="26"/>
                <w:color w:val="auto"/>
                <w:vertAlign w:val="superscript"/>
              </w:rPr>
              <w:t>(1)</w:t>
            </w:r>
          </w:p>
        </w:tc>
        <w:tc>
          <w:tcPr>
            <w:tcW w:w="19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166" w:lineRule="exact"/>
        <w:rPr>
          <w:sz w:val="20"/>
          <w:szCs w:val="20"/>
          <w:color w:val="auto"/>
        </w:rPr>
      </w:pPr>
    </w:p>
    <w:p>
      <w:pPr>
        <w:jc w:val="both"/>
        <w:ind w:left="380" w:right="79" w:hanging="330"/>
        <w:spacing w:after="0" w:line="241" w:lineRule="auto"/>
        <w:tabs>
          <w:tab w:leader="none" w:pos="38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weighted average shares used to compute per share amounts for FFO Attributable to Common Stockholders per Common Share – Diluted, Core FFO Attributable to Common Stockholders per Common Share - Diluted, and AFFO Attributable to Common Stockholders per Common Share - Diluted do not reflect any dilution related to the ultimate settlement of the 2025 Convertible Senior Notes.</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U.S. GAAP,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four multi-tenant income properties, one vacant land parcel within an existing multi-tenant property, and one building within an existing multi-tenant income property for an aggregate purchase price of $210.0 million, or a total acquisition cost of $207.8 million, for the nine months ended September 30, 2024, and four buildings within an existing multi-tenant income property, one multi-tenant property, and one vacant land parcel adjacent to an existing multi-tenant property for an aggregate purchase price of $80.0 million, or a total acquisition cost of $80.3 million, for the nine months ended September 30, 2023.</w:t>
      </w:r>
    </w:p>
    <w:p>
      <w:pPr>
        <w:spacing w:after="0" w:line="232"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220"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We are primarily exposed to interest rate risk relating to our own debt in connection with our Credit Facility, as this facility carries a variable rate of interest. Our borrowings on our $300.0 million Credit Facility bear interest at a rate ranging from SOFR plus 0.10% plus 125 basis points to SOFR plus 0.10% plus 220 basis points based on our level of borrowing as a percentage of our total asset value. As of September 30, 2024, the outstanding balance on our Credit Facility totaled $95.0 million of which $45.0 million was not fixed by virtue of an interest rate swap agreement. As of September 30, 2023, the outstanding balance on our Credit Facility was $216.0 million of which $116.0 million was not fixed by virtue of an interest rate swap agreement. A hypothetical change in the interest rate of 100 basis points (i.e., 1%) would affect our financial position, results of operations, and cash flows by $0.5 million and $1.2 million as of September 30, 2024 and 2023, respectively. The Company entered into interest rate swap agreements to hedge against changes in future cash flows resulting from fluctuating interest rates related to certain of its debt borrowings, see Note 16, “Interest Rate Swaps” in the notes to the consolidated financial statements included in this Form 10-Q.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56"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September 30, 2024, that have materially affected, or are reasonably likely to materially affect, the Company’s internal control over financial reporting.</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70"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70"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For a discussion of the Company’s potential risks and uncertainties, see the information under the heading Part I, “Item 1A. Risk Factors” in the Company’s Annual Report on Form 10-K for the year ended December 31, 2023. The risks described in the Form 10-K are not the only risks facing the Company. Additional risks and uncertainties not currently known to the Company or that the Company currently deems to be immaterial also may materially adversely affect the Company. As of September 30, 2024, there have been no material changes in our risk factors from those set forth within the Company’s Annual Report on Form 10-K for the year ended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Employment Agreement with Lisa M. Vorakoun</w:t>
      </w:r>
    </w:p>
    <w:p>
      <w:pPr>
        <w:spacing w:after="0" w:line="268"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On October 22, 2024, we entered into an employment agreement (the “Employment Agreement”) with Lisa M. Vorakoun. Ms. Vorakoun has been employed by us since January 7, 2013 and currently serves as our Senior Vice President and Chief Accounting Officer.</w:t>
      </w:r>
    </w:p>
    <w:p>
      <w:pPr>
        <w:spacing w:after="0" w:line="216"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Under the Employment Agreement, Ms. Vorakoun will receive an annual base salary of $275,000, which is subject to review and increase at the discretion of the compensation committee of the Board (the “Compensation Committee”).</w:t>
      </w:r>
    </w:p>
    <w:p>
      <w:pPr>
        <w:spacing w:after="0" w:line="121"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In addition, for each fiscal year ending during her employment, Ms. Vorakoun will be eligible to participate in, and earn annual incentive compensation pursuant to, our Amended 2017 Executive Annual Cash Incentive Plan (the “Annual Incentive Plan”). Ms. Vorakoun’s Individual Target Opportunity (as defined in the Annual Incentive Plan) under the Annual Incentive Plan for 2024 will be 75% of Ms. Vorakoun’s then current base salary, with “threshold”, “target” and “maximum” Multipliers (as defined in the Annual Incentive Plan) for 2024 of 50%, 100% and 200% of the Individual Target Opportunity (as defined in the Annual Incentive Plan), all as set forth under the Annual Incentive Plan. The annual incentive compensation payable to Ms. Vorakoun will be determined by the Board, based on the attainment of corporate and individual performance goals as determined by the Board and consistent with the terms and conditions of the Annual Incentive Plan, and may be paid in cash or in a combination of cash and equity incentive awards.</w:t>
      </w:r>
    </w:p>
    <w:p>
      <w:pPr>
        <w:spacing w:after="0" w:line="148"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For each fiscal year beginning with the fiscal year ending December 31, 2025, Ms. Vorakoun will be eligible to receive an award of long-term equity incentive compensation, to be granted in accordance with our executive compensation program in effect from time to time. Such awards typically will be granted near the commencement of each fiscal year under our equity incentive plan in effect from time to time pursuant to separate written agreements between Ms. Vorakoun and us.</w:t>
      </w:r>
    </w:p>
    <w:p>
      <w:pPr>
        <w:spacing w:after="0" w:line="15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Ms. Vorakoun is eligible to participate in any retirement plan, insurance or other employee benefit plan that is maintained at that time by us for our senior executive employees, including programs of life, disability, medical, dental and vision insurance, subject to the provisions of such plans as may be in effect from time to time and applicable law.</w:t>
      </w:r>
    </w:p>
    <w:p>
      <w:pPr>
        <w:spacing w:after="0" w:line="135"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Compensation payable to Ms. Vorakoun pursuant to the Employment Agreement or any other agreement or arrangement with us will be subject to clawback under any written clawback policies that we or PINE has adopted or may adopt to the extent not prohibited by applicable law.</w:t>
      </w:r>
    </w:p>
    <w:p>
      <w:pPr>
        <w:spacing w:after="0" w:line="135"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Pursuant to the terms of the Employment Agreement, if Ms. Vorakoun’s employment is terminated by the Company without “cause” (as defined in the Employment Agreement), then Ms. Vorakoun will be entitled to receive (i) her accrued but unpaid base salary through the date of termination, which will be paid on the pay date immediately following the date of Ms. Vorakoun’s termination in accordance with our customary payroll procedures or earlier if required by applicable law; (ii) reimbursement for unreimbursed business expenses properly incurred by Ms. Vorakoun prior to termination, which will be subject to and paid in accordance with our expense reimbursement policy and the Employment Agreement; (iii) such employee benefits to which Ms. Vorakoun may be entitled under any of our employee benefit plans or policies as of the date of Ms. Vorakoun’s termination; (iv) any payments and benefits to the extent set forth in the award agreements pertaining to Ms. Vorakoun’s equity incentive awards; and (v) any amounts due and payable under the Annual Incentive Plan. In addition, if, at any time during the 24-month period after a “change in control” (as defined in the Employment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Agreement) occurs, Ms. Vorakoun’s employment is terminated by us other than for “cause” or Ms. Vorakoun voluntarily terminates her employment for “good reason” (each, as defined in the Employment Agreement), then Ms. Vorakoun will receive (A) any unpaid accrued base salary, expense reimbursements, and other benefits earned and accrued under the Employment Agreement through the date of termination, (B) any payments and benefits to the extent set forth in the award agreements pertaining to Ms. Vorakoun’s equity incentive awards, (C) any amounts due and payable under the Annual Incentive Plan, and (D) a separation payment in an amount equal to 12 months of Ms. Vorakoun’s then-current base salary, less applicable taxes and withholdings, in one lump sum cash payment no later than the 60th day after the date of termination of Ms. Vorakoun’s employment.</w:t>
      </w:r>
    </w:p>
    <w:p>
      <w:pPr>
        <w:spacing w:after="0" w:line="165"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Ms. Vorakoun’s right to receive the severance payments and benefits described above is subject to her compliance with restrictive covenants described below and her delivery and non-revocation of an effective general release of claims in our favor.</w:t>
      </w:r>
    </w:p>
    <w:p>
      <w:pPr>
        <w:spacing w:after="0" w:line="135"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Employment Agreement contains customary non-competition, non-solicitation, confidentiality, and intellectual property provisions.</w:t>
      </w:r>
    </w:p>
    <w:p>
      <w:pPr>
        <w:spacing w:after="0" w:line="121"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Under the Employment Agreement, if there is a change in ownership or control of us that would cause any payment or distribution by us or any other person, firm, corporation, partnership, company, association, or other entity to Ms. Vorakoun or for Ms. Vorakoun’s benefit (each a “Payment”) to be subject to the excise tax imposed by Section 4999 of the Internal Revenue Code of 1986, as amended (such excise tax, together with any interest or penalties incurred by Ms. Vorakoun with respect to such excise tax, the “Excise Tax”), Ms. Vorakoun will receive the greatest of the following, whichever gives Ms. Vorakoun the highest net after-tax amount (after taking into account federal, state, local and social security taxes): (a) the Payments or (b) one dollar less than the amount of the Payments that would subject Ms. Vorakoun to the Excise Tax.</w:t>
      </w:r>
    </w:p>
    <w:p>
      <w:pPr>
        <w:spacing w:after="0" w:line="165"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The foregoing summary of the Employment Agreement does not purport to be complete and is qualified in its entirety by reference to the Employment Agreement, a copy of which is filed as Exhibit 10.3 to this Quarterly Report on Form 10-Q and is incorporated herein by reference.</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Amendments to Employment Agreements with John P. Albright, Steven R. Greathouse and Daniel E. Smith</w:t>
      </w:r>
    </w:p>
    <w:p>
      <w:pPr>
        <w:spacing w:after="0" w:line="187"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On October 22, 2024, we entered into amendments (the “Amendments”) to the employment agreements that we previously entered into with each of John P. Albright, Steven R. Greathouse and Daniel E. Smith. The Amendments align certain provisions in the employment agreements for Messrs. Albright, Greathouse and Smith with provisions contained in the employment agreements that we have entered into recently with Ms. Vorakoun and Philip R. Mays. More specifically, the Amendments provide that we will work together in good faith with each of Messrs. Albright, Greathouse and Smith to reduce or eliminate the impact, if any, of Section 280G of the Internal Revenue Code of 1986, as amended. The Amendments also contain customary non-competition, non-solicitation and confidentiality provisions consistent with the provisions contained in the employment agreements for Ms. Vorakoun and Mr. Mays.</w:t>
      </w:r>
    </w:p>
    <w:p>
      <w:pPr>
        <w:spacing w:after="0" w:line="232" w:lineRule="exact"/>
        <w:rPr>
          <w:sz w:val="20"/>
          <w:szCs w:val="20"/>
          <w:color w:val="auto"/>
        </w:rPr>
      </w:pPr>
    </w:p>
    <w:p>
      <w:pPr>
        <w:jc w:val="both"/>
        <w:ind w:left="60" w:right="59" w:firstLine="513"/>
        <w:spacing w:after="0" w:line="266" w:lineRule="auto"/>
        <w:rPr>
          <w:sz w:val="20"/>
          <w:szCs w:val="20"/>
          <w:color w:val="auto"/>
        </w:rPr>
      </w:pPr>
      <w:r>
        <w:rPr>
          <w:rFonts w:ascii="Times New Roman" w:cs="Times New Roman" w:eastAsia="Times New Roman" w:hAnsi="Times New Roman"/>
          <w:sz w:val="18"/>
          <w:szCs w:val="18"/>
          <w:color w:val="auto"/>
        </w:rPr>
        <w:t>The foregoing summary of the Amendments does not purport to be complete and is qualified in its entirety by reference to the Amendments, copies of which are filed as Exhibits 10.4, 10.5 and 10.6 to this Quarterly Report on Form 10-Q and incorporated herein by reference.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u w:val="single" w:color="auto"/>
          <w:color w:val="auto"/>
        </w:rPr>
        <w:t>ITEM 6. EXHIBITS</w:t>
      </w:r>
    </w:p>
    <w:p>
      <w:pPr>
        <w:sectPr>
          <w:pgSz w:w="11900" w:h="16838" w:orient="portrait"/>
          <w:cols w:equalWidth="0" w:num="1">
            <w:col w:w="9019"/>
          </w:cols>
          <w:pgMar w:left="1440" w:top="513" w:right="1440" w:bottom="1440" w:gutter="0" w:footer="0" w:header="0"/>
        </w:sectPr>
      </w:pPr>
    </w:p>
    <w:p>
      <w:pPr>
        <w:spacing w:after="0" w:line="133" w:lineRule="exact"/>
        <w:rPr>
          <w:sz w:val="20"/>
          <w:szCs w:val="20"/>
          <w:color w:val="auto"/>
        </w:rPr>
      </w:pPr>
    </w:p>
    <w:p>
      <w:pPr>
        <w:ind w:left="60" w:hanging="10"/>
        <w:spacing w:after="0" w:line="409" w:lineRule="auto"/>
        <w:tabs>
          <w:tab w:leader="none" w:pos="30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Exhibits: </w:t>
      </w:r>
      <w:r>
        <w:rPr>
          <w:rFonts w:ascii="Times New Roman" w:cs="Times New Roman" w:eastAsia="Times New Roman" w:hAnsi="Times New Roman"/>
          <w:sz w:val="16"/>
          <w:szCs w:val="16"/>
          <w:color w:val="auto"/>
        </w:rPr>
        <w:t>(2.1)*</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(3.1)</w:t>
      </w: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539"/>
        <w:spacing w:after="0" w:line="282" w:lineRule="auto"/>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Purchase and Sale Agreement, dated August 2, 2024, filed as Exhibit 2.1 to the registrant’s current</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report on Form 8-K filed on August 8, 2024, and incorporated herein by reference.</w:t>
        </w:r>
      </w:hyperlink>
    </w:p>
    <w:p>
      <w:pPr>
        <w:spacing w:after="0" w:line="162" w:lineRule="exact"/>
        <w:rPr>
          <w:sz w:val="20"/>
          <w:szCs w:val="20"/>
          <w:color w:val="auto"/>
        </w:rPr>
      </w:pPr>
    </w:p>
    <w:p>
      <w:pPr>
        <w:ind w:right="119"/>
        <w:spacing w:after="0" w:line="266" w:lineRule="auto"/>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Articles of Amendment and Restatement of CTO Realty Growth, Inc., as amended by the Articles of</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Amendment (Name Change), filed as Exhibit 3.1 to the registrant’s current report on Form 8-K12B filed</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February 1, 2021, and incorporated herein by reference.</w:t>
        </w:r>
      </w:hyperlink>
    </w:p>
    <w:p>
      <w:pPr>
        <w:spacing w:after="0" w:line="81" w:lineRule="exact"/>
        <w:rPr>
          <w:rFonts w:ascii="Times New Roman" w:cs="Times New Roman" w:eastAsia="Times New Roman" w:hAnsi="Times New Roman"/>
          <w:sz w:val="18"/>
          <w:szCs w:val="18"/>
          <w:u w:val="single" w:color="auto"/>
          <w:color w:val="0000EE"/>
        </w:rPr>
      </w:pPr>
    </w:p>
    <w:p>
      <w:pPr>
        <w:ind w:right="159"/>
        <w:spacing w:after="0" w:line="250" w:lineRule="auto"/>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Articles Supplementary, designating CTO Realty Growth, Inc.’s 6.375% Series A Cumulative</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Redeemable Preferred Stock, filed as Exhibit 3.2 to the registrant's Registration Statement on Form 8-A</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filed July 1, 2021 (File No. 001-11350), and incorporated herein by reference.</w:t>
        </w:r>
      </w:hyperlink>
    </w:p>
    <w:p>
      <w:pPr>
        <w:spacing w:after="0" w:line="146"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940" w:space="440"/>
            <w:col w:w="763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6"/>
          <w:szCs w:val="16"/>
          <w:color w:val="auto"/>
        </w:rPr>
        <w:t>(3.3)</w:t>
      </w:r>
    </w:p>
    <w:p>
      <w:pPr>
        <w:spacing w:after="0" w:line="200" w:lineRule="exact"/>
        <w:rPr>
          <w:rFonts w:ascii="Times New Roman" w:cs="Times New Roman" w:eastAsia="Times New Roman" w:hAnsi="Times New Roman"/>
          <w:sz w:val="18"/>
          <w:szCs w:val="18"/>
          <w:u w:val="single" w:color="auto"/>
          <w:color w:val="0000EE"/>
        </w:rPr>
      </w:pPr>
    </w:p>
    <w:p>
      <w:pPr>
        <w:spacing w:after="0" w:line="345"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6"/>
          <w:szCs w:val="16"/>
          <w:color w:val="auto"/>
        </w:rPr>
        <w:t>(3.4)</w:t>
      </w:r>
    </w:p>
    <w:p>
      <w:pPr>
        <w:spacing w:after="0" w:line="200" w:lineRule="exact"/>
        <w:rPr>
          <w:rFonts w:ascii="Times New Roman" w:cs="Times New Roman" w:eastAsia="Times New Roman" w:hAnsi="Times New Roman"/>
          <w:sz w:val="18"/>
          <w:szCs w:val="18"/>
          <w:u w:val="single" w:color="auto"/>
          <w:color w:val="0000EE"/>
        </w:rPr>
      </w:pPr>
    </w:p>
    <w:p>
      <w:pPr>
        <w:spacing w:after="0" w:line="345"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199"/>
        <w:spacing w:after="0" w:line="250" w:lineRule="auto"/>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Articles Supplementary, designating 3,000,000 additional shares of CTO Realty Growth, Inc.’s 6.375%</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Series A Cumulative Redeemable Preferred Stock, filed as Exhibit 3.1 to the registrant’s current report</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on Form 8-K filed April 3, 2024, and incorporated herein by reference.</w:t>
        </w:r>
      </w:hyperlink>
    </w:p>
    <w:p>
      <w:pPr>
        <w:spacing w:after="0" w:line="82" w:lineRule="exact"/>
        <w:rPr>
          <w:rFonts w:ascii="Times New Roman" w:cs="Times New Roman" w:eastAsia="Times New Roman" w:hAnsi="Times New Roman"/>
          <w:sz w:val="18"/>
          <w:szCs w:val="18"/>
          <w:u w:val="single" w:color="auto"/>
          <w:color w:val="0000EE"/>
        </w:rPr>
      </w:pPr>
    </w:p>
    <w:p>
      <w:pPr>
        <w:ind w:right="339"/>
        <w:spacing w:after="0" w:line="250" w:lineRule="auto"/>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Third Amended and Restated Bylaws of CTO Realty Growth, Inc., effective as of February 16, 2023,</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filed as Exhibit 3.1 to the registrant’s current report on Form 8-K filed February 17, 2023, and</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incorporated herein by reference.</w:t>
        </w:r>
      </w:hyperlink>
    </w:p>
    <w:p>
      <w:pPr>
        <w:spacing w:after="0" w:line="82" w:lineRule="exact"/>
        <w:rPr>
          <w:rFonts w:ascii="Times New Roman" w:cs="Times New Roman" w:eastAsia="Times New Roman" w:hAnsi="Times New Roman"/>
          <w:sz w:val="18"/>
          <w:szCs w:val="18"/>
          <w:u w:val="single" w:color="auto"/>
          <w:color w:val="0000EE"/>
        </w:rPr>
      </w:pPr>
    </w:p>
    <w:p>
      <w:pPr>
        <w:ind w:right="119"/>
        <w:spacing w:after="0" w:line="296" w:lineRule="auto"/>
        <w:rPr>
          <w:rFonts w:ascii="Times New Roman" w:cs="Times New Roman" w:eastAsia="Times New Roman" w:hAnsi="Times New Roman"/>
          <w:sz w:val="17"/>
          <w:szCs w:val="17"/>
          <w:u w:val="single" w:color="auto"/>
          <w:color w:val="0000EE"/>
        </w:rPr>
      </w:pPr>
      <w:hyperlink r:id="rId82">
        <w:r>
          <w:rPr>
            <w:rFonts w:ascii="Times New Roman" w:cs="Times New Roman" w:eastAsia="Times New Roman" w:hAnsi="Times New Roman"/>
            <w:sz w:val="17"/>
            <w:szCs w:val="17"/>
            <w:u w:val="single" w:color="auto"/>
            <w:color w:val="0000EE"/>
          </w:rPr>
          <w:t>Specimen Common Stock Certificate of CTO Realty Growth, Inc., filed as Exhibit 4.2 to the registrant’s</w:t>
        </w:r>
      </w:hyperlink>
      <w:r>
        <w:rPr>
          <w:rFonts w:ascii="Times New Roman" w:cs="Times New Roman" w:eastAsia="Times New Roman" w:hAnsi="Times New Roman"/>
          <w:sz w:val="17"/>
          <w:szCs w:val="17"/>
          <w:u w:val="single" w:color="auto"/>
          <w:color w:val="0000EE"/>
        </w:rPr>
        <w:t xml:space="preserve"> </w:t>
      </w:r>
      <w:hyperlink r:id="rId82">
        <w:r>
          <w:rPr>
            <w:rFonts w:ascii="Times New Roman" w:cs="Times New Roman" w:eastAsia="Times New Roman" w:hAnsi="Times New Roman"/>
            <w:sz w:val="17"/>
            <w:szCs w:val="17"/>
            <w:u w:val="single" w:color="auto"/>
            <w:color w:val="0000EE"/>
          </w:rPr>
          <w:t>current report on Form 8-K12B filed February 1, 2021, and incorporated herein by reference.</w:t>
        </w:r>
      </w:hyperlink>
    </w:p>
    <w:p>
      <w:pPr>
        <w:spacing w:after="0" w:line="108" w:lineRule="exact"/>
        <w:rPr>
          <w:sz w:val="20"/>
          <w:szCs w:val="20"/>
          <w:color w:val="auto"/>
        </w:rPr>
      </w:pPr>
    </w:p>
    <w:p>
      <w:pPr>
        <w:sectPr>
          <w:pgSz w:w="11900" w:h="16838" w:orient="portrait"/>
          <w:cols w:equalWidth="0" w:num="2">
            <w:col w:w="660" w:space="720"/>
            <w:col w:w="763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br w:type="column"/>
      </w:r>
    </w:p>
    <w:p>
      <w:pPr>
        <w:ind w:right="239"/>
        <w:spacing w:after="0" w:line="245" w:lineRule="auto"/>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Amendment No. 1 to Management Agreement among Alpine Income Property Trust, Inc., Alpine</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Income Property OP, LP and Alpine Income Property Manager, LLC, dated July 18, 2024, filed as</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Exhibit 10.1 to the registrant’s current report on Form 8-K filed July 19, 2024, and incorporated herein</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by reference.</w:t>
        </w:r>
      </w:hyperlink>
    </w:p>
    <w:p>
      <w:pPr>
        <w:spacing w:after="0" w:line="167" w:lineRule="exact"/>
        <w:rPr>
          <w:rFonts w:ascii="Times New Roman" w:cs="Times New Roman" w:eastAsia="Times New Roman" w:hAnsi="Times New Roman"/>
          <w:sz w:val="18"/>
          <w:szCs w:val="18"/>
          <w:u w:val="single" w:color="auto"/>
          <w:color w:val="0000EE"/>
        </w:rPr>
      </w:pPr>
    </w:p>
    <w:p>
      <w:pPr>
        <w:ind w:right="99"/>
        <w:spacing w:after="0" w:line="250" w:lineRule="auto"/>
        <w:rPr>
          <w:sz w:val="20"/>
          <w:szCs w:val="20"/>
          <w:color w:val="auto"/>
        </w:rPr>
      </w:pPr>
      <w:r>
        <w:rPr>
          <w:rFonts w:ascii="Times New Roman" w:cs="Times New Roman" w:eastAsia="Times New Roman" w:hAnsi="Times New Roman"/>
          <w:sz w:val="18"/>
          <w:szCs w:val="18"/>
          <w:u w:val="single" w:color="auto"/>
          <w:color w:val="0000EE"/>
        </w:rPr>
        <w:t>Credit Agreement between CTO Realty Growth, Inc., the Borrower, the Guarantors party thereto, the Lenders party thereto and KeyBank National Association, as Administrative Agent, dated September 30, 2024, filed herewith</w:t>
      </w:r>
      <w:r>
        <w:rPr>
          <w:rFonts w:ascii="Times New Roman" w:cs="Times New Roman" w:eastAsia="Times New Roman" w:hAnsi="Times New Roman"/>
          <w:sz w:val="18"/>
          <w:szCs w:val="18"/>
          <w:color w:val="000000"/>
        </w:rPr>
        <w:t>.</w:t>
      </w:r>
    </w:p>
    <w:p>
      <w:pPr>
        <w:spacing w:after="0" w:line="163" w:lineRule="exact"/>
        <w:rPr>
          <w:rFonts w:ascii="Times New Roman" w:cs="Times New Roman" w:eastAsia="Times New Roman" w:hAnsi="Times New Roman"/>
          <w:sz w:val="18"/>
          <w:szCs w:val="18"/>
          <w:u w:val="single" w:color="auto"/>
          <w:color w:val="0000EE"/>
        </w:rPr>
      </w:pPr>
    </w:p>
    <w:p>
      <w:pPr>
        <w:ind w:right="159"/>
        <w:spacing w:after="0" w:line="266" w:lineRule="auto"/>
        <w:rPr>
          <w:sz w:val="20"/>
          <w:szCs w:val="20"/>
          <w:color w:val="auto"/>
        </w:rPr>
      </w:pPr>
      <w:r>
        <w:rPr>
          <w:rFonts w:ascii="Times New Roman" w:cs="Times New Roman" w:eastAsia="Times New Roman" w:hAnsi="Times New Roman"/>
          <w:sz w:val="18"/>
          <w:szCs w:val="18"/>
          <w:u w:val="single" w:color="auto"/>
          <w:color w:val="0000EE"/>
        </w:rPr>
        <w:t>Employment Agreement between CTO Realty Growth, Inc. and Lisa M. Vorakoun entered into October 22, 2024, filed herewith</w:t>
      </w:r>
      <w:r>
        <w:rPr>
          <w:rFonts w:ascii="Times New Roman" w:cs="Times New Roman" w:eastAsia="Times New Roman" w:hAnsi="Times New Roman"/>
          <w:sz w:val="18"/>
          <w:szCs w:val="18"/>
          <w:color w:val="000000"/>
        </w:rPr>
        <w:t>.</w:t>
      </w:r>
    </w:p>
    <w:p>
      <w:pPr>
        <w:spacing w:after="0" w:line="132"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60" w:space="720"/>
            <w:col w:w="763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1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7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Amendment to the Employment Agreement between CTO Realty Growth, Inc. and John P. Albright</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7200" w:type="dxa"/>
            <w:vAlign w:val="bottom"/>
            <w:tcBorders>
              <w:top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rPr>
              <w:t>entered into October 22, 2024, filed herewith</w:t>
            </w:r>
            <w:r>
              <w:rPr>
                <w:rFonts w:ascii="Times New Roman" w:cs="Times New Roman" w:eastAsia="Times New Roman" w:hAnsi="Times New Roman"/>
                <w:sz w:val="18"/>
                <w:szCs w:val="18"/>
                <w:color w:val="000000"/>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(10.5)†</w:t>
            </w:r>
          </w:p>
        </w:tc>
        <w:tc>
          <w:tcPr>
            <w:tcW w:w="32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20" w:type="dxa"/>
            <w:vAlign w:val="bottom"/>
            <w:vMerge w:val="continue"/>
          </w:tcPr>
          <w:p>
            <w:pPr>
              <w:spacing w:after="0"/>
              <w:rPr>
                <w:sz w:val="24"/>
                <w:szCs w:val="24"/>
                <w:color w:val="auto"/>
              </w:rPr>
            </w:pPr>
          </w:p>
        </w:tc>
        <w:tc>
          <w:tcPr>
            <w:tcW w:w="7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Amendment to the Employment Agreement between CTO Realty Growth, Inc. and Steven R.</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67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Greathouse entered into October 22, 2024, filed herewith</w:t>
            </w:r>
            <w:r>
              <w:rPr>
                <w:rFonts w:ascii="Times New Roman" w:cs="Times New Roman" w:eastAsia="Times New Roman" w:hAnsi="Times New Roman"/>
                <w:sz w:val="18"/>
                <w:szCs w:val="18"/>
                <w:color w:val="000000"/>
              </w:rPr>
              <w:t>.</w:t>
            </w:r>
          </w:p>
        </w:tc>
        <w:tc>
          <w:tcPr>
            <w:tcW w:w="4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(10.6)†</w:t>
            </w:r>
          </w:p>
        </w:tc>
        <w:tc>
          <w:tcPr>
            <w:tcW w:w="4120" w:type="dxa"/>
            <w:vAlign w:val="bottom"/>
            <w:gridSpan w:val="2"/>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20" w:type="dxa"/>
            <w:vAlign w:val="bottom"/>
            <w:vMerge w:val="continue"/>
          </w:tcPr>
          <w:p>
            <w:pPr>
              <w:spacing w:after="0"/>
              <w:rPr>
                <w:sz w:val="24"/>
                <w:szCs w:val="24"/>
                <w:color w:val="auto"/>
              </w:rPr>
            </w:pPr>
          </w:p>
        </w:tc>
        <w:tc>
          <w:tcPr>
            <w:tcW w:w="7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Amendment to the Employment Agreement between CTO Realty Growth, Inc. and Daniel E. Smith</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7180" w:type="dxa"/>
            <w:vAlign w:val="bottom"/>
            <w:tcBorders>
              <w:top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E"/>
              </w:rPr>
              <w:t>entered into October 22, 2024, filed herewith</w:t>
            </w:r>
            <w:r>
              <w:rPr>
                <w:rFonts w:ascii="Times New Roman" w:cs="Times New Roman" w:eastAsia="Times New Roman" w:hAnsi="Times New Roman"/>
                <w:sz w:val="18"/>
                <w:szCs w:val="18"/>
                <w:color w:val="000000"/>
              </w:rPr>
              <w:t>.</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rFonts w:ascii="Times New Roman" w:cs="Times New Roman" w:eastAsia="Times New Roman" w:hAnsi="Times New Roman"/>
          <w:sz w:val="18"/>
          <w:szCs w:val="18"/>
          <w:u w:val="single" w:color="auto"/>
          <w:color w:val="0000EE"/>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31.1</w:t>
      </w:r>
      <w:r>
        <w:rPr>
          <w:sz w:val="20"/>
          <w:szCs w:val="20"/>
          <w:color w:val="auto"/>
        </w:rPr>
        <w:tab/>
      </w:r>
      <w:r>
        <w:rPr>
          <w:rFonts w:ascii="Times New Roman" w:cs="Times New Roman" w:eastAsia="Times New Roman" w:hAnsi="Times New Roman"/>
          <w:sz w:val="17"/>
          <w:szCs w:val="17"/>
          <w:u w:val="single" w:color="auto"/>
          <w:color w:val="0000EE"/>
        </w:rPr>
        <w:t>Certification filed pursuant to Section 302 of the Sarbanes-Oxley Act of 2002.</w:t>
      </w:r>
    </w:p>
    <w:p>
      <w:pPr>
        <w:spacing w:after="0" w:line="115" w:lineRule="exact"/>
        <w:rPr>
          <w:rFonts w:ascii="Times New Roman" w:cs="Times New Roman" w:eastAsia="Times New Roman" w:hAnsi="Times New Roman"/>
          <w:sz w:val="18"/>
          <w:szCs w:val="18"/>
          <w:u w:val="single" w:color="auto"/>
          <w:color w:val="0000EE"/>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31.2</w:t>
      </w:r>
      <w:r>
        <w:rPr>
          <w:sz w:val="20"/>
          <w:szCs w:val="20"/>
          <w:color w:val="auto"/>
        </w:rPr>
        <w:tab/>
      </w:r>
      <w:r>
        <w:rPr>
          <w:rFonts w:ascii="Times New Roman" w:cs="Times New Roman" w:eastAsia="Times New Roman" w:hAnsi="Times New Roman"/>
          <w:sz w:val="17"/>
          <w:szCs w:val="17"/>
          <w:u w:val="single" w:color="auto"/>
          <w:color w:val="0000EE"/>
        </w:rPr>
        <w:t>Certification filed pursuant to Section 302 of the Sarbanes-Oxley Act of 2002.</w:t>
      </w:r>
    </w:p>
    <w:p>
      <w:pPr>
        <w:spacing w:after="0" w:line="115" w:lineRule="exact"/>
        <w:rPr>
          <w:rFonts w:ascii="Times New Roman" w:cs="Times New Roman" w:eastAsia="Times New Roman" w:hAnsi="Times New Roman"/>
          <w:sz w:val="18"/>
          <w:szCs w:val="18"/>
          <w:u w:val="single" w:color="auto"/>
          <w:color w:val="0000EE"/>
        </w:rPr>
      </w:pPr>
    </w:p>
    <w:p>
      <w:pPr>
        <w:ind w:left="1380" w:right="659" w:hanging="1336"/>
        <w:spacing w:after="0" w:line="264" w:lineRule="auto"/>
        <w:tabs>
          <w:tab w:leader="none" w:pos="1360" w:val="left"/>
        </w:tabs>
        <w:rPr>
          <w:sz w:val="20"/>
          <w:szCs w:val="20"/>
          <w:color w:val="auto"/>
        </w:rPr>
      </w:pPr>
      <w:r>
        <w:rPr>
          <w:rFonts w:ascii="Times New Roman" w:cs="Times New Roman" w:eastAsia="Times New Roman" w:hAnsi="Times New Roman"/>
          <w:sz w:val="17"/>
          <w:szCs w:val="17"/>
          <w:color w:val="auto"/>
        </w:rPr>
        <w:t>**Exhibit 32.1</w:t>
      </w:r>
      <w:r>
        <w:rPr>
          <w:sz w:val="20"/>
          <w:szCs w:val="20"/>
          <w:color w:val="auto"/>
        </w:rPr>
        <w:tab/>
      </w:r>
      <w:r>
        <w:rPr>
          <w:rFonts w:ascii="Times New Roman" w:cs="Times New Roman" w:eastAsia="Times New Roman" w:hAnsi="Times New Roman"/>
          <w:sz w:val="17"/>
          <w:szCs w:val="17"/>
          <w:u w:val="single" w:color="auto"/>
          <w:color w:val="0000EE"/>
        </w:rPr>
        <w:t>Certification furnished pursuant to 18 U.S.C. Section 1350, as Adopted pursuant to Section 906 of the Sarbanes-Oxley Act of 2002.</w:t>
      </w:r>
    </w:p>
    <w:p>
      <w:pPr>
        <w:spacing w:after="0" w:line="83" w:lineRule="exact"/>
        <w:rPr>
          <w:rFonts w:ascii="Times New Roman" w:cs="Times New Roman" w:eastAsia="Times New Roman" w:hAnsi="Times New Roman"/>
          <w:sz w:val="18"/>
          <w:szCs w:val="18"/>
          <w:u w:val="single" w:color="auto"/>
          <w:color w:val="0000EE"/>
        </w:rPr>
      </w:pPr>
    </w:p>
    <w:p>
      <w:pPr>
        <w:ind w:left="1380" w:right="659" w:hanging="1336"/>
        <w:spacing w:after="0" w:line="264" w:lineRule="auto"/>
        <w:tabs>
          <w:tab w:leader="none" w:pos="1360" w:val="left"/>
        </w:tabs>
        <w:rPr>
          <w:sz w:val="20"/>
          <w:szCs w:val="20"/>
          <w:color w:val="auto"/>
        </w:rPr>
      </w:pPr>
      <w:r>
        <w:rPr>
          <w:rFonts w:ascii="Times New Roman" w:cs="Times New Roman" w:eastAsia="Times New Roman" w:hAnsi="Times New Roman"/>
          <w:sz w:val="17"/>
          <w:szCs w:val="17"/>
          <w:color w:val="auto"/>
        </w:rPr>
        <w:t>**Exhibit 32.2</w:t>
      </w:r>
      <w:r>
        <w:rPr>
          <w:sz w:val="20"/>
          <w:szCs w:val="20"/>
          <w:color w:val="auto"/>
        </w:rPr>
        <w:tab/>
      </w:r>
      <w:r>
        <w:rPr>
          <w:rFonts w:ascii="Times New Roman" w:cs="Times New Roman" w:eastAsia="Times New Roman" w:hAnsi="Times New Roman"/>
          <w:sz w:val="17"/>
          <w:szCs w:val="17"/>
          <w:u w:val="single" w:color="auto"/>
          <w:color w:val="0000EE"/>
        </w:rPr>
        <w:t>Certification furnished pursuant to 18 U.S.C. Section 1350, as Adopted pursuant to Section 906 of the Sarbanes-Oxley Act of 2002.</w:t>
      </w:r>
    </w:p>
    <w:p>
      <w:pPr>
        <w:spacing w:after="0" w:line="83" w:lineRule="exact"/>
        <w:rPr>
          <w:rFonts w:ascii="Times New Roman" w:cs="Times New Roman" w:eastAsia="Times New Roman" w:hAnsi="Times New Roman"/>
          <w:sz w:val="18"/>
          <w:szCs w:val="18"/>
          <w:u w:val="single" w:color="auto"/>
          <w:color w:val="0000EE"/>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101.INS</w:t>
        <w:tab/>
        <w:t>Inline XBRL Instance Document</w:t>
      </w:r>
    </w:p>
    <w:p>
      <w:pPr>
        <w:spacing w:after="0" w:line="115" w:lineRule="exact"/>
        <w:rPr>
          <w:rFonts w:ascii="Times New Roman" w:cs="Times New Roman" w:eastAsia="Times New Roman" w:hAnsi="Times New Roman"/>
          <w:sz w:val="18"/>
          <w:szCs w:val="18"/>
          <w:u w:val="single" w:color="auto"/>
          <w:color w:val="0000EE"/>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101.SCH</w:t>
        <w:tab/>
        <w:t>Inline XBRL Taxonomy Extension Schema Document</w:t>
      </w:r>
    </w:p>
    <w:p>
      <w:pPr>
        <w:spacing w:after="0" w:line="115" w:lineRule="exact"/>
        <w:rPr>
          <w:rFonts w:ascii="Times New Roman" w:cs="Times New Roman" w:eastAsia="Times New Roman" w:hAnsi="Times New Roman"/>
          <w:sz w:val="18"/>
          <w:szCs w:val="18"/>
          <w:u w:val="single" w:color="auto"/>
          <w:color w:val="0000EE"/>
        </w:rPr>
      </w:pPr>
    </w:p>
    <w:p>
      <w:pPr>
        <w:ind w:left="60" w:right="2979"/>
        <w:spacing w:after="0" w:line="414" w:lineRule="auto"/>
        <w:rPr>
          <w:sz w:val="20"/>
          <w:szCs w:val="20"/>
          <w:color w:val="auto"/>
        </w:rPr>
      </w:pPr>
      <w:r>
        <w:rPr>
          <w:rFonts w:ascii="Times New Roman" w:cs="Times New Roman" w:eastAsia="Times New Roman" w:hAnsi="Times New Roman"/>
          <w:sz w:val="17"/>
          <w:szCs w:val="17"/>
          <w:color w:val="auto"/>
        </w:rPr>
        <w:t>Exhibit 101.CAL Inline XBRL Taxonomy Extension Calculation Linkbase Document Exhibit 101.DEF Inline XBRL Taxonomy Definition Linkbase Document</w:t>
      </w:r>
    </w:p>
    <w:p>
      <w:pPr>
        <w:sectPr>
          <w:pgSz w:w="11900" w:h="16838" w:orient="portrait"/>
          <w:cols w:equalWidth="0" w:num="1">
            <w:col w:w="9019"/>
          </w:cols>
          <w:pgMar w:left="1440" w:top="513" w:right="1440" w:bottom="1440" w:gutter="0" w:footer="0" w:header="0"/>
          <w:type w:val="continuous"/>
        </w:sectPr>
      </w:pPr>
    </w:p>
    <w:p>
      <w:pPr>
        <w:spacing w:after="0" w:line="396"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right="2939"/>
        <w:spacing w:after="0" w:line="381" w:lineRule="auto"/>
        <w:rPr>
          <w:sz w:val="20"/>
          <w:szCs w:val="20"/>
          <w:color w:val="auto"/>
        </w:rPr>
      </w:pPr>
      <w:r>
        <w:rPr>
          <w:rFonts w:ascii="Times New Roman" w:cs="Times New Roman" w:eastAsia="Times New Roman" w:hAnsi="Times New Roman"/>
          <w:sz w:val="17"/>
          <w:szCs w:val="17"/>
          <w:color w:val="auto"/>
        </w:rPr>
        <w:t>Exhibit 101.LAB Inline XBRL Taxonomy Extension Label Linkbase Document Exhibit 101.PRE Inline XBRL Taxonomy Extension Presentation Linkbase Document</w:t>
      </w: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sz w:val="20"/>
          <w:szCs w:val="20"/>
          <w:color w:val="auto"/>
        </w:rPr>
      </w:pPr>
    </w:p>
    <w:p>
      <w:pPr>
        <w:spacing w:after="0" w:line="215" w:lineRule="exact"/>
        <w:rPr>
          <w:sz w:val="20"/>
          <w:szCs w:val="20"/>
          <w:color w:val="auto"/>
        </w:rPr>
      </w:pPr>
    </w:p>
    <w:p>
      <w:pPr>
        <w:jc w:val="both"/>
        <w:ind w:left="380" w:right="79" w:hanging="330"/>
        <w:spacing w:after="0" w:line="266" w:lineRule="auto"/>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Portions of this exhibit have been redacted in compliance with Regulation S-K Item 601(b)(2). The omitted information is not material and is the type of information that the Company customarily and actually treats as private and confidential.</w:t>
      </w:r>
    </w:p>
    <w:p>
      <w:pPr>
        <w:spacing w:after="0" w:line="392" w:lineRule="exact"/>
        <w:rPr>
          <w:sz w:val="20"/>
          <w:szCs w:val="20"/>
          <w:color w:val="auto"/>
        </w:rPr>
      </w:pPr>
    </w:p>
    <w:p>
      <w:pPr>
        <w:jc w:val="both"/>
        <w:ind w:left="380" w:right="79" w:hanging="330"/>
        <w:spacing w:after="0" w:line="261"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315" w:lineRule="exact"/>
        <w:rPr>
          <w:sz w:val="20"/>
          <w:szCs w:val="20"/>
          <w:color w:val="auto"/>
        </w:rPr>
      </w:pPr>
    </w:p>
    <w:p>
      <w:pPr>
        <w:ind w:left="380" w:hanging="330"/>
        <w:spacing w:after="0"/>
        <w:tabs>
          <w:tab w:leader="none" w:pos="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0" w:lineRule="exact"/>
        <w:rPr>
          <w:rFonts w:ascii="Times New Roman" w:cs="Times New Roman" w:eastAsia="Times New Roman" w:hAnsi="Times New Roman"/>
          <w:sz w:val="17"/>
          <w:szCs w:val="17"/>
          <w:color w:val="auto"/>
        </w:rPr>
      </w:pPr>
    </w:p>
    <w:p>
      <w:pPr>
        <w:ind w:left="4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October 24, 2024</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25546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61"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October 24, 2024</w:t>
      </w:r>
      <w:r>
        <w:rPr>
          <w:sz w:val="20"/>
          <w:szCs w:val="20"/>
          <w:color w:val="auto"/>
        </w:rPr>
        <w:tab/>
      </w:r>
      <w:r>
        <w:rPr>
          <w:rFonts w:ascii="Times New Roman" w:cs="Times New Roman" w:eastAsia="Times New Roman" w:hAnsi="Times New Roman"/>
          <w:sz w:val="18"/>
          <w:szCs w:val="18"/>
          <w:color w:val="auto"/>
        </w:rPr>
        <w:t>By:  /s/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Philip R. Mays, Senior Vice President,</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56"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October 24, 2024</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Senior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10.2</w:t>
      </w:r>
    </w:p>
    <w:p>
      <w:pPr>
        <w:spacing w:after="0" w:line="1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14"/>
          <w:szCs w:val="14"/>
          <w:i w:val="1"/>
          <w:iCs w:val="1"/>
          <w:color w:val="auto"/>
        </w:rPr>
        <w:t>xecution</w:t>
      </w:r>
      <w:r>
        <w:rPr>
          <w:rFonts w:ascii="Times New Roman" w:cs="Times New Roman" w:eastAsia="Times New Roman" w:hAnsi="Times New Roman"/>
          <w:sz w:val="22"/>
          <w:szCs w:val="22"/>
          <w:i w:val="1"/>
          <w:iCs w:val="1"/>
          <w:color w:val="auto"/>
        </w:rPr>
        <w:t xml:space="preserve"> V</w:t>
      </w:r>
      <w:r>
        <w:rPr>
          <w:rFonts w:ascii="Times New Roman" w:cs="Times New Roman" w:eastAsia="Times New Roman" w:hAnsi="Times New Roman"/>
          <w:sz w:val="14"/>
          <w:szCs w:val="14"/>
          <w:i w:val="1"/>
          <w:i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458470</wp:posOffset>
            </wp:positionV>
            <wp:extent cx="54521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ated as of</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eptember</w:t>
      </w:r>
      <w:r>
        <w:rPr>
          <w:rFonts w:ascii="Times New Roman" w:cs="Times New Roman" w:eastAsia="Times New Roman" w:hAnsi="Times New Roman"/>
          <w:sz w:val="22"/>
          <w:szCs w:val="22"/>
          <w:color w:val="auto"/>
        </w:rPr>
        <w:t xml:space="preserve"> 30, 2024</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among</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CTO R</w:t>
      </w:r>
      <w:r>
        <w:rPr>
          <w:rFonts w:ascii="Times New Roman" w:cs="Times New Roman" w:eastAsia="Times New Roman" w:hAnsi="Times New Roman"/>
          <w:sz w:val="14"/>
          <w:szCs w:val="14"/>
          <w:color w:val="auto"/>
        </w:rPr>
        <w:t>ealty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uarantors</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rom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arties</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ereto</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enders</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rom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arties</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ereto</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xml:space="preserve">as </w:t>
      </w:r>
      <w:r>
        <w:rPr>
          <w:rFonts w:ascii="Times New Roman" w:cs="Times New Roman" w:eastAsia="Times New Roman" w:hAnsi="Times New Roman"/>
          <w:sz w:val="21"/>
          <w:szCs w:val="21"/>
          <w:color w:val="auto"/>
        </w:rPr>
        <w:t>A</w:t>
      </w:r>
      <w:r>
        <w:rPr>
          <w:rFonts w:ascii="Times New Roman" w:cs="Times New Roman" w:eastAsia="Times New Roman" w:hAnsi="Times New Roman"/>
          <w:sz w:val="15"/>
          <w:szCs w:val="15"/>
          <w:color w:val="auto"/>
        </w:rPr>
        <w:t xml:space="preserve">dministrative </w:t>
      </w:r>
      <w:r>
        <w:rPr>
          <w:rFonts w:ascii="Times New Roman" w:cs="Times New Roman" w:eastAsia="Times New Roman" w:hAnsi="Times New Roman"/>
          <w:sz w:val="21"/>
          <w:szCs w:val="21"/>
          <w:color w:val="auto"/>
        </w:rPr>
        <w:t>A</w:t>
      </w:r>
      <w:r>
        <w:rPr>
          <w:rFonts w:ascii="Times New Roman" w:cs="Times New Roman" w:eastAsia="Times New Roman" w:hAnsi="Times New Roman"/>
          <w:sz w:val="15"/>
          <w:szCs w:val="15"/>
          <w:color w:val="auto"/>
        </w:rPr>
        <w:t>gent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157480</wp:posOffset>
            </wp:positionV>
            <wp:extent cx="5452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174625</wp:posOffset>
            </wp:positionV>
            <wp:extent cx="54521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200" w:right="219"/>
        <w:spacing w:after="0" w:line="249" w:lineRule="auto"/>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arkets</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PNC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arkets</w:t>
      </w:r>
      <w:r>
        <w:rPr>
          <w:rFonts w:ascii="Times New Roman" w:cs="Times New Roman" w:eastAsia="Times New Roman" w:hAnsi="Times New Roman"/>
          <w:sz w:val="22"/>
          <w:szCs w:val="22"/>
          <w:color w:val="auto"/>
        </w:rPr>
        <w:t xml:space="preserve"> LLC, </w:t>
      </w:r>
      <w:r>
        <w:rPr>
          <w:rFonts w:ascii="Times New Roman" w:cs="Times New Roman" w:eastAsia="Times New Roman" w:hAnsi="Times New Roman"/>
          <w:sz w:val="14"/>
          <w:szCs w:val="14"/>
          <w:color w:val="auto"/>
        </w:rPr>
        <w:t>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egions</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arkets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 xml:space="preserve">as </w:t>
      </w:r>
      <w:r>
        <w:rPr>
          <w:rFonts w:ascii="Times New Roman" w:cs="Times New Roman" w:eastAsia="Times New Roman" w:hAnsi="Times New Roman"/>
          <w:sz w:val="21"/>
          <w:szCs w:val="21"/>
          <w:color w:val="auto"/>
        </w:rPr>
        <w:t>J</w:t>
      </w:r>
      <w:r>
        <w:rPr>
          <w:rFonts w:ascii="Times New Roman" w:cs="Times New Roman" w:eastAsia="Times New Roman" w:hAnsi="Times New Roman"/>
          <w:sz w:val="14"/>
          <w:szCs w:val="14"/>
          <w:color w:val="auto"/>
        </w:rPr>
        <w:t xml:space="preserve">oint </w:t>
      </w:r>
      <w:r>
        <w:rPr>
          <w:rFonts w:ascii="Times New Roman" w:cs="Times New Roman" w:eastAsia="Times New Roman" w:hAnsi="Times New Roman"/>
          <w:sz w:val="21"/>
          <w:szCs w:val="21"/>
          <w:color w:val="auto"/>
        </w:rPr>
        <w:t>L</w:t>
      </w:r>
      <w:r>
        <w:rPr>
          <w:rFonts w:ascii="Times New Roman" w:cs="Times New Roman" w:eastAsia="Times New Roman" w:hAnsi="Times New Roman"/>
          <w:sz w:val="14"/>
          <w:szCs w:val="14"/>
          <w:color w:val="auto"/>
        </w:rPr>
        <w:t xml:space="preserve">ead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rrangers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PNC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egions</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xml:space="preserve">as </w:t>
      </w:r>
      <w:r>
        <w:rPr>
          <w:rFonts w:ascii="Times New Roman" w:cs="Times New Roman" w:eastAsia="Times New Roman" w:hAnsi="Times New Roman"/>
          <w:sz w:val="21"/>
          <w:szCs w:val="21"/>
          <w:color w:val="auto"/>
        </w:rPr>
        <w:t>S</w:t>
      </w:r>
      <w:r>
        <w:rPr>
          <w:rFonts w:ascii="Times New Roman" w:cs="Times New Roman" w:eastAsia="Times New Roman" w:hAnsi="Times New Roman"/>
          <w:sz w:val="15"/>
          <w:szCs w:val="15"/>
          <w:color w:val="auto"/>
        </w:rPr>
        <w:t xml:space="preserve">yndication </w:t>
      </w:r>
      <w:r>
        <w:rPr>
          <w:rFonts w:ascii="Times New Roman" w:cs="Times New Roman" w:eastAsia="Times New Roman" w:hAnsi="Times New Roman"/>
          <w:sz w:val="21"/>
          <w:szCs w:val="21"/>
          <w:color w:val="auto"/>
        </w:rPr>
        <w:t>A</w:t>
      </w:r>
      <w:r>
        <w:rPr>
          <w:rFonts w:ascii="Times New Roman" w:cs="Times New Roman" w:eastAsia="Times New Roman" w:hAnsi="Times New Roman"/>
          <w:sz w:val="15"/>
          <w:szCs w:val="15"/>
          <w:color w:val="auto"/>
        </w:rPr>
        <w:t>gents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xml:space="preserve">as </w:t>
      </w:r>
      <w:r>
        <w:rPr>
          <w:rFonts w:ascii="Times New Roman" w:cs="Times New Roman" w:eastAsia="Times New Roman" w:hAnsi="Times New Roman"/>
          <w:sz w:val="21"/>
          <w:szCs w:val="21"/>
          <w:color w:val="auto"/>
        </w:rPr>
        <w:t>S</w:t>
      </w:r>
      <w:r>
        <w:rPr>
          <w:rFonts w:ascii="Times New Roman" w:cs="Times New Roman" w:eastAsia="Times New Roman" w:hAnsi="Times New Roman"/>
          <w:sz w:val="15"/>
          <w:szCs w:val="15"/>
          <w:color w:val="auto"/>
        </w:rPr>
        <w:t xml:space="preserve">ustainability </w:t>
      </w:r>
      <w:r>
        <w:rPr>
          <w:rFonts w:ascii="Times New Roman" w:cs="Times New Roman" w:eastAsia="Times New Roman" w:hAnsi="Times New Roman"/>
          <w:sz w:val="21"/>
          <w:szCs w:val="21"/>
          <w:color w:val="auto"/>
        </w:rPr>
        <w:t>S</w:t>
      </w:r>
      <w:r>
        <w:rPr>
          <w:rFonts w:ascii="Times New Roman" w:cs="Times New Roman" w:eastAsia="Times New Roman" w:hAnsi="Times New Roman"/>
          <w:sz w:val="15"/>
          <w:szCs w:val="15"/>
          <w:color w:val="auto"/>
        </w:rPr>
        <w:t xml:space="preserve">tructuring </w:t>
      </w:r>
      <w:r>
        <w:rPr>
          <w:rFonts w:ascii="Times New Roman" w:cs="Times New Roman" w:eastAsia="Times New Roman" w:hAnsi="Times New Roman"/>
          <w:sz w:val="21"/>
          <w:szCs w:val="21"/>
          <w:color w:val="auto"/>
        </w:rPr>
        <w:t>A</w:t>
      </w:r>
      <w:r>
        <w:rPr>
          <w:rFonts w:ascii="Times New Roman" w:cs="Times New Roman" w:eastAsia="Times New Roman" w:hAnsi="Times New Roman"/>
          <w:sz w:val="15"/>
          <w:szCs w:val="15"/>
          <w:color w:val="auto"/>
        </w:rPr>
        <w:t>gent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anc</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arkets</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xml:space="preserve">as </w:t>
      </w:r>
      <w:r>
        <w:rPr>
          <w:rFonts w:ascii="Times New Roman" w:cs="Times New Roman" w:eastAsia="Times New Roman" w:hAnsi="Times New Roman"/>
          <w:sz w:val="21"/>
          <w:szCs w:val="21"/>
          <w:color w:val="auto"/>
        </w:rPr>
        <w:t>S</w:t>
      </w:r>
      <w:r>
        <w:rPr>
          <w:rFonts w:ascii="Times New Roman" w:cs="Times New Roman" w:eastAsia="Times New Roman" w:hAnsi="Times New Roman"/>
          <w:sz w:val="15"/>
          <w:szCs w:val="15"/>
          <w:color w:val="auto"/>
        </w:rPr>
        <w:t xml:space="preserve">ole </w:t>
      </w:r>
      <w:r>
        <w:rPr>
          <w:rFonts w:ascii="Times New Roman" w:cs="Times New Roman" w:eastAsia="Times New Roman" w:hAnsi="Times New Roman"/>
          <w:sz w:val="21"/>
          <w:szCs w:val="21"/>
          <w:color w:val="auto"/>
        </w:rPr>
        <w:t>B</w:t>
      </w:r>
      <w:r>
        <w:rPr>
          <w:rFonts w:ascii="Times New Roman" w:cs="Times New Roman" w:eastAsia="Times New Roman" w:hAnsi="Times New Roman"/>
          <w:sz w:val="15"/>
          <w:szCs w:val="15"/>
          <w:color w:val="auto"/>
        </w:rPr>
        <w:t xml:space="preserve">ook </w:t>
      </w:r>
      <w:r>
        <w:rPr>
          <w:rFonts w:ascii="Times New Roman" w:cs="Times New Roman" w:eastAsia="Times New Roman" w:hAnsi="Times New Roman"/>
          <w:sz w:val="21"/>
          <w:szCs w:val="21"/>
          <w:color w:val="auto"/>
        </w:rPr>
        <w:t>R</w:t>
      </w:r>
      <w:r>
        <w:rPr>
          <w:rFonts w:ascii="Times New Roman" w:cs="Times New Roman" w:eastAsia="Times New Roman" w:hAnsi="Times New Roman"/>
          <w:sz w:val="15"/>
          <w:szCs w:val="15"/>
          <w:color w:val="auto"/>
        </w:rPr>
        <w:t>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4077829.13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tbl>
      <w:tblPr>
        <w:tblLayout w:type="fixed"/>
        <w:tblInd w:w="220" w:type="dxa"/>
        <w:tblCellMar>
          <w:top w:w="0" w:type="dxa"/>
          <w:left w:w="0" w:type="dxa"/>
          <w:bottom w:w="0" w:type="dxa"/>
          <w:right w:w="0" w:type="dxa"/>
        </w:tblCellMar>
      </w:tblPr>
      <w:tr>
        <w:trPr>
          <w:trHeight w:val="253"/>
        </w:trPr>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80" w:type="dxa"/>
            <w:vAlign w:val="bottom"/>
            <w:gridSpan w:val="16"/>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Table of Contents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8360" w:type="dxa"/>
            <w:vAlign w:val="bottom"/>
            <w:gridSpan w:val="46"/>
          </w:tcPr>
          <w:p>
            <w:pPr>
              <w:spacing w:after="0" w:line="232" w:lineRule="exact"/>
              <w:rPr>
                <w:sz w:val="20"/>
                <w:szCs w:val="20"/>
                <w:color w:val="auto"/>
              </w:rPr>
            </w:pPr>
            <w:r>
              <w:rPr>
                <w:rFonts w:ascii="Times New Roman" w:cs="Times New Roman" w:eastAsia="Times New Roman" w:hAnsi="Times New Roman"/>
                <w:sz w:val="22"/>
                <w:szCs w:val="22"/>
                <w:i w:val="1"/>
                <w:iCs w:val="1"/>
                <w:color w:val="0000EE"/>
                <w:highlight w:val="white"/>
              </w:rPr>
              <w:t>SECTION 1.  The Credit Facility</w:t>
            </w:r>
          </w:p>
        </w:tc>
        <w:tc>
          <w:tcPr>
            <w:tcW w:w="240" w:type="dxa"/>
            <w:vAlign w:val="bottom"/>
            <w:gridSpan w:val="4"/>
          </w:tcPr>
          <w:p>
            <w:pPr>
              <w:jc w:val="right"/>
              <w:ind w:right="20"/>
              <w:spacing w:after="0" w:line="232" w:lineRule="exact"/>
              <w:rPr>
                <w:sz w:val="20"/>
                <w:szCs w:val="20"/>
                <w:color w:val="auto"/>
              </w:rPr>
            </w:pPr>
            <w:r>
              <w:rPr>
                <w:rFonts w:ascii="Times New Roman" w:cs="Times New Roman" w:eastAsia="Times New Roman" w:hAnsi="Times New Roman"/>
                <w:sz w:val="22"/>
                <w:szCs w:val="22"/>
                <w:i w:val="1"/>
                <w:iCs w:val="1"/>
                <w:color w:val="0000EE"/>
              </w:rPr>
              <w:t>1</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4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1.1.</w:t>
            </w:r>
          </w:p>
        </w:tc>
        <w:tc>
          <w:tcPr>
            <w:tcW w:w="120" w:type="dxa"/>
            <w:vAlign w:val="bottom"/>
          </w:tcPr>
          <w:p>
            <w:pPr>
              <w:spacing w:after="0"/>
              <w:rPr>
                <w:sz w:val="19"/>
                <w:szCs w:val="19"/>
                <w:color w:val="auto"/>
              </w:rPr>
            </w:pPr>
          </w:p>
        </w:tc>
        <w:tc>
          <w:tcPr>
            <w:tcW w:w="1520" w:type="dxa"/>
            <w:vAlign w:val="bottom"/>
            <w:gridSpan w:val="1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Reserved</w:t>
            </w: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2"/>
              </w:rPr>
              <w:t>The 2029</w:t>
            </w:r>
          </w:p>
        </w:tc>
        <w:tc>
          <w:tcPr>
            <w:tcW w:w="40" w:type="dxa"/>
            <w:vAlign w:val="bottom"/>
          </w:tcPr>
          <w:p>
            <w:pPr>
              <w:spacing w:after="0"/>
              <w:rPr>
                <w:sz w:val="19"/>
                <w:szCs w:val="19"/>
                <w:color w:val="auto"/>
              </w:rPr>
            </w:pPr>
          </w:p>
        </w:tc>
        <w:tc>
          <w:tcPr>
            <w:tcW w:w="6160" w:type="dxa"/>
            <w:vAlign w:val="bottom"/>
            <w:gridSpan w:val="33"/>
          </w:tcPr>
          <w:p>
            <w:pPr>
              <w:ind w:left="4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Term Loan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Borders>
              <w:top w:val="single" w:sz="8" w:color="0000EE"/>
            </w:tcBorders>
            <w:gridSpan w:val="2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Reserved</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79"/>
              </w:rPr>
              <w:t>Applicable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1"/>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Interest Rates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1.5.</w:t>
            </w:r>
          </w:p>
        </w:tc>
        <w:tc>
          <w:tcPr>
            <w:tcW w:w="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980" w:type="dxa"/>
            <w:vAlign w:val="bottom"/>
            <w:gridSpan w:val="4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Minimum Borrowing Amounts; Maximum Term SOFR Rate Loans</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tcBorders>
              <w:top w:val="single" w:sz="8" w:color="0000EE"/>
            </w:tcBorders>
            <w:gridSpan w:val="3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Manner of Borrowing Loans and Designating Applicable Interest</w:t>
            </w:r>
          </w:p>
        </w:tc>
        <w:tc>
          <w:tcPr>
            <w:tcW w:w="12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Rates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80" w:type="dxa"/>
            <w:vAlign w:val="bottom"/>
            <w:tcBorders>
              <w:top w:val="single" w:sz="8" w:color="0000EE"/>
            </w:tcBorders>
            <w:gridSpan w:val="3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Maturity of Loans</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top w:val="single" w:sz="8" w:color="0000EE"/>
            </w:tcBorders>
            <w:gridSpan w:val="1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Prepayments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0000EE"/>
            </w:tcBorders>
            <w:gridSpan w:val="1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Default Rate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160" w:type="dxa"/>
            <w:vAlign w:val="bottom"/>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1.10.  Evidence of Indebtedness</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Borders>
              <w:top w:val="single" w:sz="8" w:color="0000EE"/>
            </w:tcBorders>
            <w:gridSpan w:val="2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Funding Indemnity</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Borders>
              <w:top w:val="single" w:sz="8" w:color="0000EE"/>
            </w:tcBorders>
            <w:gridSpan w:val="20"/>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Reserved</w:t>
            </w: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1.13.</w:t>
            </w:r>
          </w:p>
        </w:tc>
        <w:tc>
          <w:tcPr>
            <w:tcW w:w="120" w:type="dxa"/>
            <w:vAlign w:val="bottom"/>
            <w:gridSpan w:val="3"/>
          </w:tcPr>
          <w:p>
            <w:pPr>
              <w:spacing w:after="0"/>
              <w:rPr>
                <w:sz w:val="19"/>
                <w:szCs w:val="19"/>
                <w:color w:val="auto"/>
              </w:rPr>
            </w:pPr>
          </w:p>
        </w:tc>
        <w:tc>
          <w:tcPr>
            <w:tcW w:w="78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72"/>
              </w:rPr>
              <w:t>Substitution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5800" w:type="dxa"/>
            <w:vAlign w:val="bottom"/>
            <w:gridSpan w:val="27"/>
          </w:tcPr>
          <w:p>
            <w:pPr>
              <w:jc w:val="center"/>
              <w:ind w:right="488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of Lenders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Borders>
              <w:top w:val="single" w:sz="8" w:color="0000EE"/>
            </w:tcBorders>
            <w:gridSpan w:val="2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Defaulting Lenders</w:t>
            </w:r>
          </w:p>
        </w:tc>
        <w:tc>
          <w:tcPr>
            <w:tcW w:w="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1.15.</w:t>
            </w:r>
          </w:p>
        </w:tc>
        <w:tc>
          <w:tcPr>
            <w:tcW w:w="120" w:type="dxa"/>
            <w:vAlign w:val="bottom"/>
            <w:gridSpan w:val="3"/>
            <w:vMerge w:val="continue"/>
          </w:tcPr>
          <w:p>
            <w:pPr>
              <w:spacing w:after="0"/>
              <w:rPr>
                <w:sz w:val="19"/>
                <w:szCs w:val="19"/>
                <w:color w:val="auto"/>
              </w:rPr>
            </w:pPr>
          </w:p>
        </w:tc>
        <w:tc>
          <w:tcPr>
            <w:tcW w:w="6880" w:type="dxa"/>
            <w:vAlign w:val="bottom"/>
            <w:gridSpan w:val="3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Increase in Commitments and Incremental Commitments</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72"/>
              </w:rPr>
              <w:t>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980" w:type="dxa"/>
            <w:vAlign w:val="bottom"/>
            <w:gridSpan w:val="3"/>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490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Reserved</w:t>
            </w:r>
          </w:p>
        </w:tc>
        <w:tc>
          <w:tcPr>
            <w:tcW w:w="1980" w:type="dxa"/>
            <w:vAlign w:val="bottom"/>
            <w:gridSpan w:val="3"/>
            <w:vMerge w:val="continue"/>
          </w:tcPr>
          <w:p>
            <w:pPr>
              <w:spacing w:after="0"/>
              <w:rPr>
                <w:sz w:val="19"/>
                <w:szCs w:val="19"/>
                <w:color w:val="auto"/>
              </w:rPr>
            </w:pP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0000EE"/>
              <w:bottom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4"/>
              </w:rPr>
              <w:t>Reserved</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5"/>
          </w:tcPr>
          <w:p>
            <w:pPr>
              <w:spacing w:after="0"/>
              <w:rPr>
                <w:sz w:val="19"/>
                <w:szCs w:val="19"/>
                <w:color w:val="auto"/>
              </w:rPr>
            </w:pPr>
          </w:p>
        </w:tc>
        <w:tc>
          <w:tcPr>
            <w:tcW w:w="2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4"/>
          </w:tcPr>
          <w:p>
            <w:pPr>
              <w:spacing w:after="0"/>
              <w:rPr>
                <w:sz w:val="19"/>
                <w:szCs w:val="19"/>
                <w:color w:val="auto"/>
              </w:rPr>
            </w:pPr>
          </w:p>
        </w:tc>
        <w:tc>
          <w:tcPr>
            <w:tcW w:w="220" w:type="dxa"/>
            <w:vAlign w:val="bottom"/>
            <w:tcBorders>
              <w:top w:val="single" w:sz="8" w:color="0000EE"/>
              <w:bottom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1.18.</w:t>
            </w:r>
          </w:p>
        </w:tc>
        <w:tc>
          <w:tcPr>
            <w:tcW w:w="120" w:type="dxa"/>
            <w:vAlign w:val="bottom"/>
            <w:gridSpan w:val="3"/>
          </w:tcPr>
          <w:p>
            <w:pPr>
              <w:spacing w:after="0"/>
              <w:rPr>
                <w:sz w:val="19"/>
                <w:szCs w:val="19"/>
                <w:color w:val="auto"/>
              </w:rPr>
            </w:pPr>
          </w:p>
        </w:tc>
        <w:tc>
          <w:tcPr>
            <w:tcW w:w="1480" w:type="dxa"/>
            <w:vAlign w:val="bottom"/>
            <w:tcBorders>
              <w:bottom w:val="single" w:sz="8" w:color="0000EE"/>
            </w:tcBorders>
            <w:gridSpan w:val="1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ESG Amendment</w:t>
            </w:r>
          </w:p>
        </w:tc>
        <w:tc>
          <w:tcPr>
            <w:tcW w:w="5400" w:type="dxa"/>
            <w:vAlign w:val="bottom"/>
            <w:gridSpan w:val="21"/>
          </w:tcPr>
          <w:p>
            <w:pPr>
              <w:spacing w:after="0"/>
              <w:rPr>
                <w:sz w:val="19"/>
                <w:szCs w:val="19"/>
                <w:color w:val="auto"/>
              </w:rPr>
            </w:pPr>
          </w:p>
        </w:tc>
        <w:tc>
          <w:tcPr>
            <w:tcW w:w="220" w:type="dxa"/>
            <w:vAlign w:val="bottom"/>
            <w:tcBorders>
              <w:bottom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1"/>
              </w:rPr>
              <w:t>SECTION 2.</w:t>
            </w:r>
          </w:p>
        </w:tc>
        <w:tc>
          <w:tcPr>
            <w:tcW w:w="120" w:type="dxa"/>
            <w:vAlign w:val="bottom"/>
          </w:tcPr>
          <w:p>
            <w:pPr>
              <w:spacing w:after="0"/>
              <w:rPr>
                <w:sz w:val="19"/>
                <w:szCs w:val="19"/>
                <w:color w:val="auto"/>
              </w:rPr>
            </w:pPr>
          </w:p>
        </w:tc>
        <w:tc>
          <w:tcPr>
            <w:tcW w:w="1600" w:type="dxa"/>
            <w:vAlign w:val="bottom"/>
            <w:gridSpan w:val="2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Fees</w:t>
            </w:r>
          </w:p>
        </w:tc>
        <w:tc>
          <w:tcPr>
            <w:tcW w:w="120" w:type="dxa"/>
            <w:vAlign w:val="bottom"/>
          </w:tcPr>
          <w:p>
            <w:pPr>
              <w:spacing w:after="0"/>
              <w:rPr>
                <w:sz w:val="19"/>
                <w:szCs w:val="19"/>
                <w:color w:val="auto"/>
              </w:rPr>
            </w:pPr>
          </w:p>
        </w:tc>
        <w:tc>
          <w:tcPr>
            <w:tcW w:w="440" w:type="dxa"/>
            <w:vAlign w:val="bottom"/>
            <w:gridSpan w:val="5"/>
          </w:tcPr>
          <w:p>
            <w:pPr>
              <w:spacing w:after="0"/>
              <w:rPr>
                <w:sz w:val="19"/>
                <w:szCs w:val="19"/>
                <w:color w:val="auto"/>
              </w:rPr>
            </w:pPr>
          </w:p>
        </w:tc>
        <w:tc>
          <w:tcPr>
            <w:tcW w:w="2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4"/>
          </w:tcPr>
          <w:p>
            <w:pPr>
              <w:spacing w:after="0"/>
              <w:rPr>
                <w:sz w:val="19"/>
                <w:szCs w:val="19"/>
                <w:color w:val="auto"/>
              </w:rPr>
            </w:pP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90"/>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02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0" w:type="dxa"/>
            <w:vAlign w:val="bottom"/>
            <w:gridSpan w:val="41"/>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Fees</w:t>
            </w:r>
          </w:p>
        </w:tc>
        <w:tc>
          <w:tcPr>
            <w:tcW w:w="20" w:type="dxa"/>
            <w:vAlign w:val="bottom"/>
            <w:vMerge w:val="continue"/>
          </w:tcPr>
          <w:p>
            <w:pPr>
              <w:spacing w:after="0"/>
              <w:rPr>
                <w:sz w:val="19"/>
                <w:szCs w:val="19"/>
                <w:color w:val="auto"/>
              </w:rPr>
            </w:pP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81"/>
              </w:rPr>
              <w:t>11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580" w:type="dxa"/>
            <w:vAlign w:val="bottom"/>
            <w:gridSpan w:val="36"/>
            <w:vMerge w:val="restart"/>
          </w:tcPr>
          <w:p>
            <w:pPr>
              <w:jc w:val="center"/>
              <w:ind w:right="4080"/>
              <w:spacing w:after="0" w:line="243" w:lineRule="exact"/>
              <w:rPr>
                <w:sz w:val="20"/>
                <w:szCs w:val="20"/>
                <w:color w:val="auto"/>
              </w:rPr>
            </w:pPr>
            <w:r>
              <w:rPr>
                <w:rFonts w:ascii="Times New Roman" w:cs="Times New Roman" w:eastAsia="Times New Roman" w:hAnsi="Times New Roman"/>
                <w:sz w:val="22"/>
                <w:szCs w:val="22"/>
                <w:i w:val="1"/>
                <w:iCs w:val="1"/>
                <w:color w:val="0000EE"/>
                <w:highlight w:val="white"/>
                <w:w w:val="98"/>
              </w:rPr>
              <w:t>and Application of Payments</w:t>
            </w:r>
          </w:p>
        </w:tc>
        <w:tc>
          <w:tcPr>
            <w:tcW w:w="20" w:type="dxa"/>
            <w:vAlign w:val="bottom"/>
            <w:vMerge w:val="restart"/>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vMerge w:val="continue"/>
          </w:tcPr>
          <w:p>
            <w:pPr>
              <w:spacing w:after="0"/>
              <w:rPr>
                <w:sz w:val="19"/>
                <w:szCs w:val="19"/>
                <w:color w:val="auto"/>
              </w:rPr>
            </w:pPr>
          </w:p>
        </w:tc>
        <w:tc>
          <w:tcPr>
            <w:tcW w:w="102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9"/>
              </w:rPr>
              <w:t>SECTION 3.</w:t>
            </w:r>
          </w:p>
        </w:tc>
        <w:tc>
          <w:tcPr>
            <w:tcW w:w="560" w:type="dxa"/>
            <w:vAlign w:val="bottom"/>
            <w:gridSpan w:val="7"/>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Place</w:t>
            </w:r>
          </w:p>
        </w:tc>
        <w:tc>
          <w:tcPr>
            <w:tcW w:w="6580" w:type="dxa"/>
            <w:vAlign w:val="bottom"/>
            <w:gridSpan w:val="36"/>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81"/>
              </w:rPr>
              <w:t>11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160" w:type="dxa"/>
            <w:vAlign w:val="bottom"/>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3.1.  Place and Application of Payments</w:t>
            </w:r>
          </w:p>
        </w:tc>
        <w:tc>
          <w:tcPr>
            <w:tcW w:w="20" w:type="dxa"/>
            <w:vAlign w:val="bottom"/>
            <w:vMerge w:val="continue"/>
          </w:tcPr>
          <w:p>
            <w:pPr>
              <w:spacing w:after="0"/>
              <w:rPr>
                <w:sz w:val="19"/>
                <w:szCs w:val="19"/>
                <w:color w:val="auto"/>
              </w:rPr>
            </w:pP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w w:val="81"/>
              </w:rPr>
              <w:t>11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2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9"/>
              </w:rPr>
              <w:t>SECTION 4.</w:t>
            </w: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3040" w:type="dxa"/>
            <w:vAlign w:val="bottom"/>
            <w:tcBorders>
              <w:top w:val="single" w:sz="8" w:color="0000EE"/>
            </w:tcBorders>
            <w:gridSpan w:val="3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Guaranties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1"/>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gridSpan w:val="3"/>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440" w:type="dxa"/>
            <w:vAlign w:val="bottom"/>
            <w:gridSpan w:val="5"/>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20" w:type="dxa"/>
            <w:vAlign w:val="bottom"/>
            <w:gridSpan w:val="4"/>
            <w:vMerge w:val="restart"/>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4.1.</w:t>
            </w:r>
          </w:p>
        </w:tc>
        <w:tc>
          <w:tcPr>
            <w:tcW w:w="120" w:type="dxa"/>
            <w:vAlign w:val="bottom"/>
          </w:tcPr>
          <w:p>
            <w:pPr>
              <w:spacing w:after="0"/>
              <w:rPr>
                <w:sz w:val="19"/>
                <w:szCs w:val="19"/>
                <w:color w:val="auto"/>
              </w:rPr>
            </w:pPr>
          </w:p>
        </w:tc>
        <w:tc>
          <w:tcPr>
            <w:tcW w:w="84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0"/>
              </w:rPr>
              <w:t>Guaranties</w:t>
            </w:r>
          </w:p>
        </w:tc>
        <w:tc>
          <w:tcPr>
            <w:tcW w:w="140" w:type="dxa"/>
            <w:vAlign w:val="bottom"/>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440" w:type="dxa"/>
            <w:vAlign w:val="bottom"/>
            <w:gridSpan w:val="5"/>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3620" w:type="dxa"/>
            <w:vAlign w:val="bottom"/>
            <w:gridSpan w:val="4"/>
            <w:vMerge w:val="continue"/>
          </w:tcPr>
          <w:p>
            <w:pPr>
              <w:spacing w:after="0"/>
              <w:rPr>
                <w:sz w:val="19"/>
                <w:szCs w:val="19"/>
                <w:color w:val="auto"/>
              </w:rPr>
            </w:pP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020" w:type="dxa"/>
            <w:vAlign w:val="bottom"/>
            <w:tcBorders>
              <w:bottom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700" w:type="dxa"/>
            <w:vAlign w:val="bottom"/>
            <w:tcBorders>
              <w:bottom w:val="single" w:sz="8" w:color="0000EE"/>
            </w:tcBorders>
            <w:gridSpan w:val="2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Further Assurances</w:t>
            </w:r>
          </w:p>
        </w:tc>
        <w:tc>
          <w:tcPr>
            <w:tcW w:w="5280" w:type="dxa"/>
            <w:vAlign w:val="bottom"/>
            <w:gridSpan w:val="20"/>
          </w:tcPr>
          <w:p>
            <w:pPr>
              <w:spacing w:after="0"/>
              <w:rPr>
                <w:sz w:val="19"/>
                <w:szCs w:val="19"/>
                <w:color w:val="auto"/>
              </w:rPr>
            </w:pPr>
          </w:p>
        </w:tc>
        <w:tc>
          <w:tcPr>
            <w:tcW w:w="220" w:type="dxa"/>
            <w:vAlign w:val="bottom"/>
            <w:tcBorders>
              <w:bottom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2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9"/>
              </w:rPr>
              <w:t>SECTION 5.</w:t>
            </w: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6980" w:type="dxa"/>
            <w:vAlign w:val="bottom"/>
            <w:gridSpan w:val="4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Definitions; Interpretation</w:t>
            </w: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20" w:type="dxa"/>
            <w:vAlign w:val="bottom"/>
            <w:gridSpan w:val="4"/>
            <w:vMerge w:val="restart"/>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5.1.</w:t>
            </w:r>
          </w:p>
        </w:tc>
        <w:tc>
          <w:tcPr>
            <w:tcW w:w="120" w:type="dxa"/>
            <w:vAlign w:val="bottom"/>
          </w:tcPr>
          <w:p>
            <w:pPr>
              <w:spacing w:after="0"/>
              <w:rPr>
                <w:sz w:val="19"/>
                <w:szCs w:val="19"/>
                <w:color w:val="auto"/>
              </w:rPr>
            </w:pPr>
          </w:p>
        </w:tc>
        <w:tc>
          <w:tcPr>
            <w:tcW w:w="2160" w:type="dxa"/>
            <w:vAlign w:val="bottom"/>
            <w:gridSpan w:val="2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Definitions</w:t>
            </w:r>
          </w:p>
        </w:tc>
        <w:tc>
          <w:tcPr>
            <w:tcW w:w="2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3620" w:type="dxa"/>
            <w:vAlign w:val="bottom"/>
            <w:gridSpan w:val="4"/>
            <w:vMerge w:val="continue"/>
          </w:tcPr>
          <w:p>
            <w:pPr>
              <w:spacing w:after="0"/>
              <w:rPr>
                <w:sz w:val="19"/>
                <w:szCs w:val="19"/>
                <w:color w:val="auto"/>
              </w:rPr>
            </w:pP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0000EE"/>
              <w:bottom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74"/>
              </w:rPr>
              <w:t>Interpretation</w:t>
            </w:r>
          </w:p>
        </w:tc>
        <w:tc>
          <w:tcPr>
            <w:tcW w:w="60" w:type="dxa"/>
            <w:vAlign w:val="bottom"/>
            <w:tcBorders>
              <w:bottom w:val="single" w:sz="8" w:color="0000EE"/>
            </w:tcBorders>
          </w:tcPr>
          <w:p>
            <w:pPr>
              <w:spacing w:after="0"/>
              <w:rPr>
                <w:sz w:val="19"/>
                <w:szCs w:val="19"/>
                <w:color w:val="auto"/>
              </w:rPr>
            </w:pPr>
          </w:p>
        </w:tc>
        <w:tc>
          <w:tcPr>
            <w:tcW w:w="60" w:type="dxa"/>
            <w:vAlign w:val="bottom"/>
            <w:tcBorders>
              <w:bottom w:val="single" w:sz="8" w:color="0000EE"/>
            </w:tcBorders>
          </w:tcPr>
          <w:p>
            <w:pPr>
              <w:spacing w:after="0"/>
              <w:rPr>
                <w:sz w:val="19"/>
                <w:szCs w:val="19"/>
                <w:color w:val="auto"/>
              </w:rPr>
            </w:pPr>
          </w:p>
        </w:tc>
        <w:tc>
          <w:tcPr>
            <w:tcW w:w="100" w:type="dxa"/>
            <w:vAlign w:val="bottom"/>
            <w:tcBorders>
              <w:bottom w:val="single" w:sz="8" w:color="0000EE"/>
            </w:tcBorders>
            <w:gridSpan w:val="2"/>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spacing w:after="0"/>
              <w:rPr>
                <w:sz w:val="19"/>
                <w:szCs w:val="19"/>
                <w:color w:val="auto"/>
              </w:rPr>
            </w:pPr>
          </w:p>
        </w:tc>
        <w:tc>
          <w:tcPr>
            <w:tcW w:w="800" w:type="dxa"/>
            <w:vAlign w:val="bottom"/>
            <w:gridSpan w:val="9"/>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4"/>
          </w:tcPr>
          <w:p>
            <w:pPr>
              <w:spacing w:after="0"/>
              <w:rPr>
                <w:sz w:val="19"/>
                <w:szCs w:val="19"/>
                <w:color w:val="auto"/>
              </w:rPr>
            </w:pPr>
          </w:p>
        </w:tc>
        <w:tc>
          <w:tcPr>
            <w:tcW w:w="220" w:type="dxa"/>
            <w:vAlign w:val="bottom"/>
            <w:tcBorders>
              <w:top w:val="single" w:sz="8" w:color="0000EE"/>
              <w:bottom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5.3.</w:t>
            </w:r>
          </w:p>
        </w:tc>
        <w:tc>
          <w:tcPr>
            <w:tcW w:w="140" w:type="dxa"/>
            <w:vAlign w:val="bottom"/>
            <w:gridSpan w:val="2"/>
          </w:tcPr>
          <w:p>
            <w:pPr>
              <w:spacing w:after="0"/>
              <w:rPr>
                <w:sz w:val="19"/>
                <w:szCs w:val="19"/>
                <w:color w:val="auto"/>
              </w:rPr>
            </w:pPr>
          </w:p>
        </w:tc>
        <w:tc>
          <w:tcPr>
            <w:tcW w:w="6980" w:type="dxa"/>
            <w:vAlign w:val="bottom"/>
            <w:gridSpan w:val="4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Change in Accounting Principles</w:t>
            </w: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0" w:type="dxa"/>
            <w:vAlign w:val="bottom"/>
            <w:tcBorders>
              <w:top w:val="single" w:sz="8" w:color="0000EE"/>
            </w:tcBorders>
            <w:gridSpan w:val="31"/>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Divisions</w:t>
            </w:r>
          </w:p>
        </w:tc>
        <w:tc>
          <w:tcPr>
            <w:tcW w:w="2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4"/>
          </w:tcPr>
          <w:p>
            <w:pPr>
              <w:spacing w:after="0"/>
              <w:rPr>
                <w:sz w:val="19"/>
                <w:szCs w:val="19"/>
                <w:color w:val="auto"/>
              </w:rPr>
            </w:pPr>
          </w:p>
        </w:tc>
        <w:tc>
          <w:tcPr>
            <w:tcW w:w="220" w:type="dxa"/>
            <w:vAlign w:val="bottom"/>
            <w:tcBorders>
              <w:top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Interest</w:t>
            </w:r>
          </w:p>
        </w:tc>
        <w:tc>
          <w:tcPr>
            <w:tcW w:w="616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Rates</w:t>
            </w:r>
          </w:p>
        </w:tc>
        <w:tc>
          <w:tcPr>
            <w:tcW w:w="220" w:type="dxa"/>
            <w:vAlign w:val="bottom"/>
            <w:tcBorders>
              <w:top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2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9"/>
              </w:rPr>
              <w:t>SECTION 6.</w:t>
            </w:r>
          </w:p>
        </w:tc>
        <w:tc>
          <w:tcPr>
            <w:tcW w:w="160" w:type="dxa"/>
            <w:vAlign w:val="bottom"/>
            <w:gridSpan w:val="3"/>
          </w:tcPr>
          <w:p>
            <w:pPr>
              <w:spacing w:after="0"/>
              <w:rPr>
                <w:sz w:val="19"/>
                <w:szCs w:val="19"/>
                <w:color w:val="auto"/>
              </w:rPr>
            </w:pPr>
          </w:p>
        </w:tc>
        <w:tc>
          <w:tcPr>
            <w:tcW w:w="1180" w:type="dxa"/>
            <w:vAlign w:val="bottom"/>
            <w:tcBorders>
              <w:top w:val="single" w:sz="8" w:color="0000EE"/>
            </w:tcBorders>
            <w:gridSpan w:val="1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1"/>
              </w:rPr>
              <w:t>Representations</w:t>
            </w:r>
          </w:p>
        </w:tc>
        <w:tc>
          <w:tcPr>
            <w:tcW w:w="5800" w:type="dxa"/>
            <w:vAlign w:val="bottom"/>
            <w:gridSpan w:val="27"/>
          </w:tcPr>
          <w:p>
            <w:pPr>
              <w:ind w:left="1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and Warranties</w:t>
            </w:r>
          </w:p>
        </w:tc>
        <w:tc>
          <w:tcPr>
            <w:tcW w:w="220" w:type="dxa"/>
            <w:vAlign w:val="bottom"/>
            <w:tcBorders>
              <w:top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160" w:type="dxa"/>
            <w:vAlign w:val="bottom"/>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6.1.  Organization and Qualification</w:t>
            </w: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48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top w:val="single" w:sz="8" w:color="0000EE"/>
              <w:bottom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5"/>
              </w:rPr>
              <w:t>Subsidiaries</w:t>
            </w:r>
          </w:p>
        </w:tc>
        <w:tc>
          <w:tcPr>
            <w:tcW w:w="1640" w:type="dxa"/>
            <w:vAlign w:val="bottom"/>
            <w:tcBorders>
              <w:top w:val="single" w:sz="8" w:color="0000EE"/>
            </w:tcBorders>
            <w:gridSpan w:val="19"/>
          </w:tcPr>
          <w:p>
            <w:pPr>
              <w:spacing w:after="0"/>
              <w:rPr>
                <w:sz w:val="19"/>
                <w:szCs w:val="19"/>
                <w:color w:val="auto"/>
              </w:rPr>
            </w:pPr>
          </w:p>
        </w:tc>
        <w:tc>
          <w:tcPr>
            <w:tcW w:w="40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4"/>
          </w:tcPr>
          <w:p>
            <w:pPr>
              <w:spacing w:after="0"/>
              <w:rPr>
                <w:sz w:val="19"/>
                <w:szCs w:val="19"/>
                <w:color w:val="auto"/>
              </w:rPr>
            </w:pPr>
          </w:p>
        </w:tc>
        <w:tc>
          <w:tcPr>
            <w:tcW w:w="220" w:type="dxa"/>
            <w:vAlign w:val="bottom"/>
            <w:tcBorders>
              <w:top w:val="single" w:sz="8" w:color="0000EE"/>
              <w:bottom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6.3.</w:t>
            </w:r>
          </w:p>
        </w:tc>
        <w:tc>
          <w:tcPr>
            <w:tcW w:w="140" w:type="dxa"/>
            <w:vAlign w:val="bottom"/>
            <w:gridSpan w:val="2"/>
          </w:tcPr>
          <w:p>
            <w:pPr>
              <w:spacing w:after="0"/>
              <w:rPr>
                <w:sz w:val="19"/>
                <w:szCs w:val="19"/>
                <w:color w:val="auto"/>
              </w:rPr>
            </w:pPr>
          </w:p>
        </w:tc>
        <w:tc>
          <w:tcPr>
            <w:tcW w:w="6980" w:type="dxa"/>
            <w:vAlign w:val="bottom"/>
            <w:gridSpan w:val="4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Authority and Validity of Obligations</w:t>
            </w: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6.4.</w:t>
            </w:r>
          </w:p>
        </w:tc>
        <w:tc>
          <w:tcPr>
            <w:tcW w:w="140" w:type="dxa"/>
            <w:vAlign w:val="bottom"/>
            <w:gridSpan w:val="2"/>
          </w:tcPr>
          <w:p>
            <w:pPr>
              <w:spacing w:after="0"/>
              <w:rPr>
                <w:sz w:val="19"/>
                <w:szCs w:val="19"/>
                <w:color w:val="auto"/>
              </w:rPr>
            </w:pPr>
          </w:p>
        </w:tc>
        <w:tc>
          <w:tcPr>
            <w:tcW w:w="3200" w:type="dxa"/>
            <w:vAlign w:val="bottom"/>
            <w:tcBorders>
              <w:top w:val="single" w:sz="8" w:color="0000EE"/>
            </w:tcBorders>
            <w:gridSpan w:val="3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Use of Proceeds; Margin Stock</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4"/>
          </w:tcPr>
          <w:p>
            <w:pPr>
              <w:spacing w:after="0"/>
              <w:rPr>
                <w:sz w:val="19"/>
                <w:szCs w:val="19"/>
                <w:color w:val="auto"/>
              </w:rPr>
            </w:pPr>
          </w:p>
        </w:tc>
        <w:tc>
          <w:tcPr>
            <w:tcW w:w="220" w:type="dxa"/>
            <w:vAlign w:val="bottom"/>
            <w:tcBorders>
              <w:top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1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Financial Reports</w:t>
            </w:r>
          </w:p>
        </w:tc>
        <w:tc>
          <w:tcPr>
            <w:tcW w:w="1120" w:type="dxa"/>
            <w:vAlign w:val="bottom"/>
            <w:tcBorders>
              <w:top w:val="single" w:sz="8" w:color="0000EE"/>
            </w:tcBorders>
            <w:gridSpan w:val="11"/>
          </w:tcPr>
          <w:p>
            <w:pPr>
              <w:spacing w:after="0"/>
              <w:rPr>
                <w:sz w:val="19"/>
                <w:szCs w:val="19"/>
                <w:color w:val="auto"/>
              </w:rPr>
            </w:pPr>
          </w:p>
        </w:tc>
        <w:tc>
          <w:tcPr>
            <w:tcW w:w="440" w:type="dxa"/>
            <w:vAlign w:val="bottom"/>
            <w:gridSpan w:val="4"/>
          </w:tcPr>
          <w:p>
            <w:pPr>
              <w:spacing w:after="0"/>
              <w:rPr>
                <w:sz w:val="19"/>
                <w:szCs w:val="19"/>
                <w:color w:val="auto"/>
              </w:rPr>
            </w:pPr>
          </w:p>
        </w:tc>
        <w:tc>
          <w:tcPr>
            <w:tcW w:w="2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4"/>
          </w:tcPr>
          <w:p>
            <w:pPr>
              <w:spacing w:after="0"/>
              <w:rPr>
                <w:sz w:val="19"/>
                <w:szCs w:val="19"/>
                <w:color w:val="auto"/>
              </w:rPr>
            </w:pPr>
          </w:p>
        </w:tc>
        <w:tc>
          <w:tcPr>
            <w:tcW w:w="220" w:type="dxa"/>
            <w:vAlign w:val="bottom"/>
            <w:tcBorders>
              <w:top w:val="single" w:sz="8" w:color="0000EE"/>
              <w:bottom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6.6.</w:t>
            </w:r>
          </w:p>
        </w:tc>
        <w:tc>
          <w:tcPr>
            <w:tcW w:w="140" w:type="dxa"/>
            <w:vAlign w:val="bottom"/>
            <w:gridSpan w:val="2"/>
          </w:tcPr>
          <w:p>
            <w:pPr>
              <w:spacing w:after="0"/>
              <w:rPr>
                <w:sz w:val="19"/>
                <w:szCs w:val="19"/>
                <w:color w:val="auto"/>
              </w:rPr>
            </w:pPr>
          </w:p>
        </w:tc>
        <w:tc>
          <w:tcPr>
            <w:tcW w:w="6980" w:type="dxa"/>
            <w:vAlign w:val="bottom"/>
            <w:gridSpan w:val="4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No Material Adverse Effect</w:t>
            </w: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Borders>
              <w:top w:val="single" w:sz="8" w:color="0000EE"/>
            </w:tcBorders>
            <w:gridSpan w:val="2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Full Disclosure</w:t>
            </w:r>
          </w:p>
        </w:tc>
        <w:tc>
          <w:tcPr>
            <w:tcW w:w="760" w:type="dxa"/>
            <w:vAlign w:val="bottom"/>
            <w:gridSpan w:val="6"/>
          </w:tcPr>
          <w:p>
            <w:pPr>
              <w:spacing w:after="0"/>
              <w:rPr>
                <w:sz w:val="19"/>
                <w:szCs w:val="19"/>
                <w:color w:val="auto"/>
              </w:rPr>
            </w:pPr>
          </w:p>
        </w:tc>
        <w:tc>
          <w:tcPr>
            <w:tcW w:w="2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4"/>
          </w:tcPr>
          <w:p>
            <w:pPr>
              <w:spacing w:after="0"/>
              <w:rPr>
                <w:sz w:val="19"/>
                <w:szCs w:val="19"/>
                <w:color w:val="auto"/>
              </w:rPr>
            </w:pPr>
          </w:p>
        </w:tc>
        <w:tc>
          <w:tcPr>
            <w:tcW w:w="220" w:type="dxa"/>
            <w:vAlign w:val="bottom"/>
            <w:tcBorders>
              <w:top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6.8.</w:t>
            </w:r>
          </w:p>
        </w:tc>
        <w:tc>
          <w:tcPr>
            <w:tcW w:w="140" w:type="dxa"/>
            <w:vAlign w:val="bottom"/>
            <w:gridSpan w:val="2"/>
          </w:tcPr>
          <w:p>
            <w:pPr>
              <w:spacing w:after="0"/>
              <w:rPr>
                <w:sz w:val="19"/>
                <w:szCs w:val="19"/>
                <w:color w:val="auto"/>
              </w:rPr>
            </w:pPr>
          </w:p>
        </w:tc>
        <w:tc>
          <w:tcPr>
            <w:tcW w:w="1320" w:type="dxa"/>
            <w:vAlign w:val="bottom"/>
            <w:tcBorders>
              <w:top w:val="single" w:sz="8" w:color="0000EE"/>
            </w:tcBorders>
            <w:gridSpan w:val="1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Trademarks,</w:t>
            </w:r>
          </w:p>
        </w:tc>
        <w:tc>
          <w:tcPr>
            <w:tcW w:w="5660" w:type="dxa"/>
            <w:vAlign w:val="bottom"/>
            <w:gridSpan w:val="2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Franchises, and Licenses</w:t>
            </w:r>
          </w:p>
        </w:tc>
        <w:tc>
          <w:tcPr>
            <w:tcW w:w="220" w:type="dxa"/>
            <w:vAlign w:val="bottom"/>
            <w:tcBorders>
              <w:top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6.9.</w:t>
            </w:r>
          </w:p>
        </w:tc>
        <w:tc>
          <w:tcPr>
            <w:tcW w:w="140" w:type="dxa"/>
            <w:vAlign w:val="bottom"/>
            <w:gridSpan w:val="2"/>
          </w:tcPr>
          <w:p>
            <w:pPr>
              <w:spacing w:after="0"/>
              <w:rPr>
                <w:sz w:val="19"/>
                <w:szCs w:val="19"/>
                <w:color w:val="auto"/>
              </w:rPr>
            </w:pPr>
          </w:p>
        </w:tc>
        <w:tc>
          <w:tcPr>
            <w:tcW w:w="3320" w:type="dxa"/>
            <w:vAlign w:val="bottom"/>
            <w:tcBorders>
              <w:top w:val="single" w:sz="8" w:color="0000EE"/>
              <w:bottom w:val="single" w:sz="8" w:color="0000EE"/>
            </w:tcBorders>
            <w:gridSpan w:val="3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5"/>
              </w:rPr>
              <w:t>Governmental Authority and Licensing</w:t>
            </w:r>
          </w:p>
        </w:tc>
        <w:tc>
          <w:tcPr>
            <w:tcW w:w="40" w:type="dxa"/>
            <w:vAlign w:val="bottom"/>
            <w:tcBorders>
              <w:bottom w:val="single" w:sz="8" w:color="0000EE"/>
            </w:tcBorders>
          </w:tcPr>
          <w:p>
            <w:pPr>
              <w:spacing w:after="0"/>
              <w:rPr>
                <w:sz w:val="19"/>
                <w:szCs w:val="19"/>
                <w:color w:val="auto"/>
              </w:rPr>
            </w:pPr>
          </w:p>
        </w:tc>
        <w:tc>
          <w:tcPr>
            <w:tcW w:w="3620" w:type="dxa"/>
            <w:vAlign w:val="bottom"/>
            <w:gridSpan w:val="4"/>
          </w:tcPr>
          <w:p>
            <w:pPr>
              <w:spacing w:after="0"/>
              <w:rPr>
                <w:sz w:val="19"/>
                <w:szCs w:val="19"/>
                <w:color w:val="auto"/>
              </w:rPr>
            </w:pPr>
          </w:p>
        </w:tc>
        <w:tc>
          <w:tcPr>
            <w:tcW w:w="220" w:type="dxa"/>
            <w:vAlign w:val="bottom"/>
            <w:tcBorders>
              <w:top w:val="single" w:sz="8" w:color="0000EE"/>
              <w:bottom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gridSpan w:val="35"/>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Good Title</w:t>
            </w:r>
          </w:p>
        </w:tc>
        <w:tc>
          <w:tcPr>
            <w:tcW w:w="3620" w:type="dxa"/>
            <w:vAlign w:val="bottom"/>
            <w:gridSpan w:val="4"/>
          </w:tcPr>
          <w:p>
            <w:pPr>
              <w:spacing w:after="0"/>
              <w:rPr>
                <w:sz w:val="19"/>
                <w:szCs w:val="19"/>
                <w:color w:val="auto"/>
              </w:rPr>
            </w:pP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6.11.</w:t>
            </w:r>
          </w:p>
        </w:tc>
        <w:tc>
          <w:tcPr>
            <w:tcW w:w="120" w:type="dxa"/>
            <w:vAlign w:val="bottom"/>
            <w:gridSpan w:val="3"/>
          </w:tcPr>
          <w:p>
            <w:pPr>
              <w:spacing w:after="0"/>
              <w:rPr>
                <w:sz w:val="19"/>
                <w:szCs w:val="19"/>
                <w:color w:val="auto"/>
              </w:rPr>
            </w:pPr>
          </w:p>
        </w:tc>
        <w:tc>
          <w:tcPr>
            <w:tcW w:w="920" w:type="dxa"/>
            <w:vAlign w:val="bottom"/>
            <w:tcBorders>
              <w:top w:val="single" w:sz="8" w:color="0000EE"/>
            </w:tcBorders>
            <w:gridSpan w:val="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Litigation</w:t>
            </w:r>
          </w:p>
        </w:tc>
        <w:tc>
          <w:tcPr>
            <w:tcW w:w="5960" w:type="dxa"/>
            <w:vAlign w:val="bottom"/>
            <w:gridSpan w:val="3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and Other Controversies</w:t>
            </w:r>
          </w:p>
        </w:tc>
        <w:tc>
          <w:tcPr>
            <w:tcW w:w="220" w:type="dxa"/>
            <w:vAlign w:val="bottom"/>
            <w:tcBorders>
              <w:top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Borders>
              <w:top w:val="single" w:sz="8" w:color="0000EE"/>
            </w:tcBorders>
            <w:gridSpan w:val="32"/>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Taxes</w:t>
            </w:r>
          </w:p>
        </w:tc>
        <w:tc>
          <w:tcPr>
            <w:tcW w:w="3860" w:type="dxa"/>
            <w:vAlign w:val="bottom"/>
            <w:gridSpan w:val="7"/>
          </w:tcPr>
          <w:p>
            <w:pPr>
              <w:spacing w:after="0"/>
              <w:rPr>
                <w:sz w:val="19"/>
                <w:szCs w:val="19"/>
                <w:color w:val="auto"/>
              </w:rPr>
            </w:pPr>
          </w:p>
        </w:tc>
        <w:tc>
          <w:tcPr>
            <w:tcW w:w="220" w:type="dxa"/>
            <w:vAlign w:val="bottom"/>
            <w:tcBorders>
              <w:top w:val="single" w:sz="8" w:color="0000EE"/>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4"/>
        </w:trPr>
        <w:tc>
          <w:tcPr>
            <w:tcW w:w="20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-7465695</wp:posOffset>
            </wp:positionV>
            <wp:extent cx="5452110" cy="6909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5452110" cy="6909435"/>
                    </a:xfrm>
                    <a:prstGeom prst="rect">
                      <a:avLst/>
                    </a:prstGeom>
                    <a:noFill/>
                  </pic:spPr>
                </pic:pic>
              </a:graphicData>
            </a:graphic>
          </wp:anchor>
        </w:drawing>
      </w:r>
    </w:p>
    <w:p>
      <w:pPr>
        <w:sectPr>
          <w:pgSz w:w="11900" w:h="16838" w:orient="portrait"/>
          <w:cols w:equalWidth="0" w:num="1">
            <w:col w:w="9019"/>
          </w:cols>
          <w:pgMar w:left="1440" w:top="883" w:right="1440" w:bottom="1440" w:gutter="0" w:footer="0" w:header="0"/>
        </w:sectPr>
      </w:pPr>
    </w:p>
    <w:bookmarkStart w:id="59" w:name="page60"/>
    <w:bookmarkEnd w:id="59"/>
    <w:tbl>
      <w:tblPr>
        <w:tblLayout w:type="fixed"/>
        <w:tblInd w:w="220" w:type="dxa"/>
        <w:tblCellMar>
          <w:top w:w="0" w:type="dxa"/>
          <w:left w:w="0" w:type="dxa"/>
          <w:bottom w:w="0" w:type="dxa"/>
          <w:right w:w="0" w:type="dxa"/>
        </w:tblCellMar>
      </w:tblPr>
      <w:tr>
        <w:trPr>
          <w:trHeight w:val="253"/>
        </w:trPr>
        <w:tc>
          <w:tcPr>
            <w:tcW w:w="200" w:type="dxa"/>
            <w:vAlign w:val="bottom"/>
          </w:tcPr>
          <w:p>
            <w:pPr>
              <w:spacing w:after="0"/>
              <w:rPr>
                <w:sz w:val="22"/>
                <w:szCs w:val="22"/>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22"/>
                <w:szCs w:val="22"/>
                <w:i w:val="1"/>
                <w:iCs w:val="1"/>
                <w:color w:val="0000EE"/>
                <w:highlight w:val="white"/>
                <w:w w:val="97"/>
              </w:rPr>
              <w:t>Section 6.13.</w:t>
            </w:r>
          </w:p>
        </w:tc>
        <w:tc>
          <w:tcPr>
            <w:tcW w:w="100" w:type="dxa"/>
            <w:vAlign w:val="bottom"/>
          </w:tcPr>
          <w:p>
            <w:pPr>
              <w:spacing w:after="0"/>
              <w:rPr>
                <w:sz w:val="22"/>
                <w:szCs w:val="22"/>
                <w:color w:val="auto"/>
              </w:rPr>
            </w:pPr>
          </w:p>
        </w:tc>
        <w:tc>
          <w:tcPr>
            <w:tcW w:w="6900" w:type="dxa"/>
            <w:vAlign w:val="bottom"/>
            <w:gridSpan w:val="45"/>
          </w:tcPr>
          <w:p>
            <w:pPr>
              <w:ind w:left="20"/>
              <w:spacing w:after="0"/>
              <w:rPr>
                <w:sz w:val="20"/>
                <w:szCs w:val="20"/>
                <w:color w:val="auto"/>
              </w:rPr>
            </w:pPr>
            <w:r>
              <w:rPr>
                <w:rFonts w:ascii="Times New Roman" w:cs="Times New Roman" w:eastAsia="Times New Roman" w:hAnsi="Times New Roman"/>
                <w:sz w:val="22"/>
                <w:szCs w:val="22"/>
                <w:i w:val="1"/>
                <w:iCs w:val="1"/>
                <w:color w:val="0000EE"/>
                <w:highlight w:val="white"/>
              </w:rPr>
              <w:t>Approvals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i w:val="1"/>
                <w:iCs w:val="1"/>
                <w:color w:val="0000EE"/>
                <w:highlight w:val="white"/>
                <w:w w:val="90"/>
              </w:rPr>
              <w:t>52</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Affiliate</w:t>
            </w:r>
          </w:p>
        </w:tc>
        <w:tc>
          <w:tcPr>
            <w:tcW w:w="600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Transactions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top w:val="single" w:sz="8" w:color="0000EE"/>
            </w:tcBorders>
            <w:gridSpan w:val="2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9"/>
              </w:rPr>
              <w:t>Investment Company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5"/>
              </w:rPr>
              <w:t>ERISA</w:t>
            </w:r>
          </w:p>
        </w:tc>
        <w:tc>
          <w:tcPr>
            <w:tcW w:w="1240" w:type="dxa"/>
            <w:vAlign w:val="bottom"/>
            <w:tcBorders>
              <w:top w:val="single" w:sz="8" w:color="0000EE"/>
            </w:tcBorders>
            <w:gridSpan w:val="18"/>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80" w:type="dxa"/>
            <w:vAlign w:val="bottom"/>
            <w:gridSpan w:val="4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Compliance with Laws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Borders>
              <w:top w:val="single" w:sz="8" w:color="0000EE"/>
            </w:tcBorders>
            <w:gridSpan w:val="2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OFAC</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Other</w:t>
            </w:r>
          </w:p>
        </w:tc>
        <w:tc>
          <w:tcPr>
            <w:tcW w:w="6340" w:type="dxa"/>
            <w:vAlign w:val="bottom"/>
            <w:gridSpan w:val="42"/>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Agreements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0000EE"/>
              <w:bottom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Solvency</w:t>
            </w:r>
          </w:p>
        </w:tc>
        <w:tc>
          <w:tcPr>
            <w:tcW w:w="780" w:type="dxa"/>
            <w:vAlign w:val="bottom"/>
            <w:tcBorders>
              <w:top w:val="single" w:sz="8" w:color="0000EE"/>
            </w:tcBorders>
            <w:gridSpan w:val="12"/>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80" w:type="dxa"/>
            <w:vAlign w:val="bottom"/>
            <w:gridSpan w:val="4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No Default</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0000EE"/>
              <w:bottom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No Broker</w:t>
            </w:r>
          </w:p>
        </w:tc>
        <w:tc>
          <w:tcPr>
            <w:tcW w:w="420" w:type="dxa"/>
            <w:vAlign w:val="bottom"/>
            <w:tcBorders>
              <w:bottom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1"/>
              </w:rPr>
              <w:t>Fees</w:t>
            </w:r>
          </w:p>
        </w:tc>
        <w:tc>
          <w:tcPr>
            <w:tcW w:w="5500" w:type="dxa"/>
            <w:vAlign w:val="bottom"/>
            <w:gridSpan w:val="29"/>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80" w:type="dxa"/>
            <w:vAlign w:val="bottom"/>
            <w:gridSpan w:val="4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Condition of Property; Casualties; Condemnation</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Borders>
              <w:top w:val="single" w:sz="8" w:color="0000EE"/>
            </w:tcBorders>
            <w:gridSpan w:val="4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Legal Requirements and Zoning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6.25.</w:t>
            </w: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80" w:type="dxa"/>
            <w:vAlign w:val="bottom"/>
            <w:gridSpan w:val="4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No Defaults; Landlord is in Compliance with Leases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tcBorders>
              <w:top w:val="single" w:sz="8" w:color="0000EE"/>
            </w:tcBorders>
            <w:gridSpan w:val="41"/>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Affected Financial Institution</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REIT Status</w:t>
            </w:r>
          </w:p>
        </w:tc>
        <w:tc>
          <w:tcPr>
            <w:tcW w:w="1500" w:type="dxa"/>
            <w:vAlign w:val="bottom"/>
            <w:tcBorders>
              <w:top w:val="single" w:sz="8" w:color="0000EE"/>
            </w:tcBorders>
            <w:gridSpan w:val="21"/>
          </w:tcPr>
          <w:p>
            <w:pPr>
              <w:spacing w:after="0"/>
              <w:rPr>
                <w:sz w:val="19"/>
                <w:szCs w:val="19"/>
                <w:color w:val="auto"/>
              </w:rPr>
            </w:pPr>
          </w:p>
        </w:tc>
        <w:tc>
          <w:tcPr>
            <w:tcW w:w="3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3"/>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80" w:type="dxa"/>
            <w:vAlign w:val="bottom"/>
            <w:gridSpan w:val="4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Covered Entity</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vMerge w:val="continue"/>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7.</w:t>
            </w:r>
          </w:p>
        </w:tc>
        <w:tc>
          <w:tcPr>
            <w:tcW w:w="7000" w:type="dxa"/>
            <w:vAlign w:val="bottom"/>
            <w:gridSpan w:val="4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Conditions Precedent</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540" w:type="dxa"/>
            <w:vAlign w:val="bottom"/>
            <w:gridSpan w:val="3"/>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7.1.</w:t>
            </w:r>
          </w:p>
        </w:tc>
        <w:tc>
          <w:tcPr>
            <w:tcW w:w="1740" w:type="dxa"/>
            <w:vAlign w:val="bottom"/>
            <w:gridSpan w:val="2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All Borrowings</w:t>
            </w:r>
          </w:p>
        </w:tc>
        <w:tc>
          <w:tcPr>
            <w:tcW w:w="180" w:type="dxa"/>
            <w:vAlign w:val="bottom"/>
            <w:vMerge w:val="continue"/>
          </w:tcPr>
          <w:p>
            <w:pPr>
              <w:spacing w:after="0"/>
              <w:rPr>
                <w:sz w:val="19"/>
                <w:szCs w:val="19"/>
                <w:color w:val="auto"/>
              </w:rPr>
            </w:pPr>
          </w:p>
        </w:tc>
        <w:tc>
          <w:tcPr>
            <w:tcW w:w="80" w:type="dxa"/>
            <w:vAlign w:val="bottom"/>
            <w:gridSpan w:val="3"/>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420" w:type="dxa"/>
            <w:vAlign w:val="bottom"/>
            <w:gridSpan w:val="3"/>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7.2.</w:t>
            </w:r>
          </w:p>
        </w:tc>
        <w:tc>
          <w:tcPr>
            <w:tcW w:w="120" w:type="dxa"/>
            <w:vAlign w:val="bottom"/>
          </w:tcPr>
          <w:p>
            <w:pPr>
              <w:spacing w:after="0"/>
              <w:rPr>
                <w:sz w:val="19"/>
                <w:szCs w:val="19"/>
                <w:color w:val="auto"/>
              </w:rPr>
            </w:pPr>
          </w:p>
        </w:tc>
        <w:tc>
          <w:tcPr>
            <w:tcW w:w="1320" w:type="dxa"/>
            <w:vAlign w:val="bottom"/>
            <w:tcBorders>
              <w:top w:val="single" w:sz="8" w:color="0000EE"/>
              <w:bottom w:val="single" w:sz="8" w:color="0000EE"/>
            </w:tcBorders>
            <w:gridSpan w:val="1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4"/>
              </w:rPr>
              <w:t>Initial Borrowing</w:t>
            </w:r>
          </w:p>
        </w:tc>
        <w:tc>
          <w:tcPr>
            <w:tcW w:w="140" w:type="dxa"/>
            <w:vAlign w:val="bottom"/>
            <w:tcBorders>
              <w:bottom w:val="single" w:sz="8" w:color="0000EE"/>
            </w:tcBorders>
            <w:gridSpan w:val="2"/>
          </w:tcPr>
          <w:p>
            <w:pPr>
              <w:spacing w:after="0"/>
              <w:rPr>
                <w:sz w:val="19"/>
                <w:szCs w:val="19"/>
                <w:color w:val="auto"/>
              </w:rPr>
            </w:pPr>
          </w:p>
        </w:tc>
        <w:tc>
          <w:tcPr>
            <w:tcW w:w="40" w:type="dxa"/>
            <w:vAlign w:val="bottom"/>
            <w:tcBorders>
              <w:bottom w:val="single" w:sz="8" w:color="0000EE"/>
            </w:tcBorders>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5460" w:type="dxa"/>
            <w:vAlign w:val="bottom"/>
            <w:gridSpan w:val="27"/>
            <w:vMerge w:val="restart"/>
          </w:tcPr>
          <w:p>
            <w:pPr>
              <w:ind w:left="20"/>
              <w:spacing w:after="0"/>
              <w:rPr>
                <w:sz w:val="20"/>
                <w:szCs w:val="20"/>
                <w:color w:val="auto"/>
              </w:rPr>
            </w:pPr>
            <w:r>
              <w:rPr>
                <w:rFonts w:ascii="Times New Roman" w:cs="Times New Roman" w:eastAsia="Times New Roman" w:hAnsi="Times New Roman"/>
                <w:sz w:val="22"/>
                <w:szCs w:val="22"/>
                <w:i w:val="1"/>
                <w:iCs w:val="1"/>
                <w:color w:val="0000EE"/>
                <w:highlight w:val="white"/>
              </w:rPr>
              <w:t>Additions and Deletions to the Borrowing Base</w:t>
            </w: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7.3.</w:t>
            </w:r>
          </w:p>
        </w:tc>
        <w:tc>
          <w:tcPr>
            <w:tcW w:w="120" w:type="dxa"/>
            <w:vAlign w:val="bottom"/>
          </w:tcPr>
          <w:p>
            <w:pPr>
              <w:spacing w:after="0"/>
              <w:rPr>
                <w:sz w:val="19"/>
                <w:szCs w:val="19"/>
                <w:color w:val="auto"/>
              </w:rPr>
            </w:pPr>
          </w:p>
        </w:tc>
        <w:tc>
          <w:tcPr>
            <w:tcW w:w="1520" w:type="dxa"/>
            <w:vAlign w:val="bottom"/>
            <w:gridSpan w:val="1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Eligible Property</w:t>
            </w:r>
          </w:p>
        </w:tc>
        <w:tc>
          <w:tcPr>
            <w:tcW w:w="20" w:type="dxa"/>
            <w:vAlign w:val="bottom"/>
          </w:tcPr>
          <w:p>
            <w:pPr>
              <w:spacing w:after="0"/>
              <w:rPr>
                <w:sz w:val="19"/>
                <w:szCs w:val="19"/>
                <w:color w:val="auto"/>
              </w:rPr>
            </w:pPr>
          </w:p>
        </w:tc>
        <w:tc>
          <w:tcPr>
            <w:tcW w:w="5460" w:type="dxa"/>
            <w:vAlign w:val="bottom"/>
            <w:gridSpan w:val="27"/>
            <w:vMerge w:val="continue"/>
          </w:tcPr>
          <w:p>
            <w:pPr>
              <w:spacing w:after="0"/>
              <w:rPr>
                <w:sz w:val="19"/>
                <w:szCs w:val="19"/>
                <w:color w:val="auto"/>
              </w:rPr>
            </w:pP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2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9"/>
              </w:rPr>
              <w:t>SECTION 8.</w:t>
            </w:r>
          </w:p>
        </w:tc>
        <w:tc>
          <w:tcPr>
            <w:tcW w:w="140" w:type="dxa"/>
            <w:vAlign w:val="bottom"/>
            <w:gridSpan w:val="2"/>
          </w:tcPr>
          <w:p>
            <w:pPr>
              <w:spacing w:after="0"/>
              <w:rPr>
                <w:sz w:val="19"/>
                <w:szCs w:val="19"/>
                <w:color w:val="auto"/>
              </w:rPr>
            </w:pPr>
          </w:p>
        </w:tc>
        <w:tc>
          <w:tcPr>
            <w:tcW w:w="5640" w:type="dxa"/>
            <w:vAlign w:val="bottom"/>
            <w:tcBorders>
              <w:top w:val="single" w:sz="8" w:color="0000EE"/>
            </w:tcBorders>
            <w:gridSpan w:val="4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Covenants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160" w:type="dxa"/>
            <w:vAlign w:val="bottom"/>
            <w:gridSpan w:val="5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8.1.  Maintenance of Existence</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8.2.</w:t>
            </w:r>
          </w:p>
        </w:tc>
        <w:tc>
          <w:tcPr>
            <w:tcW w:w="120" w:type="dxa"/>
            <w:vAlign w:val="bottom"/>
          </w:tcPr>
          <w:p>
            <w:pPr>
              <w:spacing w:after="0"/>
              <w:rPr>
                <w:sz w:val="19"/>
                <w:szCs w:val="19"/>
                <w:color w:val="auto"/>
              </w:rPr>
            </w:pPr>
          </w:p>
        </w:tc>
        <w:tc>
          <w:tcPr>
            <w:tcW w:w="2240" w:type="dxa"/>
            <w:vAlign w:val="bottom"/>
            <w:tcBorders>
              <w:top w:val="single" w:sz="8" w:color="0000EE"/>
            </w:tcBorders>
            <w:gridSpan w:val="2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1"/>
              </w:rPr>
              <w:t>Maintenance of Properties,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gridSpan w:val="15"/>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Agreements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8.3.</w:t>
            </w:r>
          </w:p>
        </w:tc>
        <w:tc>
          <w:tcPr>
            <w:tcW w:w="120" w:type="dxa"/>
            <w:vAlign w:val="bottom"/>
          </w:tcPr>
          <w:p>
            <w:pPr>
              <w:spacing w:after="0"/>
              <w:rPr>
                <w:sz w:val="19"/>
                <w:szCs w:val="19"/>
                <w:color w:val="auto"/>
              </w:rPr>
            </w:pPr>
          </w:p>
        </w:tc>
        <w:tc>
          <w:tcPr>
            <w:tcW w:w="3440" w:type="dxa"/>
            <w:vAlign w:val="bottom"/>
            <w:tcBorders>
              <w:top w:val="single" w:sz="8" w:color="0000EE"/>
            </w:tcBorders>
            <w:gridSpan w:val="3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Taxes and Assessments</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4"/>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8.4.</w:t>
            </w:r>
          </w:p>
        </w:tc>
        <w:tc>
          <w:tcPr>
            <w:tcW w:w="120" w:type="dxa"/>
            <w:vAlign w:val="bottom"/>
          </w:tcPr>
          <w:p>
            <w:pPr>
              <w:spacing w:after="0"/>
              <w:rPr>
                <w:sz w:val="19"/>
                <w:szCs w:val="19"/>
                <w:color w:val="auto"/>
              </w:rPr>
            </w:pPr>
          </w:p>
        </w:tc>
        <w:tc>
          <w:tcPr>
            <w:tcW w:w="2000" w:type="dxa"/>
            <w:vAlign w:val="bottom"/>
            <w:tcBorders>
              <w:top w:val="single" w:sz="8" w:color="0000EE"/>
            </w:tcBorders>
            <w:gridSpan w:val="2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Insurance</w:t>
            </w:r>
          </w:p>
        </w:tc>
        <w:tc>
          <w:tcPr>
            <w:tcW w:w="26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4"/>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8.5.</w:t>
            </w:r>
          </w:p>
        </w:tc>
        <w:tc>
          <w:tcPr>
            <w:tcW w:w="120" w:type="dxa"/>
            <w:vAlign w:val="bottom"/>
          </w:tcPr>
          <w:p>
            <w:pPr>
              <w:spacing w:after="0"/>
              <w:rPr>
                <w:sz w:val="19"/>
                <w:szCs w:val="19"/>
                <w:color w:val="auto"/>
              </w:rPr>
            </w:pPr>
          </w:p>
        </w:tc>
        <w:tc>
          <w:tcPr>
            <w:tcW w:w="880" w:type="dxa"/>
            <w:vAlign w:val="bottom"/>
            <w:tcBorders>
              <w:top w:val="single" w:sz="8" w:color="0000EE"/>
            </w:tcBorders>
            <w:gridSpan w:val="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Financial</w:t>
            </w:r>
          </w:p>
        </w:tc>
        <w:tc>
          <w:tcPr>
            <w:tcW w:w="6120" w:type="dxa"/>
            <w:vAlign w:val="bottom"/>
            <w:gridSpan w:val="38"/>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Reports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8.6.</w:t>
            </w:r>
          </w:p>
        </w:tc>
        <w:tc>
          <w:tcPr>
            <w:tcW w:w="120" w:type="dxa"/>
            <w:vAlign w:val="bottom"/>
          </w:tcPr>
          <w:p>
            <w:pPr>
              <w:spacing w:after="0"/>
              <w:rPr>
                <w:sz w:val="19"/>
                <w:szCs w:val="19"/>
                <w:color w:val="auto"/>
              </w:rPr>
            </w:pPr>
          </w:p>
        </w:tc>
        <w:tc>
          <w:tcPr>
            <w:tcW w:w="1580" w:type="dxa"/>
            <w:vAlign w:val="bottom"/>
            <w:tcBorders>
              <w:top w:val="single" w:sz="8" w:color="0000EE"/>
            </w:tcBorders>
            <w:gridSpan w:val="2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Inspection</w:t>
            </w:r>
          </w:p>
        </w:tc>
        <w:tc>
          <w:tcPr>
            <w:tcW w:w="340" w:type="dxa"/>
            <w:vAlign w:val="bottom"/>
            <w:gridSpan w:val="3"/>
          </w:tcPr>
          <w:p>
            <w:pPr>
              <w:spacing w:after="0"/>
              <w:rPr>
                <w:sz w:val="19"/>
                <w:szCs w:val="19"/>
                <w:color w:val="auto"/>
              </w:rPr>
            </w:pPr>
          </w:p>
        </w:tc>
        <w:tc>
          <w:tcPr>
            <w:tcW w:w="340" w:type="dxa"/>
            <w:vAlign w:val="bottom"/>
            <w:gridSpan w:val="6"/>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4"/>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8.7.</w:t>
            </w:r>
          </w:p>
        </w:tc>
        <w:tc>
          <w:tcPr>
            <w:tcW w:w="120" w:type="dxa"/>
            <w:vAlign w:val="bottom"/>
          </w:tcPr>
          <w:p>
            <w:pPr>
              <w:spacing w:after="0"/>
              <w:rPr>
                <w:sz w:val="19"/>
                <w:szCs w:val="19"/>
                <w:color w:val="auto"/>
              </w:rPr>
            </w:pPr>
          </w:p>
        </w:tc>
        <w:tc>
          <w:tcPr>
            <w:tcW w:w="48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Liens</w:t>
            </w:r>
          </w:p>
        </w:tc>
        <w:tc>
          <w:tcPr>
            <w:tcW w:w="440" w:type="dxa"/>
            <w:vAlign w:val="bottom"/>
            <w:tcBorders>
              <w:top w:val="single" w:sz="8" w:color="0000EE"/>
            </w:tcBorders>
            <w:gridSpan w:val="7"/>
          </w:tcPr>
          <w:p>
            <w:pPr>
              <w:spacing w:after="0"/>
              <w:rPr>
                <w:sz w:val="19"/>
                <w:szCs w:val="19"/>
                <w:color w:val="auto"/>
              </w:rPr>
            </w:pPr>
          </w:p>
        </w:tc>
        <w:tc>
          <w:tcPr>
            <w:tcW w:w="540" w:type="dxa"/>
            <w:vAlign w:val="bottom"/>
            <w:gridSpan w:val="6"/>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380" w:type="dxa"/>
            <w:vAlign w:val="bottom"/>
            <w:gridSpan w:val="4"/>
          </w:tcPr>
          <w:p>
            <w:pPr>
              <w:spacing w:after="0"/>
              <w:rPr>
                <w:sz w:val="19"/>
                <w:szCs w:val="19"/>
                <w:color w:val="auto"/>
              </w:rPr>
            </w:pPr>
          </w:p>
        </w:tc>
        <w:tc>
          <w:tcPr>
            <w:tcW w:w="340" w:type="dxa"/>
            <w:vAlign w:val="bottom"/>
            <w:gridSpan w:val="6"/>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4"/>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8.8.</w:t>
            </w:r>
          </w:p>
        </w:tc>
        <w:tc>
          <w:tcPr>
            <w:tcW w:w="120" w:type="dxa"/>
            <w:vAlign w:val="bottom"/>
          </w:tcPr>
          <w:p>
            <w:pPr>
              <w:spacing w:after="0"/>
              <w:rPr>
                <w:sz w:val="19"/>
                <w:szCs w:val="19"/>
                <w:color w:val="auto"/>
              </w:rPr>
            </w:pPr>
          </w:p>
        </w:tc>
        <w:tc>
          <w:tcPr>
            <w:tcW w:w="7000" w:type="dxa"/>
            <w:vAlign w:val="bottom"/>
            <w:gridSpan w:val="4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Investments, Acquisitions, Loans and Advances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8.9.</w:t>
            </w:r>
          </w:p>
        </w:tc>
        <w:tc>
          <w:tcPr>
            <w:tcW w:w="120" w:type="dxa"/>
            <w:vAlign w:val="bottom"/>
          </w:tcPr>
          <w:p>
            <w:pPr>
              <w:spacing w:after="0"/>
              <w:rPr>
                <w:sz w:val="19"/>
                <w:szCs w:val="19"/>
                <w:color w:val="auto"/>
              </w:rPr>
            </w:pPr>
          </w:p>
        </w:tc>
        <w:tc>
          <w:tcPr>
            <w:tcW w:w="3040" w:type="dxa"/>
            <w:vAlign w:val="bottom"/>
            <w:tcBorders>
              <w:top w:val="single" w:sz="8" w:color="0000EE"/>
              <w:bottom w:val="single" w:sz="8" w:color="0000EE"/>
            </w:tcBorders>
            <w:gridSpan w:val="3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Mergers, Consolidations and Sales</w:t>
            </w:r>
          </w:p>
        </w:tc>
        <w:tc>
          <w:tcPr>
            <w:tcW w:w="1060" w:type="dxa"/>
            <w:vAlign w:val="bottom"/>
            <w:tcBorders>
              <w:top w:val="single" w:sz="8" w:color="0000EE"/>
            </w:tcBorders>
            <w:gridSpan w:val="4"/>
          </w:tcPr>
          <w:p>
            <w:pPr>
              <w:spacing w:after="0"/>
              <w:rPr>
                <w:sz w:val="19"/>
                <w:szCs w:val="19"/>
                <w:color w:val="auto"/>
              </w:rPr>
            </w:pPr>
          </w:p>
        </w:tc>
        <w:tc>
          <w:tcPr>
            <w:tcW w:w="2220" w:type="dxa"/>
            <w:vAlign w:val="bottom"/>
            <w:gridSpan w:val="4"/>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160" w:type="dxa"/>
            <w:vAlign w:val="bottom"/>
            <w:gridSpan w:val="5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8.10.  Maintenance of Subsidiaries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8.11.</w:t>
            </w:r>
          </w:p>
        </w:tc>
        <w:tc>
          <w:tcPr>
            <w:tcW w:w="100" w:type="dxa"/>
            <w:vAlign w:val="bottom"/>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56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1"/>
              </w:rPr>
              <w:t>ERISA</w:t>
            </w:r>
          </w:p>
        </w:tc>
        <w:tc>
          <w:tcPr>
            <w:tcW w:w="1900" w:type="dxa"/>
            <w:vAlign w:val="bottom"/>
            <w:tcBorders>
              <w:top w:val="single" w:sz="8" w:color="0000EE"/>
            </w:tcBorders>
            <w:gridSpan w:val="28"/>
          </w:tcPr>
          <w:p>
            <w:pPr>
              <w:spacing w:after="0"/>
              <w:rPr>
                <w:sz w:val="19"/>
                <w:szCs w:val="19"/>
                <w:color w:val="auto"/>
              </w:rPr>
            </w:pPr>
          </w:p>
        </w:tc>
        <w:tc>
          <w:tcPr>
            <w:tcW w:w="420" w:type="dxa"/>
            <w:vAlign w:val="bottom"/>
            <w:gridSpan w:val="3"/>
          </w:tcPr>
          <w:p>
            <w:pPr>
              <w:spacing w:after="0"/>
              <w:rPr>
                <w:sz w:val="19"/>
                <w:szCs w:val="19"/>
                <w:color w:val="auto"/>
              </w:rPr>
            </w:pPr>
          </w:p>
        </w:tc>
        <w:tc>
          <w:tcPr>
            <w:tcW w:w="380" w:type="dxa"/>
            <w:vAlign w:val="bottom"/>
            <w:gridSpan w:val="2"/>
          </w:tcPr>
          <w:p>
            <w:pPr>
              <w:spacing w:after="0"/>
              <w:rPr>
                <w:sz w:val="19"/>
                <w:szCs w:val="19"/>
                <w:color w:val="auto"/>
              </w:rPr>
            </w:pPr>
          </w:p>
        </w:tc>
        <w:tc>
          <w:tcPr>
            <w:tcW w:w="440" w:type="dxa"/>
            <w:vAlign w:val="bottom"/>
            <w:gridSpan w:val="2"/>
          </w:tcPr>
          <w:p>
            <w:pPr>
              <w:spacing w:after="0"/>
              <w:rPr>
                <w:sz w:val="19"/>
                <w:szCs w:val="19"/>
                <w:color w:val="auto"/>
              </w:rPr>
            </w:pPr>
          </w:p>
        </w:tc>
        <w:tc>
          <w:tcPr>
            <w:tcW w:w="2500" w:type="dxa"/>
            <w:vAlign w:val="bottom"/>
            <w:gridSpan w:val="5"/>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8.12.</w:t>
            </w:r>
          </w:p>
        </w:tc>
        <w:tc>
          <w:tcPr>
            <w:tcW w:w="100" w:type="dxa"/>
            <w:vAlign w:val="bottom"/>
          </w:tcPr>
          <w:p>
            <w:pPr>
              <w:spacing w:after="0"/>
              <w:rPr>
                <w:sz w:val="19"/>
                <w:szCs w:val="19"/>
                <w:color w:val="auto"/>
              </w:rPr>
            </w:pPr>
          </w:p>
        </w:tc>
        <w:tc>
          <w:tcPr>
            <w:tcW w:w="6900" w:type="dxa"/>
            <w:vAlign w:val="bottom"/>
            <w:gridSpan w:val="45"/>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Compliance with Laws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8.13.</w:t>
            </w:r>
          </w:p>
        </w:tc>
        <w:tc>
          <w:tcPr>
            <w:tcW w:w="120" w:type="dxa"/>
            <w:vAlign w:val="bottom"/>
            <w:gridSpan w:val="2"/>
          </w:tcPr>
          <w:p>
            <w:pPr>
              <w:spacing w:after="0"/>
              <w:rPr>
                <w:sz w:val="19"/>
                <w:szCs w:val="19"/>
                <w:color w:val="auto"/>
              </w:rPr>
            </w:pPr>
          </w:p>
        </w:tc>
        <w:tc>
          <w:tcPr>
            <w:tcW w:w="1980" w:type="dxa"/>
            <w:vAlign w:val="bottom"/>
            <w:tcBorders>
              <w:top w:val="single" w:sz="8" w:color="0000EE"/>
            </w:tcBorders>
            <w:gridSpan w:val="2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2"/>
              </w:rPr>
              <w:t>Compliance with OFAC</w:t>
            </w:r>
          </w:p>
        </w:tc>
        <w:tc>
          <w:tcPr>
            <w:tcW w:w="4900" w:type="dxa"/>
            <w:vAlign w:val="bottom"/>
            <w:gridSpan w:val="19"/>
          </w:tcPr>
          <w:p>
            <w:pPr>
              <w:ind w:left="14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Sanctions Programs and Anti-Corruption Laws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8.14.</w:t>
            </w:r>
          </w:p>
        </w:tc>
        <w:tc>
          <w:tcPr>
            <w:tcW w:w="120" w:type="dxa"/>
            <w:vAlign w:val="bottom"/>
            <w:gridSpan w:val="2"/>
          </w:tcPr>
          <w:p>
            <w:pPr>
              <w:spacing w:after="0"/>
              <w:rPr>
                <w:sz w:val="19"/>
                <w:szCs w:val="19"/>
                <w:color w:val="auto"/>
              </w:rPr>
            </w:pPr>
          </w:p>
        </w:tc>
        <w:tc>
          <w:tcPr>
            <w:tcW w:w="6200" w:type="dxa"/>
            <w:vAlign w:val="bottom"/>
            <w:tcBorders>
              <w:top w:val="single" w:sz="8" w:color="0000EE"/>
            </w:tcBorders>
            <w:gridSpan w:val="4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Burdensome Contracts With Affiliates</w:t>
            </w:r>
          </w:p>
        </w:tc>
        <w:tc>
          <w:tcPr>
            <w:tcW w:w="6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8.15.</w:t>
            </w:r>
          </w:p>
        </w:tc>
        <w:tc>
          <w:tcPr>
            <w:tcW w:w="120" w:type="dxa"/>
            <w:vAlign w:val="bottom"/>
            <w:gridSpan w:val="2"/>
          </w:tcPr>
          <w:p>
            <w:pPr>
              <w:spacing w:after="0"/>
              <w:rPr>
                <w:sz w:val="19"/>
                <w:szCs w:val="19"/>
                <w:color w:val="auto"/>
              </w:rPr>
            </w:pPr>
          </w:p>
        </w:tc>
        <w:tc>
          <w:tcPr>
            <w:tcW w:w="3260" w:type="dxa"/>
            <w:vAlign w:val="bottom"/>
            <w:tcBorders>
              <w:top w:val="single" w:sz="8" w:color="0000EE"/>
            </w:tcBorders>
            <w:gridSpan w:val="3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No Changes in Fiscal Year</w:t>
            </w:r>
          </w:p>
        </w:tc>
        <w:tc>
          <w:tcPr>
            <w:tcW w:w="440" w:type="dxa"/>
            <w:vAlign w:val="bottom"/>
            <w:gridSpan w:val="2"/>
          </w:tcPr>
          <w:p>
            <w:pPr>
              <w:spacing w:after="0"/>
              <w:rPr>
                <w:sz w:val="19"/>
                <w:szCs w:val="19"/>
                <w:color w:val="auto"/>
              </w:rPr>
            </w:pPr>
          </w:p>
        </w:tc>
        <w:tc>
          <w:tcPr>
            <w:tcW w:w="3180" w:type="dxa"/>
            <w:vAlign w:val="bottom"/>
            <w:gridSpan w:val="6"/>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8.16.</w:t>
            </w:r>
          </w:p>
        </w:tc>
        <w:tc>
          <w:tcPr>
            <w:tcW w:w="120" w:type="dxa"/>
            <w:vAlign w:val="bottom"/>
            <w:gridSpan w:val="2"/>
          </w:tcPr>
          <w:p>
            <w:pPr>
              <w:spacing w:after="0"/>
              <w:rPr>
                <w:sz w:val="19"/>
                <w:szCs w:val="19"/>
                <w:color w:val="auto"/>
              </w:rPr>
            </w:pPr>
          </w:p>
        </w:tc>
        <w:tc>
          <w:tcPr>
            <w:tcW w:w="2320" w:type="dxa"/>
            <w:vAlign w:val="bottom"/>
            <w:tcBorders>
              <w:top w:val="single" w:sz="8" w:color="0000EE"/>
            </w:tcBorders>
            <w:gridSpan w:val="3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9"/>
              </w:rPr>
              <w:t>Formation of Subsidiaries</w:t>
            </w:r>
          </w:p>
        </w:tc>
        <w:tc>
          <w:tcPr>
            <w:tcW w:w="560" w:type="dxa"/>
            <w:vAlign w:val="bottom"/>
            <w:gridSpan w:val="4"/>
          </w:tcPr>
          <w:p>
            <w:pPr>
              <w:spacing w:after="0"/>
              <w:rPr>
                <w:sz w:val="19"/>
                <w:szCs w:val="19"/>
                <w:color w:val="auto"/>
              </w:rPr>
            </w:pPr>
          </w:p>
        </w:tc>
        <w:tc>
          <w:tcPr>
            <w:tcW w:w="820" w:type="dxa"/>
            <w:vAlign w:val="bottom"/>
            <w:gridSpan w:val="4"/>
          </w:tcPr>
          <w:p>
            <w:pPr>
              <w:spacing w:after="0"/>
              <w:rPr>
                <w:sz w:val="19"/>
                <w:szCs w:val="19"/>
                <w:color w:val="auto"/>
              </w:rPr>
            </w:pPr>
          </w:p>
        </w:tc>
        <w:tc>
          <w:tcPr>
            <w:tcW w:w="3180" w:type="dxa"/>
            <w:vAlign w:val="bottom"/>
            <w:gridSpan w:val="6"/>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8.17.</w:t>
            </w:r>
          </w:p>
        </w:tc>
        <w:tc>
          <w:tcPr>
            <w:tcW w:w="120" w:type="dxa"/>
            <w:vAlign w:val="bottom"/>
            <w:gridSpan w:val="2"/>
          </w:tcPr>
          <w:p>
            <w:pPr>
              <w:spacing w:after="0"/>
              <w:rPr>
                <w:sz w:val="19"/>
                <w:szCs w:val="19"/>
                <w:color w:val="auto"/>
              </w:rPr>
            </w:pPr>
          </w:p>
        </w:tc>
        <w:tc>
          <w:tcPr>
            <w:tcW w:w="2260" w:type="dxa"/>
            <w:vAlign w:val="bottom"/>
            <w:tcBorders>
              <w:top w:val="single" w:sz="8" w:color="0000EE"/>
            </w:tcBorders>
            <w:gridSpan w:val="2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Change in the Nature of</w:t>
            </w:r>
          </w:p>
        </w:tc>
        <w:tc>
          <w:tcPr>
            <w:tcW w:w="4620" w:type="dxa"/>
            <w:vAlign w:val="bottom"/>
            <w:gridSpan w:val="1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Business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8.18.</w:t>
            </w:r>
          </w:p>
        </w:tc>
        <w:tc>
          <w:tcPr>
            <w:tcW w:w="120" w:type="dxa"/>
            <w:vAlign w:val="bottom"/>
            <w:gridSpan w:val="2"/>
          </w:tcPr>
          <w:p>
            <w:pPr>
              <w:spacing w:after="0"/>
              <w:rPr>
                <w:sz w:val="19"/>
                <w:szCs w:val="19"/>
                <w:color w:val="auto"/>
              </w:rPr>
            </w:pPr>
          </w:p>
        </w:tc>
        <w:tc>
          <w:tcPr>
            <w:tcW w:w="2880" w:type="dxa"/>
            <w:vAlign w:val="bottom"/>
            <w:tcBorders>
              <w:top w:val="single" w:sz="8" w:color="0000EE"/>
            </w:tcBorders>
            <w:gridSpan w:val="3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Use of Proceeds</w:t>
            </w:r>
          </w:p>
        </w:tc>
        <w:tc>
          <w:tcPr>
            <w:tcW w:w="820" w:type="dxa"/>
            <w:vAlign w:val="bottom"/>
            <w:gridSpan w:val="4"/>
          </w:tcPr>
          <w:p>
            <w:pPr>
              <w:spacing w:after="0"/>
              <w:rPr>
                <w:sz w:val="19"/>
                <w:szCs w:val="19"/>
                <w:color w:val="auto"/>
              </w:rPr>
            </w:pPr>
          </w:p>
        </w:tc>
        <w:tc>
          <w:tcPr>
            <w:tcW w:w="3180" w:type="dxa"/>
            <w:vAlign w:val="bottom"/>
            <w:gridSpan w:val="6"/>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0000EE"/>
              <w:bottom w:val="single" w:sz="8" w:color="0000EE"/>
            </w:tcBorders>
            <w:gridSpan w:val="1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No Restrictions</w:t>
            </w:r>
          </w:p>
        </w:tc>
        <w:tc>
          <w:tcPr>
            <w:tcW w:w="80" w:type="dxa"/>
            <w:vAlign w:val="bottom"/>
            <w:tcBorders>
              <w:top w:val="single" w:sz="8" w:color="0000EE"/>
            </w:tcBorders>
            <w:gridSpan w:val="3"/>
          </w:tcPr>
          <w:p>
            <w:pPr>
              <w:spacing w:after="0"/>
              <w:rPr>
                <w:sz w:val="19"/>
                <w:szCs w:val="19"/>
                <w:color w:val="auto"/>
              </w:rPr>
            </w:pPr>
          </w:p>
        </w:tc>
        <w:tc>
          <w:tcPr>
            <w:tcW w:w="380" w:type="dxa"/>
            <w:vAlign w:val="bottom"/>
            <w:gridSpan w:val="4"/>
          </w:tcPr>
          <w:p>
            <w:pPr>
              <w:spacing w:after="0"/>
              <w:rPr>
                <w:sz w:val="19"/>
                <w:szCs w:val="19"/>
                <w:color w:val="auto"/>
              </w:rPr>
            </w:pPr>
          </w:p>
        </w:tc>
        <w:tc>
          <w:tcPr>
            <w:tcW w:w="340" w:type="dxa"/>
            <w:vAlign w:val="bottom"/>
            <w:gridSpan w:val="6"/>
          </w:tcPr>
          <w:p>
            <w:pPr>
              <w:spacing w:after="0"/>
              <w:rPr>
                <w:sz w:val="19"/>
                <w:szCs w:val="19"/>
                <w:color w:val="auto"/>
              </w:rPr>
            </w:pPr>
          </w:p>
        </w:tc>
        <w:tc>
          <w:tcPr>
            <w:tcW w:w="140" w:type="dxa"/>
            <w:vAlign w:val="bottom"/>
            <w:gridSpan w:val="2"/>
          </w:tcPr>
          <w:p>
            <w:pPr>
              <w:spacing w:after="0"/>
              <w:rPr>
                <w:sz w:val="19"/>
                <w:szCs w:val="19"/>
                <w:color w:val="auto"/>
              </w:rPr>
            </w:pPr>
          </w:p>
        </w:tc>
        <w:tc>
          <w:tcPr>
            <w:tcW w:w="1420" w:type="dxa"/>
            <w:vAlign w:val="bottom"/>
            <w:gridSpan w:val="9"/>
          </w:tcPr>
          <w:p>
            <w:pPr>
              <w:spacing w:after="0"/>
              <w:rPr>
                <w:sz w:val="19"/>
                <w:szCs w:val="19"/>
                <w:color w:val="auto"/>
              </w:rPr>
            </w:pPr>
          </w:p>
        </w:tc>
        <w:tc>
          <w:tcPr>
            <w:tcW w:w="3180" w:type="dxa"/>
            <w:vAlign w:val="bottom"/>
            <w:gridSpan w:val="6"/>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80" w:type="dxa"/>
            <w:vAlign w:val="bottom"/>
            <w:gridSpan w:val="4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Financial Covenants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600" w:type="dxa"/>
            <w:vAlign w:val="bottom"/>
            <w:tcBorders>
              <w:right w:val="single" w:sz="8" w:color="0000EE"/>
            </w:tcBorders>
            <w:gridSpan w:val="8"/>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8.21.</w:t>
            </w:r>
          </w:p>
        </w:tc>
        <w:tc>
          <w:tcPr>
            <w:tcW w:w="120" w:type="dxa"/>
            <w:vAlign w:val="bottom"/>
            <w:gridSpan w:val="2"/>
            <w:vMerge w:val="continue"/>
          </w:tcPr>
          <w:p>
            <w:pPr>
              <w:spacing w:after="0"/>
              <w:rPr>
                <w:sz w:val="19"/>
                <w:szCs w:val="19"/>
                <w:color w:val="auto"/>
              </w:rPr>
            </w:pPr>
          </w:p>
        </w:tc>
        <w:tc>
          <w:tcPr>
            <w:tcW w:w="6880" w:type="dxa"/>
            <w:vAlign w:val="bottom"/>
            <w:gridSpan w:val="4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Borrowing Base Covenant</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tcBorders>
              <w:top w:val="single" w:sz="8" w:color="0000EE"/>
            </w:tcBorders>
            <w:gridSpan w:val="2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Reserved</w:t>
            </w:r>
          </w:p>
        </w:tc>
        <w:tc>
          <w:tcPr>
            <w:tcW w:w="1420" w:type="dxa"/>
            <w:vAlign w:val="bottom"/>
            <w:gridSpan w:val="9"/>
          </w:tcPr>
          <w:p>
            <w:pPr>
              <w:spacing w:after="0"/>
              <w:rPr>
                <w:sz w:val="19"/>
                <w:szCs w:val="19"/>
                <w:color w:val="auto"/>
              </w:rPr>
            </w:pPr>
          </w:p>
        </w:tc>
        <w:tc>
          <w:tcPr>
            <w:tcW w:w="3180" w:type="dxa"/>
            <w:vAlign w:val="bottom"/>
            <w:gridSpan w:val="6"/>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8.23.</w:t>
            </w:r>
          </w:p>
        </w:tc>
        <w:tc>
          <w:tcPr>
            <w:tcW w:w="120" w:type="dxa"/>
            <w:vAlign w:val="bottom"/>
            <w:gridSpan w:val="2"/>
          </w:tcPr>
          <w:p>
            <w:pPr>
              <w:spacing w:after="0"/>
              <w:rPr>
                <w:sz w:val="19"/>
                <w:szCs w:val="19"/>
                <w:color w:val="auto"/>
              </w:rPr>
            </w:pPr>
          </w:p>
        </w:tc>
        <w:tc>
          <w:tcPr>
            <w:tcW w:w="78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2"/>
              </w:rPr>
              <w:t>Electronic</w:t>
            </w:r>
          </w:p>
        </w:tc>
        <w:tc>
          <w:tcPr>
            <w:tcW w:w="6100" w:type="dxa"/>
            <w:vAlign w:val="bottom"/>
            <w:gridSpan w:val="37"/>
          </w:tcPr>
          <w:p>
            <w:pPr>
              <w:ind w:left="16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Delivery of Certain Information</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8.24.</w:t>
            </w:r>
          </w:p>
        </w:tc>
        <w:tc>
          <w:tcPr>
            <w:tcW w:w="120" w:type="dxa"/>
            <w:vAlign w:val="bottom"/>
            <w:gridSpan w:val="2"/>
          </w:tcPr>
          <w:p>
            <w:pPr>
              <w:spacing w:after="0"/>
              <w:rPr>
                <w:sz w:val="19"/>
                <w:szCs w:val="19"/>
                <w:color w:val="auto"/>
              </w:rPr>
            </w:pPr>
          </w:p>
        </w:tc>
        <w:tc>
          <w:tcPr>
            <w:tcW w:w="3700" w:type="dxa"/>
            <w:vAlign w:val="bottom"/>
            <w:tcBorders>
              <w:top w:val="single" w:sz="8" w:color="0000EE"/>
            </w:tcBorders>
            <w:gridSpan w:val="3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Collateral Trigger Event</w:t>
            </w:r>
          </w:p>
        </w:tc>
        <w:tc>
          <w:tcPr>
            <w:tcW w:w="3180" w:type="dxa"/>
            <w:vAlign w:val="bottom"/>
            <w:gridSpan w:val="6"/>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8.25.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Borders>
              <w:top w:val="single" w:sz="8" w:color="0000EE"/>
            </w:tcBorders>
            <w:gridSpan w:val="2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1031 Properties</w:t>
            </w:r>
          </w:p>
        </w:tc>
        <w:tc>
          <w:tcPr>
            <w:tcW w:w="4740" w:type="dxa"/>
            <w:vAlign w:val="bottom"/>
            <w:gridSpan w:val="17"/>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-6968490</wp:posOffset>
            </wp:positionV>
            <wp:extent cx="53149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-6814185</wp:posOffset>
            </wp:positionV>
            <wp:extent cx="53149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-6659880</wp:posOffset>
            </wp:positionV>
            <wp:extent cx="53149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-6505575</wp:posOffset>
            </wp:positionV>
            <wp:extent cx="53149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-6351270</wp:posOffset>
            </wp:positionV>
            <wp:extent cx="53149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-6196965</wp:posOffset>
            </wp:positionV>
            <wp:extent cx="53149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-6042660</wp:posOffset>
            </wp:positionV>
            <wp:extent cx="5314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-5888355</wp:posOffset>
            </wp:positionV>
            <wp:extent cx="53149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-5734050</wp:posOffset>
            </wp:positionV>
            <wp:extent cx="53149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-5579745</wp:posOffset>
            </wp:positionV>
            <wp:extent cx="53149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-5425440</wp:posOffset>
            </wp:positionV>
            <wp:extent cx="53149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-5271135</wp:posOffset>
            </wp:positionV>
            <wp:extent cx="53149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-5116830</wp:posOffset>
            </wp:positionV>
            <wp:extent cx="53149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-4962525</wp:posOffset>
            </wp:positionV>
            <wp:extent cx="53149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-4808220</wp:posOffset>
            </wp:positionV>
            <wp:extent cx="53149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-4653915</wp:posOffset>
            </wp:positionV>
            <wp:extent cx="53149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-4499610</wp:posOffset>
            </wp:positionV>
            <wp:extent cx="54521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-4345305</wp:posOffset>
            </wp:positionV>
            <wp:extent cx="53149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-4191000</wp:posOffset>
            </wp:positionV>
            <wp:extent cx="53149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-4036695</wp:posOffset>
            </wp:positionV>
            <wp:extent cx="53149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-3882390</wp:posOffset>
            </wp:positionV>
            <wp:extent cx="54521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-3728085</wp:posOffset>
            </wp:positionV>
            <wp:extent cx="53149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-3573780</wp:posOffset>
            </wp:positionV>
            <wp:extent cx="53149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-3419475</wp:posOffset>
            </wp:positionV>
            <wp:extent cx="53149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-3265170</wp:posOffset>
            </wp:positionV>
            <wp:extent cx="53149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-3110865</wp:posOffset>
            </wp:positionV>
            <wp:extent cx="53149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-2956560</wp:posOffset>
            </wp:positionV>
            <wp:extent cx="53149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-2802255</wp:posOffset>
            </wp:positionV>
            <wp:extent cx="53149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-2647950</wp:posOffset>
            </wp:positionV>
            <wp:extent cx="53149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-2493645</wp:posOffset>
            </wp:positionV>
            <wp:extent cx="53149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-2339340</wp:posOffset>
            </wp:positionV>
            <wp:extent cx="53149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-2185035</wp:posOffset>
            </wp:positionV>
            <wp:extent cx="53149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-2030730</wp:posOffset>
            </wp:positionV>
            <wp:extent cx="53149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-1876425</wp:posOffset>
            </wp:positionV>
            <wp:extent cx="53149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-1722120</wp:posOffset>
            </wp:positionV>
            <wp:extent cx="53149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-1567815</wp:posOffset>
            </wp:positionV>
            <wp:extent cx="53149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-1414145</wp:posOffset>
            </wp:positionV>
            <wp:extent cx="53149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-1259205</wp:posOffset>
            </wp:positionV>
            <wp:extent cx="53149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-1104900</wp:posOffset>
            </wp:positionV>
            <wp:extent cx="53149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-950595</wp:posOffset>
            </wp:positionV>
            <wp:extent cx="53149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-796290</wp:posOffset>
            </wp:positionV>
            <wp:extent cx="53149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-642620</wp:posOffset>
            </wp:positionV>
            <wp:extent cx="53149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-488315</wp:posOffset>
            </wp:positionV>
            <wp:extent cx="53149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-333375</wp:posOffset>
            </wp:positionV>
            <wp:extent cx="53149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-179705</wp:posOffset>
            </wp:positionV>
            <wp:extent cx="53149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-24765</wp:posOffset>
            </wp:positionV>
            <wp:extent cx="53149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60" w:name="page61"/>
    <w:bookmarkEnd w:id="60"/>
    <w:tbl>
      <w:tblPr>
        <w:tblLayout w:type="fixed"/>
        <w:tblInd w:w="220" w:type="dxa"/>
        <w:tblCellMar>
          <w:top w:w="0" w:type="dxa"/>
          <w:left w:w="0" w:type="dxa"/>
          <w:bottom w:w="0" w:type="dxa"/>
          <w:right w:w="0" w:type="dxa"/>
        </w:tblCellMar>
      </w:tblPr>
      <w:tr>
        <w:trPr>
          <w:trHeight w:val="253"/>
        </w:trPr>
        <w:tc>
          <w:tcPr>
            <w:tcW w:w="200" w:type="dxa"/>
            <w:vAlign w:val="bottom"/>
          </w:tcPr>
          <w:p>
            <w:pPr>
              <w:spacing w:after="0"/>
              <w:rPr>
                <w:sz w:val="22"/>
                <w:szCs w:val="22"/>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22"/>
                <w:szCs w:val="22"/>
                <w:i w:val="1"/>
                <w:iCs w:val="1"/>
                <w:color w:val="0000EE"/>
                <w:highlight w:val="white"/>
                <w:w w:val="96"/>
              </w:rPr>
              <w:t>Section 8.26.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80" w:type="dxa"/>
            <w:vAlign w:val="bottom"/>
            <w:gridSpan w:val="46"/>
          </w:tcPr>
          <w:p>
            <w:pPr>
              <w:spacing w:after="0"/>
              <w:rPr>
                <w:sz w:val="20"/>
                <w:szCs w:val="20"/>
                <w:color w:val="auto"/>
              </w:rPr>
            </w:pPr>
            <w:r>
              <w:rPr>
                <w:rFonts w:ascii="Times New Roman" w:cs="Times New Roman" w:eastAsia="Times New Roman" w:hAnsi="Times New Roman"/>
                <w:sz w:val="22"/>
                <w:szCs w:val="22"/>
                <w:i w:val="1"/>
                <w:iCs w:val="1"/>
                <w:color w:val="0000EE"/>
                <w:highlight w:val="white"/>
              </w:rPr>
              <w:t>Reserved</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i w:val="1"/>
                <w:iCs w:val="1"/>
                <w:color w:val="0000EE"/>
                <w:highlight w:val="white"/>
                <w:w w:val="90"/>
              </w:rPr>
              <w:t>71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bottom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8.27.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4"/>
              </w:rPr>
              <w:t>Reserved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8.28.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60" w:type="dxa"/>
            <w:vAlign w:val="bottom"/>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REIT Status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8.29.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Restricted</w:t>
            </w:r>
          </w:p>
        </w:tc>
        <w:tc>
          <w:tcPr>
            <w:tcW w:w="5840" w:type="dxa"/>
            <w:vAlign w:val="bottom"/>
            <w:gridSpan w:val="3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Payments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bottom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8.30.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740" w:type="dxa"/>
            <w:vAlign w:val="bottom"/>
            <w:tcBorders>
              <w:top w:val="single" w:sz="8" w:color="0000EE"/>
              <w:bottom w:val="single" w:sz="8" w:color="0000EE"/>
            </w:tcBorders>
            <w:gridSpan w:val="21"/>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9"/>
              </w:rPr>
              <w:t>Florida Documentary</w:t>
            </w:r>
          </w:p>
        </w:tc>
        <w:tc>
          <w:tcPr>
            <w:tcW w:w="20" w:type="dxa"/>
            <w:vAlign w:val="bottom"/>
            <w:tcBorders>
              <w:bottom w:val="single" w:sz="8" w:color="0000EE"/>
            </w:tcBorders>
          </w:tcPr>
          <w:p>
            <w:pPr>
              <w:spacing w:after="0"/>
              <w:rPr>
                <w:sz w:val="19"/>
                <w:szCs w:val="19"/>
                <w:color w:val="auto"/>
              </w:rPr>
            </w:pPr>
          </w:p>
        </w:tc>
        <w:tc>
          <w:tcPr>
            <w:tcW w:w="1060" w:type="dxa"/>
            <w:vAlign w:val="bottom"/>
            <w:tcBorders>
              <w:bottom w:val="single" w:sz="8" w:color="0000EE"/>
            </w:tcBorders>
            <w:gridSpan w:val="9"/>
          </w:tcPr>
          <w:p>
            <w:pPr>
              <w:ind w:left="16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4"/>
              </w:rPr>
              <w:t>Stamp Tax</w:t>
            </w:r>
          </w:p>
        </w:tc>
        <w:tc>
          <w:tcPr>
            <w:tcW w:w="4040" w:type="dxa"/>
            <w:vAlign w:val="bottom"/>
            <w:gridSpan w:val="14"/>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9.</w:t>
            </w:r>
          </w:p>
        </w:tc>
        <w:tc>
          <w:tcPr>
            <w:tcW w:w="2980" w:type="dxa"/>
            <w:vAlign w:val="bottom"/>
            <w:gridSpan w:val="3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Events of Default and Remedies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160" w:type="dxa"/>
            <w:vAlign w:val="bottom"/>
            <w:gridSpan w:val="5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9.1.  Events of Default</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top w:val="single" w:sz="8" w:color="0000EE"/>
            </w:tcBorders>
            <w:gridSpan w:val="20"/>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NonBankruptcy</w:t>
            </w:r>
          </w:p>
        </w:tc>
        <w:tc>
          <w:tcPr>
            <w:tcW w:w="5460" w:type="dxa"/>
            <w:vAlign w:val="bottom"/>
            <w:gridSpan w:val="3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Defaults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tcBorders>
              <w:top w:val="single" w:sz="8" w:color="0000EE"/>
            </w:tcBorders>
            <w:gridSpan w:val="29"/>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Bankruptcy Defaults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2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9.4.</w:t>
            </w:r>
          </w:p>
        </w:tc>
        <w:tc>
          <w:tcPr>
            <w:tcW w:w="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top w:val="single" w:sz="8" w:color="0000EE"/>
              <w:bottom w:val="single" w:sz="8" w:color="0000EE"/>
            </w:tcBorders>
            <w:gridSpan w:val="19"/>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Notice of Default</w:t>
            </w:r>
          </w:p>
        </w:tc>
        <w:tc>
          <w:tcPr>
            <w:tcW w:w="260" w:type="dxa"/>
            <w:vAlign w:val="bottom"/>
            <w:tcBorders>
              <w:top w:val="single" w:sz="8" w:color="0000EE"/>
            </w:tcBorders>
            <w:gridSpan w:val="5"/>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0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78"/>
              </w:rPr>
              <w:t>SECTION 10.</w:t>
            </w: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7020" w:type="dxa"/>
            <w:vAlign w:val="bottom"/>
            <w:gridSpan w:val="50"/>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Change in Circumstances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160" w:type="dxa"/>
            <w:vAlign w:val="bottom"/>
            <w:gridSpan w:val="5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10.1.  Change of Law</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10.2.</w:t>
            </w: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6860" w:type="dxa"/>
            <w:vAlign w:val="bottom"/>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Temporary Inability to Determine Rates; Alternate Rate of Interest</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5740" w:type="dxa"/>
            <w:vAlign w:val="bottom"/>
            <w:tcBorders>
              <w:top w:val="single" w:sz="8" w:color="0000EE"/>
            </w:tcBorders>
            <w:gridSpan w:val="4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Increased Cost and Reduced Return</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bottom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Borders>
              <w:top w:val="single" w:sz="8" w:color="0000EE"/>
              <w:bottom w:val="single" w:sz="8" w:color="0000EE"/>
            </w:tcBorders>
            <w:gridSpan w:val="1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5"/>
              </w:rPr>
              <w:t>Lending Offices</w:t>
            </w:r>
          </w:p>
        </w:tc>
        <w:tc>
          <w:tcPr>
            <w:tcW w:w="1720" w:type="dxa"/>
            <w:vAlign w:val="bottom"/>
            <w:tcBorders>
              <w:top w:val="single" w:sz="8" w:color="0000EE"/>
            </w:tcBorders>
            <w:gridSpan w:val="22"/>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860" w:type="dxa"/>
            <w:vAlign w:val="bottom"/>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Discretion of Lender as to Manner of Funding</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10.6.</w:t>
            </w: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6860" w:type="dxa"/>
            <w:vAlign w:val="bottom"/>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Permanent Inability to Determine Rate; Benchmark Replacement</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Borders>
              <w:bottom w:val="single" w:sz="8" w:color="0000EE"/>
            </w:tcBorders>
            <w:vMerge w:val="continue"/>
          </w:tcPr>
          <w:p>
            <w:pPr>
              <w:spacing w:after="0"/>
              <w:rPr>
                <w:sz w:val="19"/>
                <w:szCs w:val="19"/>
                <w:color w:val="auto"/>
              </w:rPr>
            </w:pPr>
          </w:p>
        </w:tc>
        <w:tc>
          <w:tcPr>
            <w:tcW w:w="1000" w:type="dxa"/>
            <w:vAlign w:val="bottom"/>
            <w:tcBorders>
              <w:bottom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78"/>
              </w:rPr>
              <w:t>SECTION 11.</w:t>
            </w:r>
          </w:p>
        </w:tc>
        <w:tc>
          <w:tcPr>
            <w:tcW w:w="120" w:type="dxa"/>
            <w:vAlign w:val="bottom"/>
            <w:gridSpan w:val="3"/>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2220" w:type="dxa"/>
            <w:vAlign w:val="bottom"/>
            <w:tcBorders>
              <w:bottom w:val="single" w:sz="8" w:color="0000EE"/>
            </w:tcBorders>
            <w:gridSpan w:val="3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The Administrative Agent</w:t>
            </w:r>
          </w:p>
        </w:tc>
        <w:tc>
          <w:tcPr>
            <w:tcW w:w="3560" w:type="dxa"/>
            <w:vAlign w:val="bottom"/>
            <w:gridSpan w:val="16"/>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20" w:type="dxa"/>
            <w:vAlign w:val="bottom"/>
            <w:tcBorders>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160" w:type="dxa"/>
            <w:vAlign w:val="bottom"/>
            <w:gridSpan w:val="5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11.1.  Appointment and Authority</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20" w:type="dxa"/>
            <w:vAlign w:val="bottom"/>
            <w:tcBorders>
              <w:top w:val="single" w:sz="8" w:color="0000EE"/>
              <w:bottom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Borders>
              <w:top w:val="single" w:sz="8" w:color="0000EE"/>
              <w:bottom w:val="single" w:sz="8" w:color="0000EE"/>
            </w:tcBorders>
            <w:gridSpan w:val="1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Rights as a Lender</w:t>
            </w:r>
          </w:p>
        </w:tc>
        <w:tc>
          <w:tcPr>
            <w:tcW w:w="720" w:type="dxa"/>
            <w:vAlign w:val="bottom"/>
            <w:tcBorders>
              <w:top w:val="single" w:sz="8" w:color="0000EE"/>
            </w:tcBorders>
            <w:gridSpan w:val="10"/>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6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20" w:type="dxa"/>
            <w:vAlign w:val="bottom"/>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80" w:type="dxa"/>
            <w:vAlign w:val="bottom"/>
            <w:gridSpan w:val="4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Action by Administrative Agent; Exculpatory Provisions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2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Borders>
              <w:top w:val="single" w:sz="8" w:color="0000EE"/>
            </w:tcBorders>
            <w:gridSpan w:val="3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Reliance by Administrative Agent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2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80" w:type="dxa"/>
            <w:vAlign w:val="bottom"/>
            <w:tcBorders>
              <w:top w:val="single" w:sz="8" w:color="0000EE"/>
            </w:tcBorders>
            <w:gridSpan w:val="3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Delegation of Duties</w:t>
            </w:r>
          </w:p>
        </w:tc>
        <w:tc>
          <w:tcPr>
            <w:tcW w:w="1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700" w:type="dxa"/>
            <w:vAlign w:val="bottom"/>
            <w:gridSpan w:val="3"/>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20" w:type="dxa"/>
            <w:vAlign w:val="bottom"/>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11.6.</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80" w:type="dxa"/>
            <w:vAlign w:val="bottom"/>
            <w:gridSpan w:val="4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Resignation of Administrative Agent; Removal of Administrative Agent</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2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tcBorders>
              <w:top w:val="single" w:sz="8" w:color="0000EE"/>
            </w:tcBorders>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NonReliance on Administrative Agent and Other Lenders</w:t>
            </w:r>
          </w:p>
        </w:tc>
        <w:tc>
          <w:tcPr>
            <w:tcW w:w="78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2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top w:val="single" w:sz="8" w:color="0000EE"/>
            </w:tcBorders>
            <w:gridSpan w:val="4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Reserved</w:t>
            </w:r>
          </w:p>
        </w:tc>
        <w:tc>
          <w:tcPr>
            <w:tcW w:w="500" w:type="dxa"/>
            <w:vAlign w:val="bottom"/>
          </w:tcPr>
          <w:p>
            <w:pPr>
              <w:spacing w:after="0"/>
              <w:rPr>
                <w:sz w:val="19"/>
                <w:szCs w:val="19"/>
                <w:color w:val="auto"/>
              </w:rPr>
            </w:pPr>
          </w:p>
        </w:tc>
        <w:tc>
          <w:tcPr>
            <w:tcW w:w="480" w:type="dxa"/>
            <w:vAlign w:val="bottom"/>
            <w:gridSpan w:val="3"/>
          </w:tcPr>
          <w:p>
            <w:pPr>
              <w:spacing w:after="0"/>
              <w:rPr>
                <w:sz w:val="19"/>
                <w:szCs w:val="19"/>
                <w:color w:val="auto"/>
              </w:rPr>
            </w:pPr>
          </w:p>
        </w:tc>
        <w:tc>
          <w:tcPr>
            <w:tcW w:w="960" w:type="dxa"/>
            <w:vAlign w:val="bottom"/>
            <w:gridSpan w:val="2"/>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2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Hedging</w:t>
            </w:r>
          </w:p>
        </w:tc>
        <w:tc>
          <w:tcPr>
            <w:tcW w:w="6100" w:type="dxa"/>
            <w:vAlign w:val="bottom"/>
            <w:gridSpan w:val="4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Liability and Funds Transfer and Deposit Account Liability</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2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7"/>
              </w:rPr>
              <w:t>Section 11.10.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820" w:type="dxa"/>
            <w:vAlign w:val="bottom"/>
            <w:tcBorders>
              <w:top w:val="single" w:sz="8" w:color="0000EE"/>
            </w:tcBorders>
            <w:gridSpan w:val="4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Designation of Additional Agents</w:t>
            </w:r>
          </w:p>
        </w:tc>
        <w:tc>
          <w:tcPr>
            <w:tcW w:w="960" w:type="dxa"/>
            <w:vAlign w:val="bottom"/>
            <w:gridSpan w:val="2"/>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2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5"/>
              </w:rPr>
              <w:t>Section 11.11.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0000EE"/>
            </w:tcBorders>
            <w:gridSpan w:val="3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[Intentionally Omitted]</w:t>
            </w:r>
          </w:p>
        </w:tc>
        <w:tc>
          <w:tcPr>
            <w:tcW w:w="260" w:type="dxa"/>
            <w:vAlign w:val="bottom"/>
            <w:gridSpan w:val="2"/>
          </w:tcPr>
          <w:p>
            <w:pPr>
              <w:spacing w:after="0"/>
              <w:rPr>
                <w:sz w:val="19"/>
                <w:szCs w:val="19"/>
                <w:color w:val="auto"/>
              </w:rPr>
            </w:pPr>
          </w:p>
        </w:tc>
        <w:tc>
          <w:tcPr>
            <w:tcW w:w="2200" w:type="dxa"/>
            <w:vAlign w:val="bottom"/>
            <w:gridSpan w:val="4"/>
          </w:tcPr>
          <w:p>
            <w:pPr>
              <w:spacing w:after="0"/>
              <w:rPr>
                <w:sz w:val="19"/>
                <w:szCs w:val="19"/>
                <w:color w:val="auto"/>
              </w:rPr>
            </w:pPr>
          </w:p>
        </w:tc>
        <w:tc>
          <w:tcPr>
            <w:tcW w:w="1440" w:type="dxa"/>
            <w:vAlign w:val="bottom"/>
            <w:gridSpan w:val="5"/>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7"/>
              </w:rPr>
              <w:t>Section 11.12.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80" w:type="dxa"/>
            <w:vAlign w:val="bottom"/>
            <w:tcBorders>
              <w:top w:val="single" w:sz="8" w:color="0000EE"/>
            </w:tcBorders>
            <w:gridSpan w:val="26"/>
          </w:tcPr>
          <w:p>
            <w:pPr>
              <w:ind w:left="6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1"/>
              </w:rPr>
              <w:t>Authorization to Release</w:t>
            </w:r>
          </w:p>
        </w:tc>
        <w:tc>
          <w:tcPr>
            <w:tcW w:w="40" w:type="dxa"/>
            <w:vAlign w:val="bottom"/>
          </w:tcPr>
          <w:p>
            <w:pPr>
              <w:spacing w:after="0"/>
              <w:rPr>
                <w:sz w:val="19"/>
                <w:szCs w:val="19"/>
                <w:color w:val="auto"/>
              </w:rPr>
            </w:pPr>
          </w:p>
        </w:tc>
        <w:tc>
          <w:tcPr>
            <w:tcW w:w="4740" w:type="dxa"/>
            <w:vAlign w:val="bottom"/>
            <w:gridSpan w:val="18"/>
          </w:tcPr>
          <w:p>
            <w:pPr>
              <w:ind w:left="14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Guaranties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22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5"/>
              </w:rPr>
              <w:t>Section 11.13.</w:t>
            </w: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gridSpan w:val="3"/>
            <w:vMerge w:val="continue"/>
          </w:tcPr>
          <w:p>
            <w:pPr>
              <w:spacing w:after="0"/>
              <w:rPr>
                <w:sz w:val="19"/>
                <w:szCs w:val="19"/>
                <w:color w:val="auto"/>
              </w:rPr>
            </w:pPr>
          </w:p>
        </w:tc>
        <w:tc>
          <w:tcPr>
            <w:tcW w:w="6780" w:type="dxa"/>
            <w:vAlign w:val="bottom"/>
            <w:gridSpan w:val="4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Authorization of Administrative Agent to File Proofs of Claim</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0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78"/>
              </w:rPr>
              <w:t>SECTION 12.</w:t>
            </w:r>
          </w:p>
        </w:tc>
        <w:tc>
          <w:tcPr>
            <w:tcW w:w="140" w:type="dxa"/>
            <w:vAlign w:val="bottom"/>
            <w:tcBorders>
              <w:top w:val="single" w:sz="8" w:color="0000EE"/>
            </w:tcBorders>
            <w:gridSpan w:val="4"/>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5340" w:type="dxa"/>
            <w:vAlign w:val="bottom"/>
            <w:tcBorders>
              <w:top w:val="single" w:sz="8" w:color="0000EE"/>
            </w:tcBorders>
            <w:gridSpan w:val="3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Miscellaneous</w:t>
            </w:r>
          </w:p>
        </w:tc>
        <w:tc>
          <w:tcPr>
            <w:tcW w:w="1440" w:type="dxa"/>
            <w:vAlign w:val="bottom"/>
            <w:gridSpan w:val="5"/>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780" w:type="dxa"/>
            <w:vAlign w:val="bottom"/>
            <w:gridSpan w:val="38"/>
            <w:vMerge w:val="restart"/>
          </w:tcPr>
          <w:p>
            <w:pPr>
              <w:spacing w:after="0" w:line="243" w:lineRule="exact"/>
              <w:rPr>
                <w:sz w:val="20"/>
                <w:szCs w:val="20"/>
                <w:color w:val="auto"/>
              </w:rPr>
            </w:pPr>
            <w:r>
              <w:rPr>
                <w:rFonts w:ascii="Times New Roman" w:cs="Times New Roman" w:eastAsia="Times New Roman" w:hAnsi="Times New Roman"/>
                <w:sz w:val="22"/>
                <w:szCs w:val="22"/>
                <w:i w:val="1"/>
                <w:iCs w:val="1"/>
                <w:color w:val="0000EE"/>
                <w:highlight w:val="white"/>
              </w:rPr>
              <w:t>Taxes</w:t>
            </w: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9"/>
              </w:rPr>
              <w:t>Withholding</w:t>
            </w:r>
          </w:p>
        </w:tc>
        <w:tc>
          <w:tcPr>
            <w:tcW w:w="5780" w:type="dxa"/>
            <w:vAlign w:val="bottom"/>
            <w:gridSpan w:val="38"/>
            <w:vMerge w:val="continue"/>
          </w:tcPr>
          <w:p>
            <w:pPr>
              <w:spacing w:after="0"/>
              <w:rPr>
                <w:sz w:val="19"/>
                <w:szCs w:val="19"/>
                <w:color w:val="auto"/>
              </w:rPr>
            </w:pP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20" w:type="dxa"/>
            <w:vAlign w:val="bottom"/>
            <w:gridSpan w:val="1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12.2.</w:t>
            </w:r>
          </w:p>
        </w:tc>
        <w:tc>
          <w:tcPr>
            <w:tcW w:w="1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6860" w:type="dxa"/>
            <w:vAlign w:val="bottom"/>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No Waiver, Cumulative Remedies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40" w:type="dxa"/>
            <w:vAlign w:val="bottom"/>
            <w:tcBorders>
              <w:top w:val="single" w:sz="8" w:color="0000EE"/>
            </w:tcBorders>
            <w:gridSpan w:val="3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NonBusiness Days</w:t>
            </w:r>
          </w:p>
        </w:tc>
        <w:tc>
          <w:tcPr>
            <w:tcW w:w="4020" w:type="dxa"/>
            <w:vAlign w:val="bottom"/>
            <w:gridSpan w:val="13"/>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bottom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Borders>
              <w:top w:val="single" w:sz="8" w:color="0000EE"/>
              <w:bottom w:val="single" w:sz="8" w:color="0000EE"/>
            </w:tcBorders>
            <w:gridSpan w:val="1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9"/>
              </w:rPr>
              <w:t>Documentary Taxes</w:t>
            </w:r>
          </w:p>
        </w:tc>
        <w:tc>
          <w:tcPr>
            <w:tcW w:w="80" w:type="dxa"/>
            <w:vAlign w:val="bottom"/>
            <w:tcBorders>
              <w:bottom w:val="single" w:sz="8" w:color="0000EE"/>
            </w:tcBorders>
            <w:gridSpan w:val="2"/>
          </w:tcPr>
          <w:p>
            <w:pPr>
              <w:spacing w:after="0"/>
              <w:rPr>
                <w:sz w:val="19"/>
                <w:szCs w:val="19"/>
                <w:color w:val="auto"/>
              </w:rPr>
            </w:pPr>
          </w:p>
        </w:tc>
        <w:tc>
          <w:tcPr>
            <w:tcW w:w="300" w:type="dxa"/>
            <w:vAlign w:val="bottom"/>
            <w:gridSpan w:val="3"/>
          </w:tcPr>
          <w:p>
            <w:pPr>
              <w:spacing w:after="0"/>
              <w:rPr>
                <w:sz w:val="19"/>
                <w:szCs w:val="19"/>
                <w:color w:val="auto"/>
              </w:rPr>
            </w:pPr>
          </w:p>
        </w:tc>
        <w:tc>
          <w:tcPr>
            <w:tcW w:w="140" w:type="dxa"/>
            <w:vAlign w:val="bottom"/>
            <w:gridSpan w:val="4"/>
          </w:tcPr>
          <w:p>
            <w:pPr>
              <w:spacing w:after="0"/>
              <w:rPr>
                <w:sz w:val="19"/>
                <w:szCs w:val="19"/>
                <w:color w:val="auto"/>
              </w:rPr>
            </w:pPr>
          </w:p>
        </w:tc>
        <w:tc>
          <w:tcPr>
            <w:tcW w:w="240" w:type="dxa"/>
            <w:vAlign w:val="bottom"/>
            <w:gridSpan w:val="2"/>
          </w:tcPr>
          <w:p>
            <w:pPr>
              <w:spacing w:after="0"/>
              <w:rPr>
                <w:sz w:val="19"/>
                <w:szCs w:val="19"/>
                <w:color w:val="auto"/>
              </w:rPr>
            </w:pPr>
          </w:p>
        </w:tc>
        <w:tc>
          <w:tcPr>
            <w:tcW w:w="4500" w:type="dxa"/>
            <w:vAlign w:val="bottom"/>
            <w:gridSpan w:val="16"/>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12.5.</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860" w:type="dxa"/>
            <w:vAlign w:val="bottom"/>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Survival of Representations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12.6.</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360" w:type="dxa"/>
            <w:vAlign w:val="bottom"/>
            <w:tcBorders>
              <w:top w:val="single" w:sz="8" w:color="0000EE"/>
            </w:tcBorders>
            <w:gridSpan w:val="2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Survival of Indemnities</w:t>
            </w:r>
          </w:p>
        </w:tc>
        <w:tc>
          <w:tcPr>
            <w:tcW w:w="4500" w:type="dxa"/>
            <w:vAlign w:val="bottom"/>
            <w:gridSpan w:val="16"/>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12.7.</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980" w:type="dxa"/>
            <w:vAlign w:val="bottom"/>
            <w:tcBorders>
              <w:top w:val="single" w:sz="8" w:color="0000EE"/>
            </w:tcBorders>
            <w:gridSpan w:val="2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Sharing of SetOff</w:t>
            </w:r>
          </w:p>
        </w:tc>
        <w:tc>
          <w:tcPr>
            <w:tcW w:w="140" w:type="dxa"/>
            <w:vAlign w:val="bottom"/>
            <w:gridSpan w:val="4"/>
          </w:tcPr>
          <w:p>
            <w:pPr>
              <w:spacing w:after="0"/>
              <w:rPr>
                <w:sz w:val="19"/>
                <w:szCs w:val="19"/>
                <w:color w:val="auto"/>
              </w:rPr>
            </w:pPr>
          </w:p>
        </w:tc>
        <w:tc>
          <w:tcPr>
            <w:tcW w:w="4740" w:type="dxa"/>
            <w:vAlign w:val="bottom"/>
            <w:gridSpan w:val="18"/>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top w:val="single" w:sz="8" w:color="0000EE"/>
            </w:tcBorders>
            <w:gridSpan w:val="1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Notices</w:t>
            </w:r>
          </w:p>
        </w:tc>
        <w:tc>
          <w:tcPr>
            <w:tcW w:w="640" w:type="dxa"/>
            <w:vAlign w:val="bottom"/>
            <w:gridSpan w:val="11"/>
          </w:tcPr>
          <w:p>
            <w:pPr>
              <w:spacing w:after="0"/>
              <w:rPr>
                <w:sz w:val="19"/>
                <w:szCs w:val="19"/>
                <w:color w:val="auto"/>
              </w:rPr>
            </w:pPr>
          </w:p>
        </w:tc>
        <w:tc>
          <w:tcPr>
            <w:tcW w:w="4740" w:type="dxa"/>
            <w:vAlign w:val="bottom"/>
            <w:gridSpan w:val="18"/>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16"/>
          </w:tcPr>
          <w:p>
            <w:pPr>
              <w:spacing w:after="0" w:line="20" w:lineRule="exact"/>
              <w:rPr>
                <w:sz w:val="1"/>
                <w:szCs w:val="1"/>
                <w:color w:val="auto"/>
              </w:rPr>
            </w:pPr>
          </w:p>
        </w:tc>
        <w:tc>
          <w:tcPr>
            <w:tcW w:w="4740" w:type="dxa"/>
            <w:vAlign w:val="bottom"/>
            <w:gridSpan w:val="1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860" w:type="dxa"/>
            <w:vAlign w:val="bottom"/>
            <w:gridSpan w:val="4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Counterparts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89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7"/>
              </w:rPr>
              <w:t>Section 12.10.</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120" w:type="dxa"/>
            <w:vAlign w:val="bottom"/>
            <w:tcBorders>
              <w:top w:val="single" w:sz="8" w:color="0000EE"/>
            </w:tcBorders>
            <w:gridSpan w:val="8"/>
          </w:tcPr>
          <w:p>
            <w:pPr>
              <w:ind w:left="8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Successors</w:t>
            </w:r>
          </w:p>
        </w:tc>
        <w:tc>
          <w:tcPr>
            <w:tcW w:w="5740" w:type="dxa"/>
            <w:vAlign w:val="bottom"/>
            <w:gridSpan w:val="3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and Assigns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tcBorders>
            <w:gridSpan w:val="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Borders>
              <w:top w:val="single" w:sz="8" w:color="0000EE"/>
            </w:tcBorders>
            <w:gridSpan w:val="2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Participants</w:t>
            </w:r>
          </w:p>
        </w:tc>
        <w:tc>
          <w:tcPr>
            <w:tcW w:w="4740" w:type="dxa"/>
            <w:vAlign w:val="bottom"/>
            <w:gridSpan w:val="18"/>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2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5"/>
              </w:rPr>
              <w:t>Section 12.12.</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0000EE"/>
            </w:tcBorders>
            <w:gridSpan w:val="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4"/>
              </w:rPr>
              <w:t>Assignments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34"/>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60" w:type="dxa"/>
            <w:vAlign w:val="bottom"/>
            <w:tcBorders>
              <w:top w:val="single" w:sz="8" w:color="0000EE"/>
              <w:bottom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12.13.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0000EE"/>
              <w:bottom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4"/>
              </w:rPr>
              <w:t>Amendments</w:t>
            </w:r>
          </w:p>
        </w:tc>
        <w:tc>
          <w:tcPr>
            <w:tcW w:w="20" w:type="dxa"/>
            <w:vAlign w:val="bottom"/>
            <w:tcBorders>
              <w:bottom w:val="single" w:sz="8" w:color="0000EE"/>
            </w:tcBorders>
          </w:tcPr>
          <w:p>
            <w:pPr>
              <w:spacing w:after="0"/>
              <w:rPr>
                <w:sz w:val="19"/>
                <w:szCs w:val="19"/>
                <w:color w:val="auto"/>
              </w:rPr>
            </w:pPr>
          </w:p>
        </w:tc>
        <w:tc>
          <w:tcPr>
            <w:tcW w:w="5680" w:type="dxa"/>
            <w:vAlign w:val="bottom"/>
            <w:gridSpan w:val="34"/>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60" w:type="dxa"/>
            <w:vAlign w:val="bottom"/>
            <w:tcBorders>
              <w:bottom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12.14.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Headings</w:t>
            </w:r>
          </w:p>
        </w:tc>
        <w:tc>
          <w:tcPr>
            <w:tcW w:w="260" w:type="dxa"/>
            <w:vAlign w:val="bottom"/>
            <w:gridSpan w:val="6"/>
          </w:tcPr>
          <w:p>
            <w:pPr>
              <w:spacing w:after="0"/>
              <w:rPr>
                <w:sz w:val="19"/>
                <w:szCs w:val="19"/>
                <w:color w:val="auto"/>
              </w:rPr>
            </w:pPr>
          </w:p>
        </w:tc>
        <w:tc>
          <w:tcPr>
            <w:tcW w:w="5680" w:type="dxa"/>
            <w:vAlign w:val="bottom"/>
            <w:gridSpan w:val="34"/>
          </w:tcPr>
          <w:p>
            <w:pPr>
              <w:spacing w:after="0"/>
              <w:rPr>
                <w:sz w:val="19"/>
                <w:szCs w:val="19"/>
                <w:color w:val="auto"/>
              </w:rPr>
            </w:pPr>
          </w:p>
        </w:tc>
        <w:tc>
          <w:tcPr>
            <w:tcW w:w="220" w:type="dxa"/>
            <w:vAlign w:val="bottom"/>
            <w:tcBorders>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-6968490</wp:posOffset>
            </wp:positionV>
            <wp:extent cx="53149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-6814185</wp:posOffset>
            </wp:positionV>
            <wp:extent cx="53149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-6659880</wp:posOffset>
            </wp:positionV>
            <wp:extent cx="53149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-6505575</wp:posOffset>
            </wp:positionV>
            <wp:extent cx="53149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-6351270</wp:posOffset>
            </wp:positionV>
            <wp:extent cx="53149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-6196965</wp:posOffset>
            </wp:positionV>
            <wp:extent cx="54521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-6042660</wp:posOffset>
            </wp:positionV>
            <wp:extent cx="53149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-5888355</wp:posOffset>
            </wp:positionV>
            <wp:extent cx="53149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-5734050</wp:posOffset>
            </wp:positionV>
            <wp:extent cx="53149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-5579745</wp:posOffset>
            </wp:positionV>
            <wp:extent cx="53149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-5425440</wp:posOffset>
            </wp:positionV>
            <wp:extent cx="54521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-5271135</wp:posOffset>
            </wp:positionV>
            <wp:extent cx="53149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-5116830</wp:posOffset>
            </wp:positionV>
            <wp:extent cx="53149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-4962525</wp:posOffset>
            </wp:positionV>
            <wp:extent cx="53149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-4808220</wp:posOffset>
            </wp:positionV>
            <wp:extent cx="53149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-4653915</wp:posOffset>
            </wp:positionV>
            <wp:extent cx="53149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-4499610</wp:posOffset>
            </wp:positionV>
            <wp:extent cx="53149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-4345305</wp:posOffset>
            </wp:positionV>
            <wp:extent cx="54521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-4191000</wp:posOffset>
            </wp:positionV>
            <wp:extent cx="53149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-4036695</wp:posOffset>
            </wp:positionV>
            <wp:extent cx="53149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-3882390</wp:posOffset>
            </wp:positionV>
            <wp:extent cx="53149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-3728085</wp:posOffset>
            </wp:positionV>
            <wp:extent cx="53149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-3573780</wp:posOffset>
            </wp:positionV>
            <wp:extent cx="53149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-3419475</wp:posOffset>
            </wp:positionV>
            <wp:extent cx="53149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-3265170</wp:posOffset>
            </wp:positionV>
            <wp:extent cx="53149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-3110865</wp:posOffset>
            </wp:positionV>
            <wp:extent cx="53149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-2956560</wp:posOffset>
            </wp:positionV>
            <wp:extent cx="53149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-2802255</wp:posOffset>
            </wp:positionV>
            <wp:extent cx="53149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-2647950</wp:posOffset>
            </wp:positionV>
            <wp:extent cx="53149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-2493645</wp:posOffset>
            </wp:positionV>
            <wp:extent cx="53149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-2339340</wp:posOffset>
            </wp:positionV>
            <wp:extent cx="53149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-2185035</wp:posOffset>
            </wp:positionV>
            <wp:extent cx="54521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-2030730</wp:posOffset>
            </wp:positionV>
            <wp:extent cx="53149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-1876425</wp:posOffset>
            </wp:positionV>
            <wp:extent cx="53149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-1722120</wp:posOffset>
            </wp:positionV>
            <wp:extent cx="53149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-1567815</wp:posOffset>
            </wp:positionV>
            <wp:extent cx="53149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-1413510</wp:posOffset>
            </wp:positionV>
            <wp:extent cx="53149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-1259205</wp:posOffset>
            </wp:positionV>
            <wp:extent cx="53149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-1104900</wp:posOffset>
            </wp:positionV>
            <wp:extent cx="53149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-950595</wp:posOffset>
            </wp:positionV>
            <wp:extent cx="53149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-796290</wp:posOffset>
            </wp:positionV>
            <wp:extent cx="53149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-642620</wp:posOffset>
            </wp:positionV>
            <wp:extent cx="53149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-488315</wp:posOffset>
            </wp:positionV>
            <wp:extent cx="53149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-333375</wp:posOffset>
            </wp:positionV>
            <wp:extent cx="53149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-179705</wp:posOffset>
            </wp:positionV>
            <wp:extent cx="53149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-24765</wp:posOffset>
            </wp:positionV>
            <wp:extent cx="53149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61" w:name="page62"/>
    <w:bookmarkEnd w:id="61"/>
    <w:tbl>
      <w:tblPr>
        <w:tblLayout w:type="fixed"/>
        <w:tblInd w:w="220" w:type="dxa"/>
        <w:tblCellMar>
          <w:top w:w="0" w:type="dxa"/>
          <w:left w:w="0" w:type="dxa"/>
          <w:bottom w:w="0" w:type="dxa"/>
          <w:right w:w="0" w:type="dxa"/>
        </w:tblCellMar>
      </w:tblPr>
      <w:tr>
        <w:trPr>
          <w:trHeight w:val="253"/>
        </w:trPr>
        <w:tc>
          <w:tcPr>
            <w:tcW w:w="200" w:type="dxa"/>
            <w:vAlign w:val="bottom"/>
          </w:tcPr>
          <w:p>
            <w:pPr>
              <w:spacing w:after="0"/>
              <w:rPr>
                <w:sz w:val="22"/>
                <w:szCs w:val="22"/>
                <w:color w:val="auto"/>
              </w:rPr>
            </w:pPr>
          </w:p>
        </w:tc>
        <w:tc>
          <w:tcPr>
            <w:tcW w:w="8060" w:type="dxa"/>
            <w:vAlign w:val="bottom"/>
            <w:gridSpan w:val="27"/>
          </w:tcPr>
          <w:p>
            <w:pPr>
              <w:spacing w:after="0"/>
              <w:rPr>
                <w:sz w:val="20"/>
                <w:szCs w:val="20"/>
                <w:color w:val="auto"/>
              </w:rPr>
            </w:pPr>
            <w:r>
              <w:rPr>
                <w:rFonts w:ascii="Times New Roman" w:cs="Times New Roman" w:eastAsia="Times New Roman" w:hAnsi="Times New Roman"/>
                <w:sz w:val="22"/>
                <w:szCs w:val="22"/>
                <w:i w:val="1"/>
                <w:iCs w:val="1"/>
                <w:color w:val="0000EE"/>
                <w:highlight w:val="white"/>
              </w:rPr>
              <w:t>Section 12.15.  Costs and Expenses; Indemnification</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i w:val="1"/>
                <w:iCs w:val="1"/>
                <w:color w:val="0000EE"/>
                <w:highlight w:val="white"/>
              </w:rPr>
              <w:t>93</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Borders>
              <w:top w:val="single" w:sz="8" w:color="0000EE"/>
            </w:tcBorders>
            <w:gridSpan w:val="1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Setoff</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3"/>
              </w:rPr>
              <w:t>Entire</w:t>
            </w:r>
          </w:p>
        </w:tc>
        <w:tc>
          <w:tcPr>
            <w:tcW w:w="6180" w:type="dxa"/>
            <w:vAlign w:val="bottom"/>
            <w:gridSpan w:val="18"/>
          </w:tcPr>
          <w:p>
            <w:pPr>
              <w:ind w:left="10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Agreement</w:t>
            </w:r>
          </w:p>
        </w:tc>
        <w:tc>
          <w:tcPr>
            <w:tcW w:w="1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Governing Law</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Severability of</w:t>
            </w:r>
          </w:p>
        </w:tc>
        <w:tc>
          <w:tcPr>
            <w:tcW w:w="5320" w:type="dxa"/>
            <w:vAlign w:val="bottom"/>
            <w:gridSpan w:val="1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Provisions</w:t>
            </w:r>
          </w:p>
        </w:tc>
        <w:tc>
          <w:tcPr>
            <w:tcW w:w="1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Borders>
              <w:top w:val="single" w:sz="8" w:color="0000EE"/>
            </w:tcBorders>
            <w:gridSpan w:val="1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Excess Interest</w:t>
            </w:r>
          </w:p>
        </w:tc>
        <w:tc>
          <w:tcPr>
            <w:tcW w:w="30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top w:val="single" w:sz="8" w:color="0000EE"/>
              <w:bottom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5"/>
              </w:rPr>
              <w:t>Construction</w:t>
            </w:r>
          </w:p>
        </w:tc>
        <w:tc>
          <w:tcPr>
            <w:tcW w:w="160" w:type="dxa"/>
            <w:vAlign w:val="bottom"/>
            <w:tcBorders>
              <w:top w:val="single" w:sz="8" w:color="0000EE"/>
            </w:tcBorders>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3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6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60" w:type="dxa"/>
            <w:vAlign w:val="bottom"/>
            <w:gridSpan w:val="1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Lender’s Obligations Several</w:t>
            </w:r>
          </w:p>
        </w:tc>
        <w:tc>
          <w:tcPr>
            <w:tcW w:w="100" w:type="dxa"/>
            <w:vAlign w:val="bottom"/>
          </w:tcPr>
          <w:p>
            <w:pPr>
              <w:spacing w:after="0"/>
              <w:rPr>
                <w:sz w:val="19"/>
                <w:szCs w:val="19"/>
                <w:color w:val="auto"/>
              </w:rPr>
            </w:pP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w:t>
            </w:r>
            <w:r>
              <w:rPr>
                <w:rFonts w:ascii="Times New Roman" w:cs="Times New Roman" w:eastAsia="Times New Roman" w:hAnsi="Times New Roman"/>
                <w:sz w:val="14"/>
                <w:szCs w:val="14"/>
                <w:i w:val="1"/>
                <w:iCs w:val="1"/>
                <w:color w:val="0000EE"/>
                <w:highlight w:val="white"/>
              </w:rPr>
              <w:t>ection</w:t>
            </w:r>
            <w:r>
              <w:rPr>
                <w:rFonts w:ascii="Times New Roman" w:cs="Times New Roman" w:eastAsia="Times New Roman" w:hAnsi="Times New Roman"/>
                <w:sz w:val="22"/>
                <w:szCs w:val="22"/>
                <w:i w:val="1"/>
                <w:iCs w:val="1"/>
                <w:color w:val="0000EE"/>
                <w:highlight w:val="white"/>
              </w:rPr>
              <w:t xml:space="preserve"> 12.23.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top w:val="single" w:sz="8" w:color="0000EE"/>
            </w:tcBorders>
            <w:gridSpan w:val="1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Submission to Jurisdiction;</w:t>
            </w:r>
          </w:p>
        </w:tc>
        <w:tc>
          <w:tcPr>
            <w:tcW w:w="4160" w:type="dxa"/>
            <w:vAlign w:val="bottom"/>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Waiver of Jury Trial</w:t>
            </w:r>
          </w:p>
        </w:tc>
        <w:tc>
          <w:tcPr>
            <w:tcW w:w="1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6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8"/>
              </w:rPr>
              <w:t>Section 12.24.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tcBorders>
              <w:top w:val="single" w:sz="8" w:color="0000EE"/>
            </w:tcBorders>
            <w:gridSpan w:val="1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USA Patriot Act</w:t>
            </w: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0000EE"/>
            </w:tcBorders>
            <w:gridSpan w:val="8"/>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Confidentiality</w:t>
            </w:r>
          </w:p>
        </w:tc>
        <w:tc>
          <w:tcPr>
            <w:tcW w:w="3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5"/>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12.26.</w:t>
            </w:r>
          </w:p>
        </w:tc>
        <w:tc>
          <w:tcPr>
            <w:tcW w:w="4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130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Limitation of</w:t>
            </w:r>
          </w:p>
        </w:tc>
        <w:tc>
          <w:tcPr>
            <w:tcW w:w="5360" w:type="dxa"/>
            <w:vAlign w:val="bottom"/>
            <w:gridSpan w:val="1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Recourse</w:t>
            </w:r>
          </w:p>
        </w:tc>
        <w:tc>
          <w:tcPr>
            <w:tcW w:w="1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Other Taxes</w:t>
            </w:r>
          </w:p>
        </w:tc>
        <w:tc>
          <w:tcPr>
            <w:tcW w:w="140" w:type="dxa"/>
            <w:vAlign w:val="bottom"/>
          </w:tcPr>
          <w:p>
            <w:pPr>
              <w:spacing w:after="0"/>
              <w:rPr>
                <w:sz w:val="19"/>
                <w:szCs w:val="19"/>
                <w:color w:val="auto"/>
              </w:rPr>
            </w:pPr>
          </w:p>
        </w:tc>
        <w:tc>
          <w:tcPr>
            <w:tcW w:w="2320" w:type="dxa"/>
            <w:vAlign w:val="bottom"/>
            <w:gridSpan w:val="5"/>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12.28.</w:t>
            </w:r>
          </w:p>
        </w:tc>
        <w:tc>
          <w:tcPr>
            <w:tcW w:w="40" w:type="dxa"/>
            <w:vAlign w:val="bottom"/>
            <w:gridSpan w:val="2"/>
            <w:vMerge w:val="continue"/>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6660" w:type="dxa"/>
            <w:vAlign w:val="bottom"/>
            <w:gridSpan w:val="1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Acknowledgement and Consent to Bail-In of Affected Financial Institutions</w:t>
            </w:r>
          </w:p>
        </w:tc>
        <w:tc>
          <w:tcPr>
            <w:tcW w:w="100" w:type="dxa"/>
            <w:vAlign w:val="bottom"/>
            <w:vMerge w:val="continue"/>
          </w:tcPr>
          <w:p>
            <w:pPr>
              <w:spacing w:after="0"/>
              <w:rPr>
                <w:sz w:val="19"/>
                <w:szCs w:val="19"/>
                <w:color w:val="auto"/>
              </w:rPr>
            </w:pP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12.29.</w:t>
            </w:r>
          </w:p>
        </w:tc>
        <w:tc>
          <w:tcPr>
            <w:tcW w:w="4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4420" w:type="dxa"/>
            <w:vAlign w:val="bottom"/>
            <w:tcBorders>
              <w:top w:val="single" w:sz="8" w:color="0000EE"/>
              <w:bottom w:val="single" w:sz="8" w:color="0000EE"/>
            </w:tcBorders>
            <w:gridSpan w:val="1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Acknowledgement Regarding Any Supported QFCs</w:t>
            </w:r>
          </w:p>
        </w:tc>
        <w:tc>
          <w:tcPr>
            <w:tcW w:w="206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tcBorders>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Section 12.30.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bottom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5"/>
              </w:rPr>
              <w:t>Erroneous Payment</w:t>
            </w:r>
          </w:p>
        </w:tc>
        <w:tc>
          <w:tcPr>
            <w:tcW w:w="2720" w:type="dxa"/>
            <w:vAlign w:val="bottom"/>
            <w:gridSpan w:val="7"/>
          </w:tcPr>
          <w:p>
            <w:pPr>
              <w:spacing w:after="0"/>
              <w:rPr>
                <w:sz w:val="19"/>
                <w:szCs w:val="19"/>
                <w:color w:val="auto"/>
              </w:rPr>
            </w:pPr>
          </w:p>
        </w:tc>
        <w:tc>
          <w:tcPr>
            <w:tcW w:w="2240" w:type="dxa"/>
            <w:vAlign w:val="bottom"/>
            <w:gridSpan w:val="2"/>
          </w:tcPr>
          <w:p>
            <w:pPr>
              <w:spacing w:after="0"/>
              <w:rPr>
                <w:sz w:val="19"/>
                <w:szCs w:val="19"/>
                <w:color w:val="auto"/>
              </w:rPr>
            </w:pPr>
          </w:p>
        </w:tc>
        <w:tc>
          <w:tcPr>
            <w:tcW w:w="320" w:type="dxa"/>
            <w:vAlign w:val="bottom"/>
            <w:tcBorders>
              <w:bottom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060" w:type="dxa"/>
            <w:vAlign w:val="bottom"/>
            <w:gridSpan w:val="2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13.  The Guarantees</w:t>
            </w:r>
          </w:p>
        </w:tc>
        <w:tc>
          <w:tcPr>
            <w:tcW w:w="3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40" w:type="dxa"/>
            <w:vAlign w:val="bottom"/>
            <w:gridSpan w:val="8"/>
            <w:vMerge w:val="restart"/>
          </w:tcPr>
          <w:p>
            <w:pPr>
              <w:spacing w:after="0" w:line="20" w:lineRule="exact"/>
              <w:rPr>
                <w:sz w:val="1"/>
                <w:szCs w:val="1"/>
                <w:color w:val="auto"/>
              </w:rPr>
            </w:pPr>
          </w:p>
        </w:tc>
        <w:tc>
          <w:tcPr>
            <w:tcW w:w="4560" w:type="dxa"/>
            <w:vAlign w:val="bottom"/>
            <w:gridSpan w:val="7"/>
            <w:vMerge w:val="restart"/>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24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13.1.</w:t>
            </w:r>
          </w:p>
        </w:tc>
        <w:tc>
          <w:tcPr>
            <w:tcW w:w="20" w:type="dxa"/>
            <w:vAlign w:val="bottom"/>
          </w:tcPr>
          <w:p>
            <w:pPr>
              <w:spacing w:after="0"/>
              <w:rPr>
                <w:sz w:val="19"/>
                <w:szCs w:val="19"/>
                <w:color w:val="auto"/>
              </w:rPr>
            </w:pPr>
          </w:p>
        </w:tc>
        <w:tc>
          <w:tcPr>
            <w:tcW w:w="1260" w:type="dxa"/>
            <w:vAlign w:val="bottom"/>
            <w:gridSpan w:val="6"/>
          </w:tcPr>
          <w:p>
            <w:pPr>
              <w:ind w:left="2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6"/>
              </w:rPr>
              <w:t>The Guarantees</w:t>
            </w:r>
          </w:p>
        </w:tc>
        <w:tc>
          <w:tcPr>
            <w:tcW w:w="140" w:type="dxa"/>
            <w:vAlign w:val="bottom"/>
            <w:vMerge w:val="continue"/>
          </w:tcPr>
          <w:p>
            <w:pPr>
              <w:spacing w:after="0"/>
              <w:rPr>
                <w:sz w:val="19"/>
                <w:szCs w:val="19"/>
                <w:color w:val="auto"/>
              </w:rPr>
            </w:pPr>
          </w:p>
        </w:tc>
        <w:tc>
          <w:tcPr>
            <w:tcW w:w="840" w:type="dxa"/>
            <w:vAlign w:val="bottom"/>
            <w:gridSpan w:val="8"/>
            <w:vMerge w:val="continue"/>
          </w:tcPr>
          <w:p>
            <w:pPr>
              <w:spacing w:after="0"/>
              <w:rPr>
                <w:sz w:val="19"/>
                <w:szCs w:val="19"/>
                <w:color w:val="auto"/>
              </w:rPr>
            </w:pPr>
          </w:p>
        </w:tc>
        <w:tc>
          <w:tcPr>
            <w:tcW w:w="4560" w:type="dxa"/>
            <w:vAlign w:val="bottom"/>
            <w:gridSpan w:val="7"/>
            <w:vMerge w:val="continue"/>
          </w:tcPr>
          <w:p>
            <w:pPr>
              <w:spacing w:after="0"/>
              <w:rPr>
                <w:sz w:val="19"/>
                <w:szCs w:val="19"/>
                <w:color w:val="auto"/>
              </w:rPr>
            </w:pPr>
          </w:p>
        </w:tc>
        <w:tc>
          <w:tcPr>
            <w:tcW w:w="3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2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6"/>
              </w:rPr>
              <w:t>Section 13.2.</w:t>
            </w:r>
          </w:p>
        </w:tc>
        <w:tc>
          <w:tcPr>
            <w:tcW w:w="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780" w:type="dxa"/>
            <w:vAlign w:val="bottom"/>
            <w:gridSpan w:val="21"/>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Guarantee Unconditional</w:t>
            </w:r>
          </w:p>
        </w:tc>
        <w:tc>
          <w:tcPr>
            <w:tcW w:w="3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-2802255</wp:posOffset>
            </wp:positionV>
            <wp:extent cx="53149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-2647950</wp:posOffset>
            </wp:positionV>
            <wp:extent cx="53149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-2493645</wp:posOffset>
            </wp:positionV>
            <wp:extent cx="53149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-2339340</wp:posOffset>
            </wp:positionV>
            <wp:extent cx="53149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-2185670</wp:posOffset>
            </wp:positionV>
            <wp:extent cx="53149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-2030730</wp:posOffset>
            </wp:positionV>
            <wp:extent cx="53149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-1877060</wp:posOffset>
            </wp:positionV>
            <wp:extent cx="53149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-1722120</wp:posOffset>
            </wp:positionV>
            <wp:extent cx="53149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-1567815</wp:posOffset>
            </wp:positionV>
            <wp:extent cx="53149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-1414145</wp:posOffset>
            </wp:positionV>
            <wp:extent cx="53149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-1259205</wp:posOffset>
            </wp:positionV>
            <wp:extent cx="53149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-1105535</wp:posOffset>
            </wp:positionV>
            <wp:extent cx="53149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-950595</wp:posOffset>
            </wp:positionV>
            <wp:extent cx="53149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-796290</wp:posOffset>
            </wp:positionV>
            <wp:extent cx="53149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-642620</wp:posOffset>
            </wp:positionV>
            <wp:extent cx="53149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-487680</wp:posOffset>
            </wp:positionV>
            <wp:extent cx="53149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-334010</wp:posOffset>
            </wp:positionV>
            <wp:extent cx="54521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-179070</wp:posOffset>
            </wp:positionV>
            <wp:extent cx="53149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-25400</wp:posOffset>
            </wp:positionV>
            <wp:extent cx="53149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ind w:left="42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0000EE"/>
        </w:rPr>
        <w:t>Section 13.3.</w:t>
      </w:r>
      <w:r>
        <w:rPr>
          <w:sz w:val="20"/>
          <w:szCs w:val="20"/>
          <w:color w:val="auto"/>
        </w:rPr>
        <w:tab/>
      </w:r>
      <w:r>
        <w:rPr>
          <w:rFonts w:ascii="Times New Roman" w:cs="Times New Roman" w:eastAsia="Times New Roman" w:hAnsi="Times New Roman"/>
          <w:sz w:val="21"/>
          <w:szCs w:val="21"/>
          <w:i w:val="1"/>
          <w:iCs w:val="1"/>
          <w:u w:val="single" w:color="auto"/>
          <w:color w:val="0000EE"/>
        </w:rPr>
        <w:t>Discharge Only upon Payment in Full; Reinstatement in Certain Circumstances</w:t>
      </w:r>
    </w:p>
    <w:tbl>
      <w:tblPr>
        <w:tblLayout w:type="fixed"/>
        <w:tblInd w:w="200" w:type="dxa"/>
        <w:tblCellMar>
          <w:top w:w="0" w:type="dxa"/>
          <w:left w:w="0" w:type="dxa"/>
          <w:bottom w:w="0" w:type="dxa"/>
          <w:right w:w="0" w:type="dxa"/>
        </w:tblCellMar>
      </w:tblPr>
      <w:tr>
        <w:trPr>
          <w:trHeight w:val="220"/>
        </w:trPr>
        <w:tc>
          <w:tcPr>
            <w:tcW w:w="220" w:type="dxa"/>
            <w:vAlign w:val="bottom"/>
          </w:tcPr>
          <w:p>
            <w:pPr>
              <w:spacing w:after="0"/>
              <w:rPr>
                <w:sz w:val="19"/>
                <w:szCs w:val="19"/>
                <w:color w:val="auto"/>
              </w:rPr>
            </w:pPr>
          </w:p>
        </w:tc>
        <w:tc>
          <w:tcPr>
            <w:tcW w:w="320" w:type="dxa"/>
            <w:vAlign w:val="bottom"/>
            <w:tcBorders>
              <w:bottom w:val="single" w:sz="8" w:color="0000EE"/>
            </w:tcBorders>
            <w:gridSpan w:val="2"/>
          </w:tcPr>
          <w:p>
            <w:pPr>
              <w:spacing w:after="0" w:line="220" w:lineRule="exact"/>
              <w:rPr>
                <w:sz w:val="20"/>
                <w:szCs w:val="20"/>
                <w:color w:val="auto"/>
              </w:rPr>
            </w:pPr>
            <w:r>
              <w:rPr>
                <w:rFonts w:ascii="Times New Roman" w:cs="Times New Roman" w:eastAsia="Times New Roman" w:hAnsi="Times New Roman"/>
                <w:sz w:val="22"/>
                <w:szCs w:val="22"/>
                <w:i w:val="1"/>
                <w:iCs w:val="1"/>
                <w:color w:val="0000EE"/>
                <w:w w:val="90"/>
              </w:rPr>
              <w:t>104</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0" w:type="dxa"/>
            <w:vAlign w:val="bottom"/>
            <w:gridSpan w:val="11"/>
            <w:vMerge w:val="restart"/>
          </w:tcPr>
          <w:p>
            <w:pPr>
              <w:ind w:left="20"/>
              <w:spacing w:after="0"/>
              <w:rPr>
                <w:sz w:val="20"/>
                <w:szCs w:val="20"/>
                <w:color w:val="auto"/>
              </w:rPr>
            </w:pPr>
            <w:r>
              <w:rPr>
                <w:rFonts w:ascii="Times New Roman" w:cs="Times New Roman" w:eastAsia="Times New Roman" w:hAnsi="Times New Roman"/>
                <w:sz w:val="22"/>
                <w:szCs w:val="22"/>
                <w:i w:val="1"/>
                <w:iCs w:val="1"/>
                <w:color w:val="0000EE"/>
                <w:highlight w:val="white"/>
              </w:rPr>
              <w:t>Subrogation</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i w:val="1"/>
                <w:iCs w:val="1"/>
                <w:color w:val="0000EE"/>
                <w:highlight w:val="white"/>
                <w:w w:val="90"/>
              </w:rPr>
              <w:t>104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Section 13.4.</w:t>
            </w:r>
          </w:p>
        </w:tc>
        <w:tc>
          <w:tcPr>
            <w:tcW w:w="6800" w:type="dxa"/>
            <w:vAlign w:val="bottom"/>
            <w:gridSpan w:val="11"/>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4"/>
              </w:rPr>
              <w:t>Section 13.5.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9"/>
              </w:rPr>
              <w:t>Waivers</w:t>
            </w:r>
          </w:p>
        </w:tc>
        <w:tc>
          <w:tcPr>
            <w:tcW w:w="1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4"/>
              </w:rPr>
              <w:t>Section 13.6.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9"/>
              </w:rPr>
              <w:t>Limit on</w:t>
            </w:r>
          </w:p>
        </w:tc>
        <w:tc>
          <w:tcPr>
            <w:tcW w:w="6100" w:type="dxa"/>
            <w:vAlign w:val="bottom"/>
            <w:gridSpan w:val="8"/>
          </w:tcPr>
          <w:p>
            <w:pPr>
              <w:ind w:left="100"/>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Recovery</w:t>
            </w:r>
          </w:p>
        </w:tc>
        <w:tc>
          <w:tcPr>
            <w:tcW w:w="3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0000EE"/>
              <w:bottom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4"/>
              </w:rPr>
              <w:t>Section 13.7.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Borders>
              <w:top w:val="single" w:sz="8" w:color="0000EE"/>
              <w:bottom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7"/>
              </w:rPr>
              <w:t>Stay of Acceleration</w:t>
            </w:r>
          </w:p>
        </w:tc>
        <w:tc>
          <w:tcPr>
            <w:tcW w:w="160" w:type="dxa"/>
            <w:vAlign w:val="bottom"/>
            <w:tcBorders>
              <w:bottom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4"/>
              </w:rPr>
              <w:t>Section 13.8.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Borders>
              <w:bottom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9"/>
              </w:rPr>
              <w:t>Benefit to Guarantors</w:t>
            </w:r>
          </w:p>
        </w:tc>
        <w:tc>
          <w:tcPr>
            <w:tcW w:w="140" w:type="dxa"/>
            <w:vAlign w:val="bottom"/>
            <w:tcBorders>
              <w:bottom w:val="single" w:sz="8" w:color="0000EE"/>
            </w:tcBorders>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4880" w:type="dxa"/>
            <w:vAlign w:val="bottom"/>
          </w:tcPr>
          <w:p>
            <w:pPr>
              <w:spacing w:after="0"/>
              <w:rPr>
                <w:sz w:val="19"/>
                <w:szCs w:val="19"/>
                <w:color w:val="auto"/>
              </w:rPr>
            </w:pPr>
          </w:p>
        </w:tc>
        <w:tc>
          <w:tcPr>
            <w:tcW w:w="320" w:type="dxa"/>
            <w:vAlign w:val="bottom"/>
            <w:tcBorders>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4"/>
              </w:rPr>
              <w:t>Section 13.9.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9"/>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7"/>
              </w:rPr>
              <w:t>Guarantor Covenants</w:t>
            </w:r>
          </w:p>
        </w:tc>
        <w:tc>
          <w:tcPr>
            <w:tcW w:w="488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86"/>
              </w:rPr>
              <w:t>Section 13.10.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rPr>
              <w:t>Keepwell</w:t>
            </w:r>
          </w:p>
        </w:tc>
        <w:tc>
          <w:tcPr>
            <w:tcW w:w="4900" w:type="dxa"/>
            <w:vAlign w:val="bottom"/>
            <w:gridSpan w:val="2"/>
          </w:tcPr>
          <w:p>
            <w:pPr>
              <w:spacing w:after="0"/>
              <w:rPr>
                <w:sz w:val="19"/>
                <w:szCs w:val="19"/>
                <w:color w:val="auto"/>
              </w:rPr>
            </w:pPr>
          </w:p>
        </w:tc>
        <w:tc>
          <w:tcPr>
            <w:tcW w:w="3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i w:val="1"/>
                <w:iCs w:val="1"/>
                <w:color w:val="0000EE"/>
                <w:highlight w:val="white"/>
                <w:w w:val="90"/>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80" w:type="dxa"/>
            <w:vAlign w:val="bottom"/>
            <w:gridSpan w:val="6"/>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1"/>
        </w:trPr>
        <w:tc>
          <w:tcPr>
            <w:tcW w:w="1480" w:type="dxa"/>
            <w:vAlign w:val="bottom"/>
            <w:gridSpan w:val="6"/>
          </w:tcPr>
          <w:p>
            <w:pPr>
              <w:spacing w:after="0"/>
              <w:rPr>
                <w:sz w:val="20"/>
                <w:szCs w:val="20"/>
                <w:color w:val="auto"/>
              </w:rPr>
            </w:pP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14"/>
                <w:szCs w:val="14"/>
                <w:i w:val="1"/>
                <w:iCs w:val="1"/>
                <w:color w:val="auto"/>
              </w:rPr>
              <w:t>xhibit</w:t>
            </w:r>
            <w:r>
              <w:rPr>
                <w:rFonts w:ascii="Times New Roman" w:cs="Times New Roman" w:eastAsia="Times New Roman" w:hAnsi="Times New Roman"/>
                <w:sz w:val="22"/>
                <w:szCs w:val="22"/>
                <w:i w:val="1"/>
                <w:iCs w:val="1"/>
                <w:color w:val="auto"/>
              </w:rPr>
              <w:t xml:space="preserve"> A</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rPr>
                <w:sz w:val="20"/>
                <w:szCs w:val="20"/>
                <w:color w:val="auto"/>
              </w:rPr>
            </w:pPr>
            <w:r>
              <w:rPr>
                <w:rFonts w:ascii="Times New Roman" w:cs="Times New Roman" w:eastAsia="Times New Roman" w:hAnsi="Times New Roman"/>
                <w:sz w:val="22"/>
                <w:szCs w:val="22"/>
                <w:i w:val="1"/>
                <w:iCs w:val="1"/>
                <w:color w:val="auto"/>
              </w:rPr>
              <w:t>Reserved</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14"/>
                <w:szCs w:val="14"/>
                <w:i w:val="1"/>
                <w:iCs w:val="1"/>
                <w:color w:val="auto"/>
              </w:rPr>
              <w:t>xhibit</w:t>
            </w:r>
            <w:r>
              <w:rPr>
                <w:rFonts w:ascii="Times New Roman" w:cs="Times New Roman" w:eastAsia="Times New Roman" w:hAnsi="Times New Roman"/>
                <w:sz w:val="22"/>
                <w:szCs w:val="22"/>
                <w:i w:val="1"/>
                <w:iCs w:val="1"/>
                <w:color w:val="auto"/>
              </w:rPr>
              <w:t xml:space="preserve"> B</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Notice of Borrowing</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14"/>
                <w:szCs w:val="14"/>
                <w:i w:val="1"/>
                <w:iCs w:val="1"/>
                <w:color w:val="auto"/>
              </w:rPr>
              <w:t>xhibit</w:t>
            </w:r>
            <w:r>
              <w:rPr>
                <w:rFonts w:ascii="Times New Roman" w:cs="Times New Roman" w:eastAsia="Times New Roman" w:hAnsi="Times New Roman"/>
                <w:sz w:val="22"/>
                <w:szCs w:val="22"/>
                <w:i w:val="1"/>
                <w:iCs w:val="1"/>
                <w:color w:val="auto"/>
              </w:rPr>
              <w:t xml:space="preserve"> C</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Notice of Continuation/Conversion</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14"/>
                <w:szCs w:val="14"/>
                <w:i w:val="1"/>
                <w:iCs w:val="1"/>
                <w:color w:val="auto"/>
              </w:rPr>
              <w:t>xhibit</w:t>
            </w:r>
            <w:r>
              <w:rPr>
                <w:rFonts w:ascii="Times New Roman" w:cs="Times New Roman" w:eastAsia="Times New Roman" w:hAnsi="Times New Roman"/>
                <w:sz w:val="22"/>
                <w:szCs w:val="22"/>
                <w:i w:val="1"/>
                <w:iCs w:val="1"/>
                <w:color w:val="auto"/>
              </w:rPr>
              <w:t xml:space="preserve"> 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Term Note</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14"/>
                <w:szCs w:val="14"/>
                <w:i w:val="1"/>
                <w:iCs w:val="1"/>
                <w:color w:val="auto"/>
              </w:rPr>
              <w:t>xhibit</w:t>
            </w:r>
            <w:r>
              <w:rPr>
                <w:rFonts w:ascii="Times New Roman" w:cs="Times New Roman" w:eastAsia="Times New Roman" w:hAnsi="Times New Roman"/>
                <w:sz w:val="22"/>
                <w:szCs w:val="22"/>
                <w:i w:val="1"/>
                <w:iCs w:val="1"/>
                <w:color w:val="auto"/>
              </w:rPr>
              <w:t xml:space="preserve"> 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Compliance Certificate</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14"/>
                <w:szCs w:val="14"/>
                <w:i w:val="1"/>
                <w:iCs w:val="1"/>
                <w:color w:val="auto"/>
              </w:rPr>
              <w:t>xhibit</w:t>
            </w:r>
            <w:r>
              <w:rPr>
                <w:rFonts w:ascii="Times New Roman" w:cs="Times New Roman" w:eastAsia="Times New Roman" w:hAnsi="Times New Roman"/>
                <w:sz w:val="22"/>
                <w:szCs w:val="22"/>
                <w:i w:val="1"/>
                <w:iCs w:val="1"/>
                <w:color w:val="auto"/>
              </w:rPr>
              <w:t xml:space="preserve"> F</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Assignment and Acceptance</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14"/>
                <w:szCs w:val="14"/>
                <w:i w:val="1"/>
                <w:iCs w:val="1"/>
                <w:color w:val="auto"/>
              </w:rPr>
              <w:t>xhibit</w:t>
            </w:r>
            <w:r>
              <w:rPr>
                <w:rFonts w:ascii="Times New Roman" w:cs="Times New Roman" w:eastAsia="Times New Roman" w:hAnsi="Times New Roman"/>
                <w:sz w:val="22"/>
                <w:szCs w:val="22"/>
                <w:i w:val="1"/>
                <w:iCs w:val="1"/>
                <w:color w:val="auto"/>
              </w:rPr>
              <w:t xml:space="preserve"> G</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Additional Guarantor Supplement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14"/>
                <w:szCs w:val="14"/>
                <w:i w:val="1"/>
                <w:iCs w:val="1"/>
                <w:color w:val="auto"/>
              </w:rPr>
              <w:t>xhibit</w:t>
            </w:r>
            <w:r>
              <w:rPr>
                <w:rFonts w:ascii="Times New Roman" w:cs="Times New Roman" w:eastAsia="Times New Roman" w:hAnsi="Times New Roman"/>
                <w:sz w:val="22"/>
                <w:szCs w:val="22"/>
                <w:i w:val="1"/>
                <w:iCs w:val="1"/>
                <w:color w:val="auto"/>
              </w:rPr>
              <w:t xml:space="preserve"> H</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Commitment Increase Request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14"/>
                <w:szCs w:val="14"/>
                <w:i w:val="1"/>
                <w:iCs w:val="1"/>
                <w:color w:val="auto"/>
              </w:rPr>
              <w:t>xhibit</w:t>
            </w:r>
            <w:r>
              <w:rPr>
                <w:rFonts w:ascii="Times New Roman" w:cs="Times New Roman" w:eastAsia="Times New Roman" w:hAnsi="Times New Roman"/>
                <w:sz w:val="22"/>
                <w:szCs w:val="22"/>
                <w:i w:val="1"/>
                <w:iCs w:val="1"/>
                <w:color w:val="auto"/>
              </w:rPr>
              <w:t xml:space="preserve"> I</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Borrowing Base Certificate</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14"/>
                <w:szCs w:val="14"/>
                <w:i w:val="1"/>
                <w:iCs w:val="1"/>
                <w:color w:val="auto"/>
              </w:rPr>
              <w:t>chedule</w:t>
            </w:r>
            <w:r>
              <w:rPr>
                <w:rFonts w:ascii="Times New Roman" w:cs="Times New Roman" w:eastAsia="Times New Roman" w:hAnsi="Times New Roman"/>
                <w:sz w:val="22"/>
                <w:szCs w:val="22"/>
                <w:i w:val="1"/>
                <w:iCs w:val="1"/>
                <w:color w:val="auto"/>
              </w:rPr>
              <w:t xml:space="preserve"> I</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Commitments</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14"/>
                <w:szCs w:val="14"/>
                <w:i w:val="1"/>
                <w:iCs w:val="1"/>
                <w:color w:val="auto"/>
              </w:rPr>
              <w:t>chedule</w:t>
            </w:r>
            <w:r>
              <w:rPr>
                <w:rFonts w:ascii="Times New Roman" w:cs="Times New Roman" w:eastAsia="Times New Roman" w:hAnsi="Times New Roman"/>
                <w:sz w:val="22"/>
                <w:szCs w:val="22"/>
                <w:i w:val="1"/>
                <w:iCs w:val="1"/>
                <w:color w:val="auto"/>
              </w:rPr>
              <w:t xml:space="preserve"> 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Initial Properties</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14"/>
                <w:szCs w:val="14"/>
                <w:i w:val="1"/>
                <w:iCs w:val="1"/>
                <w:color w:val="auto"/>
              </w:rPr>
              <w:t>chedule</w:t>
            </w:r>
            <w:r>
              <w:rPr>
                <w:rFonts w:ascii="Times New Roman" w:cs="Times New Roman" w:eastAsia="Times New Roman" w:hAnsi="Times New Roman"/>
                <w:sz w:val="22"/>
                <w:szCs w:val="22"/>
                <w:i w:val="1"/>
                <w:iCs w:val="1"/>
                <w:color w:val="auto"/>
              </w:rPr>
              <w:t xml:space="preserve"> 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Subsidiaries</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14"/>
                <w:szCs w:val="14"/>
                <w:i w:val="1"/>
                <w:iCs w:val="1"/>
                <w:color w:val="auto"/>
              </w:rPr>
              <w:t>chedule</w:t>
            </w:r>
            <w:r>
              <w:rPr>
                <w:rFonts w:ascii="Times New Roman" w:cs="Times New Roman" w:eastAsia="Times New Roman" w:hAnsi="Times New Roman"/>
                <w:sz w:val="22"/>
                <w:szCs w:val="22"/>
                <w:i w:val="1"/>
                <w:iCs w:val="1"/>
                <w:color w:val="auto"/>
              </w:rPr>
              <w:t xml:space="preserve"> 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Material Adverse Effect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14"/>
                <w:szCs w:val="14"/>
                <w:i w:val="1"/>
                <w:iCs w:val="1"/>
                <w:color w:val="auto"/>
              </w:rPr>
              <w:t>chedule</w:t>
            </w:r>
            <w:r>
              <w:rPr>
                <w:rFonts w:ascii="Times New Roman" w:cs="Times New Roman" w:eastAsia="Times New Roman" w:hAnsi="Times New Roman"/>
                <w:sz w:val="22"/>
                <w:szCs w:val="22"/>
                <w:i w:val="1"/>
                <w:iCs w:val="1"/>
                <w:color w:val="auto"/>
              </w:rPr>
              <w:t xml:space="preserve"> 6.11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Litigation</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14"/>
                <w:szCs w:val="14"/>
                <w:i w:val="1"/>
                <w:iCs w:val="1"/>
                <w:color w:val="auto"/>
              </w:rPr>
              <w:t>chedule</w:t>
            </w:r>
            <w:r>
              <w:rPr>
                <w:rFonts w:ascii="Times New Roman" w:cs="Times New Roman" w:eastAsia="Times New Roman" w:hAnsi="Times New Roman"/>
                <w:sz w:val="22"/>
                <w:szCs w:val="22"/>
                <w:i w:val="1"/>
                <w:iCs w:val="1"/>
                <w:color w:val="auto"/>
              </w:rPr>
              <w:t xml:space="preserve"> 6.17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i w:val="1"/>
                <w:iCs w:val="1"/>
                <w:color w:val="auto"/>
              </w:rPr>
              <w:t>Environmental Issues</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80" w:type="dxa"/>
            <w:vAlign w:val="bottom"/>
            <w:gridSpan w:val="6"/>
          </w:tcPr>
          <w:p>
            <w:pPr>
              <w:spacing w:after="0"/>
              <w:rPr>
                <w:sz w:val="20"/>
                <w:szCs w:val="20"/>
                <w:color w:val="auto"/>
              </w:rPr>
            </w:pP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14"/>
                <w:szCs w:val="14"/>
                <w:i w:val="1"/>
                <w:iCs w:val="1"/>
                <w:color w:val="auto"/>
              </w:rPr>
              <w:t>chedule</w:t>
            </w:r>
            <w:r>
              <w:rPr>
                <w:rFonts w:ascii="Times New Roman" w:cs="Times New Roman" w:eastAsia="Times New Roman" w:hAnsi="Times New Roman"/>
                <w:sz w:val="22"/>
                <w:szCs w:val="22"/>
                <w:i w:val="1"/>
                <w:iCs w:val="1"/>
                <w:color w:val="auto"/>
              </w:rPr>
              <w:t xml:space="preserve"> 8.7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22"/>
                <w:szCs w:val="22"/>
                <w:i w:val="1"/>
                <w:iCs w:val="1"/>
                <w:color w:val="auto"/>
              </w:rPr>
              <w:t>—</w:t>
            </w:r>
          </w:p>
        </w:tc>
        <w:tc>
          <w:tcPr>
            <w:tcW w:w="6040" w:type="dxa"/>
            <w:vAlign w:val="bottom"/>
            <w:gridSpan w:val="7"/>
          </w:tcPr>
          <w:p>
            <w:pPr>
              <w:ind w:left="40"/>
              <w:spacing w:after="0"/>
              <w:rPr>
                <w:sz w:val="20"/>
                <w:szCs w:val="20"/>
                <w:color w:val="auto"/>
              </w:rPr>
            </w:pPr>
            <w:r>
              <w:rPr>
                <w:rFonts w:ascii="Times New Roman" w:cs="Times New Roman" w:eastAsia="Times New Roman" w:hAnsi="Times New Roman"/>
                <w:sz w:val="22"/>
                <w:szCs w:val="22"/>
                <w:i w:val="1"/>
                <w:iCs w:val="1"/>
                <w:color w:val="auto"/>
              </w:rPr>
              <w:t>Existing Liens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-3710305</wp:posOffset>
            </wp:positionV>
            <wp:extent cx="53149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-3556000</wp:posOffset>
            </wp:positionV>
            <wp:extent cx="53149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-3401695</wp:posOffset>
            </wp:positionV>
            <wp:extent cx="53149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-3247390</wp:posOffset>
            </wp:positionV>
            <wp:extent cx="53149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-3093085</wp:posOffset>
            </wp:positionV>
            <wp:extent cx="53149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-2938780</wp:posOffset>
            </wp:positionV>
            <wp:extent cx="53149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-2784475</wp:posOffset>
            </wp:positionV>
            <wp:extent cx="53149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62" w:name="page63"/>
    <w:bookmarkEnd w:id="62"/>
    <w:p>
      <w:pPr>
        <w:jc w:val="both"/>
        <w:ind w:left="200" w:right="21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THE LOAN EVIDENCED BY THIS CREDIT AGREEMENT IS NOT SECURED BY AN INTEREST IN FLORIDA REAL PROPERTY AND HAS BEEN EXECUTED AND DELIVERED OUTSIDE OF THE STATE OF FLORIDA. CONSEQUENTLY, NO FLORIDA DOCUMENTARY STAMP TAX IS DUE AND PAYABLE WITH RESPECT TO THIS CREDIT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51"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This Credit Agreement (this “Agreement”) is entered into as of September 30, 2024, by and among CTO R</w:t>
      </w:r>
      <w:r>
        <w:rPr>
          <w:rFonts w:ascii="Times New Roman" w:cs="Times New Roman" w:eastAsia="Times New Roman" w:hAnsi="Times New Roman"/>
          <w:sz w:val="14"/>
          <w:szCs w:val="14"/>
          <w:color w:val="auto"/>
        </w:rPr>
        <w:t>ealty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a Maryland corporation (the “Borrower”), and each Material Subsidiary from time to time party to this Agreement, as Guarantors, the several financial institutions from time to time party to this Agreement, as Lenders, and 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 as Administrative Agent and KeyBank, as Sustainability Structuring Agent, as provided herein. All capitalized terms used herein without definition shall have the same meanings herein as such terms are defined in Section 5.1 hereof.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23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Borrower has requested, and the Lenders have agreed to extend, certain credit facilities on the terms and conditions of this Agreement.</w:t>
      </w:r>
    </w:p>
    <w:p>
      <w:pPr>
        <w:spacing w:after="0" w:line="19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ow</w:t>
      </w:r>
      <w:r>
        <w:rPr>
          <w:rFonts w:ascii="Times New Roman" w:cs="Times New Roman" w:eastAsia="Times New Roman" w:hAnsi="Times New Roman"/>
          <w:sz w:val="22"/>
          <w:szCs w:val="22"/>
          <w:color w:val="auto"/>
        </w:rPr>
        <w:t>, T</w:t>
      </w:r>
      <w:r>
        <w:rPr>
          <w:rFonts w:ascii="Times New Roman" w:cs="Times New Roman" w:eastAsia="Times New Roman" w:hAnsi="Times New Roman"/>
          <w:sz w:val="14"/>
          <w:szCs w:val="14"/>
          <w:color w:val="auto"/>
        </w:rPr>
        <w:t>herefore</w:t>
      </w:r>
      <w:r>
        <w:rPr>
          <w:rFonts w:ascii="Times New Roman" w:cs="Times New Roman" w:eastAsia="Times New Roman" w:hAnsi="Times New Roman"/>
          <w:sz w:val="22"/>
          <w:szCs w:val="22"/>
          <w:color w:val="auto"/>
        </w:rPr>
        <w:t>, in consideration of the mutual agreements contained herein, and other good and valuable consideration, the receipt and sufficiency of which are hereby acknowledged, the parties hereto hereby agree as follows:</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1.  THE CREDIT FACILITY</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1.1.</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i w:val="1"/>
          <w:iCs w:val="1"/>
          <w:color w:val="auto"/>
        </w:rPr>
        <w:t>Section 1.2. The 2029 Term Loan</w:t>
      </w:r>
      <w:r>
        <w:rPr>
          <w:rFonts w:ascii="Times New Roman" w:cs="Times New Roman" w:eastAsia="Times New Roman" w:hAnsi="Times New Roman"/>
          <w:sz w:val="21"/>
          <w:szCs w:val="21"/>
          <w:color w:val="auto"/>
        </w:rPr>
        <w:t>. Subject to the terms and conditions set forth herein,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each 2029 Term Loan Lender, by its acceptance hereof, severally agrees to make a single term loan (each such loan, a “</w:t>
      </w:r>
      <w:r>
        <w:rPr>
          <w:rFonts w:ascii="Times New Roman" w:cs="Times New Roman" w:eastAsia="Times New Roman" w:hAnsi="Times New Roman"/>
          <w:sz w:val="21"/>
          <w:szCs w:val="21"/>
          <w:i w:val="1"/>
          <w:iCs w:val="1"/>
          <w:color w:val="auto"/>
        </w:rPr>
        <w:t>2029 Term Loan</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i w:val="1"/>
          <w:iCs w:val="1"/>
          <w:color w:val="auto"/>
        </w:rPr>
        <w:t>2029 Term Loans</w:t>
      </w:r>
      <w:r>
        <w:rPr>
          <w:rFonts w:ascii="Times New Roman" w:cs="Times New Roman" w:eastAsia="Times New Roman" w:hAnsi="Times New Roman"/>
          <w:sz w:val="21"/>
          <w:szCs w:val="21"/>
          <w:color w:val="auto"/>
        </w:rPr>
        <w:t xml:space="preserve"> ”) to the Borrower on the Closing Date in an aggregate original principal amount not to exceed its 2029 Term Loan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after giving effect to such 2029 Term Loans, (i) the aggregate principal amount of the 2029 Term Loans shall not exceed the 2029 Aggregate Term Facility Amount and (ii) the aggregate principal amount of the 2029 Term Loans shall not exceed the Borrowing Base as then computed and determined. The Borrowing shall consist of 2029 Term Loans made simultaneously by the 2029 Term Loan Lenders in accordance with their respective Applicable Percentage of the 2029 Term Credit Facility;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for any reason the full amount of the 2029 Term Credit Facility is not fully drawn by the Borrower on the Closing Date, the undrawn portion thereof shall automatically be cancelled. As provided in Section 1.6(a) hereof, the Borrower may elect that the 2029 Term Loans be outstanding as (i) Base Rate Loans,</w:t>
      </w:r>
    </w:p>
    <w:p>
      <w:pPr>
        <w:spacing w:after="0" w:line="8" w:lineRule="exact"/>
        <w:rPr>
          <w:sz w:val="20"/>
          <w:szCs w:val="20"/>
          <w:color w:val="auto"/>
        </w:rPr>
      </w:pPr>
    </w:p>
    <w:p>
      <w:pPr>
        <w:ind w:left="200" w:right="219" w:firstLine="9"/>
        <w:spacing w:after="0" w:line="237" w:lineRule="auto"/>
        <w:tabs>
          <w:tab w:leader="none" w:pos="52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Daily Simple SOFR Rate Loans or (iii) Term SOFR Rate Loans. No amount repaid or prepaid on the 2029 Term Loans may be borrowed again.</w:t>
      </w:r>
    </w:p>
    <w:p>
      <w:pPr>
        <w:spacing w:after="0" w:line="174"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1.3.</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63" w:name="page64"/>
    <w:bookmarkEnd w:id="63"/>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1.4.</w:t>
      </w:r>
      <w:r>
        <w:rPr>
          <w:sz w:val="20"/>
          <w:szCs w:val="20"/>
          <w:color w:val="auto"/>
        </w:rPr>
        <w:tab/>
      </w:r>
      <w:r>
        <w:rPr>
          <w:rFonts w:ascii="Times New Roman" w:cs="Times New Roman" w:eastAsia="Times New Roman" w:hAnsi="Times New Roman"/>
          <w:sz w:val="21"/>
          <w:szCs w:val="21"/>
          <w:i w:val="1"/>
          <w:iCs w:val="1"/>
          <w:color w:val="auto"/>
        </w:rPr>
        <w:t>Applicable Interest Rates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6" w:lineRule="auto"/>
        <w:tabs>
          <w:tab w:leader="none" w:pos="21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Base Rate Loans. </w:t>
      </w:r>
      <w:r>
        <w:rPr>
          <w:rFonts w:ascii="Times New Roman" w:cs="Times New Roman" w:eastAsia="Times New Roman" w:hAnsi="Times New Roman"/>
          <w:sz w:val="22"/>
          <w:szCs w:val="22"/>
          <w:color w:val="auto"/>
        </w:rPr>
        <w:t>Each Base Rate Loan made or maintained by a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bear interest (computed on the basis of a year of 365 or 366 days, as the case may be, and the actual days elapsed) on the unpaid principal amount thereof from the date such Loan is advanced, or created by conversion from a (i) Daily Simple SOFR Rate Loan or (ii) Term SOFR Rate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Daily Simple SOFR Rate Loans. </w:t>
      </w:r>
      <w:r>
        <w:rPr>
          <w:rFonts w:ascii="Times New Roman" w:cs="Times New Roman" w:eastAsia="Times New Roman" w:hAnsi="Times New Roman"/>
          <w:sz w:val="21"/>
          <w:szCs w:val="21"/>
          <w:color w:val="auto"/>
        </w:rPr>
        <w:t>Each Daily Simple SOFR Rate Loan made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maintained by a Lender shall bear interest (computed on the basis of a year of 365 or 366 days, as the case may be, and the actual days elapsed) on the unpaid principal amount thereof from the date such Loan is advanced or continued, or created by conversion from a (i) Base Rate Loan or</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4" w:lineRule="auto"/>
        <w:tabs>
          <w:tab w:leader="none" w:pos="54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SOFR Rate Loan, until maturity (whether by acceleration or otherwise) at a rate per annum equal to the sum of the Applicable Margin plus the Adjusted Daily Simple SOFR from time to time in effect, payable by the Borrower on each Interest Payment Date and at maturity (whether by acceleration or otherwise).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 SOFR Rate Loans. </w:t>
      </w:r>
      <w:r>
        <w:rPr>
          <w:rFonts w:ascii="Times New Roman" w:cs="Times New Roman" w:eastAsia="Times New Roman" w:hAnsi="Times New Roman"/>
          <w:sz w:val="22"/>
          <w:szCs w:val="22"/>
          <w:color w:val="auto"/>
        </w:rPr>
        <w:t>Each Term SOFR Rate Loan made or maintained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 Lender shall bear interest during each Interest Period it is outstanding (computed on the basis of a year of 360 days and actual days elapsed) on the unpaid principal amount thereof from the date such Loan is advanced or continued, or created by conversion from a Base Rate Loan or Daily Simple SOFR Rate Loan, until maturity (whether by acceleration or otherwise) at a rate per annum equal to the sum of the Applicable Margin plus the Adjusted Term SOFR applicable for such Interest Period, payable by the Borrower on each Interest Payment Date and at maturity (whether by acceleration or otherwise).</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Rate Determinations. </w:t>
      </w:r>
      <w:r>
        <w:rPr>
          <w:rFonts w:ascii="Times New Roman" w:cs="Times New Roman" w:eastAsia="Times New Roman" w:hAnsi="Times New Roman"/>
          <w:sz w:val="22"/>
          <w:szCs w:val="22"/>
          <w:color w:val="auto"/>
        </w:rPr>
        <w:t>The Administrative Agent shall determine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rate applicable to the Loans hereunder, and its determination thereof shall be conclusive and binding except in the case of manifest error. In connection with the use or administration of Term SOFR and Daily Simple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or Daily Simple SOFR.</w:t>
      </w:r>
    </w:p>
    <w:p>
      <w:pPr>
        <w:spacing w:after="0" w:line="179"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1.5. Minimum Borrowing Amounts; Maximum Term SOFR Rate Loans. </w:t>
      </w:r>
      <w:r>
        <w:rPr>
          <w:rFonts w:ascii="Times New Roman" w:cs="Times New Roman" w:eastAsia="Times New Roman" w:hAnsi="Times New Roman"/>
          <w:sz w:val="22"/>
          <w:szCs w:val="22"/>
          <w:color w:val="auto"/>
        </w:rPr>
        <w:t>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Borrowing of Loans shall be in an amount not less than $100,000. Without the Administrative Agent’s consent, there shall not be more than eight (8) Borrowings of Term SOFR Rate Loans outstanding hereunder.</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64" w:name="page65"/>
    <w:bookmarkEnd w:id="64"/>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1.6.</w:t>
      </w:r>
      <w:r>
        <w:rPr>
          <w:sz w:val="20"/>
          <w:szCs w:val="20"/>
          <w:color w:val="auto"/>
        </w:rPr>
        <w:tab/>
      </w:r>
      <w:r>
        <w:rPr>
          <w:rFonts w:ascii="Times New Roman" w:cs="Times New Roman" w:eastAsia="Times New Roman" w:hAnsi="Times New Roman"/>
          <w:sz w:val="21"/>
          <w:szCs w:val="21"/>
          <w:i w:val="1"/>
          <w:iCs w:val="1"/>
          <w:color w:val="auto"/>
        </w:rPr>
        <w:t>Manner of Borrowing Loans and Designating Applicable Interest Rates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2" w:lineRule="auto"/>
        <w:tabs>
          <w:tab w:leader="none" w:pos="214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 to the Administrative Agent. </w:t>
      </w:r>
      <w:r>
        <w:rPr>
          <w:rFonts w:ascii="Times New Roman" w:cs="Times New Roman" w:eastAsia="Times New Roman" w:hAnsi="Times New Roman"/>
          <w:sz w:val="21"/>
          <w:szCs w:val="21"/>
          <w:color w:val="auto"/>
        </w:rPr>
        <w:t>The Borrower shall give notice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by no later than 10:00 a.m. (Chicago time): (i) at least three (3) SOFR Business Days before the date on which the Borrower requests the Lenders to advance a Borrowing of Term SOFR Rate Loans and (ii) on the date the Borrower requests the Lenders to advance a Borrowing of Base Rate Loans or Daily Simple SOFR Rate Loans. The Loans included in such Borrowing shall bear interest initially at the type of rate specified in such notice of a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Term SOFR Rate Loans, on the last day of the Interest Period applicable thereto, the Borrower may continue part or all of such Borrowing as Term SOFR Rate Loans or convert part or all of such Borrowing into Base Rate Loans or Daily Simple SOFR Rate Loans, or (ii) if such Borrowing is of Base Rate Loans or Daily Simple SOFR Rate Loans, on any Business Day, the Borrower may convert all or part of such Borrowing into Term SOFR Rate Loans for an Interest Period or Interest Periods specified by the Borrower. The Borrower shall give all such notices requesting an advance, continuation or conversion of a Borrowing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B (Notice of Borrowing) or Exhibit C (Notice of Continuation/Conversion), as applicable, or in such other form acceptable to the Administrative Agent. Notice of the continuation of a Borrowing of Term SOFR Rate Loans for an additional Interest Period or of the conversion of part or all of a Borrowing of Base Rate Loans or Daily Simple SOFR Rate Loans into Term SOFR Rate Loans must be given by no later than 10:00 a.m. (Chicago time) at least three (3) Business Days before the date of the requested continuation or conversion. All such notices concerning the advance, continuation or conversion of a Borrowing shall specify, as applicable,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Term SOFR Rate Loans, the Interest Period applicable thereto. No Borrowing of Term SOFR Rate Loans or Daily Simple SOFR Rate Loans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spacing w:after="0" w:line="200" w:lineRule="exact"/>
        <w:rPr>
          <w:rFonts w:ascii="Times New Roman" w:cs="Times New Roman" w:eastAsia="Times New Roman" w:hAnsi="Times New Roman"/>
          <w:sz w:val="21"/>
          <w:szCs w:val="21"/>
          <w:color w:val="auto"/>
        </w:rPr>
      </w:pPr>
    </w:p>
    <w:p>
      <w:pPr>
        <w:spacing w:after="0" w:line="241" w:lineRule="exact"/>
        <w:rPr>
          <w:rFonts w:ascii="Times New Roman" w:cs="Times New Roman" w:eastAsia="Times New Roman" w:hAnsi="Times New Roman"/>
          <w:sz w:val="21"/>
          <w:szCs w:val="21"/>
          <w:color w:val="auto"/>
        </w:rPr>
      </w:pPr>
    </w:p>
    <w:p>
      <w:pPr>
        <w:jc w:val="both"/>
        <w:ind w:left="200" w:right="219" w:firstLine="1305"/>
        <w:spacing w:after="0" w:line="237" w:lineRule="auto"/>
        <w:tabs>
          <w:tab w:leader="none" w:pos="214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to the Lenders</w:t>
      </w:r>
      <w:r>
        <w:rPr>
          <w:rFonts w:ascii="Times New Roman" w:cs="Times New Roman" w:eastAsia="Times New Roman" w:hAnsi="Times New Roman"/>
          <w:sz w:val="22"/>
          <w:szCs w:val="22"/>
          <w:color w:val="auto"/>
        </w:rPr>
        <w:t>. The Administrative Agent shall give prompt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telephonic, telecopy or other telecommunication notice to each Lender of any notice from the Borrower received pursuant to Section 1.6(a) above and, if such notice requests the Lenders to make Term SOFR Rate Loans or Daily Simple SOFR Rate Loans, the Administrative Agent shall give notice to the Borrower and each Lender by like means of the interest rate applicable thereto promptly after the Administrative Agent has made such determination.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65" w:name="page66"/>
    <w:bookmarkEnd w:id="65"/>
    <w:p>
      <w:pPr>
        <w:jc w:val="both"/>
        <w:ind w:left="200" w:right="219" w:firstLine="1305"/>
        <w:spacing w:after="0" w:line="233" w:lineRule="auto"/>
        <w:tabs>
          <w:tab w:leader="none" w:pos="21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Borrower’s Failure to Notify</w:t>
      </w:r>
      <w:r>
        <w:rPr>
          <w:rFonts w:ascii="Times New Roman" w:cs="Times New Roman" w:eastAsia="Times New Roman" w:hAnsi="Times New Roman"/>
          <w:sz w:val="22"/>
          <w:szCs w:val="22"/>
          <w:color w:val="auto"/>
        </w:rPr>
        <w:t>. If the Borrower fails to give notice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Section 1.6(a) above of the continuation or conversion of any outstanding principal amount of a Borrowing of Daily Simple SOFR Rate Loans before the Interest Payment Date therefor within the period required by Section 1.6(a) and such Borrowing is not prepaid in accordance with Section 1.8(a), the Borrower shall be deemed to have selected that such Borrowing shall automatically be continued as a Borrowing of a Daily Simple SOFR Rate Loan. If the Borrower fails to give notice pursuant to Section 1.6(a) above of the continuation or conversion of any outstanding principal amount of a Borrowing of Term SOFR Rate Loans before the last day of its then current Interest Period within the period required by Section 1.6(a) and such Borrowing is not prepaid in accordance with Section 1.8(a), the Borrower shall be deemed to have given the notice three (3) Business Days prior to the end of the then current Interest Period and such Borrowing shall automatically be continued as a Borrowing of a Term SOFR Rate Loan with a one (1) month Interest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Lenders are able to accommodate such one (1) month Interest Period and such Term SOFR Rate Loan shall be subject to the funding indemnity set forth in Section 1.11 hereof in the event it is prepaid prior to the end of the Interest Period.</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37" w:lineRule="auto"/>
        <w:tabs>
          <w:tab w:leader="none" w:pos="21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Disbursement of Loans</w:t>
      </w:r>
      <w:r>
        <w:rPr>
          <w:rFonts w:ascii="Times New Roman" w:cs="Times New Roman" w:eastAsia="Times New Roman" w:hAnsi="Times New Roman"/>
          <w:sz w:val="22"/>
          <w:szCs w:val="22"/>
          <w:color w:val="auto"/>
        </w:rPr>
        <w:t>. Each Lender shall make available its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comprising part of such Borrowing in funds immediately available at the principal office of the Administrative Agent in Cleveland, Ohio (or at such other location as the Administrative Agent shall designate) on the Closing Date. The Administrative Agent shall make the proceeds of each new Borrowing available to the Borrower on the date of such Borrowing as instructed by the Borrower.</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Administrative Agent Reliance on Lender Funding. </w:t>
      </w:r>
      <w:r>
        <w:rPr>
          <w:rFonts w:ascii="Times New Roman" w:cs="Times New Roman" w:eastAsia="Times New Roman" w:hAnsi="Times New Roman"/>
          <w:sz w:val="21"/>
          <w:szCs w:val="21"/>
          <w:color w:val="auto"/>
        </w:rPr>
        <w:t>Unless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shall have been notified by a Lender prior to (or, in the case of a Borrowing of Base Rate Loans or Daily Simple SOFR Rate Loans, by 1:00 p.m. (Chicago time) on) the Closing Date (which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(1)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or Daily Simple SOFR, as applicable, in effect for each such day, and (2) the Administrative Agent shall notify the Borrower of such Lender’s failure to pay. If such amount is not received from such Lender by the Administrative Agent immediately upon demand, the Borrower will, on demand, promptly, and in no event later than 11:00 a.m. (Chicago time) on the date that is two (2) Business Days following such demand, repay to the Administrative Agent the proceeds of the Loan attributable to such Lender with interest thereon at a rate per annum equal to the interest rate applicable to the relevant Loan, which payment may be in the form of a Base Rate Loan or Daily Simple SOFR Rate Loan under this Agreement, but without such payment being considered a</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66" w:name="page67"/>
    <w:bookmarkEnd w:id="66"/>
    <w:p>
      <w:pPr>
        <w:ind w:left="200" w:right="659"/>
        <w:spacing w:after="0" w:line="258" w:lineRule="auto"/>
        <w:rPr>
          <w:sz w:val="20"/>
          <w:szCs w:val="20"/>
          <w:color w:val="auto"/>
        </w:rPr>
      </w:pPr>
      <w:r>
        <w:rPr>
          <w:rFonts w:ascii="Times New Roman" w:cs="Times New Roman" w:eastAsia="Times New Roman" w:hAnsi="Times New Roman"/>
          <w:sz w:val="22"/>
          <w:szCs w:val="22"/>
          <w:color w:val="auto"/>
        </w:rPr>
        <w:t>payment or prepayment of a Loan under Section 1.11 hereof so that the Borrower will have no liability under such Section with respect to such payment.</w:t>
      </w:r>
    </w:p>
    <w:p>
      <w:pPr>
        <w:spacing w:after="0" w:line="154"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1.7.</w:t>
      </w:r>
      <w:r>
        <w:rPr>
          <w:sz w:val="20"/>
          <w:szCs w:val="20"/>
          <w:color w:val="auto"/>
        </w:rPr>
        <w:tab/>
      </w:r>
      <w:r>
        <w:rPr>
          <w:rFonts w:ascii="Times New Roman" w:cs="Times New Roman" w:eastAsia="Times New Roman" w:hAnsi="Times New Roman"/>
          <w:sz w:val="21"/>
          <w:szCs w:val="21"/>
          <w:i w:val="1"/>
          <w:iCs w:val="1"/>
          <w:color w:val="auto"/>
        </w:rPr>
        <w:t>Maturity of Loans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6" w:lineRule="auto"/>
        <w:tabs>
          <w:tab w:leader="none" w:pos="21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2029 Term Loans</w:t>
      </w:r>
      <w:r>
        <w:rPr>
          <w:rFonts w:ascii="Times New Roman" w:cs="Times New Roman" w:eastAsia="Times New Roman" w:hAnsi="Times New Roman"/>
          <w:sz w:val="22"/>
          <w:szCs w:val="22"/>
          <w:color w:val="auto"/>
        </w:rPr>
        <w:t>. The Borrower shall repay to the 2029 Term Loan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the Maturity Date for the 2029 Term Credit Facility the aggregate principal amount of all 2029 Term Loans outstanding on such date.</w:t>
      </w:r>
    </w:p>
    <w:p>
      <w:pPr>
        <w:spacing w:after="0" w:line="167"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Incremental Loans</w:t>
      </w:r>
      <w:r>
        <w:rPr>
          <w:rFonts w:ascii="Times New Roman" w:cs="Times New Roman" w:eastAsia="Times New Roman" w:hAnsi="Times New Roman"/>
          <w:sz w:val="22"/>
          <w:szCs w:val="22"/>
          <w:color w:val="auto"/>
        </w:rPr>
        <w:t>. The Borrower shall repay to the applicable Incremental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on the applicable Maturity Date for the Incremental Credit, the aggregate principal amount of all Incremental Loans of the applicable tranche outstanding under such Incremental Credit on such date.</w:t>
      </w:r>
    </w:p>
    <w:p>
      <w:pPr>
        <w:spacing w:after="0" w:line="17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1.8.</w:t>
      </w:r>
      <w:r>
        <w:rPr>
          <w:sz w:val="20"/>
          <w:szCs w:val="20"/>
          <w:color w:val="auto"/>
        </w:rPr>
        <w:tab/>
      </w:r>
      <w:r>
        <w:rPr>
          <w:rFonts w:ascii="Times New Roman" w:cs="Times New Roman" w:eastAsia="Times New Roman" w:hAnsi="Times New Roman"/>
          <w:sz w:val="21"/>
          <w:szCs w:val="21"/>
          <w:i w:val="1"/>
          <w:iCs w:val="1"/>
          <w:color w:val="auto"/>
        </w:rPr>
        <w:t>Prepayments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160" w:hanging="655"/>
        <w:spacing w:after="0"/>
        <w:tabs>
          <w:tab w:leader="none" w:pos="21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Optional</w:t>
      </w:r>
      <w:r>
        <w:rPr>
          <w:rFonts w:ascii="Times New Roman" w:cs="Times New Roman" w:eastAsia="Times New Roman" w:hAnsi="Times New Roman"/>
          <w:sz w:val="21"/>
          <w:szCs w:val="21"/>
          <w:color w:val="auto"/>
        </w:rPr>
        <w:t>. The Borrower may prepay any Loan in whole or in part (but, if in</w:t>
      </w:r>
    </w:p>
    <w:p>
      <w:pPr>
        <w:spacing w:after="0" w:line="29" w:lineRule="exact"/>
        <w:rPr>
          <w:rFonts w:ascii="Times New Roman" w:cs="Times New Roman" w:eastAsia="Times New Roman" w:hAnsi="Times New Roman"/>
          <w:sz w:val="21"/>
          <w:szCs w:val="21"/>
          <w:color w:val="auto"/>
        </w:rPr>
      </w:pPr>
    </w:p>
    <w:p>
      <w:pPr>
        <w:jc w:val="both"/>
        <w:ind w:left="200" w:right="219"/>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part, then: (i) if such Borrowing is of Base Rate Loans, in an amount not less than $100,000, (ii) if such Borrowing is of Term SOFR Rate Loans, in an amount not less than $100,000, (iii) if such Borrowing is of Daily Simple SOFR Rate Loans, in an amount not less than $100,000, and (iv) in each case, in an amount such that the minimum amount required for a Borrowing pursuant to Section 1.5 hereof remains outstanding) any Borrowing of Term SOFR Rate Loans at any time upon three (3) Business Days prior notice by the Borrower to the Administrative Agent, or in the case of a Borrowing of Base Rate Loans or Daily Simple SOFR Rate Loans, notice delivered by the Borrower to the Administrative Agent no later than 10:00 a.m. (Chicago time) on the date of prepayment (or, in any case, such shorter period of time then agreed to by the Administrative Agent), such prepayment to be made by the payment of the principal amount to be prepaid and, in the case of any Term SOFR Rate Loans, accrued interest thereon to the date fixed for prepayment plus any amounts due the Lenders under Section 1.11 hereof (if any).</w:t>
      </w:r>
    </w:p>
    <w:p>
      <w:pPr>
        <w:spacing w:after="0" w:line="182"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w:t>
      </w:r>
      <w:r>
        <w:rPr>
          <w:rFonts w:ascii="Times New Roman" w:cs="Times New Roman" w:eastAsia="Times New Roman" w:hAnsi="Times New Roman"/>
          <w:sz w:val="22"/>
          <w:szCs w:val="22"/>
          <w:color w:val="auto"/>
        </w:rPr>
        <w:t>. (i) If at any time the sum of the unpaid principal balance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then outstanding shall be in excess of the Borrowing Base as then determined and computed, as contained in the most recent Borrowing Base Certificate delivered in accordance with Section 8.5(d) hereof, the Borrower shall promptly, and in no event later than 11:00 a.m. (Chicago time) on the date that is two (2) Business Days following such delivery, and without notice or demand pay the amount of the excess to the Administrative Agent for the account of the Lenders as a mandatory prepayment on such Obligations, with each such prepayment first to be applied to the 2029 Term Loans and the Incremental Loans (if any) on a combined ratable basis with respect to all such Loans until such Loans are paid in full.</w:t>
      </w:r>
    </w:p>
    <w:p>
      <w:pPr>
        <w:spacing w:after="0" w:line="178" w:lineRule="exact"/>
        <w:rPr>
          <w:sz w:val="20"/>
          <w:szCs w:val="20"/>
          <w:color w:val="auto"/>
        </w:rPr>
      </w:pPr>
    </w:p>
    <w:p>
      <w:pPr>
        <w:jc w:val="both"/>
        <w:ind w:left="200" w:right="219" w:firstLine="1305"/>
        <w:spacing w:after="0" w:line="235" w:lineRule="auto"/>
        <w:tabs>
          <w:tab w:leader="none" w:pos="21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Borrower otherwise directs, prepayments of Loans under this Section 1.8(b) shall be applied first to Borrowings of Base Rate Loans until payment in full thereof, then to Daily Simple SOFR Rate Loans until payment in full thereof, with any balance applied to Borrowings of Term SOFR Rate Loans in the order in which their Interest Periods expire. Each prepayment of Loans under this Section 1.8(b) shall be made by the payment of the principal amount to be prepaid and, in the case of any Term SOFR Rate Loans, accrued interest thereon to</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7" w:name="page68"/>
    <w:bookmarkEnd w:id="6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the date of prepayment together with any amounts due the Lenders under Section 1.11 hereof (if any).</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i w:val="1"/>
          <w:iCs w:val="1"/>
          <w:color w:val="auto"/>
        </w:rPr>
        <w:t xml:space="preserve">No Reborrowing. </w:t>
      </w:r>
      <w:r>
        <w:rPr>
          <w:rFonts w:ascii="Times New Roman" w:cs="Times New Roman" w:eastAsia="Times New Roman" w:hAnsi="Times New Roman"/>
          <w:sz w:val="22"/>
          <w:szCs w:val="22"/>
          <w:color w:val="auto"/>
        </w:rPr>
        <w:t>Any amount of Loans repaid or prepaid may not be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reborrowed.</w:t>
      </w:r>
    </w:p>
    <w:p>
      <w:pPr>
        <w:spacing w:after="0" w:line="178"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1.9. Default Rate</w:t>
      </w:r>
      <w:r>
        <w:rPr>
          <w:rFonts w:ascii="Times New Roman" w:cs="Times New Roman" w:eastAsia="Times New Roman" w:hAnsi="Times New Roman"/>
          <w:sz w:val="22"/>
          <w:szCs w:val="22"/>
          <w:color w:val="auto"/>
        </w:rPr>
        <w:t>. Notwithstanding anything to the contrary contained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while any Event of Default exists or after acceleration, if so directed by the Required Lenders, the Borrower shall pay interest (after as well as before entry of judgment thereon to the extent permitted by law) on the principal amount of all Loans at a rate per annum equal to:</w:t>
      </w:r>
    </w:p>
    <w:p>
      <w:pPr>
        <w:spacing w:after="0" w:line="176" w:lineRule="exact"/>
        <w:rPr>
          <w:sz w:val="20"/>
          <w:szCs w:val="20"/>
          <w:color w:val="auto"/>
        </w:rPr>
      </w:pPr>
    </w:p>
    <w:p>
      <w:pPr>
        <w:ind w:left="200" w:right="219" w:firstLine="1305"/>
        <w:spacing w:after="0" w:line="258" w:lineRule="auto"/>
        <w:tabs>
          <w:tab w:leader="none" w:pos="21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Base Rate Loan, the sum of 2.0% plus the Applicable Margin plus the Base Rate from time to time in effect;</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Daily Simple SOFR Rate Loan, the sum of 2.0% plus the Applicable Margin plus Daily Simple SOFR from time to time in effect; and</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Term SOFR Rate Loan, the sum of 2.0% plus the rate of interest in effect thereon at the time of such default until the end of the Interest Period applicable thereto plus the Applicable Margin and, thereafter, at a rate per annum equal to the sum of 2.0% plus the Applicable Margin for Base Rate Loans plus the Base Rate from time to time in effect.</w:t>
      </w:r>
    </w:p>
    <w:p>
      <w:pPr>
        <w:spacing w:after="0" w:line="180"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provided, however, that in the absence of acceleration, any adjustments pursuant to this Section 1.9 shall be made by the Administrative 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w:t>
      </w:r>
    </w:p>
    <w:p>
      <w:pPr>
        <w:spacing w:after="0" w:line="173"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1.10. Evidence of Indebtedness</w:t>
      </w:r>
      <w:r>
        <w:rPr>
          <w:rFonts w:ascii="Times New Roman" w:cs="Times New Roman" w:eastAsia="Times New Roman" w:hAnsi="Times New Roman"/>
          <w:sz w:val="22"/>
          <w:szCs w:val="22"/>
          <w:color w:val="auto"/>
        </w:rPr>
        <w:t>. (a) Each Lender shall maintain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76" w:lineRule="exact"/>
        <w:rPr>
          <w:sz w:val="20"/>
          <w:szCs w:val="20"/>
          <w:color w:val="auto"/>
        </w:rPr>
      </w:pPr>
    </w:p>
    <w:p>
      <w:pPr>
        <w:jc w:val="both"/>
        <w:ind w:left="200" w:right="219" w:firstLine="1305"/>
        <w:spacing w:after="0" w:line="238" w:lineRule="auto"/>
        <w:tabs>
          <w:tab w:leader="none" w:pos="214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entries maintained in the accounts maintained pursuant to paragraphs</w:t>
      </w:r>
    </w:p>
    <w:p>
      <w:pPr>
        <w:spacing w:after="0" w:line="14" w:lineRule="exact"/>
        <w:rPr>
          <w:rFonts w:ascii="Times New Roman" w:cs="Times New Roman" w:eastAsia="Times New Roman" w:hAnsi="Times New Roman"/>
          <w:sz w:val="22"/>
          <w:szCs w:val="22"/>
          <w:color w:val="auto"/>
        </w:rPr>
      </w:pPr>
    </w:p>
    <w:p>
      <w:pPr>
        <w:jc w:val="both"/>
        <w:ind w:left="200" w:right="219" w:firstLine="9"/>
        <w:spacing w:after="0" w:line="234" w:lineRule="auto"/>
        <w:tabs>
          <w:tab w:leader="none" w:pos="51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above shall be prima facie evidence of the existence and amounts of the Obligations therein recorded absent manifest error; provided, however, that the failure of the Administrative Agent or any Lender to maintain such accounts or any error therein shall not in any manner affect the obligation of the Borrower to repay the Obligations in accordance with their terms.</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2029 Term Loan Lender or Incremental Lender may request that its Loans be evidenced by a promissory note or notes in the form of Exhibit D (or such other form approved by such Lenders and Administrative Agent, herein referred to collectively as the “Notes”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8" w:name="page69"/>
    <w:bookmarkEnd w:id="68"/>
    <w:p>
      <w:pPr>
        <w:jc w:val="both"/>
        <w:ind w:left="200" w:right="219"/>
        <w:spacing w:after="0" w:line="247" w:lineRule="auto"/>
        <w:rPr>
          <w:sz w:val="20"/>
          <w:szCs w:val="20"/>
          <w:color w:val="auto"/>
        </w:rPr>
      </w:pPr>
      <w:r>
        <w:rPr>
          <w:rFonts w:ascii="Times New Roman" w:cs="Times New Roman" w:eastAsia="Times New Roman" w:hAnsi="Times New Roman"/>
          <w:sz w:val="21"/>
          <w:szCs w:val="21"/>
          <w:color w:val="auto"/>
        </w:rPr>
        <w:t>and each individually as a “Note”). In such event, the Borrower shall prepare, execute and deliver to such 2029 Term Loan Lender or Incremental Lender a Note payable to such Lender or its registered assigns in the amount of the 2029 Term Loan Commitment or Incremental Commitment, as then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or assignee subsequently returns any such Note for cancellation and requests that such Loans once again be evidenced as described above.</w:t>
      </w:r>
    </w:p>
    <w:p>
      <w:pPr>
        <w:spacing w:after="0" w:line="168"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1.11. Funding Indemnity</w:t>
      </w:r>
      <w:r>
        <w:rPr>
          <w:rFonts w:ascii="Times New Roman" w:cs="Times New Roman" w:eastAsia="Times New Roman" w:hAnsi="Times New Roman"/>
          <w:sz w:val="22"/>
          <w:szCs w:val="22"/>
          <w:color w:val="auto"/>
        </w:rPr>
        <w:t>. If any Lender shall incur any loss, cost or reasonable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 (including, without limitation, any loss, cost or reasonable expense incurred by reason of the liquidation or re-employment of deposits or other funds acquired by such Lender to fund or maintain any Term SOFR Rate Loan or the relending or reinvesting of such deposits or amounts paid or prepaid to such Lender) as a result of:</w:t>
      </w:r>
    </w:p>
    <w:p>
      <w:pPr>
        <w:spacing w:after="0" w:line="181" w:lineRule="exact"/>
        <w:rPr>
          <w:sz w:val="20"/>
          <w:szCs w:val="20"/>
          <w:color w:val="auto"/>
        </w:rPr>
      </w:pPr>
    </w:p>
    <w:p>
      <w:pPr>
        <w:ind w:left="200" w:right="239" w:firstLine="1305"/>
        <w:spacing w:after="0" w:line="258" w:lineRule="auto"/>
        <w:tabs>
          <w:tab w:leader="none" w:pos="21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prepayment or conversion of a Term SOFR Rate Loan on a date other than the last day of its Interest Period,</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(because of a failure to meet the conditions of Section 7 or otherwise) by the Borrower to borrow or continue a Term SOFR Rate Loan, or to convert a Base Rate Loan into a Term SOFR Rate Loan, on the date specified in a notice given pursuant to Section 1.6(a) hereof,</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to make any payment of principal on any Term SOFR Rate Loan when due (whether by acceleration or otherwise),</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acceleration of the maturity of a Term SOFR Rate Loan as a result of the occurrence of any Event of Default hereunder, or</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of any Term SOFR Rate Loan on a date other than the last day of the Interest Period applicable thereto as a result of a request by the Borrower pursuant to Section 1.13;</w:t>
      </w:r>
    </w:p>
    <w:p>
      <w:pPr>
        <w:spacing w:after="0" w:line="173"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 and the amounts shown on such certificate shall be conclusive if reasonably determined absent manifest error.</w:t>
      </w:r>
    </w:p>
    <w:p>
      <w:pPr>
        <w:spacing w:after="0" w:line="17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1.12.</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Section 1.13. Substitution of Lenders</w:t>
      </w:r>
      <w:r>
        <w:rPr>
          <w:rFonts w:ascii="Times New Roman" w:cs="Times New Roman" w:eastAsia="Times New Roman" w:hAnsi="Times New Roman"/>
          <w:sz w:val="22"/>
          <w:szCs w:val="22"/>
          <w:color w:val="auto"/>
        </w:rPr>
        <w:t>. In the event (a) the Borrower receives a claim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Lender for compensation under Section 10.3 or 12.1 hereof, (b) the Borrower receives notice from any Lender of any illegality pursuant to Section 10.1 hereof, (c) any Lender is then a Defaulting Lender or such Lender is a Subsidiary or Affiliate of a Person who has been deemed insolvent or becomes the subject of a bankruptcy or insolvency proceeding or a receiver or conservator has been appointed for any such Person, or (d) a Lender fails to consent to an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9" w:name="page70"/>
    <w:bookmarkEnd w:id="69"/>
    <w:p>
      <w:pPr>
        <w:ind w:left="200" w:right="239"/>
        <w:spacing w:after="0" w:line="233" w:lineRule="auto"/>
        <w:rPr>
          <w:sz w:val="20"/>
          <w:szCs w:val="20"/>
          <w:color w:val="auto"/>
        </w:rPr>
      </w:pPr>
      <w:r>
        <w:rPr>
          <w:rFonts w:ascii="Times New Roman" w:cs="Times New Roman" w:eastAsia="Times New Roman" w:hAnsi="Times New Roman"/>
          <w:sz w:val="22"/>
          <w:szCs w:val="22"/>
          <w:color w:val="auto"/>
        </w:rPr>
        <w:t xml:space="preserve">amendment or waiver requested under Section 12.13 hereof at a time when the Required Lenders have approved such amendment or waiver (any such Lender referred to in clause (a), (b), (c), or (d) above being hereinafter referred to as an </w:t>
      </w:r>
      <w:r>
        <w:rPr>
          <w:rFonts w:ascii="Times New Roman" w:cs="Times New Roman" w:eastAsia="Times New Roman" w:hAnsi="Times New Roman"/>
          <w:sz w:val="22"/>
          <w:szCs w:val="22"/>
          <w:i w:val="1"/>
          <w:iCs w:val="1"/>
          <w:color w:val="auto"/>
        </w:rPr>
        <w:t>“Affected Lender”</w:t>
      </w:r>
      <w:r>
        <w:rPr>
          <w:rFonts w:ascii="Times New Roman" w:cs="Times New Roman" w:eastAsia="Times New Roman" w:hAnsi="Times New Roman"/>
          <w:sz w:val="22"/>
          <w:szCs w:val="22"/>
          <w:color w:val="auto"/>
        </w:rPr>
        <w:t xml:space="preserve">), the Borrower may, in addition to any other rights the Borrower may have hereunder or under applicable law, require, at its expense, any such Affected Lender to assign, at par, without recourse (other than with respect to claims or Liens arising by, through or under such Affected Lender), all of its interest, rights, and obligations hereunder (including all of its Commitments, Loans and other amounts at any time owing to it hereunder and the other Loan Documents) to an Eligible Assignee specified by the Borrower,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 such assignment shall not conflict with or violate any law, rule or regulation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order of any court or other governmental authority, (ii) 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spacing w:after="0" w:line="173"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i w:val="1"/>
          <w:iCs w:val="1"/>
          <w:color w:val="auto"/>
        </w:rPr>
        <w:t>Section 1.14. Defaulting Lenders</w:t>
      </w:r>
      <w:r>
        <w:rPr>
          <w:rFonts w:ascii="Times New Roman" w:cs="Times New Roman" w:eastAsia="Times New Roman" w:hAnsi="Times New Roman"/>
          <w:sz w:val="22"/>
          <w:szCs w:val="22"/>
          <w:color w:val="auto"/>
        </w:rPr>
        <w:t>. Anything contained herein to the contrary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notwithstanding, in the event that any Lender at any time is a Defaulting Lender, then (a) during any Defaulting Lender Period with respect to such Defaulting Lender, such Defaulting Lender shall be deemed not to be a </w:t>
      </w:r>
      <w:r>
        <w:rPr>
          <w:rFonts w:ascii="Times New Roman" w:cs="Times New Roman" w:eastAsia="Times New Roman" w:hAnsi="Times New Roman"/>
          <w:sz w:val="22"/>
          <w:szCs w:val="22"/>
          <w:i w:val="1"/>
          <w:iCs w:val="1"/>
          <w:color w:val="auto"/>
        </w:rPr>
        <w:t>“Lender”</w:t>
      </w:r>
      <w:r>
        <w:rPr>
          <w:rFonts w:ascii="Times New Roman" w:cs="Times New Roman" w:eastAsia="Times New Roman" w:hAnsi="Times New Roman"/>
          <w:sz w:val="22"/>
          <w:szCs w:val="22"/>
          <w:color w:val="auto"/>
        </w:rPr>
        <w:t xml:space="preserve"> for purposes of voting on any matters (including the granting of any consents or waivers) with respect to any of the Loan Documents and such Defaulting Lender’s Loans or Commitments shall be excluded for purposes of determining </w:t>
      </w:r>
      <w:r>
        <w:rPr>
          <w:rFonts w:ascii="Times New Roman" w:cs="Times New Roman" w:eastAsia="Times New Roman" w:hAnsi="Times New Roman"/>
          <w:sz w:val="22"/>
          <w:szCs w:val="22"/>
          <w:i w:val="1"/>
          <w:iCs w:val="1"/>
          <w:color w:val="auto"/>
        </w:rPr>
        <w:t>“Required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Lenders” </w:t>
      </w:r>
      <w:r>
        <w:rPr>
          <w:rFonts w:ascii="Times New Roman" w:cs="Times New Roman" w:eastAsia="Times New Roman" w:hAnsi="Times New Roman"/>
          <w:sz w:val="22"/>
          <w:szCs w:val="22"/>
          <w:color w:val="auto"/>
        </w:rPr>
        <w:t>(provided that the foregoing shall not permit an increase in such Lender’s Commitments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an extension of the maturity date of such Lender’s Loans or other Obligations without such Lender’s consent); (b) to the extent permitted by applicable law, until such time as the Defaulting Lender Excess with respect to such Defaulting Lender shall have been reduced to zero, any voluntary prepayment of the Loans shall, if the Administrative Agent so directs at the time of making such voluntary prepayment, be applied to the Loans of other Lenders as if such Defaulting Lender had no Loans outstanding; and (c) the utilization of Commitments as at any date of determination shall be calculated as if such Defaulting Lender had funded all Loans of such Defaulting Lender. No Commitment of any Lender shall be increased or otherwise affected, and, except as otherwise expressly provided in this Section 1.14, performance by the Borrower of its obligations hereunder and the other Loan Documents shall not be excused or otherwise modified as a result of the operation of this Section 1.14. The rights and remedies against a Defaulting Lender under this Section 1.14 are in addition to other rights and remedies which the Borrower may have against such Defaulting Lender and which the Administrative Agent or any Lender may have against such Defaulting Lender.</w:t>
      </w:r>
    </w:p>
    <w:p>
      <w:pPr>
        <w:spacing w:after="0" w:line="184"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Section 1.15. Increase in Commitments </w:t>
      </w:r>
      <w:r>
        <w:rPr>
          <w:rFonts w:ascii="Times New Roman" w:cs="Times New Roman" w:eastAsia="Times New Roman" w:hAnsi="Times New Roman"/>
          <w:sz w:val="18"/>
          <w:szCs w:val="18"/>
          <w:i w:val="1"/>
          <w:iCs w:val="1"/>
          <w:color w:val="auto"/>
        </w:rPr>
        <w:t>and Incremental Commitments</w:t>
      </w:r>
      <w:r>
        <w:rPr>
          <w:rFonts w:ascii="Times New Roman" w:cs="Times New Roman" w:eastAsia="Times New Roman" w:hAnsi="Times New Roman"/>
          <w:sz w:val="21"/>
          <w:szCs w:val="21"/>
          <w:color w:val="auto"/>
        </w:rPr>
        <w:t>. The Borrower may,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from time to time, on any Business Day prior to the Maturity Date, increase the aggregate amount of the Commitments or establish one or more new revolving commitments (any such new revolving commitment, an “</w:t>
      </w:r>
      <w:r>
        <w:rPr>
          <w:rFonts w:ascii="Times New Roman" w:cs="Times New Roman" w:eastAsia="Times New Roman" w:hAnsi="Times New Roman"/>
          <w:sz w:val="21"/>
          <w:szCs w:val="21"/>
          <w:i w:val="1"/>
          <w:iCs w:val="1"/>
          <w:color w:val="auto"/>
        </w:rPr>
        <w:t>Incremental Revolving Commitment</w:t>
      </w:r>
      <w:r>
        <w:rPr>
          <w:rFonts w:ascii="Times New Roman" w:cs="Times New Roman" w:eastAsia="Times New Roman" w:hAnsi="Times New Roman"/>
          <w:sz w:val="21"/>
          <w:szCs w:val="21"/>
          <w:color w:val="auto"/>
        </w:rPr>
        <w:t xml:space="preserve">”) or term loan commitments (any such new term loan commitment, an </w:t>
      </w:r>
      <w:r>
        <w:rPr>
          <w:rFonts w:ascii="Times New Roman" w:cs="Times New Roman" w:eastAsia="Times New Roman" w:hAnsi="Times New Roman"/>
          <w:sz w:val="21"/>
          <w:szCs w:val="21"/>
          <w:i w:val="1"/>
          <w:iCs w:val="1"/>
          <w:color w:val="auto"/>
        </w:rPr>
        <w:t>“Incremental Term Loan Commitment</w:t>
      </w:r>
      <w:r>
        <w:rPr>
          <w:rFonts w:ascii="Times New Roman" w:cs="Times New Roman" w:eastAsia="Times New Roman" w:hAnsi="Times New Roman"/>
          <w:sz w:val="21"/>
          <w:szCs w:val="21"/>
          <w:color w:val="auto"/>
        </w:rPr>
        <w:t>”; and together with any Incremental Revolving Commitments, each an “</w:t>
      </w:r>
      <w:r>
        <w:rPr>
          <w:rFonts w:ascii="Times New Roman" w:cs="Times New Roman" w:eastAsia="Times New Roman" w:hAnsi="Times New Roman"/>
          <w:sz w:val="21"/>
          <w:szCs w:val="21"/>
          <w:i w:val="1"/>
          <w:iCs w:val="1"/>
          <w:color w:val="auto"/>
        </w:rPr>
        <w:t>Incremental Commitment</w:t>
      </w:r>
      <w:r>
        <w:rPr>
          <w:rFonts w:ascii="Times New Roman" w:cs="Times New Roman" w:eastAsia="Times New Roman" w:hAnsi="Times New Roman"/>
          <w:sz w:val="21"/>
          <w:szCs w:val="21"/>
          <w:color w:val="auto"/>
        </w:rPr>
        <w:t xml:space="preserve">”), respectively, by delivering a Commitment Amount Increase Request substantially in the form attached hereto as Exhibit H or in such other form acceptable to the Administrative Agent at least five (5) Business Days prior to the desired effective date of such increase (the </w:t>
      </w:r>
      <w:r>
        <w:rPr>
          <w:rFonts w:ascii="Times New Roman" w:cs="Times New Roman" w:eastAsia="Times New Roman" w:hAnsi="Times New Roman"/>
          <w:sz w:val="21"/>
          <w:szCs w:val="21"/>
          <w:i w:val="1"/>
          <w:iCs w:val="1"/>
          <w:color w:val="auto"/>
        </w:rPr>
        <w:t>“Commitment Amount Increase”</w:t>
      </w:r>
      <w:r>
        <w:rPr>
          <w:rFonts w:ascii="Times New Roman" w:cs="Times New Roman" w:eastAsia="Times New Roman" w:hAnsi="Times New Roman"/>
          <w:sz w:val="21"/>
          <w:szCs w:val="21"/>
          <w:color w:val="auto"/>
        </w:rPr>
        <w:t>) or</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0" w:name="page71"/>
    <w:bookmarkEnd w:id="70"/>
    <w:p>
      <w:pPr>
        <w:ind w:left="200"/>
        <w:spacing w:after="0"/>
        <w:rPr>
          <w:sz w:val="20"/>
          <w:szCs w:val="20"/>
          <w:color w:val="auto"/>
        </w:rPr>
      </w:pPr>
      <w:r>
        <w:rPr>
          <w:rFonts w:ascii="Times New Roman" w:cs="Times New Roman" w:eastAsia="Times New Roman" w:hAnsi="Times New Roman"/>
          <w:sz w:val="22"/>
          <w:szCs w:val="22"/>
          <w:color w:val="auto"/>
        </w:rPr>
        <w:t>establishment of such Incremental Revolving Commitment providing for the advance of new</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revolving loans (individually an </w:t>
      </w:r>
      <w:r>
        <w:rPr>
          <w:rFonts w:ascii="Times New Roman" w:cs="Times New Roman" w:eastAsia="Times New Roman" w:hAnsi="Times New Roman"/>
          <w:sz w:val="22"/>
          <w:szCs w:val="22"/>
          <w:i w:val="1"/>
          <w:iCs w:val="1"/>
          <w:color w:val="auto"/>
        </w:rPr>
        <w:t>“Incremental Revolving Loan”</w:t>
      </w:r>
      <w:r>
        <w:rPr>
          <w:rFonts w:ascii="Times New Roman" w:cs="Times New Roman" w:eastAsia="Times New Roman" w:hAnsi="Times New Roman"/>
          <w:sz w:val="22"/>
          <w:szCs w:val="22"/>
          <w:color w:val="auto"/>
        </w:rPr>
        <w:t xml:space="preserve"> and collectively for all the</w:t>
      </w:r>
    </w:p>
    <w:p>
      <w:pPr>
        <w:ind w:left="200"/>
        <w:spacing w:after="0" w:line="230" w:lineRule="auto"/>
        <w:rPr>
          <w:sz w:val="20"/>
          <w:szCs w:val="20"/>
          <w:color w:val="auto"/>
        </w:rPr>
      </w:pPr>
      <w:r>
        <w:rPr>
          <w:rFonts w:ascii="Times New Roman" w:cs="Times New Roman" w:eastAsia="Times New Roman" w:hAnsi="Times New Roman"/>
          <w:sz w:val="22"/>
          <w:szCs w:val="22"/>
          <w:color w:val="auto"/>
        </w:rPr>
        <w:t xml:space="preserve">Incremental Revolving Lenders the </w:t>
      </w:r>
      <w:r>
        <w:rPr>
          <w:rFonts w:ascii="Times New Roman" w:cs="Times New Roman" w:eastAsia="Times New Roman" w:hAnsi="Times New Roman"/>
          <w:sz w:val="22"/>
          <w:szCs w:val="22"/>
          <w:i w:val="1"/>
          <w:iCs w:val="1"/>
          <w:color w:val="auto"/>
        </w:rPr>
        <w:t>“Incremental Revolving Loans”</w:t>
      </w:r>
      <w:r>
        <w:rPr>
          <w:rFonts w:ascii="Times New Roman" w:cs="Times New Roman" w:eastAsia="Times New Roman" w:hAnsi="Times New Roman"/>
          <w:sz w:val="22"/>
          <w:szCs w:val="22"/>
          <w:color w:val="auto"/>
        </w:rPr>
        <w:t>) or such Incremental Term</w:t>
      </w:r>
    </w:p>
    <w:p>
      <w:pPr>
        <w:ind w:left="200"/>
        <w:spacing w:after="0" w:line="231" w:lineRule="auto"/>
        <w:rPr>
          <w:sz w:val="20"/>
          <w:szCs w:val="20"/>
          <w:color w:val="auto"/>
        </w:rPr>
      </w:pPr>
      <w:r>
        <w:rPr>
          <w:rFonts w:ascii="Times New Roman" w:cs="Times New Roman" w:eastAsia="Times New Roman" w:hAnsi="Times New Roman"/>
          <w:sz w:val="22"/>
          <w:szCs w:val="22"/>
          <w:color w:val="auto"/>
        </w:rPr>
        <w:t xml:space="preserve">Loan Commitment providing for the advance of new term loans (individually an </w:t>
      </w:r>
      <w:r>
        <w:rPr>
          <w:rFonts w:ascii="Times New Roman" w:cs="Times New Roman" w:eastAsia="Times New Roman" w:hAnsi="Times New Roman"/>
          <w:sz w:val="22"/>
          <w:szCs w:val="22"/>
          <w:i w:val="1"/>
          <w:iCs w:val="1"/>
          <w:color w:val="auto"/>
        </w:rPr>
        <w:t>“Incremental</w:t>
      </w:r>
    </w:p>
    <w:p>
      <w:pPr>
        <w:ind w:left="200"/>
        <w:spacing w:after="0" w:line="230" w:lineRule="auto"/>
        <w:rPr>
          <w:sz w:val="20"/>
          <w:szCs w:val="20"/>
          <w:color w:val="auto"/>
        </w:rPr>
      </w:pPr>
      <w:r>
        <w:rPr>
          <w:rFonts w:ascii="Times New Roman" w:cs="Times New Roman" w:eastAsia="Times New Roman" w:hAnsi="Times New Roman"/>
          <w:sz w:val="22"/>
          <w:szCs w:val="22"/>
          <w:i w:val="1"/>
          <w:iCs w:val="1"/>
          <w:color w:val="auto"/>
        </w:rPr>
        <w:t xml:space="preserve">Term Loan” </w:t>
      </w:r>
      <w:r>
        <w:rPr>
          <w:rFonts w:ascii="Times New Roman" w:cs="Times New Roman" w:eastAsia="Times New Roman" w:hAnsi="Times New Roman"/>
          <w:sz w:val="22"/>
          <w:szCs w:val="22"/>
          <w:color w:val="auto"/>
        </w:rPr>
        <w:t>and collectively for all the Incremental Term Loan Lenders the</w:t>
      </w:r>
      <w:r>
        <w:rPr>
          <w:rFonts w:ascii="Times New Roman" w:cs="Times New Roman" w:eastAsia="Times New Roman" w:hAnsi="Times New Roman"/>
          <w:sz w:val="22"/>
          <w:szCs w:val="22"/>
          <w:i w:val="1"/>
          <w:iCs w:val="1"/>
          <w:color w:val="auto"/>
        </w:rPr>
        <w:t xml:space="preserve"> “Incremental Term</w:t>
      </w:r>
    </w:p>
    <w:p>
      <w:pPr>
        <w:ind w:left="200"/>
        <w:spacing w:after="0" w:line="231" w:lineRule="auto"/>
        <w:rPr>
          <w:sz w:val="20"/>
          <w:szCs w:val="20"/>
          <w:color w:val="auto"/>
        </w:rPr>
      </w:pP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each Commitment Amount Increase, Incremental Revolving Commitment, and</w:t>
      </w:r>
    </w:p>
    <w:p>
      <w:pPr>
        <w:ind w:left="200"/>
        <w:spacing w:after="0" w:line="230" w:lineRule="auto"/>
        <w:rPr>
          <w:sz w:val="20"/>
          <w:szCs w:val="20"/>
          <w:color w:val="auto"/>
        </w:rPr>
      </w:pPr>
      <w:r>
        <w:rPr>
          <w:rFonts w:ascii="Times New Roman" w:cs="Times New Roman" w:eastAsia="Times New Roman" w:hAnsi="Times New Roman"/>
          <w:sz w:val="22"/>
          <w:szCs w:val="22"/>
          <w:color w:val="auto"/>
        </w:rPr>
        <w:t>Incremental Term Loan Commitment, a “</w:t>
      </w:r>
      <w:r>
        <w:rPr>
          <w:rFonts w:ascii="Times New Roman" w:cs="Times New Roman" w:eastAsia="Times New Roman" w:hAnsi="Times New Roman"/>
          <w:sz w:val="22"/>
          <w:szCs w:val="22"/>
          <w:i w:val="1"/>
          <w:iCs w:val="1"/>
          <w:color w:val="auto"/>
        </w:rPr>
        <w:t>Commitment Increase</w:t>
      </w:r>
      <w:r>
        <w:rPr>
          <w:rFonts w:ascii="Times New Roman" w:cs="Times New Roman" w:eastAsia="Times New Roman" w:hAnsi="Times New Roman"/>
          <w:sz w:val="22"/>
          <w:szCs w:val="22"/>
          <w:color w:val="auto"/>
        </w:rPr>
        <w:t>”), identifying one or more</w:t>
      </w:r>
    </w:p>
    <w:p>
      <w:pPr>
        <w:ind w:left="200"/>
        <w:spacing w:after="0" w:line="231" w:lineRule="auto"/>
        <w:rPr>
          <w:sz w:val="20"/>
          <w:szCs w:val="20"/>
          <w:color w:val="auto"/>
        </w:rPr>
      </w:pPr>
      <w:r>
        <w:rPr>
          <w:rFonts w:ascii="Times New Roman" w:cs="Times New Roman" w:eastAsia="Times New Roman" w:hAnsi="Times New Roman"/>
          <w:sz w:val="22"/>
          <w:szCs w:val="22"/>
          <w:color w:val="auto"/>
        </w:rPr>
        <w:t>additional Lenders (or additional Commitments for existing Lenders, or by a combination of</w:t>
      </w:r>
    </w:p>
    <w:p>
      <w:pPr>
        <w:ind w:left="200"/>
        <w:spacing w:after="0" w:line="230" w:lineRule="auto"/>
        <w:rPr>
          <w:sz w:val="20"/>
          <w:szCs w:val="20"/>
          <w:color w:val="auto"/>
        </w:rPr>
      </w:pPr>
      <w:r>
        <w:rPr>
          <w:rFonts w:ascii="Times New Roman" w:cs="Times New Roman" w:eastAsia="Times New Roman" w:hAnsi="Times New Roman"/>
          <w:sz w:val="22"/>
          <w:szCs w:val="22"/>
          <w:color w:val="auto"/>
        </w:rPr>
        <w:t>existing Lenders and additional Lenders, and the amount of each such Lender’s additional</w:t>
      </w:r>
    </w:p>
    <w:p>
      <w:pPr>
        <w:ind w:left="200"/>
        <w:spacing w:after="0" w:line="231" w:lineRule="auto"/>
        <w:rPr>
          <w:sz w:val="20"/>
          <w:szCs w:val="20"/>
          <w:color w:val="auto"/>
        </w:rPr>
      </w:pPr>
      <w:r>
        <w:rPr>
          <w:rFonts w:ascii="Times New Roman" w:cs="Times New Roman" w:eastAsia="Times New Roman" w:hAnsi="Times New Roman"/>
          <w:sz w:val="22"/>
          <w:szCs w:val="22"/>
          <w:color w:val="auto"/>
        </w:rPr>
        <w:t xml:space="preserve">Commitment or Incremental Term Loan Commitment, as applicable);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w:t>
      </w:r>
    </w:p>
    <w:p>
      <w:pPr>
        <w:ind w:left="200"/>
        <w:spacing w:after="0" w:line="230" w:lineRule="auto"/>
        <w:rPr>
          <w:sz w:val="20"/>
          <w:szCs w:val="20"/>
          <w:color w:val="auto"/>
        </w:rPr>
      </w:pPr>
      <w:r>
        <w:rPr>
          <w:rFonts w:ascii="Times New Roman" w:cs="Times New Roman" w:eastAsia="Times New Roman" w:hAnsi="Times New Roman"/>
          <w:sz w:val="22"/>
          <w:szCs w:val="22"/>
          <w:color w:val="auto"/>
        </w:rPr>
        <w:t>the aggregate amount of the Commitments shall not be increased to an amount in excess of</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$400,000,000, (ii) no Default or Event of Default shall have occurred and be continuing at the time</w:t>
      </w:r>
    </w:p>
    <w:p>
      <w:pPr>
        <w:ind w:left="200"/>
        <w:spacing w:after="0" w:line="231" w:lineRule="auto"/>
        <w:rPr>
          <w:sz w:val="20"/>
          <w:szCs w:val="20"/>
          <w:color w:val="auto"/>
        </w:rPr>
      </w:pPr>
      <w:r>
        <w:rPr>
          <w:rFonts w:ascii="Times New Roman" w:cs="Times New Roman" w:eastAsia="Times New Roman" w:hAnsi="Times New Roman"/>
          <w:sz w:val="22"/>
          <w:szCs w:val="22"/>
          <w:color w:val="auto"/>
        </w:rPr>
        <w:t>of the request or the effective date of the Commitment Increase, (iii) all representations and</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warranties contained in Section 6 hereof shall be true and correct in all material respects (except in</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the case of a representation or warranty qualified by materiality, in which case such representation</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or warranty shall be true and correct in all respects) at the time of such request and on the effective</w:t>
      </w:r>
    </w:p>
    <w:p>
      <w:pPr>
        <w:ind w:left="200"/>
        <w:spacing w:after="0" w:line="231" w:lineRule="auto"/>
        <w:rPr>
          <w:sz w:val="20"/>
          <w:szCs w:val="20"/>
          <w:color w:val="auto"/>
        </w:rPr>
      </w:pPr>
      <w:r>
        <w:rPr>
          <w:rFonts w:ascii="Times New Roman" w:cs="Times New Roman" w:eastAsia="Times New Roman" w:hAnsi="Times New Roman"/>
          <w:sz w:val="22"/>
          <w:szCs w:val="22"/>
          <w:color w:val="auto"/>
        </w:rPr>
        <w:t>date of such Commitment Increase except for representations and warranties that relate to a prior</w:t>
      </w:r>
    </w:p>
    <w:p>
      <w:pPr>
        <w:ind w:left="200"/>
        <w:spacing w:after="0" w:line="231" w:lineRule="auto"/>
        <w:rPr>
          <w:sz w:val="20"/>
          <w:szCs w:val="20"/>
          <w:color w:val="auto"/>
        </w:rPr>
      </w:pPr>
      <w:r>
        <w:rPr>
          <w:rFonts w:ascii="Times New Roman" w:cs="Times New Roman" w:eastAsia="Times New Roman" w:hAnsi="Times New Roman"/>
          <w:sz w:val="22"/>
          <w:szCs w:val="22"/>
          <w:color w:val="auto"/>
        </w:rPr>
        <w:t>date, which shall have been true and correct in all material respects (except in the case of a</w:t>
      </w:r>
    </w:p>
    <w:p>
      <w:pPr>
        <w:ind w:left="200"/>
        <w:spacing w:after="0" w:line="231" w:lineRule="auto"/>
        <w:rPr>
          <w:sz w:val="20"/>
          <w:szCs w:val="20"/>
          <w:color w:val="auto"/>
        </w:rPr>
      </w:pPr>
      <w:r>
        <w:rPr>
          <w:rFonts w:ascii="Times New Roman" w:cs="Times New Roman" w:eastAsia="Times New Roman" w:hAnsi="Times New Roman"/>
          <w:sz w:val="22"/>
          <w:szCs w:val="22"/>
          <w:color w:val="auto"/>
        </w:rPr>
        <w:t>representation or warranty qualified by materiality, in which case such representation or warranty</w:t>
      </w:r>
    </w:p>
    <w:p>
      <w:pPr>
        <w:ind w:left="200"/>
        <w:spacing w:after="0"/>
        <w:rPr>
          <w:sz w:val="20"/>
          <w:szCs w:val="20"/>
          <w:color w:val="auto"/>
        </w:rPr>
      </w:pPr>
      <w:r>
        <w:rPr>
          <w:rFonts w:ascii="Times New Roman" w:cs="Times New Roman" w:eastAsia="Times New Roman" w:hAnsi="Times New Roman"/>
          <w:sz w:val="21"/>
          <w:szCs w:val="21"/>
          <w:color w:val="auto"/>
        </w:rPr>
        <w:t>shall be true and correct in all respects) as of the applicable date on which they were made, and (iv)</w:t>
      </w:r>
    </w:p>
    <w:p>
      <w:pPr>
        <w:ind w:left="200"/>
        <w:spacing w:after="0" w:line="231" w:lineRule="auto"/>
        <w:rPr>
          <w:sz w:val="20"/>
          <w:szCs w:val="20"/>
          <w:color w:val="auto"/>
        </w:rPr>
      </w:pPr>
      <w:r>
        <w:rPr>
          <w:rFonts w:ascii="Times New Roman" w:cs="Times New Roman" w:eastAsia="Times New Roman" w:hAnsi="Times New Roman"/>
          <w:sz w:val="22"/>
          <w:szCs w:val="22"/>
          <w:color w:val="auto"/>
        </w:rPr>
        <w:t>upon the reasonable request of any additional Lender made at least seven (7) days prior to the</w:t>
      </w:r>
    </w:p>
    <w:p>
      <w:pPr>
        <w:ind w:left="200"/>
        <w:spacing w:after="0" w:line="231" w:lineRule="auto"/>
        <w:rPr>
          <w:sz w:val="20"/>
          <w:szCs w:val="20"/>
          <w:color w:val="auto"/>
        </w:rPr>
      </w:pPr>
      <w:r>
        <w:rPr>
          <w:rFonts w:ascii="Times New Roman" w:cs="Times New Roman" w:eastAsia="Times New Roman" w:hAnsi="Times New Roman"/>
          <w:sz w:val="22"/>
          <w:szCs w:val="22"/>
          <w:color w:val="auto"/>
        </w:rPr>
        <w:t>effective date of such Commitment Increase, the Borrower shall have provided to such additional</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Lender, and such additional Lender shall be reasonably satisfied with, the documentation and other</w:t>
      </w:r>
    </w:p>
    <w:p>
      <w:pPr>
        <w:ind w:left="200"/>
        <w:spacing w:after="0" w:line="231" w:lineRule="auto"/>
        <w:rPr>
          <w:sz w:val="20"/>
          <w:szCs w:val="20"/>
          <w:color w:val="auto"/>
        </w:rPr>
      </w:pPr>
      <w:r>
        <w:rPr>
          <w:rFonts w:ascii="Times New Roman" w:cs="Times New Roman" w:eastAsia="Times New Roman" w:hAnsi="Times New Roman"/>
          <w:sz w:val="22"/>
          <w:szCs w:val="22"/>
          <w:color w:val="auto"/>
        </w:rPr>
        <w:t>information so requested in connection with applicable “know your customer” and anti-money-</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laundering rules and regulations, including the Act, in each case at least three (3) days prior to the</w:t>
      </w:r>
    </w:p>
    <w:p>
      <w:pPr>
        <w:ind w:left="200"/>
        <w:spacing w:after="0" w:line="231" w:lineRule="auto"/>
        <w:rPr>
          <w:sz w:val="20"/>
          <w:szCs w:val="20"/>
          <w:color w:val="auto"/>
        </w:rPr>
      </w:pPr>
      <w:r>
        <w:rPr>
          <w:rFonts w:ascii="Times New Roman" w:cs="Times New Roman" w:eastAsia="Times New Roman" w:hAnsi="Times New Roman"/>
          <w:sz w:val="22"/>
          <w:szCs w:val="22"/>
          <w:color w:val="auto"/>
        </w:rPr>
        <w:t>effective date of such Commitment Increase and, at least three (3) days prior to the effective date</w:t>
      </w:r>
    </w:p>
    <w:p>
      <w:pPr>
        <w:ind w:left="200"/>
        <w:spacing w:after="0" w:line="231" w:lineRule="auto"/>
        <w:rPr>
          <w:sz w:val="20"/>
          <w:szCs w:val="20"/>
          <w:color w:val="auto"/>
        </w:rPr>
      </w:pPr>
      <w:r>
        <w:rPr>
          <w:rFonts w:ascii="Times New Roman" w:cs="Times New Roman" w:eastAsia="Times New Roman" w:hAnsi="Times New Roman"/>
          <w:sz w:val="22"/>
          <w:szCs w:val="22"/>
          <w:color w:val="auto"/>
        </w:rPr>
        <w:t>of such Commitment Increase, if the Borrower qualifies as a “legal entity customer” under the</w:t>
      </w:r>
    </w:p>
    <w:p>
      <w:pPr>
        <w:ind w:left="200"/>
        <w:spacing w:after="0" w:line="231" w:lineRule="auto"/>
        <w:rPr>
          <w:sz w:val="20"/>
          <w:szCs w:val="20"/>
          <w:color w:val="auto"/>
        </w:rPr>
      </w:pPr>
      <w:r>
        <w:rPr>
          <w:rFonts w:ascii="Times New Roman" w:cs="Times New Roman" w:eastAsia="Times New Roman" w:hAnsi="Times New Roman"/>
          <w:sz w:val="22"/>
          <w:szCs w:val="22"/>
          <w:color w:val="auto"/>
        </w:rPr>
        <w:t>Beneficial Ownership Regulation shall have delivered, to each Lender that so requests, a</w:t>
      </w:r>
    </w:p>
    <w:p>
      <w:pPr>
        <w:ind w:left="200"/>
        <w:spacing w:after="0" w:line="230" w:lineRule="auto"/>
        <w:rPr>
          <w:sz w:val="20"/>
          <w:szCs w:val="20"/>
          <w:color w:val="auto"/>
        </w:rPr>
      </w:pPr>
      <w:r>
        <w:rPr>
          <w:rFonts w:ascii="Times New Roman" w:cs="Times New Roman" w:eastAsia="Times New Roman" w:hAnsi="Times New Roman"/>
          <w:sz w:val="22"/>
          <w:szCs w:val="22"/>
          <w:color w:val="auto"/>
        </w:rPr>
        <w:t>Beneficial Ownership Certification. The effective date of the Commitment Increase shall be</w:t>
      </w:r>
    </w:p>
    <w:p>
      <w:pPr>
        <w:ind w:left="200"/>
        <w:spacing w:after="0" w:line="231" w:lineRule="auto"/>
        <w:rPr>
          <w:sz w:val="20"/>
          <w:szCs w:val="20"/>
          <w:color w:val="auto"/>
        </w:rPr>
      </w:pPr>
      <w:r>
        <w:rPr>
          <w:rFonts w:ascii="Times New Roman" w:cs="Times New Roman" w:eastAsia="Times New Roman" w:hAnsi="Times New Roman"/>
          <w:sz w:val="22"/>
          <w:szCs w:val="22"/>
          <w:color w:val="auto"/>
        </w:rPr>
        <w:t>agreed upon by the Borrower and the Administrative Agent. Upon the effectiveness thereof, the</w:t>
      </w:r>
    </w:p>
    <w:p>
      <w:pPr>
        <w:ind w:left="200"/>
        <w:spacing w:after="0" w:line="230" w:lineRule="auto"/>
        <w:rPr>
          <w:sz w:val="20"/>
          <w:szCs w:val="20"/>
          <w:color w:val="auto"/>
        </w:rPr>
      </w:pPr>
      <w:r>
        <w:rPr>
          <w:rFonts w:ascii="Times New Roman" w:cs="Times New Roman" w:eastAsia="Times New Roman" w:hAnsi="Times New Roman"/>
          <w:sz w:val="22"/>
          <w:szCs w:val="22"/>
          <w:color w:val="auto"/>
        </w:rPr>
        <w:t>new Lender(s) (or, if applicable, existing Lender(s)) shall advance Loans in an amount sufficient</w:t>
      </w:r>
    </w:p>
    <w:p>
      <w:pPr>
        <w:ind w:left="200"/>
        <w:spacing w:after="0" w:line="231" w:lineRule="auto"/>
        <w:rPr>
          <w:sz w:val="20"/>
          <w:szCs w:val="20"/>
          <w:color w:val="auto"/>
        </w:rPr>
      </w:pPr>
      <w:r>
        <w:rPr>
          <w:rFonts w:ascii="Times New Roman" w:cs="Times New Roman" w:eastAsia="Times New Roman" w:hAnsi="Times New Roman"/>
          <w:sz w:val="22"/>
          <w:szCs w:val="22"/>
          <w:color w:val="auto"/>
        </w:rPr>
        <w:t>such that after giving effect to its advance each Lender shall have outstanding its Applicable</w:t>
      </w:r>
    </w:p>
    <w:p>
      <w:pPr>
        <w:ind w:left="200"/>
        <w:spacing w:after="0" w:line="230" w:lineRule="auto"/>
        <w:rPr>
          <w:sz w:val="20"/>
          <w:szCs w:val="20"/>
          <w:color w:val="auto"/>
        </w:rPr>
      </w:pPr>
      <w:r>
        <w:rPr>
          <w:rFonts w:ascii="Times New Roman" w:cs="Times New Roman" w:eastAsia="Times New Roman" w:hAnsi="Times New Roman"/>
          <w:sz w:val="22"/>
          <w:szCs w:val="22"/>
          <w:color w:val="auto"/>
        </w:rPr>
        <w:t>Percentage of Loans. The Borrower agrees to pay any reasonable expenses of the Administrative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Agent relating to any Commitment Increase and arrangement fees related thereto as agreed upon in</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writing between Administrative Agent and the Borrower, if any. Notwithstanding anything herein</w:t>
      </w:r>
    </w:p>
    <w:p>
      <w:pPr>
        <w:ind w:left="200"/>
        <w:spacing w:after="0" w:line="231" w:lineRule="auto"/>
        <w:rPr>
          <w:sz w:val="20"/>
          <w:szCs w:val="20"/>
          <w:color w:val="auto"/>
        </w:rPr>
      </w:pPr>
      <w:r>
        <w:rPr>
          <w:rFonts w:ascii="Times New Roman" w:cs="Times New Roman" w:eastAsia="Times New Roman" w:hAnsi="Times New Roman"/>
          <w:sz w:val="22"/>
          <w:szCs w:val="22"/>
          <w:color w:val="auto"/>
        </w:rPr>
        <w:t>to the contrary, (x) no Lender shall have any obligation to increase its Commitment and no</w:t>
      </w:r>
    </w:p>
    <w:p>
      <w:pPr>
        <w:ind w:left="200"/>
        <w:spacing w:after="0" w:line="231" w:lineRule="auto"/>
        <w:rPr>
          <w:sz w:val="20"/>
          <w:szCs w:val="20"/>
          <w:color w:val="auto"/>
        </w:rPr>
      </w:pPr>
      <w:r>
        <w:rPr>
          <w:rFonts w:ascii="Times New Roman" w:cs="Times New Roman" w:eastAsia="Times New Roman" w:hAnsi="Times New Roman"/>
          <w:sz w:val="22"/>
          <w:szCs w:val="22"/>
          <w:color w:val="auto"/>
        </w:rPr>
        <w:t>Lender’s Commitment shall be increased without its consent thereto, and each Lender may at its</w:t>
      </w:r>
    </w:p>
    <w:p>
      <w:pPr>
        <w:ind w:left="200"/>
        <w:spacing w:after="0" w:line="231" w:lineRule="auto"/>
        <w:rPr>
          <w:sz w:val="20"/>
          <w:szCs w:val="20"/>
          <w:color w:val="auto"/>
        </w:rPr>
      </w:pPr>
      <w:r>
        <w:rPr>
          <w:rFonts w:ascii="Times New Roman" w:cs="Times New Roman" w:eastAsia="Times New Roman" w:hAnsi="Times New Roman"/>
          <w:sz w:val="22"/>
          <w:szCs w:val="22"/>
          <w:color w:val="auto"/>
        </w:rPr>
        <w:t>option, unconditionally and without cause, decline to increase its Commitment or to provide any</w:t>
      </w:r>
    </w:p>
    <w:p>
      <w:pPr>
        <w:ind w:left="200"/>
        <w:spacing w:after="0" w:line="230" w:lineRule="auto"/>
        <w:rPr>
          <w:sz w:val="20"/>
          <w:szCs w:val="20"/>
          <w:color w:val="auto"/>
        </w:rPr>
      </w:pPr>
      <w:r>
        <w:rPr>
          <w:rFonts w:ascii="Times New Roman" w:cs="Times New Roman" w:eastAsia="Times New Roman" w:hAnsi="Times New Roman"/>
          <w:sz w:val="22"/>
          <w:szCs w:val="22"/>
          <w:color w:val="auto"/>
        </w:rPr>
        <w:t>Incremental Commitment, (y) no declining Lender shall have any consent rights with respect to</w:t>
      </w:r>
    </w:p>
    <w:p>
      <w:pPr>
        <w:ind w:left="200"/>
        <w:spacing w:after="0" w:line="231" w:lineRule="auto"/>
        <w:rPr>
          <w:sz w:val="20"/>
          <w:szCs w:val="20"/>
          <w:color w:val="auto"/>
        </w:rPr>
      </w:pPr>
      <w:r>
        <w:rPr>
          <w:rFonts w:ascii="Times New Roman" w:cs="Times New Roman" w:eastAsia="Times New Roman" w:hAnsi="Times New Roman"/>
          <w:sz w:val="22"/>
          <w:szCs w:val="22"/>
          <w:color w:val="auto"/>
        </w:rPr>
        <w:t>such Commitment Increase, and (z) any new Lender shall be acceptable to the Administrative</w:t>
      </w:r>
    </w:p>
    <w:p>
      <w:pPr>
        <w:ind w:left="200"/>
        <w:spacing w:after="0"/>
        <w:rPr>
          <w:sz w:val="20"/>
          <w:szCs w:val="20"/>
          <w:color w:val="auto"/>
        </w:rPr>
      </w:pPr>
      <w:r>
        <w:rPr>
          <w:rFonts w:ascii="Times New Roman" w:cs="Times New Roman" w:eastAsia="Times New Roman" w:hAnsi="Times New Roman"/>
          <w:sz w:val="21"/>
          <w:szCs w:val="21"/>
          <w:color w:val="auto"/>
        </w:rPr>
        <w:t>Agent (to the extent the consent of the Administrative Agent would be required in connection with</w:t>
      </w:r>
    </w:p>
    <w:p>
      <w:pPr>
        <w:ind w:left="200"/>
        <w:spacing w:after="0" w:line="231" w:lineRule="auto"/>
        <w:rPr>
          <w:sz w:val="20"/>
          <w:szCs w:val="20"/>
          <w:color w:val="auto"/>
        </w:rPr>
      </w:pPr>
      <w:r>
        <w:rPr>
          <w:rFonts w:ascii="Times New Roman" w:cs="Times New Roman" w:eastAsia="Times New Roman" w:hAnsi="Times New Roman"/>
          <w:sz w:val="22"/>
          <w:szCs w:val="22"/>
          <w:color w:val="auto"/>
        </w:rPr>
        <w:t>an assignment to such new Lender under Section 12.12(a)(iii) hereof) with such consent not to be</w:t>
      </w:r>
    </w:p>
    <w:p>
      <w:pPr>
        <w:ind w:left="200"/>
        <w:spacing w:after="0" w:line="231" w:lineRule="auto"/>
        <w:rPr>
          <w:sz w:val="20"/>
          <w:szCs w:val="20"/>
          <w:color w:val="auto"/>
        </w:rPr>
      </w:pPr>
      <w:r>
        <w:rPr>
          <w:rFonts w:ascii="Times New Roman" w:cs="Times New Roman" w:eastAsia="Times New Roman" w:hAnsi="Times New Roman"/>
          <w:sz w:val="22"/>
          <w:szCs w:val="22"/>
          <w:color w:val="auto"/>
        </w:rPr>
        <w:t>unreasonably withheld or delayed. Upon the effectiveness thereof, Schedule I shall be deemed</w:t>
      </w:r>
    </w:p>
    <w:p>
      <w:pPr>
        <w:ind w:left="200"/>
        <w:spacing w:after="0" w:line="231" w:lineRule="auto"/>
        <w:rPr>
          <w:sz w:val="20"/>
          <w:szCs w:val="20"/>
          <w:color w:val="auto"/>
        </w:rPr>
      </w:pPr>
      <w:r>
        <w:rPr>
          <w:rFonts w:ascii="Times New Roman" w:cs="Times New Roman" w:eastAsia="Times New Roman" w:hAnsi="Times New Roman"/>
          <w:sz w:val="22"/>
          <w:szCs w:val="22"/>
          <w:color w:val="auto"/>
        </w:rPr>
        <w:t>amended to reflect any Commitment Increase. Subject to Section 7.1 hereof, on the effective date</w:t>
      </w:r>
    </w:p>
    <w:p>
      <w:pPr>
        <w:ind w:left="200"/>
        <w:spacing w:after="0"/>
        <w:rPr>
          <w:sz w:val="20"/>
          <w:szCs w:val="20"/>
          <w:color w:val="auto"/>
        </w:rPr>
      </w:pPr>
      <w:r>
        <w:rPr>
          <w:rFonts w:ascii="Times New Roman" w:cs="Times New Roman" w:eastAsia="Times New Roman" w:hAnsi="Times New Roman"/>
          <w:sz w:val="21"/>
          <w:szCs w:val="21"/>
          <w:color w:val="auto"/>
        </w:rPr>
        <w:t>of any new Incremental Term Loan Commitments, any new or existing Lender with an Incremental</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Term Loan Commitment shall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1" w:name="page72"/>
    <w:bookmarkEnd w:id="71"/>
    <w:p>
      <w:pPr>
        <w:ind w:left="200" w:right="599"/>
        <w:spacing w:after="0" w:line="239" w:lineRule="auto"/>
        <w:rPr>
          <w:sz w:val="20"/>
          <w:szCs w:val="20"/>
          <w:color w:val="auto"/>
        </w:rPr>
      </w:pPr>
      <w:r>
        <w:rPr>
          <w:rFonts w:ascii="Times New Roman" w:cs="Times New Roman" w:eastAsia="Times New Roman" w:hAnsi="Times New Roman"/>
          <w:sz w:val="22"/>
          <w:szCs w:val="22"/>
          <w:color w:val="auto"/>
        </w:rPr>
        <w:t>advance in a single Borrowing an Incremental Term Loan in the amount of its new Incremental Term Loan Commitment. The Borrower shall deliver or cause to be delivered any documents reasonably requested by the Administrative Agent in connection with any such transaction and consistent with Section 7.2 hereof.</w:t>
      </w:r>
    </w:p>
    <w:p>
      <w:pPr>
        <w:spacing w:after="0" w:line="180"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Each request for a </w:t>
      </w:r>
      <w:r>
        <w:rPr>
          <w:rFonts w:ascii="Times New Roman" w:cs="Times New Roman" w:eastAsia="Times New Roman" w:hAnsi="Times New Roman"/>
          <w:sz w:val="19"/>
          <w:szCs w:val="19"/>
          <w:color w:val="auto"/>
        </w:rPr>
        <w:t>new Incremental Commitment</w:t>
      </w:r>
      <w:r>
        <w:rPr>
          <w:rFonts w:ascii="Times New Roman" w:cs="Times New Roman" w:eastAsia="Times New Roman" w:hAnsi="Times New Roman"/>
          <w:sz w:val="22"/>
          <w:szCs w:val="22"/>
          <w:color w:val="auto"/>
        </w:rPr>
        <w:t xml:space="preserve"> may be made hereunder pursuant to an amendment or restatement (each, an “</w:t>
      </w:r>
      <w:r>
        <w:rPr>
          <w:rFonts w:ascii="Times New Roman" w:cs="Times New Roman" w:eastAsia="Times New Roman" w:hAnsi="Times New Roman"/>
          <w:sz w:val="22"/>
          <w:szCs w:val="22"/>
          <w:i w:val="1"/>
          <w:iCs w:val="1"/>
          <w:color w:val="auto"/>
        </w:rPr>
        <w:t>Incremental Amendment</w:t>
      </w:r>
      <w:r>
        <w:rPr>
          <w:rFonts w:ascii="Times New Roman" w:cs="Times New Roman" w:eastAsia="Times New Roman" w:hAnsi="Times New Roman"/>
          <w:sz w:val="22"/>
          <w:szCs w:val="22"/>
          <w:color w:val="auto"/>
        </w:rPr>
        <w:t>”) of this Agreement and, as appropriate, the other Loan Documents, executed by the Borrower, each Incremental Lender participating in such tranche and the Administrative Agent. Each Incremental Amendment may, without the consent of any other Lenders, effect such amendments to this Agreement and the other Loan Documents as may be necessary or appropriate, in the reasonable opinion of the Administrative Agent, to effect the provisions of this Section 1.15. All Incremental Loans (a) shall rank pari passu in right of payment and of security, if any, with all other existing Loans and shall not be guaranteed by any additional Guarantors than the existing Loans, (b) shall be subject to covenants and events of default that are identical to or not materially more restrictive to the Borrower than those in the existing Loans (except to the extent such terms apply only after the latest maturity date of the existing Term Loans), and (c) shall have any mandatory prepayments made pursuant to Section 1.8(b) hereof allocated ratably between the existing Loans and the Incremental Loans (if any). All Incremental Term Loans shall have (i) a final maturity date no earlier than the latest Maturity Date for then-existing Term Loans and (ii) a weighted average life not less than the then remaining weighted average life to maturity of the existing Term Loans. Except as set forth above, the terms and conditions applicable to Incremental Commitments and Incremental Loans (including interest rates and amortization applicable thereto) shall be determined by the Borrower, the Administrative Agent and the Lenders providing such Incremental Commitments or Incremental Loans.</w:t>
      </w:r>
    </w:p>
    <w:p>
      <w:pPr>
        <w:spacing w:after="0" w:line="18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1.16.</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1.17.</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1.18.</w:t>
      </w:r>
      <w:r>
        <w:rPr>
          <w:sz w:val="20"/>
          <w:szCs w:val="20"/>
          <w:color w:val="auto"/>
        </w:rPr>
        <w:tab/>
      </w:r>
      <w:r>
        <w:rPr>
          <w:rFonts w:ascii="Times New Roman" w:cs="Times New Roman" w:eastAsia="Times New Roman" w:hAnsi="Times New Roman"/>
          <w:sz w:val="21"/>
          <w:szCs w:val="21"/>
          <w:i w:val="1"/>
          <w:iCs w:val="1"/>
          <w:color w:val="auto"/>
        </w:rPr>
        <w:t>ESG Amendment</w:t>
      </w:r>
      <w:r>
        <w:rPr>
          <w:rFonts w:ascii="Times New Roman" w:cs="Times New Roman" w:eastAsia="Times New Roman" w:hAnsi="Times New Roman"/>
          <w:sz w:val="21"/>
          <w:szCs w:val="21"/>
          <w:color w:val="auto"/>
        </w:rPr>
        <w:t>. After the Closing Date:</w:t>
      </w:r>
    </w:p>
    <w:p>
      <w:pPr>
        <w:spacing w:after="0" w:line="210" w:lineRule="exact"/>
        <w:rPr>
          <w:sz w:val="20"/>
          <w:szCs w:val="20"/>
          <w:color w:val="auto"/>
        </w:rPr>
      </w:pPr>
    </w:p>
    <w:p>
      <w:pPr>
        <w:jc w:val="both"/>
        <w:ind w:left="200" w:right="219" w:firstLine="1305"/>
        <w:spacing w:after="0" w:line="244" w:lineRule="auto"/>
        <w:tabs>
          <w:tab w:leader="none" w:pos="214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in consultation with the Sustainability Structuring Agent, shall be entitled to establish specified Key Performance Indicators (“KPIs”) with respect to certain Environmental, Social and Governance (“ESG”) targets of the Borrower and its Subsidiaries. The Sustainability Structuring Agent and the Borrower may, with the consent of the Required Lenders, amend this Agreement (such amendment, the “ESG Amendment”) solely for the purpose of incorporating the KPIs and other related provisions (the “ESG Pricing Provisions”) into this Agreement. Any such ESG Amendment shall become effective upon the receipt by the Administrative Agent of executed signature pages and consents to such ESG Amendment from the Borrower, the Administrative Agent and Lenders comprising the Required Lenders. Upon effectiveness of any such ESG Amendment, based on the Borrower’s performance against the KPIs, certain adjustments (increase, decrease, or no adjustment) to the Applicable Margin may be made;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such adjustments made pursuant to an ESG Amendment shall not result in an increase or decrease of more than 2.5 basis points in the Applicable Margin;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in no event shall such adjustments decrease the Applicable Margin below zero. The pricing adjustments pursuant to the KPIs will require, among other things, reporting and</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2" w:name="page73"/>
    <w:bookmarkEnd w:id="72"/>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validation of the measurement of the KPIs in a manner that is aligned with the Sustainability Linked Loan Principles at the time of the ESG Amendment and is to be mutually agreed between the Borrower and the Sustainability Structuring Agent (each acting reasonably). Following the effectiveness of the ESG Amendment, any modification to the ESG Pricing Provisions which does not have the effect of reducing the Applicable Margin to a level not otherwise permitted by this Section shall be subject only to the consent of the Required Lenders.</w:t>
      </w:r>
    </w:p>
    <w:p>
      <w:pPr>
        <w:spacing w:after="0" w:line="181" w:lineRule="exact"/>
        <w:rPr>
          <w:sz w:val="20"/>
          <w:szCs w:val="20"/>
          <w:color w:val="auto"/>
        </w:rPr>
      </w:pPr>
    </w:p>
    <w:p>
      <w:pPr>
        <w:jc w:val="both"/>
        <w:ind w:left="200" w:right="219" w:firstLine="1305"/>
        <w:spacing w:after="0" w:line="239" w:lineRule="auto"/>
        <w:tabs>
          <w:tab w:leader="none" w:pos="21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Sustainability Structuring Agent will (i) assist the Borrower in determining the ESG Pricing Provisions in connection with the ESG Amendment and (ii) assist the Borrower in preparing informational materials focused on ESG to be used in connection with the ESG Amendment.</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2.  FEES</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2.1. Fees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Administrative Agent and Other Fees</w:t>
      </w:r>
      <w:r>
        <w:rPr>
          <w:rFonts w:ascii="Times New Roman" w:cs="Times New Roman" w:eastAsia="Times New Roman" w:hAnsi="Times New Roman"/>
          <w:sz w:val="22"/>
          <w:szCs w:val="22"/>
          <w:color w:val="auto"/>
        </w:rPr>
        <w:t>. The Borrower shall pay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for its own use and benefit and for the benefit of the Lenders, and each arranger, as applicable, the fees agreed to in the Fee Letters, or as otherwise agreed to in writing between such parties.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3.  PLACE AND APPLICATION OF PAYMENTS</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i w:val="1"/>
          <w:iCs w:val="1"/>
          <w:color w:val="auto"/>
        </w:rPr>
        <w:t>Section 3.1. Place and Application of Payments</w:t>
      </w:r>
      <w:r>
        <w:rPr>
          <w:rFonts w:ascii="Times New Roman" w:cs="Times New Roman" w:eastAsia="Times New Roman" w:hAnsi="Times New Roman"/>
          <w:sz w:val="21"/>
          <w:szCs w:val="21"/>
          <w:color w:val="auto"/>
        </w:rPr>
        <w:t>. All payments of principal of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interest on the Loans, and of all other Obligations payable by the Borrower under this Agreement and the other Loan Documents, shall be made by the Borrower to the Administrative Agent by no later than 12:00 Noon (Chicago time) on the due date thereof at the office of the Administrative Agent in New York, New York (or such other location as the Administrative Agent may designate to the Borrower) for the benefit of the Lender(s)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Loans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spacing w:after="0" w:line="200" w:lineRule="exact"/>
        <w:rPr>
          <w:sz w:val="20"/>
          <w:szCs w:val="20"/>
          <w:color w:val="auto"/>
        </w:rPr>
      </w:pPr>
    </w:p>
    <w:p>
      <w:pPr>
        <w:spacing w:after="0" w:line="231"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Anything contained herein to the contrary notwithstanding (including, without limitation, Section 1.8(b) hereof), all payments and collections received in respect of the Obligations by the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3" w:name="page74"/>
    <w:bookmarkEnd w:id="73"/>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Administrative Agent or any of the Lenders after acceleration or the final maturity of the Obligations or termination of the Commitments as a result of an Event of Default shall be remitted to the Administrative Agent and distributed as follows:</w:t>
      </w:r>
    </w:p>
    <w:p>
      <w:pPr>
        <w:spacing w:after="0" w:line="173" w:lineRule="exact"/>
        <w:rPr>
          <w:sz w:val="20"/>
          <w:szCs w:val="20"/>
          <w:color w:val="auto"/>
        </w:rPr>
      </w:pPr>
    </w:p>
    <w:p>
      <w:pPr>
        <w:jc w:val="both"/>
        <w:ind w:left="200" w:right="219" w:firstLine="1305"/>
        <w:spacing w:after="0" w:line="235"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the payment of any outstanding costs and expenses incurred by the Administrative Agent in protecting, preserving or enforcing rights under the Loan Documents, and in any event including all costs and expenses of a character which the Borrower has agreed to pay 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the payment of any outstanding interest and fees due under the Loan Documents to be allocated pro rata in accordance with the aggregate unpaid amounts owing to each holder thereof;</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payment of principal on the Loans, any Hedging Liability and Funds Transfer and Deposit Account Liability, with the aggregate amount paid to, or held as collateral security for, the Lenders and each Hedging Counterparty, and, in the case of Hedging Liability, their Affiliates, to be allocated pro rata in accordance with the aggregate unpaid amounts owing to each holder thereof;</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to the payment of all other unpaid Obligations and all other indebtedness, obligations, and liabilities of the Borrower and its Subsidiaries evidenced by the Loan Documents (including, without limitation, Funds Transfer and Deposit Account Liability) to be allocated pro rata in accordance with the aggregate unpaid amounts owing to each holder thereof; and</w:t>
      </w:r>
    </w:p>
    <w:p>
      <w:pPr>
        <w:spacing w:after="0" w:line="17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finally, to the Borrower </w:t>
      </w:r>
      <w:r>
        <w:rPr>
          <w:rFonts w:ascii="Times New Roman" w:cs="Times New Roman" w:eastAsia="Times New Roman" w:hAnsi="Times New Roman"/>
          <w:sz w:val="22"/>
          <w:szCs w:val="22"/>
          <w:i w:val="1"/>
          <w:iCs w:val="1"/>
          <w:color w:val="auto"/>
        </w:rPr>
        <w:t>or whoever else may be lawfully entitled thereto.</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4.  GUARANTIES</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Section 4.1. Guaranties</w:t>
      </w:r>
      <w:r>
        <w:rPr>
          <w:rFonts w:ascii="Times New Roman" w:cs="Times New Roman" w:eastAsia="Times New Roman" w:hAnsi="Times New Roman"/>
          <w:sz w:val="22"/>
          <w:szCs w:val="22"/>
          <w:color w:val="auto"/>
        </w:rPr>
        <w:t>. The payment and performance of the Obligations, Hedging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Liability, and Funds Transfer and Deposit Account Liability shall at all times be guaranteed by each direct and indirect Material Subsidiary of the Borrower pursuant to Section 13 hereof or pursuant to one or more guaranty agreements in form and substance acceptable to the Administrative Agent, as the same may be amended, modified or supplemented from time to time (individually a </w:t>
      </w:r>
      <w:r>
        <w:rPr>
          <w:rFonts w:ascii="Times New Roman" w:cs="Times New Roman" w:eastAsia="Times New Roman" w:hAnsi="Times New Roman"/>
          <w:sz w:val="22"/>
          <w:szCs w:val="22"/>
          <w:i w:val="1"/>
          <w:iCs w:val="1"/>
          <w:color w:val="auto"/>
        </w:rPr>
        <w:t>“Guaranty”</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“Guaranties”</w:t>
      </w:r>
      <w:r>
        <w:rPr>
          <w:rFonts w:ascii="Times New Roman" w:cs="Times New Roman" w:eastAsia="Times New Roman" w:hAnsi="Times New Roman"/>
          <w:sz w:val="22"/>
          <w:szCs w:val="22"/>
          <w:color w:val="auto"/>
        </w:rPr>
        <w:t xml:space="preserve"> and each such Material Subsidiary executing and delivering a Guaranty being referred to herein as a </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“Guarantors”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provided, however, </w:t>
      </w:r>
      <w:r>
        <w:rPr>
          <w:rFonts w:ascii="Times New Roman" w:cs="Times New Roman" w:eastAsia="Times New Roman" w:hAnsi="Times New Roman"/>
          <w:sz w:val="22"/>
          <w:szCs w:val="22"/>
          <w:color w:val="auto"/>
        </w:rPr>
        <w:t>that, with respect to any Guarantor, Hedging Liability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guaranteed by such Guarantor shall exclude all Excluded Swap Obligations.</w:t>
      </w:r>
    </w:p>
    <w:p>
      <w:pPr>
        <w:spacing w:after="0" w:line="174"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Section 4.2. Further Assurances</w:t>
      </w:r>
      <w:r>
        <w:rPr>
          <w:rFonts w:ascii="Times New Roman" w:cs="Times New Roman" w:eastAsia="Times New Roman" w:hAnsi="Times New Roman"/>
          <w:sz w:val="22"/>
          <w:szCs w:val="22"/>
          <w:color w:val="auto"/>
        </w:rPr>
        <w:t>. In the event the Borrower or any Guarantor forms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acquires any other Material Subsidiary after the date hereof, except as otherwise provided in Section 4.1, the Borrower shall promptly upon such formation or acquisition cause such newly formed or acquired Material Subsidiary to execute a Guaranty or an Additional Guarantor Supplement in the form of Exhibit G attached hereto (the </w:t>
      </w:r>
      <w:r>
        <w:rPr>
          <w:rFonts w:ascii="Times New Roman" w:cs="Times New Roman" w:eastAsia="Times New Roman" w:hAnsi="Times New Roman"/>
          <w:sz w:val="22"/>
          <w:szCs w:val="22"/>
          <w:i w:val="1"/>
          <w:iCs w:val="1"/>
          <w:color w:val="auto"/>
        </w:rPr>
        <w:t>“Additional Guarantor Supplement”</w:t>
      </w:r>
      <w:r>
        <w:rPr>
          <w:rFonts w:ascii="Times New Roman" w:cs="Times New Roman" w:eastAsia="Times New Roman" w:hAnsi="Times New Roman"/>
          <w:sz w:val="22"/>
          <w:szCs w:val="22"/>
          <w:color w:val="auto"/>
        </w:rPr>
        <w:t>) as the Administrative Agent may then require, and the Borrower shall also deliver to the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4" w:name="page75"/>
    <w:bookmarkEnd w:id="74"/>
    <w:p>
      <w:pPr>
        <w:ind w:left="200" w:right="279"/>
        <w:spacing w:after="0" w:line="244" w:lineRule="auto"/>
        <w:rPr>
          <w:sz w:val="20"/>
          <w:szCs w:val="20"/>
          <w:color w:val="auto"/>
        </w:rPr>
      </w:pPr>
      <w:r>
        <w:rPr>
          <w:rFonts w:ascii="Times New Roman" w:cs="Times New Roman" w:eastAsia="Times New Roman" w:hAnsi="Times New Roman"/>
          <w:sz w:val="22"/>
          <w:szCs w:val="22"/>
          <w:color w:val="auto"/>
        </w:rPr>
        <w:t>Administrative Agent, or cause such Material Subsidiary to deliver to the Administrative Agent, at the Borrower’s cost and expense, such other instruments, documents, certificates, and opinions reasonably required by the Administrative Agent in connection therewith.</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5.  DEFINITIONS; INTERPRETATION</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Section 5.1. Definitions</w:t>
      </w:r>
      <w:r>
        <w:rPr>
          <w:rFonts w:ascii="Times New Roman" w:cs="Times New Roman" w:eastAsia="Times New Roman" w:hAnsi="Times New Roman"/>
          <w:sz w:val="22"/>
          <w:szCs w:val="22"/>
          <w:color w:val="auto"/>
        </w:rPr>
        <w:t>. The following terms when used herein shall have the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meanings:</w:t>
      </w:r>
    </w:p>
    <w:p>
      <w:pPr>
        <w:spacing w:after="0" w:line="150"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1031 Property</w:t>
      </w:r>
      <w:r>
        <w:rPr>
          <w:rFonts w:ascii="Times New Roman" w:cs="Times New Roman" w:eastAsia="Times New Roman" w:hAnsi="Times New Roman"/>
          <w:sz w:val="22"/>
          <w:szCs w:val="22"/>
          <w:color w:val="auto"/>
        </w:rPr>
        <w:t>” means, as of any Borrowing Base Determination Date, any Property owned by a 1031 Property Holder which is intended to qualify for tax treatment under Section 1031 of the Code and which meets all of the requirements of the definition of Eligible Property. For purposes of determining Total Asset Value, such 1031 Property shall be deemed to have been owned or leased by the Borrower or a Guarantor from the date acquired by the 1031 Property Holder that owns such 1031 Property.</w:t>
      </w:r>
    </w:p>
    <w:p>
      <w:pPr>
        <w:spacing w:after="0" w:line="20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“1031 Property Holder” </w:t>
      </w:r>
      <w:r>
        <w:rPr>
          <w:rFonts w:ascii="Times New Roman" w:cs="Times New Roman" w:eastAsia="Times New Roman" w:hAnsi="Times New Roman"/>
          <w:sz w:val="22"/>
          <w:szCs w:val="22"/>
          <w:color w:val="auto"/>
        </w:rPr>
        <w:t>means the “qualified intermediary” or “exchange accommodation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titleholder” with respect to a 1031 Property as contemplated under Section 1031 of the Code, the regulations of the U.S. Department of Treasury adopted thereunder and related revenue procedures related thereto.</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“2029 Aggregate Term Facility Amount” </w:t>
      </w:r>
      <w:r>
        <w:rPr>
          <w:rFonts w:ascii="Times New Roman" w:cs="Times New Roman" w:eastAsia="Times New Roman" w:hAnsi="Times New Roman"/>
          <w:sz w:val="22"/>
          <w:szCs w:val="22"/>
          <w:color w:val="auto"/>
        </w:rPr>
        <w:t>means $100,000,000.</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“2029 Term Credit Facility” </w:t>
      </w:r>
      <w:r>
        <w:rPr>
          <w:rFonts w:ascii="Times New Roman" w:cs="Times New Roman" w:eastAsia="Times New Roman" w:hAnsi="Times New Roman"/>
          <w:sz w:val="22"/>
          <w:szCs w:val="22"/>
          <w:color w:val="auto"/>
        </w:rPr>
        <w:t>means the credit facility for the 2029 Term Loans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1.2(a) hereof.</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2029 Term Loan</w:t>
      </w:r>
      <w:r>
        <w:rPr>
          <w:rFonts w:ascii="Times New Roman" w:cs="Times New Roman" w:eastAsia="Times New Roman" w:hAnsi="Times New Roman"/>
          <w:sz w:val="22"/>
          <w:szCs w:val="22"/>
          <w:color w:val="auto"/>
        </w:rPr>
        <w:t>” is defined in Section 1.2(a) hereof.</w:t>
      </w:r>
    </w:p>
    <w:p>
      <w:pPr>
        <w:spacing w:after="0" w:line="20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“2029 Term Loan Commitment” </w:t>
      </w:r>
      <w:r>
        <w:rPr>
          <w:rFonts w:ascii="Times New Roman" w:cs="Times New Roman" w:eastAsia="Times New Roman" w:hAnsi="Times New Roman"/>
          <w:sz w:val="22"/>
          <w:szCs w:val="22"/>
          <w:color w:val="auto"/>
        </w:rPr>
        <w:t>means, as to any Lender, the obligation of such Lender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make its 2029 Term Loan on the Closing Date in the principal amount not to exceed the amount set forth opposite such Lender’s name under the heading 2029 Term Loan Commitment on Schedule I attached hereto and made a part hereof.</w:t>
      </w:r>
    </w:p>
    <w:p>
      <w:pPr>
        <w:spacing w:after="0" w:line="17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“2029 Term Loan Lenders” </w:t>
      </w:r>
      <w:r>
        <w:rPr>
          <w:rFonts w:ascii="Times New Roman" w:cs="Times New Roman" w:eastAsia="Times New Roman" w:hAnsi="Times New Roman"/>
          <w:sz w:val="22"/>
          <w:szCs w:val="22"/>
          <w:color w:val="auto"/>
        </w:rPr>
        <w:t>means each Lender hereunder with a 2029 Term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 or holding a 2029 Term Loan, including each assignee Lender pursuant to Section 12.12 hereof.</w:t>
      </w:r>
    </w:p>
    <w:p>
      <w:pPr>
        <w:spacing w:after="0" w:line="16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“2029 Term Loan Percentage” </w:t>
      </w:r>
      <w:r>
        <w:rPr>
          <w:rFonts w:ascii="Times New Roman" w:cs="Times New Roman" w:eastAsia="Times New Roman" w:hAnsi="Times New Roman"/>
          <w:sz w:val="21"/>
          <w:szCs w:val="21"/>
          <w:color w:val="auto"/>
        </w:rPr>
        <w:t>means for each 2029 Term Loan Lender, the percentage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2029 Term Loan Commitments represented by such 2029 Term Loan Lender’s 2029 Term Loan Commitment, or if the 2029 Term Loan Commitments have been terminated or have expired, the percentage held by such 2029 Term Loan Lender of the aggregate amount of all 2029 Term Loans then outstanding. The initial 2029 Term Loan Percentage of each Lender in respect of the 2029 Term Credit Facility is set forth opposite the name of such Lender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or in the Assignment and Assumption pursuant to which such Lender becomes a party hereto, as applicable.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5" w:name="page76"/>
    <w:bookmarkEnd w:id="75"/>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“Additional Guarantor Supplement” </w:t>
      </w:r>
      <w:r>
        <w:rPr>
          <w:rFonts w:ascii="Times New Roman" w:cs="Times New Roman" w:eastAsia="Times New Roman" w:hAnsi="Times New Roman"/>
          <w:sz w:val="22"/>
          <w:szCs w:val="22"/>
          <w:color w:val="auto"/>
        </w:rPr>
        <w:t>is defined in Section 4.2 hereof.</w:t>
      </w:r>
    </w:p>
    <w:p>
      <w:pPr>
        <w:spacing w:after="0" w:line="20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Adjusted Daily Simple SOFR</w:t>
      </w:r>
      <w:r>
        <w:rPr>
          <w:rFonts w:ascii="Times New Roman" w:cs="Times New Roman" w:eastAsia="Times New Roman" w:hAnsi="Times New Roman"/>
          <w:sz w:val="22"/>
          <w:szCs w:val="22"/>
          <w:color w:val="auto"/>
        </w:rPr>
        <w:t xml:space="preserve">” means with respect to a Daily Simple SOFR Rate Loan, the per annum rate equal to the sum of (a) Daily Simple SOFR and (b) the applicable SOFR Index Adjustment;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Adjusted Daily Simple SOFR as so determined would be less than the Floor, such rate shall be deemed to be equal to the Floor for purposes of this Agreement.</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“Adjusted EBITDA” </w:t>
      </w:r>
      <w:r>
        <w:rPr>
          <w:rFonts w:ascii="Times New Roman" w:cs="Times New Roman" w:eastAsia="Times New Roman" w:hAnsi="Times New Roman"/>
          <w:sz w:val="22"/>
          <w:szCs w:val="22"/>
          <w:color w:val="auto"/>
        </w:rPr>
        <w:t>means EBITDA</w:t>
      </w:r>
      <w:r>
        <w:rPr>
          <w:rFonts w:ascii="Times New Roman" w:cs="Times New Roman" w:eastAsia="Times New Roman" w:hAnsi="Times New Roman"/>
          <w:sz w:val="22"/>
          <w:szCs w:val="22"/>
          <w:i w:val="1"/>
          <w:iCs w:val="1"/>
          <w:color w:val="auto"/>
        </w:rPr>
        <w:t xml:space="preserve"> minus </w:t>
      </w:r>
      <w:r>
        <w:rPr>
          <w:rFonts w:ascii="Times New Roman" w:cs="Times New Roman" w:eastAsia="Times New Roman" w:hAnsi="Times New Roman"/>
          <w:sz w:val="22"/>
          <w:szCs w:val="22"/>
          <w:color w:val="auto"/>
        </w:rPr>
        <w:t>the Annual Capital Expenditure Reserve.</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i w:val="1"/>
          <w:iCs w:val="1"/>
          <w:color w:val="auto"/>
        </w:rPr>
        <w:t xml:space="preserve">“Adjusted FFO” </w:t>
      </w:r>
      <w:r>
        <w:rPr>
          <w:rFonts w:ascii="Times New Roman" w:cs="Times New Roman" w:eastAsia="Times New Roman" w:hAnsi="Times New Roman"/>
          <w:sz w:val="21"/>
          <w:szCs w:val="21"/>
          <w:color w:val="auto"/>
        </w:rPr>
        <w:t>means for any period, “funds from operations” as defined in accordance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with resolutions adopted by the Board of Governors of the National Association of Real Estate Investment Trusts (NAREIT) as in effect from time to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Adjusted FFO shall (i) be based on net income after payment of distributions to holders of preferred partnership units in the Borrower and distributions necessary to pay holders of preferred stock of the Borrower, and (ii) at all times exclude (a) charges for impairment losses from property sales, (b) stock-based compensation, (c) write-offs or reserves of straight-line rent related to sold assets, (d) amortization of debt costs, (e) non-recurring charges, including, without limitation, acquisition expenses, non-cash charges related to the write-off of deferred equity and financing costs and one-time charges related to the transition to self-management and (f) other non-cash items as mutually agreed upon by the Borrower and Administrative Agent. The Borrower’s Ownership Share of Adjusted FFO of its Unconsolidated Affiliates will be included when determining Adjusted FFO of the Borrower and its Subsidiaries, subject to the adjustments set forth in this definition.</w:t>
      </w:r>
    </w:p>
    <w:p>
      <w:pPr>
        <w:spacing w:after="0" w:line="17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Adjusted Term SOFR</w:t>
      </w:r>
      <w:r>
        <w:rPr>
          <w:rFonts w:ascii="Times New Roman" w:cs="Times New Roman" w:eastAsia="Times New Roman" w:hAnsi="Times New Roman"/>
          <w:sz w:val="22"/>
          <w:szCs w:val="22"/>
          <w:color w:val="auto"/>
        </w:rPr>
        <w:t xml:space="preserve">” means for any Available Tenor and Interest Period with respect to a Term SOFR Rate Loan, the per annum rate equal to the sum of (a) Term SOFR for such Interest Period and (b) the SOFR Index Adjustment;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Adjusted Term SOFR as so determined would be less than the Floor, such rate shall be deemed to be equal to the Floor for purposes of this Agreement.</w:t>
      </w:r>
    </w:p>
    <w:p>
      <w:pPr>
        <w:spacing w:after="0" w:line="17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“Administrative Agent” </w:t>
      </w:r>
      <w:r>
        <w:rPr>
          <w:rFonts w:ascii="Times New Roman" w:cs="Times New Roman" w:eastAsia="Times New Roman" w:hAnsi="Times New Roman"/>
          <w:sz w:val="22"/>
          <w:szCs w:val="22"/>
          <w:color w:val="auto"/>
        </w:rPr>
        <w:t>means KeyBank National Association, in its capacity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hereunder, and any successor in such capacity pursuant to Section 11.6 hereof.</w:t>
      </w:r>
    </w:p>
    <w:p>
      <w:pPr>
        <w:spacing w:after="0" w:line="167"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“Administrative Questionnaire” </w:t>
      </w:r>
      <w:r>
        <w:rPr>
          <w:rFonts w:ascii="Times New Roman" w:cs="Times New Roman" w:eastAsia="Times New Roman" w:hAnsi="Times New Roman"/>
          <w:sz w:val="22"/>
          <w:szCs w:val="22"/>
          <w:color w:val="auto"/>
        </w:rPr>
        <w:t>means an Administrative Questionnaire in a form supplied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Administrative Agent.</w:t>
      </w:r>
    </w:p>
    <w:p>
      <w:pPr>
        <w:spacing w:after="0" w:line="150"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“Affected Financial Institution” </w:t>
      </w:r>
      <w:r>
        <w:rPr>
          <w:rFonts w:ascii="Times New Roman" w:cs="Times New Roman" w:eastAsia="Times New Roman" w:hAnsi="Times New Roman"/>
          <w:sz w:val="22"/>
          <w:szCs w:val="22"/>
          <w:color w:val="auto"/>
        </w:rPr>
        <w:t>means (a) any EEA Financial Institution or (b) any UK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Institution.</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“Affected Lender” </w:t>
      </w:r>
      <w:r>
        <w:rPr>
          <w:rFonts w:ascii="Times New Roman" w:cs="Times New Roman" w:eastAsia="Times New Roman" w:hAnsi="Times New Roman"/>
          <w:sz w:val="22"/>
          <w:szCs w:val="22"/>
          <w:color w:val="auto"/>
        </w:rPr>
        <w:t>is defined in Section 1.13 hereof.</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any Person directly or indirectly controlling or controlled by, or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in any event for purposes of this definition, any Person that owns, directly or indirectly, 20% or more of the securities having the ordinary voting power for the election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76" w:name="page77"/>
    <w:bookmarkEnd w:id="76"/>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directors or governing body of a corporation or 20% or more of the partnership or other ownership interest of any other Person (other than as a limited partner of such other Person) will be deemed to control such corporation or other Person.</w:t>
      </w:r>
    </w:p>
    <w:p>
      <w:pPr>
        <w:spacing w:after="0" w:line="169"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means this Credit Agreement, as the same may be amended, modified,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restated or supplemented from time to time pursuant to the terms hereof.</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“Alpine” </w:t>
      </w:r>
      <w:r>
        <w:rPr>
          <w:rFonts w:ascii="Times New Roman" w:cs="Times New Roman" w:eastAsia="Times New Roman" w:hAnsi="Times New Roman"/>
          <w:sz w:val="22"/>
          <w:szCs w:val="22"/>
          <w:color w:val="auto"/>
        </w:rPr>
        <w:t>means Alpine Income Property Trust, Inc, a Maryland corporation.</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“Annual Capital Expenditure Reserve” </w:t>
      </w:r>
      <w:r>
        <w:rPr>
          <w:rFonts w:ascii="Times New Roman" w:cs="Times New Roman" w:eastAsia="Times New Roman" w:hAnsi="Times New Roman"/>
          <w:sz w:val="22"/>
          <w:szCs w:val="22"/>
          <w:color w:val="auto"/>
        </w:rPr>
        <w:t>means the sum of (a) an amount equal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product of (i) $0.15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aggregate gross leasable area, determined on a square footage basis, for retail properties, Retail Mixed-Use Properties and industrial properties,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an amount equal to the product of (i) $0.50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aggregate gross leasable area, determined on a square footage basis, for all other properties;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xml:space="preserve"> this definition of Annual Capital Expenditure Reserve shall not apply to any Land Assets or any Ground Leases so long as the Borrower is not obligated for such Capital Expenditures.</w:t>
      </w:r>
    </w:p>
    <w:p>
      <w:pPr>
        <w:spacing w:after="0" w:line="17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“Anti-Corruption Law” </w:t>
      </w:r>
      <w:r>
        <w:rPr>
          <w:rFonts w:ascii="Times New Roman" w:cs="Times New Roman" w:eastAsia="Times New Roman" w:hAnsi="Times New Roman"/>
          <w:sz w:val="22"/>
          <w:szCs w:val="22"/>
          <w:color w:val="auto"/>
        </w:rPr>
        <w:t>means the FCPA and any law, rule or regulation of any jurisdiction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concerning or relating to bribery or corruption that are applicable to the Borrower or any Subsidiary or Affiliate.</w:t>
      </w:r>
    </w:p>
    <w:p>
      <w:pPr>
        <w:spacing w:after="0" w:line="167"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“Applicable Margin” </w:t>
      </w:r>
      <w:r>
        <w:rPr>
          <w:rFonts w:ascii="Times New Roman" w:cs="Times New Roman" w:eastAsia="Times New Roman" w:hAnsi="Times New Roman"/>
          <w:sz w:val="22"/>
          <w:szCs w:val="22"/>
          <w:color w:val="auto"/>
        </w:rPr>
        <w:t>means, with respect to the 2029 Term Loans, until the first Pricing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the rates shown opposite Level II below, and thereafter, from one Pricing Date to the next the rates per annum determined in accordance with the following schedule:</w:t>
      </w:r>
    </w:p>
    <w:p>
      <w:pPr>
        <w:spacing w:after="0" w:line="134"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298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ndebtedness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otal</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pplicable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argin</w:t>
            </w:r>
          </w:p>
        </w:tc>
        <w:tc>
          <w:tcPr>
            <w:tcW w:w="2380" w:type="dxa"/>
            <w:vAlign w:val="bottom"/>
          </w:tcPr>
          <w:p>
            <w:pPr>
              <w:jc w:val="center"/>
              <w:ind w:right="116"/>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pplicable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argin</w:t>
            </w:r>
          </w:p>
        </w:tc>
      </w:tr>
      <w:tr>
        <w:trPr>
          <w:trHeight w:val="243"/>
        </w:trPr>
        <w:tc>
          <w:tcPr>
            <w:tcW w:w="1080" w:type="dxa"/>
            <w:vAlign w:val="bottom"/>
          </w:tcPr>
          <w:p>
            <w:pPr>
              <w:spacing w:after="0"/>
              <w:rPr>
                <w:sz w:val="21"/>
                <w:szCs w:val="21"/>
                <w:color w:val="auto"/>
              </w:rPr>
            </w:pPr>
          </w:p>
        </w:tc>
        <w:tc>
          <w:tcPr>
            <w:tcW w:w="29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sset</w:t>
            </w:r>
            <w:r>
              <w:rPr>
                <w:rFonts w:ascii="Times New Roman" w:cs="Times New Roman" w:eastAsia="Times New Roman" w:hAnsi="Times New Roman"/>
                <w:sz w:val="22"/>
                <w:szCs w:val="22"/>
                <w:color w:val="auto"/>
              </w:rPr>
              <w:t xml:space="preserve"> V</w:t>
            </w:r>
            <w:r>
              <w:rPr>
                <w:rFonts w:ascii="Times New Roman" w:cs="Times New Roman" w:eastAsia="Times New Roman" w:hAnsi="Times New Roman"/>
                <w:sz w:val="14"/>
                <w:szCs w:val="14"/>
                <w:color w:val="auto"/>
              </w:rPr>
              <w:t>alue</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atio for</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uch</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xml:space="preserve">for </w:t>
            </w:r>
            <w:r>
              <w:rPr>
                <w:rFonts w:ascii="Times New Roman" w:cs="Times New Roman" w:eastAsia="Times New Roman" w:hAnsi="Times New Roman"/>
                <w:sz w:val="21"/>
                <w:szCs w:val="21"/>
                <w:color w:val="auto"/>
              </w:rPr>
              <w:t>B</w:t>
            </w:r>
            <w:r>
              <w:rPr>
                <w:rFonts w:ascii="Times New Roman" w:cs="Times New Roman" w:eastAsia="Times New Roman" w:hAnsi="Times New Roman"/>
                <w:sz w:val="15"/>
                <w:szCs w:val="15"/>
                <w:color w:val="auto"/>
              </w:rPr>
              <w:t xml:space="preserve">ase </w:t>
            </w:r>
            <w:r>
              <w:rPr>
                <w:rFonts w:ascii="Times New Roman" w:cs="Times New Roman" w:eastAsia="Times New Roman" w:hAnsi="Times New Roman"/>
                <w:sz w:val="21"/>
                <w:szCs w:val="21"/>
                <w:color w:val="auto"/>
              </w:rPr>
              <w:t>R</w:t>
            </w:r>
            <w:r>
              <w:rPr>
                <w:rFonts w:ascii="Times New Roman" w:cs="Times New Roman" w:eastAsia="Times New Roman" w:hAnsi="Times New Roman"/>
                <w:sz w:val="15"/>
                <w:szCs w:val="15"/>
                <w:color w:val="auto"/>
              </w:rPr>
              <w:t xml:space="preserve">ate </w:t>
            </w:r>
            <w:r>
              <w:rPr>
                <w:rFonts w:ascii="Times New Roman" w:cs="Times New Roman" w:eastAsia="Times New Roman" w:hAnsi="Times New Roman"/>
                <w:sz w:val="21"/>
                <w:szCs w:val="21"/>
                <w:color w:val="auto"/>
              </w:rPr>
              <w:t>L</w:t>
            </w:r>
            <w:r>
              <w:rPr>
                <w:rFonts w:ascii="Times New Roman" w:cs="Times New Roman" w:eastAsia="Times New Roman" w:hAnsi="Times New Roman"/>
                <w:sz w:val="15"/>
                <w:szCs w:val="15"/>
                <w:color w:val="auto"/>
              </w:rPr>
              <w:t>oans</w:t>
            </w:r>
          </w:p>
        </w:tc>
        <w:tc>
          <w:tcPr>
            <w:tcW w:w="2380" w:type="dxa"/>
            <w:vAlign w:val="bottom"/>
          </w:tcPr>
          <w:p>
            <w:pPr>
              <w:jc w:val="center"/>
              <w:ind w:right="116"/>
              <w:spacing w:after="0"/>
              <w:rPr>
                <w:sz w:val="20"/>
                <w:szCs w:val="20"/>
                <w:color w:val="auto"/>
              </w:rPr>
            </w:pPr>
            <w:r>
              <w:rPr>
                <w:rFonts w:ascii="Times New Roman" w:cs="Times New Roman" w:eastAsia="Times New Roman" w:hAnsi="Times New Roman"/>
                <w:sz w:val="15"/>
                <w:szCs w:val="15"/>
                <w:color w:val="auto"/>
              </w:rPr>
              <w:t xml:space="preserve">for </w:t>
            </w:r>
            <w:r>
              <w:rPr>
                <w:rFonts w:ascii="Times New Roman" w:cs="Times New Roman" w:eastAsia="Times New Roman" w:hAnsi="Times New Roman"/>
                <w:sz w:val="21"/>
                <w:szCs w:val="21"/>
                <w:color w:val="auto"/>
              </w:rPr>
              <w:t>SOFR R</w:t>
            </w:r>
            <w:r>
              <w:rPr>
                <w:rFonts w:ascii="Times New Roman" w:cs="Times New Roman" w:eastAsia="Times New Roman" w:hAnsi="Times New Roman"/>
                <w:sz w:val="15"/>
                <w:szCs w:val="15"/>
                <w:color w:val="auto"/>
              </w:rPr>
              <w:t xml:space="preserve">ate </w:t>
            </w:r>
            <w:r>
              <w:rPr>
                <w:rFonts w:ascii="Times New Roman" w:cs="Times New Roman" w:eastAsia="Times New Roman" w:hAnsi="Times New Roman"/>
                <w:sz w:val="21"/>
                <w:szCs w:val="21"/>
                <w:color w:val="auto"/>
              </w:rPr>
              <w:t>L</w:t>
            </w:r>
            <w:r>
              <w:rPr>
                <w:rFonts w:ascii="Times New Roman" w:cs="Times New Roman" w:eastAsia="Times New Roman" w:hAnsi="Times New Roman"/>
                <w:sz w:val="15"/>
                <w:szCs w:val="15"/>
                <w:color w:val="auto"/>
              </w:rPr>
              <w:t>oans</w:t>
            </w:r>
          </w:p>
        </w:tc>
      </w:tr>
      <w:tr>
        <w:trPr>
          <w:trHeight w:val="282"/>
        </w:trPr>
        <w:tc>
          <w:tcPr>
            <w:tcW w:w="1080" w:type="dxa"/>
            <w:vAlign w:val="bottom"/>
          </w:tcPr>
          <w:p>
            <w:pPr>
              <w:jc w:val="center"/>
              <w:ind w:left="192"/>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evel</w:t>
            </w:r>
          </w:p>
        </w:tc>
        <w:tc>
          <w:tcPr>
            <w:tcW w:w="298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ricing</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ate</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shall be</w:t>
            </w:r>
            <w:r>
              <w:rPr>
                <w:rFonts w:ascii="Times New Roman" w:cs="Times New Roman" w:eastAsia="Times New Roman" w:hAnsi="Times New Roman"/>
                <w:sz w:val="21"/>
                <w:szCs w:val="21"/>
                <w:color w:val="auto"/>
              </w:rPr>
              <w:t>:</w:t>
            </w:r>
          </w:p>
        </w:tc>
        <w:tc>
          <w:tcPr>
            <w:tcW w:w="2380" w:type="dxa"/>
            <w:vAlign w:val="bottom"/>
          </w:tcPr>
          <w:p>
            <w:pPr>
              <w:jc w:val="center"/>
              <w:ind w:right="116"/>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hall</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e</w:t>
            </w:r>
            <w:r>
              <w:rPr>
                <w:rFonts w:ascii="Times New Roman" w:cs="Times New Roman" w:eastAsia="Times New Roman" w:hAnsi="Times New Roman"/>
                <w:sz w:val="22"/>
                <w:szCs w:val="22"/>
                <w:color w:val="auto"/>
              </w:rPr>
              <w:t>:</w:t>
            </w:r>
          </w:p>
        </w:tc>
      </w:tr>
      <w:tr>
        <w:trPr>
          <w:trHeight w:val="420"/>
        </w:trPr>
        <w:tc>
          <w:tcPr>
            <w:tcW w:w="1080" w:type="dxa"/>
            <w:vAlign w:val="bottom"/>
          </w:tcPr>
          <w:p>
            <w:pPr>
              <w:jc w:val="center"/>
              <w:ind w:left="192"/>
              <w:spacing w:after="0"/>
              <w:rPr>
                <w:sz w:val="20"/>
                <w:szCs w:val="20"/>
                <w:color w:val="auto"/>
              </w:rPr>
            </w:pPr>
            <w:r>
              <w:rPr>
                <w:rFonts w:ascii="Times New Roman" w:cs="Times New Roman" w:eastAsia="Times New Roman" w:hAnsi="Times New Roman"/>
                <w:sz w:val="22"/>
                <w:szCs w:val="22"/>
                <w:color w:val="auto"/>
                <w:w w:val="81"/>
              </w:rPr>
              <w:t>I</w:t>
            </w:r>
          </w:p>
        </w:tc>
        <w:tc>
          <w:tcPr>
            <w:tcW w:w="2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 than or equal to 0.40 to</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0.20%</w:t>
            </w:r>
          </w:p>
        </w:tc>
        <w:tc>
          <w:tcPr>
            <w:tcW w:w="2380" w:type="dxa"/>
            <w:vAlign w:val="bottom"/>
          </w:tcPr>
          <w:p>
            <w:pPr>
              <w:jc w:val="center"/>
              <w:ind w:right="116"/>
              <w:spacing w:after="0"/>
              <w:rPr>
                <w:sz w:val="20"/>
                <w:szCs w:val="20"/>
                <w:color w:val="auto"/>
              </w:rPr>
            </w:pPr>
            <w:r>
              <w:rPr>
                <w:rFonts w:ascii="Times New Roman" w:cs="Times New Roman" w:eastAsia="Times New Roman" w:hAnsi="Times New Roman"/>
                <w:sz w:val="22"/>
                <w:szCs w:val="22"/>
                <w:color w:val="auto"/>
                <w:w w:val="98"/>
              </w:rPr>
              <w:t>1.20%</w:t>
            </w:r>
          </w:p>
        </w:tc>
      </w:tr>
      <w:tr>
        <w:trPr>
          <w:trHeight w:val="282"/>
        </w:trPr>
        <w:tc>
          <w:tcPr>
            <w:tcW w:w="10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w:t>
            </w:r>
          </w:p>
        </w:tc>
        <w:tc>
          <w:tcPr>
            <w:tcW w:w="21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20"/>
        </w:trPr>
        <w:tc>
          <w:tcPr>
            <w:tcW w:w="1080" w:type="dxa"/>
            <w:vAlign w:val="bottom"/>
          </w:tcPr>
          <w:p>
            <w:pPr>
              <w:jc w:val="center"/>
              <w:ind w:left="192"/>
              <w:spacing w:after="0"/>
              <w:rPr>
                <w:sz w:val="20"/>
                <w:szCs w:val="20"/>
                <w:color w:val="auto"/>
              </w:rPr>
            </w:pPr>
            <w:r>
              <w:rPr>
                <w:rFonts w:ascii="Times New Roman" w:cs="Times New Roman" w:eastAsia="Times New Roman" w:hAnsi="Times New Roman"/>
                <w:sz w:val="22"/>
                <w:szCs w:val="22"/>
                <w:color w:val="auto"/>
                <w:w w:val="95"/>
              </w:rPr>
              <w:t>II</w:t>
            </w:r>
          </w:p>
        </w:tc>
        <w:tc>
          <w:tcPr>
            <w:tcW w:w="2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 than or equal to 0.45 to</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0.30%</w:t>
            </w:r>
          </w:p>
        </w:tc>
        <w:tc>
          <w:tcPr>
            <w:tcW w:w="2380" w:type="dxa"/>
            <w:vAlign w:val="bottom"/>
          </w:tcPr>
          <w:p>
            <w:pPr>
              <w:jc w:val="center"/>
              <w:ind w:right="116"/>
              <w:spacing w:after="0"/>
              <w:rPr>
                <w:sz w:val="20"/>
                <w:szCs w:val="20"/>
                <w:color w:val="auto"/>
              </w:rPr>
            </w:pPr>
            <w:r>
              <w:rPr>
                <w:rFonts w:ascii="Times New Roman" w:cs="Times New Roman" w:eastAsia="Times New Roman" w:hAnsi="Times New Roman"/>
                <w:sz w:val="22"/>
                <w:szCs w:val="22"/>
                <w:color w:val="auto"/>
                <w:w w:val="98"/>
              </w:rPr>
              <w:t>1.30%</w:t>
            </w:r>
          </w:p>
        </w:tc>
      </w:tr>
      <w:tr>
        <w:trPr>
          <w:trHeight w:val="243"/>
        </w:trPr>
        <w:tc>
          <w:tcPr>
            <w:tcW w:w="1080" w:type="dxa"/>
            <w:vAlign w:val="bottom"/>
          </w:tcPr>
          <w:p>
            <w:pPr>
              <w:spacing w:after="0"/>
              <w:rPr>
                <w:sz w:val="21"/>
                <w:szCs w:val="21"/>
                <w:color w:val="auto"/>
              </w:rPr>
            </w:pPr>
          </w:p>
        </w:tc>
        <w:tc>
          <w:tcPr>
            <w:tcW w:w="29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 but greater than 0.40 to</w:t>
            </w:r>
          </w:p>
        </w:tc>
        <w:tc>
          <w:tcPr>
            <w:tcW w:w="21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82"/>
        </w:trPr>
        <w:tc>
          <w:tcPr>
            <w:tcW w:w="10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w:t>
            </w:r>
          </w:p>
        </w:tc>
        <w:tc>
          <w:tcPr>
            <w:tcW w:w="21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20"/>
        </w:trPr>
        <w:tc>
          <w:tcPr>
            <w:tcW w:w="1080" w:type="dxa"/>
            <w:vAlign w:val="bottom"/>
          </w:tcPr>
          <w:p>
            <w:pPr>
              <w:jc w:val="center"/>
              <w:ind w:left="192"/>
              <w:spacing w:after="0"/>
              <w:rPr>
                <w:sz w:val="20"/>
                <w:szCs w:val="20"/>
                <w:color w:val="auto"/>
              </w:rPr>
            </w:pPr>
            <w:r>
              <w:rPr>
                <w:rFonts w:ascii="Times New Roman" w:cs="Times New Roman" w:eastAsia="Times New Roman" w:hAnsi="Times New Roman"/>
                <w:sz w:val="22"/>
                <w:szCs w:val="22"/>
                <w:color w:val="auto"/>
                <w:w w:val="99"/>
              </w:rPr>
              <w:t>III</w:t>
            </w:r>
          </w:p>
        </w:tc>
        <w:tc>
          <w:tcPr>
            <w:tcW w:w="2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 than or equal to 0.50 to</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0.45%</w:t>
            </w:r>
          </w:p>
        </w:tc>
        <w:tc>
          <w:tcPr>
            <w:tcW w:w="2380" w:type="dxa"/>
            <w:vAlign w:val="bottom"/>
          </w:tcPr>
          <w:p>
            <w:pPr>
              <w:jc w:val="center"/>
              <w:ind w:right="116"/>
              <w:spacing w:after="0"/>
              <w:rPr>
                <w:sz w:val="20"/>
                <w:szCs w:val="20"/>
                <w:color w:val="auto"/>
              </w:rPr>
            </w:pPr>
            <w:r>
              <w:rPr>
                <w:rFonts w:ascii="Times New Roman" w:cs="Times New Roman" w:eastAsia="Times New Roman" w:hAnsi="Times New Roman"/>
                <w:sz w:val="22"/>
                <w:szCs w:val="22"/>
                <w:color w:val="auto"/>
                <w:w w:val="98"/>
              </w:rPr>
              <w:t>1.45%</w:t>
            </w:r>
          </w:p>
        </w:tc>
      </w:tr>
      <w:tr>
        <w:trPr>
          <w:trHeight w:val="243"/>
        </w:trPr>
        <w:tc>
          <w:tcPr>
            <w:tcW w:w="1080" w:type="dxa"/>
            <w:vAlign w:val="bottom"/>
          </w:tcPr>
          <w:p>
            <w:pPr>
              <w:spacing w:after="0"/>
              <w:rPr>
                <w:sz w:val="21"/>
                <w:szCs w:val="21"/>
                <w:color w:val="auto"/>
              </w:rPr>
            </w:pPr>
          </w:p>
        </w:tc>
        <w:tc>
          <w:tcPr>
            <w:tcW w:w="29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 but greater than 0.45 to</w:t>
            </w:r>
          </w:p>
        </w:tc>
        <w:tc>
          <w:tcPr>
            <w:tcW w:w="21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82"/>
        </w:trPr>
        <w:tc>
          <w:tcPr>
            <w:tcW w:w="10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w:t>
            </w:r>
          </w:p>
        </w:tc>
        <w:tc>
          <w:tcPr>
            <w:tcW w:w="21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20"/>
        </w:trPr>
        <w:tc>
          <w:tcPr>
            <w:tcW w:w="1080" w:type="dxa"/>
            <w:vAlign w:val="bottom"/>
          </w:tcPr>
          <w:p>
            <w:pPr>
              <w:jc w:val="center"/>
              <w:ind w:left="192"/>
              <w:spacing w:after="0"/>
              <w:rPr>
                <w:sz w:val="20"/>
                <w:szCs w:val="20"/>
                <w:color w:val="auto"/>
              </w:rPr>
            </w:pPr>
            <w:r>
              <w:rPr>
                <w:rFonts w:ascii="Times New Roman" w:cs="Times New Roman" w:eastAsia="Times New Roman" w:hAnsi="Times New Roman"/>
                <w:sz w:val="22"/>
                <w:szCs w:val="22"/>
                <w:color w:val="auto"/>
                <w:w w:val="94"/>
              </w:rPr>
              <w:t>IV</w:t>
            </w:r>
          </w:p>
        </w:tc>
        <w:tc>
          <w:tcPr>
            <w:tcW w:w="2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 than or equal to 0.55 to</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0.60%</w:t>
            </w:r>
          </w:p>
        </w:tc>
        <w:tc>
          <w:tcPr>
            <w:tcW w:w="2380" w:type="dxa"/>
            <w:vAlign w:val="bottom"/>
          </w:tcPr>
          <w:p>
            <w:pPr>
              <w:jc w:val="center"/>
              <w:ind w:right="116"/>
              <w:spacing w:after="0"/>
              <w:rPr>
                <w:sz w:val="20"/>
                <w:szCs w:val="20"/>
                <w:color w:val="auto"/>
              </w:rPr>
            </w:pPr>
            <w:r>
              <w:rPr>
                <w:rFonts w:ascii="Times New Roman" w:cs="Times New Roman" w:eastAsia="Times New Roman" w:hAnsi="Times New Roman"/>
                <w:sz w:val="22"/>
                <w:szCs w:val="22"/>
                <w:color w:val="auto"/>
                <w:w w:val="98"/>
              </w:rPr>
              <w:t>1.60%</w:t>
            </w:r>
          </w:p>
        </w:tc>
      </w:tr>
      <w:tr>
        <w:trPr>
          <w:trHeight w:val="243"/>
        </w:trPr>
        <w:tc>
          <w:tcPr>
            <w:tcW w:w="1080" w:type="dxa"/>
            <w:vAlign w:val="bottom"/>
          </w:tcPr>
          <w:p>
            <w:pPr>
              <w:spacing w:after="0"/>
              <w:rPr>
                <w:sz w:val="21"/>
                <w:szCs w:val="21"/>
                <w:color w:val="auto"/>
              </w:rPr>
            </w:pPr>
          </w:p>
        </w:tc>
        <w:tc>
          <w:tcPr>
            <w:tcW w:w="29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 but greater than 0.50 to</w:t>
            </w:r>
          </w:p>
        </w:tc>
        <w:tc>
          <w:tcPr>
            <w:tcW w:w="21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82"/>
        </w:trPr>
        <w:tc>
          <w:tcPr>
            <w:tcW w:w="10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w:t>
            </w:r>
          </w:p>
        </w:tc>
        <w:tc>
          <w:tcPr>
            <w:tcW w:w="21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20"/>
        </w:trPr>
        <w:tc>
          <w:tcPr>
            <w:tcW w:w="108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rPr>
              <w:t>V</w:t>
            </w:r>
          </w:p>
        </w:tc>
        <w:tc>
          <w:tcPr>
            <w:tcW w:w="2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 than or equal to 0.60 to</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0.90%</w:t>
            </w:r>
          </w:p>
        </w:tc>
        <w:tc>
          <w:tcPr>
            <w:tcW w:w="2380" w:type="dxa"/>
            <w:vAlign w:val="bottom"/>
          </w:tcPr>
          <w:p>
            <w:pPr>
              <w:jc w:val="center"/>
              <w:ind w:right="116"/>
              <w:spacing w:after="0"/>
              <w:rPr>
                <w:sz w:val="20"/>
                <w:szCs w:val="20"/>
                <w:color w:val="auto"/>
              </w:rPr>
            </w:pPr>
            <w:r>
              <w:rPr>
                <w:rFonts w:ascii="Times New Roman" w:cs="Times New Roman" w:eastAsia="Times New Roman" w:hAnsi="Times New Roman"/>
                <w:sz w:val="22"/>
                <w:szCs w:val="22"/>
                <w:color w:val="auto"/>
                <w:w w:val="98"/>
              </w:rPr>
              <w:t>1.90%</w:t>
            </w:r>
          </w:p>
        </w:tc>
      </w:tr>
      <w:tr>
        <w:trPr>
          <w:trHeight w:val="243"/>
        </w:trPr>
        <w:tc>
          <w:tcPr>
            <w:tcW w:w="1080" w:type="dxa"/>
            <w:vAlign w:val="bottom"/>
          </w:tcPr>
          <w:p>
            <w:pPr>
              <w:spacing w:after="0"/>
              <w:rPr>
                <w:sz w:val="21"/>
                <w:szCs w:val="21"/>
                <w:color w:val="auto"/>
              </w:rPr>
            </w:pPr>
          </w:p>
        </w:tc>
        <w:tc>
          <w:tcPr>
            <w:tcW w:w="29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 but greater than 0.55 to</w:t>
            </w:r>
          </w:p>
        </w:tc>
        <w:tc>
          <w:tcPr>
            <w:tcW w:w="21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82"/>
        </w:trPr>
        <w:tc>
          <w:tcPr>
            <w:tcW w:w="10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w:t>
            </w:r>
          </w:p>
        </w:tc>
        <w:tc>
          <w:tcPr>
            <w:tcW w:w="21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05"/>
        </w:trPr>
        <w:tc>
          <w:tcPr>
            <w:tcW w:w="1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40" w:type="dxa"/>
            <w:vAlign w:val="bottom"/>
          </w:tcPr>
          <w:p>
            <w:pPr>
              <w:jc w:val="right"/>
              <w:ind w:right="1640"/>
              <w:spacing w:after="0"/>
              <w:rPr>
                <w:sz w:val="20"/>
                <w:szCs w:val="20"/>
                <w:color w:val="auto"/>
              </w:rPr>
            </w:pPr>
            <w:r>
              <w:rPr>
                <w:rFonts w:ascii="Times New Roman" w:cs="Times New Roman" w:eastAsia="Times New Roman" w:hAnsi="Times New Roman"/>
                <w:sz w:val="22"/>
                <w:szCs w:val="22"/>
                <w:i w:val="1"/>
                <w:iCs w:val="1"/>
                <w:color w:val="auto"/>
              </w:rPr>
              <w:t>-15-</w:t>
            </w:r>
          </w:p>
        </w:tc>
        <w:tc>
          <w:tcPr>
            <w:tcW w:w="2380" w:type="dxa"/>
            <w:vAlign w:val="bottom"/>
          </w:tcPr>
          <w:p>
            <w:pPr>
              <w:spacing w:after="0"/>
              <w:rPr>
                <w:sz w:val="24"/>
                <w:szCs w:val="24"/>
                <w:color w:val="auto"/>
              </w:rPr>
            </w:pPr>
          </w:p>
        </w:tc>
      </w:tr>
      <w:tr>
        <w:trPr>
          <w:trHeight w:val="791"/>
        </w:trPr>
        <w:tc>
          <w:tcPr>
            <w:tcW w:w="10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77" w:name="page78"/>
    <w:bookmarkEnd w:id="77"/>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ndebtedness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otal</w:t>
            </w:r>
          </w:p>
        </w:tc>
        <w:tc>
          <w:tcPr>
            <w:tcW w:w="21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pplicable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argin</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pplicable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argin</w:t>
            </w:r>
          </w:p>
        </w:tc>
      </w:tr>
      <w:tr>
        <w:trPr>
          <w:trHeight w:val="243"/>
        </w:trPr>
        <w:tc>
          <w:tcPr>
            <w:tcW w:w="640" w:type="dxa"/>
            <w:vAlign w:val="bottom"/>
          </w:tcPr>
          <w:p>
            <w:pPr>
              <w:spacing w:after="0"/>
              <w:rPr>
                <w:sz w:val="21"/>
                <w:szCs w:val="21"/>
                <w:color w:val="auto"/>
              </w:rPr>
            </w:pPr>
          </w:p>
        </w:tc>
        <w:tc>
          <w:tcPr>
            <w:tcW w:w="3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sset</w:t>
            </w:r>
            <w:r>
              <w:rPr>
                <w:rFonts w:ascii="Times New Roman" w:cs="Times New Roman" w:eastAsia="Times New Roman" w:hAnsi="Times New Roman"/>
                <w:sz w:val="22"/>
                <w:szCs w:val="22"/>
                <w:color w:val="auto"/>
              </w:rPr>
              <w:t xml:space="preserve"> V</w:t>
            </w:r>
            <w:r>
              <w:rPr>
                <w:rFonts w:ascii="Times New Roman" w:cs="Times New Roman" w:eastAsia="Times New Roman" w:hAnsi="Times New Roman"/>
                <w:sz w:val="14"/>
                <w:szCs w:val="14"/>
                <w:color w:val="auto"/>
              </w:rPr>
              <w:t>alue</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atio for</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uch</w:t>
            </w:r>
          </w:p>
        </w:tc>
        <w:tc>
          <w:tcPr>
            <w:tcW w:w="2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xml:space="preserve">for </w:t>
            </w:r>
            <w:r>
              <w:rPr>
                <w:rFonts w:ascii="Times New Roman" w:cs="Times New Roman" w:eastAsia="Times New Roman" w:hAnsi="Times New Roman"/>
                <w:sz w:val="21"/>
                <w:szCs w:val="21"/>
                <w:color w:val="auto"/>
              </w:rPr>
              <w:t>B</w:t>
            </w:r>
            <w:r>
              <w:rPr>
                <w:rFonts w:ascii="Times New Roman" w:cs="Times New Roman" w:eastAsia="Times New Roman" w:hAnsi="Times New Roman"/>
                <w:sz w:val="15"/>
                <w:szCs w:val="15"/>
                <w:color w:val="auto"/>
              </w:rPr>
              <w:t xml:space="preserve">ase </w:t>
            </w:r>
            <w:r>
              <w:rPr>
                <w:rFonts w:ascii="Times New Roman" w:cs="Times New Roman" w:eastAsia="Times New Roman" w:hAnsi="Times New Roman"/>
                <w:sz w:val="21"/>
                <w:szCs w:val="21"/>
                <w:color w:val="auto"/>
              </w:rPr>
              <w:t>R</w:t>
            </w:r>
            <w:r>
              <w:rPr>
                <w:rFonts w:ascii="Times New Roman" w:cs="Times New Roman" w:eastAsia="Times New Roman" w:hAnsi="Times New Roman"/>
                <w:sz w:val="15"/>
                <w:szCs w:val="15"/>
                <w:color w:val="auto"/>
              </w:rPr>
              <w:t xml:space="preserve">ate </w:t>
            </w:r>
            <w:r>
              <w:rPr>
                <w:rFonts w:ascii="Times New Roman" w:cs="Times New Roman" w:eastAsia="Times New Roman" w:hAnsi="Times New Roman"/>
                <w:sz w:val="21"/>
                <w:szCs w:val="21"/>
                <w:color w:val="auto"/>
              </w:rPr>
              <w:t>L</w:t>
            </w:r>
            <w:r>
              <w:rPr>
                <w:rFonts w:ascii="Times New Roman" w:cs="Times New Roman" w:eastAsia="Times New Roman" w:hAnsi="Times New Roman"/>
                <w:sz w:val="15"/>
                <w:szCs w:val="15"/>
                <w:color w:val="auto"/>
              </w:rPr>
              <w:t>oans</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xml:space="preserve">for </w:t>
            </w:r>
            <w:r>
              <w:rPr>
                <w:rFonts w:ascii="Times New Roman" w:cs="Times New Roman" w:eastAsia="Times New Roman" w:hAnsi="Times New Roman"/>
                <w:sz w:val="21"/>
                <w:szCs w:val="21"/>
                <w:color w:val="auto"/>
              </w:rPr>
              <w:t>SOFR R</w:t>
            </w:r>
            <w:r>
              <w:rPr>
                <w:rFonts w:ascii="Times New Roman" w:cs="Times New Roman" w:eastAsia="Times New Roman" w:hAnsi="Times New Roman"/>
                <w:sz w:val="15"/>
                <w:szCs w:val="15"/>
                <w:color w:val="auto"/>
              </w:rPr>
              <w:t xml:space="preserve">ate </w:t>
            </w:r>
            <w:r>
              <w:rPr>
                <w:rFonts w:ascii="Times New Roman" w:cs="Times New Roman" w:eastAsia="Times New Roman" w:hAnsi="Times New Roman"/>
                <w:sz w:val="21"/>
                <w:szCs w:val="21"/>
                <w:color w:val="auto"/>
              </w:rPr>
              <w:t>L</w:t>
            </w:r>
            <w:r>
              <w:rPr>
                <w:rFonts w:ascii="Times New Roman" w:cs="Times New Roman" w:eastAsia="Times New Roman" w:hAnsi="Times New Roman"/>
                <w:sz w:val="15"/>
                <w:szCs w:val="15"/>
                <w:color w:val="auto"/>
              </w:rPr>
              <w:t>oans</w:t>
            </w:r>
          </w:p>
        </w:tc>
      </w:tr>
      <w:tr>
        <w:trPr>
          <w:trHeight w:val="282"/>
        </w:trPr>
        <w:tc>
          <w:tcPr>
            <w:tcW w:w="64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evel</w:t>
            </w:r>
          </w:p>
        </w:tc>
        <w:tc>
          <w:tcPr>
            <w:tcW w:w="30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ricing</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ate</w:t>
            </w:r>
          </w:p>
        </w:tc>
        <w:tc>
          <w:tcPr>
            <w:tcW w:w="2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shall be</w:t>
            </w:r>
            <w:r>
              <w:rPr>
                <w:rFonts w:ascii="Times New Roman" w:cs="Times New Roman" w:eastAsia="Times New Roman" w:hAnsi="Times New Roman"/>
                <w:sz w:val="21"/>
                <w:szCs w:val="21"/>
                <w:color w:val="auto"/>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hall</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e</w:t>
            </w:r>
            <w:r>
              <w:rPr>
                <w:rFonts w:ascii="Times New Roman" w:cs="Times New Roman" w:eastAsia="Times New Roman" w:hAnsi="Times New Roman"/>
                <w:sz w:val="22"/>
                <w:szCs w:val="22"/>
                <w:color w:val="auto"/>
              </w:rPr>
              <w:t>:</w:t>
            </w:r>
          </w:p>
        </w:tc>
      </w:tr>
      <w:tr>
        <w:trPr>
          <w:trHeight w:val="459"/>
        </w:trPr>
        <w:tc>
          <w:tcPr>
            <w:tcW w:w="64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4"/>
              </w:rPr>
              <w:t>VI</w:t>
            </w:r>
          </w:p>
        </w:tc>
        <w:tc>
          <w:tcPr>
            <w:tcW w:w="3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Greater than 0.60 to 1.00</w:t>
            </w:r>
          </w:p>
        </w:tc>
        <w:tc>
          <w:tcPr>
            <w:tcW w:w="2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1.15%</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2.15%</w:t>
            </w:r>
          </w:p>
        </w:tc>
      </w:tr>
    </w:tbl>
    <w:p>
      <w:pPr>
        <w:spacing w:after="0" w:line="173"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 xml:space="preserve">For purposes hereof, the term </w:t>
      </w:r>
      <w:r>
        <w:rPr>
          <w:rFonts w:ascii="Times New Roman" w:cs="Times New Roman" w:eastAsia="Times New Roman" w:hAnsi="Times New Roman"/>
          <w:sz w:val="21"/>
          <w:szCs w:val="21"/>
          <w:i w:val="1"/>
          <w:iCs w:val="1"/>
          <w:color w:val="auto"/>
        </w:rPr>
        <w:t>“Pricing Date”</w:t>
      </w:r>
      <w:r>
        <w:rPr>
          <w:rFonts w:ascii="Times New Roman" w:cs="Times New Roman" w:eastAsia="Times New Roman" w:hAnsi="Times New Roman"/>
          <w:sz w:val="21"/>
          <w:szCs w:val="21"/>
          <w:color w:val="auto"/>
        </w:rPr>
        <w:t xml:space="preserve"> 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 Date. If the Borrower has not delivered its Compliance Certificate and financial statements by the 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 Margin shall be the highest Applicable Margin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Level VI shall apply).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The Borrower, Administrative Agent and Lenders understand that the applicable interest rate for the Obligations and certain fees set forth herein may be determined and/or adjusted from time to time based upon certain financial ratios and/or other information to be provided or certified to the Administrative Agent and Lenders by the Borrower (the </w:t>
      </w:r>
      <w:r>
        <w:rPr>
          <w:rFonts w:ascii="Times New Roman" w:cs="Times New Roman" w:eastAsia="Times New Roman" w:hAnsi="Times New Roman"/>
          <w:sz w:val="21"/>
          <w:szCs w:val="21"/>
          <w:i w:val="1"/>
          <w:iCs w:val="1"/>
          <w:color w:val="auto"/>
        </w:rPr>
        <w:t>"Borrower Information"</w:t>
      </w:r>
      <w:r>
        <w:rPr>
          <w:rFonts w:ascii="Times New Roman" w:cs="Times New Roman" w:eastAsia="Times New Roman" w:hAnsi="Times New Roman"/>
          <w:sz w:val="21"/>
          <w:szCs w:val="21"/>
          <w:color w:val="auto"/>
        </w:rPr>
        <w:t xml:space="preserve">).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recalculation shall be done for any period that is more than 2 years earlier than the date of recalculation. The Administrative Agent shall promptly notify the Borrower in writing of any additional interest and fees due because of such recalculation, and the Borrower shall pay such additional interest or fees due to the Administrative Agent, for the account of each Lender, within five (5) Business Days of receipt of such written notice. Any recalculation of interest or fees required by this provision shall survive the termination of this Agreement, and this provision shall not in any way limit any of the Administrative Agent's or any Lender's other rights under this Agreement. Each determination of the Applicable Margin made by the Administrative Agent in accordance with the foregoing shall be conclusive, absent manifest error, and binding on the Borrower and the Lenders if reasonably determined. Any Incremental Revolving Loan and Incremental Term Loan shall bear interest at an “applicable margin” based upon the then determined Applicable Margin set forth in each Incremental Amendment for each Incremental Credit.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74" w:right="1440" w:bottom="1440" w:gutter="0" w:footer="0" w:header="0"/>
        </w:sectPr>
      </w:pPr>
    </w:p>
    <w:bookmarkStart w:id="78" w:name="page79"/>
    <w:bookmarkEnd w:id="78"/>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Percentage</w:t>
      </w:r>
      <w:r>
        <w:rPr>
          <w:rFonts w:ascii="Times New Roman" w:cs="Times New Roman" w:eastAsia="Times New Roman" w:hAnsi="Times New Roman"/>
          <w:sz w:val="22"/>
          <w:szCs w:val="22"/>
          <w:color w:val="auto"/>
        </w:rPr>
        <w:t xml:space="preserve">” means, for any Lender, its 2029 Term Loan Percentage, Incremental Revolving Percentage, or Incremental Term Loan Percentage, as applicable; and where the term </w:t>
      </w:r>
      <w:r>
        <w:rPr>
          <w:rFonts w:ascii="Times New Roman" w:cs="Times New Roman" w:eastAsia="Times New Roman" w:hAnsi="Times New Roman"/>
          <w:sz w:val="22"/>
          <w:szCs w:val="22"/>
          <w:i w:val="1"/>
          <w:iCs w:val="1"/>
          <w:color w:val="auto"/>
        </w:rPr>
        <w:t>“Percentage”</w:t>
      </w:r>
      <w:r>
        <w:rPr>
          <w:rFonts w:ascii="Times New Roman" w:cs="Times New Roman" w:eastAsia="Times New Roman" w:hAnsi="Times New Roman"/>
          <w:sz w:val="22"/>
          <w:szCs w:val="22"/>
          <w:color w:val="auto"/>
        </w:rPr>
        <w:t xml:space="preserve"> is applied on an aggregate basis, such aggregate percentage shall be calculated by aggregating the separate components of the 2029 Term Loan Percentage, Incremental Revolving Percentage, or Incremental Term Loan Percentage and expressing such components on a single percentage basis.</w:t>
      </w:r>
    </w:p>
    <w:p>
      <w:pPr>
        <w:spacing w:after="0" w:line="175"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“Approved Fund” </w:t>
      </w:r>
      <w:r>
        <w:rPr>
          <w:rFonts w:ascii="Times New Roman" w:cs="Times New Roman" w:eastAsia="Times New Roman" w:hAnsi="Times New Roman"/>
          <w:sz w:val="22"/>
          <w:szCs w:val="22"/>
          <w:color w:val="auto"/>
        </w:rPr>
        <w:t>means any Fund that is administered or managed by (a) a Lender, (b)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 of a Lender or (c) an entity or an Affiliate of an entity that administers or manages a Lender.</w:t>
      </w:r>
    </w:p>
    <w:p>
      <w:pPr>
        <w:spacing w:after="0" w:line="16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“Assets Under Development” </w:t>
      </w:r>
      <w:r>
        <w:rPr>
          <w:rFonts w:ascii="Times New Roman" w:cs="Times New Roman" w:eastAsia="Times New Roman" w:hAnsi="Times New Roman"/>
          <w:sz w:val="22"/>
          <w:szCs w:val="22"/>
          <w:color w:val="auto"/>
        </w:rPr>
        <w:t>means any real property under construction (excluding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completed Property under minor renovation) until such property has received a certificate of occupancy.</w:t>
      </w:r>
    </w:p>
    <w:p>
      <w:pPr>
        <w:spacing w:after="0" w:line="16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“Assignment and Acceptance” </w:t>
      </w:r>
      <w:r>
        <w:rPr>
          <w:rFonts w:ascii="Times New Roman" w:cs="Times New Roman" w:eastAsia="Times New Roman" w:hAnsi="Times New Roman"/>
          <w:sz w:val="22"/>
          <w:szCs w:val="22"/>
          <w:color w:val="auto"/>
        </w:rPr>
        <w:t>means an assignment and acceptance entered into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and an Eligible Assignee (with the consent of any party whose consent is required by Section 12.12 hereof), and accepted by the Administrative Agent, in substantially the form of Exhibit F or any other form approved by the Administrative Agent.</w:t>
      </w:r>
    </w:p>
    <w:p>
      <w:pPr>
        <w:spacing w:after="0" w:line="17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“Authorized Representative” </w:t>
      </w:r>
      <w:r>
        <w:rPr>
          <w:rFonts w:ascii="Times New Roman" w:cs="Times New Roman" w:eastAsia="Times New Roman" w:hAnsi="Times New Roman"/>
          <w:sz w:val="22"/>
          <w:szCs w:val="22"/>
          <w:color w:val="auto"/>
        </w:rPr>
        <w:t>means those persons shown on the list of officers provided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pursuant to Section 7.2 hereof or on any update of any such list provided by the Borrower to the Administrative Agent, or any further or different officers of the Borrower so named by any Authorized Representative of the Borrower in a written notice to the Administrative Agent.</w:t>
      </w:r>
    </w:p>
    <w:p>
      <w:pPr>
        <w:spacing w:after="0" w:line="177"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“Available Tenor” </w:t>
      </w:r>
      <w:r>
        <w:rPr>
          <w:rFonts w:ascii="Times New Roman" w:cs="Times New Roman" w:eastAsia="Times New Roman" w:hAnsi="Times New Roman"/>
          <w:sz w:val="21"/>
          <w:szCs w:val="21"/>
          <w:color w:val="auto"/>
        </w:rPr>
        <w:t>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10.6(d).</w:t>
      </w:r>
    </w:p>
    <w:p>
      <w:pPr>
        <w:spacing w:after="0" w:line="17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“Bail-In Action” </w:t>
      </w:r>
      <w:r>
        <w:rPr>
          <w:rFonts w:ascii="Times New Roman" w:cs="Times New Roman" w:eastAsia="Times New Roman" w:hAnsi="Times New Roman"/>
          <w:sz w:val="22"/>
          <w:szCs w:val="22"/>
          <w:color w:val="auto"/>
        </w:rPr>
        <w:t>means the exercise of any Write-Down and Conversion Powers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Resolution Authority in respect of any liability of an Affected Financial Institution.</w:t>
      </w:r>
    </w:p>
    <w:p>
      <w:pPr>
        <w:spacing w:after="0" w:line="15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“Bail-In Legislation” </w:t>
      </w:r>
      <w:r>
        <w:rPr>
          <w:rFonts w:ascii="Times New Roman" w:cs="Times New Roman" w:eastAsia="Times New Roman" w:hAnsi="Times New Roman"/>
          <w:sz w:val="21"/>
          <w:szCs w:val="21"/>
          <w:color w:val="auto"/>
        </w:rPr>
        <w:t>means (a) with respect to any EEA Member Country implementing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79" w:name="page80"/>
    <w:bookmarkEnd w:id="79"/>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“Bankruptcy Event” </w:t>
      </w:r>
      <w:r>
        <w:rPr>
          <w:rFonts w:ascii="Times New Roman" w:cs="Times New Roman" w:eastAsia="Times New Roman" w:hAnsi="Times New Roman"/>
          <w:sz w:val="22"/>
          <w:szCs w:val="22"/>
          <w:color w:val="auto"/>
        </w:rPr>
        <w:t>means, with respect to any Person, any event of the type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clause (j) or (k) of Section 9.1 hereof with respect to such Person.</w:t>
      </w:r>
    </w:p>
    <w:p>
      <w:pPr>
        <w:spacing w:after="0" w:line="15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i w:val="1"/>
          <w:iCs w:val="1"/>
          <w:color w:val="auto"/>
        </w:rPr>
        <w:t xml:space="preserve">“Base Rate” </w:t>
      </w:r>
      <w:r>
        <w:rPr>
          <w:rFonts w:ascii="Times New Roman" w:cs="Times New Roman" w:eastAsia="Times New Roman" w:hAnsi="Times New Roman"/>
          <w:sz w:val="21"/>
          <w:szCs w:val="21"/>
          <w:color w:val="auto"/>
        </w:rPr>
        <w:t>means, for any day, the rate per annum equal to the greatest of: (a) the rate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interest announced or 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1/2 of 1%, or (c) the sum of (i) Adjusted Term SOFR for a one month tenor in effect on such day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1.0%. Any change in the Base Rate due to a change in the prime rate, the Federal Funds Rate or Term SOFR, as applicable, shall be effective from and including the effective date of the change in such rate. If the Base Rate is being used as an alternative rate of interest pursuant to Section 10.2 or Section 10.6 hereof, then the Base Rate shall be the greater of clauses (a) and (b) above and shall be determined without reference to clause (c) above;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the Base Rate as determined above shall ever be less than the Floor, then Base Rate shall be deemed to be the Floor.</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“Base Rate Loan” </w:t>
      </w:r>
      <w:r>
        <w:rPr>
          <w:rFonts w:ascii="Times New Roman" w:cs="Times New Roman" w:eastAsia="Times New Roman" w:hAnsi="Times New Roman"/>
          <w:sz w:val="22"/>
          <w:szCs w:val="22"/>
          <w:color w:val="auto"/>
        </w:rPr>
        <w:t>means a Loan bearing interest at the Base Rate.</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means, initially, (a) with respect to Daily Simple SOFR Rate Loans, Daily Simple SOFR and (b), with respect to Term SOFR Rate Loans, the Term SOFR Reference Rate; provided that if a Benchmark Transition Event has occurred with respect to the then-current Benchmark, then “Benchmark” means the applicable Benchmark Replacement to the extent that such Benchmark Replacement has replaced such prior benchmark rate pursuant to Section 10.6.</w:t>
      </w:r>
    </w:p>
    <w:p>
      <w:pPr>
        <w:spacing w:after="0" w:line="17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Replacement</w:t>
      </w:r>
      <w:r>
        <w:rPr>
          <w:rFonts w:ascii="Times New Roman" w:cs="Times New Roman" w:eastAsia="Times New Roman" w:hAnsi="Times New Roman"/>
          <w:sz w:val="21"/>
          <w:szCs w:val="21"/>
          <w:color w:val="auto"/>
        </w:rPr>
        <w:t>” means, with respect to any Benchmark Transition Event for the then-current Benchmark,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U.S. Dollars at such time and (ii) the related Benchmark Replacement Adjustment, if any; provided that, if such Benchmark Replacement as so determined would be less than the Floor, such Benchmark Replacement will be deemed to be the Floor for the purposes of this Agreement and the other Loan Documents.</w:t>
      </w:r>
    </w:p>
    <w:p>
      <w:pPr>
        <w:spacing w:after="0" w:line="171"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80" w:name="page81"/>
    <w:bookmarkEnd w:id="80"/>
    <w:p>
      <w:pPr>
        <w:ind w:left="200" w:right="239"/>
        <w:spacing w:after="0" w:line="258" w:lineRule="auto"/>
        <w:rPr>
          <w:sz w:val="20"/>
          <w:szCs w:val="20"/>
          <w:color w:val="auto"/>
        </w:rPr>
      </w:pPr>
      <w:r>
        <w:rPr>
          <w:rFonts w:ascii="Times New Roman" w:cs="Times New Roman" w:eastAsia="Times New Roman" w:hAnsi="Times New Roman"/>
          <w:sz w:val="22"/>
          <w:szCs w:val="22"/>
          <w:color w:val="auto"/>
        </w:rPr>
        <w:t>spread adjustment, for the replacement of such Benchmark with the applicable Unadjusted Benchmark Replacement for U.S. Dollar denominated syndicated credit facilities at such time.</w:t>
      </w:r>
    </w:p>
    <w:p>
      <w:pPr>
        <w:spacing w:after="0" w:line="154" w:lineRule="exact"/>
        <w:rPr>
          <w:sz w:val="20"/>
          <w:szCs w:val="20"/>
          <w:color w:val="auto"/>
        </w:rPr>
      </w:pPr>
    </w:p>
    <w:p>
      <w:pPr>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 Benchmark:</w:t>
      </w:r>
    </w:p>
    <w:p>
      <w:pPr>
        <w:spacing w:after="0" w:line="154" w:lineRule="exact"/>
        <w:rPr>
          <w:sz w:val="20"/>
          <w:szCs w:val="20"/>
          <w:color w:val="auto"/>
        </w:rPr>
      </w:pPr>
    </w:p>
    <w:p>
      <w:pPr>
        <w:jc w:val="both"/>
        <w:ind w:left="200" w:right="219" w:firstLine="657"/>
        <w:spacing w:after="0" w:line="253" w:lineRule="auto"/>
        <w:tabs>
          <w:tab w:leader="none" w:pos="149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(a) or (b) of the definition of “Benchmark Transition Event”, the later of (i) the date of the public statement or publication of information referenced therein and</w:t>
      </w:r>
    </w:p>
    <w:p>
      <w:pPr>
        <w:jc w:val="both"/>
        <w:ind w:left="200" w:right="239" w:firstLine="9"/>
        <w:spacing w:after="0" w:line="235" w:lineRule="auto"/>
        <w:tabs>
          <w:tab w:leader="none" w:pos="5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administrator of such Benchmark (or the published component used in the calculation thereof) permanently or indefinitely ceases to provide all Available Tenors of such Benchmark (or such component thereof); or</w:t>
      </w:r>
    </w:p>
    <w:p>
      <w:pPr>
        <w:spacing w:after="0" w:line="177" w:lineRule="exact"/>
        <w:rPr>
          <w:rFonts w:ascii="Times New Roman" w:cs="Times New Roman" w:eastAsia="Times New Roman" w:hAnsi="Times New Roman"/>
          <w:sz w:val="22"/>
          <w:szCs w:val="22"/>
          <w:color w:val="auto"/>
        </w:rPr>
      </w:pPr>
    </w:p>
    <w:p>
      <w:pPr>
        <w:jc w:val="both"/>
        <w:ind w:left="200" w:right="219" w:firstLine="657"/>
        <w:spacing w:after="0" w:line="234" w:lineRule="auto"/>
        <w:tabs>
          <w:tab w:leader="none" w:pos="149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79"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with respect to the then-current Benchmark, the occurrence of one or more of the following events with respect to such Benchmark:</w:t>
      </w:r>
    </w:p>
    <w:p>
      <w:pPr>
        <w:spacing w:after="0" w:line="154" w:lineRule="exact"/>
        <w:rPr>
          <w:sz w:val="20"/>
          <w:szCs w:val="20"/>
          <w:color w:val="auto"/>
        </w:rPr>
      </w:pPr>
    </w:p>
    <w:p>
      <w:pPr>
        <w:jc w:val="both"/>
        <w:ind w:left="200" w:right="219" w:firstLine="657"/>
        <w:spacing w:after="0" w:line="236" w:lineRule="auto"/>
        <w:tabs>
          <w:tab w:leader="none" w:pos="14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1" w:lineRule="exact"/>
        <w:rPr>
          <w:rFonts w:ascii="Times New Roman" w:cs="Times New Roman" w:eastAsia="Times New Roman" w:hAnsi="Times New Roman"/>
          <w:sz w:val="22"/>
          <w:szCs w:val="22"/>
          <w:color w:val="auto"/>
        </w:rPr>
      </w:pPr>
    </w:p>
    <w:p>
      <w:pPr>
        <w:jc w:val="both"/>
        <w:ind w:left="200" w:right="219" w:firstLine="657"/>
        <w:spacing w:after="0" w:line="246" w:lineRule="auto"/>
        <w:tabs>
          <w:tab w:leader="none" w:pos="149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1" w:name="page82"/>
    <w:bookmarkEnd w:id="81"/>
    <w:p>
      <w:pPr>
        <w:ind w:left="200" w:right="239"/>
        <w:spacing w:after="0" w:line="258" w:lineRule="auto"/>
        <w:rPr>
          <w:sz w:val="20"/>
          <w:szCs w:val="20"/>
          <w:color w:val="auto"/>
        </w:rPr>
      </w:pPr>
      <w:r>
        <w:rPr>
          <w:rFonts w:ascii="Times New Roman" w:cs="Times New Roman" w:eastAsia="Times New Roman" w:hAnsi="Times New Roman"/>
          <w:sz w:val="22"/>
          <w:szCs w:val="22"/>
          <w:color w:val="auto"/>
        </w:rPr>
        <w:t>there is no successor administrator that will continue to provide any Available Tenor of such Benchmark (or such component thereof); or</w:t>
      </w:r>
    </w:p>
    <w:p>
      <w:pPr>
        <w:spacing w:after="0" w:line="158" w:lineRule="exact"/>
        <w:rPr>
          <w:sz w:val="20"/>
          <w:szCs w:val="20"/>
          <w:color w:val="auto"/>
        </w:rPr>
      </w:pPr>
    </w:p>
    <w:p>
      <w:pPr>
        <w:jc w:val="both"/>
        <w:ind w:left="200" w:right="219" w:firstLine="657"/>
        <w:spacing w:after="0" w:line="249" w:lineRule="auto"/>
        <w:tabs>
          <w:tab w:leader="none" w:pos="149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71"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Start Date</w:t>
      </w:r>
      <w:r>
        <w:rPr>
          <w:rFonts w:ascii="Times New Roman" w:cs="Times New Roman" w:eastAsia="Times New Roman" w:hAnsi="Times New Roman"/>
          <w:sz w:val="22"/>
          <w:szCs w:val="22"/>
          <w:color w:val="auto"/>
        </w:rPr>
        <w:t>” means, with respect to any Benchmark, in the case of a Benchmark Transition Event, the earlier of (i) the applicable Benchmark Replacement Date and</w:t>
      </w:r>
    </w:p>
    <w:p>
      <w:pPr>
        <w:spacing w:after="0" w:line="2" w:lineRule="exact"/>
        <w:rPr>
          <w:sz w:val="20"/>
          <w:szCs w:val="20"/>
          <w:color w:val="auto"/>
        </w:rPr>
      </w:pPr>
    </w:p>
    <w:p>
      <w:pPr>
        <w:jc w:val="both"/>
        <w:ind w:left="200" w:right="219" w:firstLine="9"/>
        <w:spacing w:after="0" w:line="234" w:lineRule="auto"/>
        <w:tabs>
          <w:tab w:leader="none" w:pos="54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means, with respect to any then-current Benchmark, the period (if any) (i)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 10.6 and (ii) ending at the time that a Benchmark Replacement has replaced such Benchmark for all purposes hereunder and under any Loan Document in accordance with Section 10.6.</w:t>
      </w:r>
    </w:p>
    <w:p>
      <w:pPr>
        <w:spacing w:after="0" w:line="17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“Beneficial Ownership Certification” </w:t>
      </w:r>
      <w:r>
        <w:rPr>
          <w:rFonts w:ascii="Times New Roman" w:cs="Times New Roman" w:eastAsia="Times New Roman" w:hAnsi="Times New Roman"/>
          <w:sz w:val="22"/>
          <w:szCs w:val="22"/>
          <w:color w:val="auto"/>
        </w:rPr>
        <w:t>means a certification regarding beneficial ownership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required by the Beneficial Ownership Regulation.</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“Beneficial Ownership Regulation” </w:t>
      </w:r>
      <w:r>
        <w:rPr>
          <w:rFonts w:ascii="Times New Roman" w:cs="Times New Roman" w:eastAsia="Times New Roman" w:hAnsi="Times New Roman"/>
          <w:sz w:val="22"/>
          <w:szCs w:val="22"/>
          <w:color w:val="auto"/>
        </w:rPr>
        <w:t>means 31 C.F.R. § 1010.230.</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“Borrower” </w:t>
      </w:r>
      <w:r>
        <w:rPr>
          <w:rFonts w:ascii="Times New Roman" w:cs="Times New Roman" w:eastAsia="Times New Roman" w:hAnsi="Times New Roman"/>
          <w:sz w:val="22"/>
          <w:szCs w:val="22"/>
          <w:color w:val="auto"/>
        </w:rPr>
        <w:t>is defined in the introductory paragraph of this Agreement.</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“Borrowing” </w:t>
      </w:r>
      <w:r>
        <w:rPr>
          <w:rFonts w:ascii="Times New Roman" w:cs="Times New Roman" w:eastAsia="Times New Roman" w:hAnsi="Times New Roman"/>
          <w:sz w:val="22"/>
          <w:szCs w:val="22"/>
          <w:color w:val="auto"/>
        </w:rPr>
        <w:t>means the total of Loans of a single type advanced, continued for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additional Interest Period, or converted from a different type into such type by the Lenders on a single date and, in the case of Term SOFR Rate Loans, for a single Interest Period. Borrowings of Loans are made and maintained ratably from each of the Lenders according to their Applicable Percentages. A Borrowing is </w:t>
      </w:r>
      <w:r>
        <w:rPr>
          <w:rFonts w:ascii="Times New Roman" w:cs="Times New Roman" w:eastAsia="Times New Roman" w:hAnsi="Times New Roman"/>
          <w:sz w:val="22"/>
          <w:szCs w:val="22"/>
          <w:i w:val="1"/>
          <w:iCs w:val="1"/>
          <w:color w:val="auto"/>
        </w:rPr>
        <w:t>“advanced”</w:t>
      </w:r>
      <w:r>
        <w:rPr>
          <w:rFonts w:ascii="Times New Roman" w:cs="Times New Roman" w:eastAsia="Times New Roman" w:hAnsi="Times New Roman"/>
          <w:sz w:val="22"/>
          <w:szCs w:val="22"/>
          <w:color w:val="auto"/>
        </w:rPr>
        <w:t xml:space="preserve"> on the day Lenders advance funds comprising such Borrowing to the Borrower, is </w:t>
      </w:r>
      <w:r>
        <w:rPr>
          <w:rFonts w:ascii="Times New Roman" w:cs="Times New Roman" w:eastAsia="Times New Roman" w:hAnsi="Times New Roman"/>
          <w:sz w:val="22"/>
          <w:szCs w:val="22"/>
          <w:i w:val="1"/>
          <w:iCs w:val="1"/>
          <w:color w:val="auto"/>
        </w:rPr>
        <w:t>“continued”</w:t>
      </w:r>
      <w:r>
        <w:rPr>
          <w:rFonts w:ascii="Times New Roman" w:cs="Times New Roman" w:eastAsia="Times New Roman" w:hAnsi="Times New Roman"/>
          <w:sz w:val="22"/>
          <w:szCs w:val="22"/>
          <w:color w:val="auto"/>
        </w:rPr>
        <w:t xml:space="preserve"> on the date a new Interest Period for the same type of Loans commences for such Borrowing, and is </w:t>
      </w:r>
      <w:r>
        <w:rPr>
          <w:rFonts w:ascii="Times New Roman" w:cs="Times New Roman" w:eastAsia="Times New Roman" w:hAnsi="Times New Roman"/>
          <w:sz w:val="22"/>
          <w:szCs w:val="22"/>
          <w:i w:val="1"/>
          <w:iCs w:val="1"/>
          <w:color w:val="auto"/>
        </w:rPr>
        <w:t>“converted”</w:t>
      </w:r>
      <w:r>
        <w:rPr>
          <w:rFonts w:ascii="Times New Roman" w:cs="Times New Roman" w:eastAsia="Times New Roman" w:hAnsi="Times New Roman"/>
          <w:sz w:val="22"/>
          <w:szCs w:val="22"/>
          <w:color w:val="auto"/>
        </w:rPr>
        <w:t xml:space="preserve"> when such Borrowing is changed from one type of Loans to the other, all as determined pursuant to Section 1.6 hereof.</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“Borrowing Base” </w:t>
      </w:r>
      <w:r>
        <w:rPr>
          <w:rFonts w:ascii="Times New Roman" w:cs="Times New Roman" w:eastAsia="Times New Roman" w:hAnsi="Times New Roman"/>
          <w:sz w:val="22"/>
          <w:szCs w:val="22"/>
          <w:color w:val="auto"/>
        </w:rPr>
        <w:t>means, at any date of its determination, an amount equal to:</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2" w:name="page83"/>
    <w:bookmarkEnd w:id="82"/>
    <w:p>
      <w:pPr>
        <w:ind w:left="2160" w:hanging="655"/>
        <w:spacing w:after="0"/>
        <w:tabs>
          <w:tab w:leader="none" w:pos="216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lesser of (A) (i) (x) during a Leverage Ratio Increase Period, 65% and</w:t>
      </w:r>
    </w:p>
    <w:p>
      <w:pPr>
        <w:spacing w:after="0" w:line="14" w:lineRule="exact"/>
        <w:rPr>
          <w:rFonts w:ascii="Times New Roman" w:cs="Times New Roman" w:eastAsia="Times New Roman" w:hAnsi="Times New Roman"/>
          <w:sz w:val="22"/>
          <w:szCs w:val="22"/>
          <w:color w:val="auto"/>
        </w:rPr>
      </w:pPr>
    </w:p>
    <w:p>
      <w:pPr>
        <w:jc w:val="both"/>
        <w:ind w:left="200" w:right="219" w:firstLine="9"/>
        <w:spacing w:after="0" w:line="258" w:lineRule="auto"/>
        <w:tabs>
          <w:tab w:leader="none" w:pos="50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all other times, 60%,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(ii) the Borrowing Base Value of all Eligible Properties on such date and (B) the Debt Service Coverage Amount of all Eligible Properties on such date, </w:t>
      </w:r>
      <w:r>
        <w:rPr>
          <w:rFonts w:ascii="Times New Roman" w:cs="Times New Roman" w:eastAsia="Times New Roman" w:hAnsi="Times New Roman"/>
          <w:sz w:val="21"/>
          <w:szCs w:val="21"/>
          <w:i w:val="1"/>
          <w:iCs w:val="1"/>
          <w:color w:val="auto"/>
        </w:rPr>
        <w:t>minus</w:t>
      </w:r>
    </w:p>
    <w:p>
      <w:pPr>
        <w:spacing w:after="0" w:line="158"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Other Guaranty Trigger has occurred (but a Collateral Trigger Event has not occurred), the aggregate amount of Other Unsecured Indebtedness including the Convertible Senior Notes.</w:t>
      </w:r>
    </w:p>
    <w:p>
      <w:pPr>
        <w:spacing w:after="0" w:line="16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“Borrowing Base Certificate” </w:t>
      </w:r>
      <w:r>
        <w:rPr>
          <w:rFonts w:ascii="Times New Roman" w:cs="Times New Roman" w:eastAsia="Times New Roman" w:hAnsi="Times New Roman"/>
          <w:sz w:val="22"/>
          <w:szCs w:val="22"/>
          <w:color w:val="auto"/>
        </w:rPr>
        <w:t>means the certificate in the form of Exhibit I hereto, or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other form acceptable to the Administrative Agent, to be delivered to the Administrative Agent pursuant to Sections 7.2(i), 7.3 and 8.5(d) hereof.</w:t>
      </w:r>
    </w:p>
    <w:p>
      <w:pPr>
        <w:spacing w:after="0" w:line="16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“Borrowing Base Determination Date</w:t>
      </w:r>
      <w:r>
        <w:rPr>
          <w:rFonts w:ascii="Times New Roman" w:cs="Times New Roman" w:eastAsia="Times New Roman" w:hAnsi="Times New Roman"/>
          <w:sz w:val="22"/>
          <w:szCs w:val="22"/>
          <w:color w:val="auto"/>
        </w:rPr>
        <w:t>” means each date on which the Borrowing Base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certified in writing to the Administrative Agent, as follows:</w:t>
      </w:r>
    </w:p>
    <w:p>
      <w:pPr>
        <w:spacing w:after="0" w:line="150" w:lineRule="exact"/>
        <w:rPr>
          <w:sz w:val="20"/>
          <w:szCs w:val="20"/>
          <w:color w:val="auto"/>
        </w:rPr>
      </w:pPr>
    </w:p>
    <w:p>
      <w:pPr>
        <w:ind w:left="2160" w:hanging="571"/>
        <w:spacing w:after="0"/>
        <w:tabs>
          <w:tab w:leader="none" w:pos="21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Quarterly</w:t>
      </w:r>
      <w:r>
        <w:rPr>
          <w:rFonts w:ascii="Times New Roman" w:cs="Times New Roman" w:eastAsia="Times New Roman" w:hAnsi="Times New Roman"/>
          <w:sz w:val="22"/>
          <w:szCs w:val="22"/>
          <w:color w:val="auto"/>
        </w:rPr>
        <w:t>. As of the last day of each Fiscal Quarter.</w:t>
      </w:r>
    </w:p>
    <w:p>
      <w:pPr>
        <w:spacing w:after="0" w:line="206" w:lineRule="exact"/>
        <w:rPr>
          <w:rFonts w:ascii="Times New Roman" w:cs="Times New Roman" w:eastAsia="Times New Roman" w:hAnsi="Times New Roman"/>
          <w:sz w:val="22"/>
          <w:szCs w:val="22"/>
          <w:color w:val="auto"/>
        </w:rPr>
      </w:pPr>
    </w:p>
    <w:p>
      <w:pPr>
        <w:ind w:left="860" w:right="219" w:firstLine="717"/>
        <w:spacing w:after="0" w:line="262" w:lineRule="auto"/>
        <w:tabs>
          <w:tab w:leader="none" w:pos="215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Property Adjustments</w:t>
      </w:r>
      <w:r>
        <w:rPr>
          <w:rFonts w:ascii="Times New Roman" w:cs="Times New Roman" w:eastAsia="Times New Roman" w:hAnsi="Times New Roman"/>
          <w:sz w:val="22"/>
          <w:szCs w:val="22"/>
          <w:color w:val="auto"/>
        </w:rPr>
        <w:t>. Following each addition or deletion of an Eligible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the Borrowing Base Value shall be adjusted accordingly.</w:t>
      </w:r>
    </w:p>
    <w:p>
      <w:pPr>
        <w:spacing w:after="0" w:line="150" w:lineRule="exact"/>
        <w:rPr>
          <w:sz w:val="20"/>
          <w:szCs w:val="20"/>
          <w:color w:val="auto"/>
        </w:rPr>
      </w:pPr>
    </w:p>
    <w:p>
      <w:pPr>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“Borrowing Base NOI” </w:t>
      </w:r>
      <w:r>
        <w:rPr>
          <w:rFonts w:ascii="Times New Roman" w:cs="Times New Roman" w:eastAsia="Times New Roman" w:hAnsi="Times New Roman"/>
          <w:sz w:val="22"/>
          <w:szCs w:val="22"/>
          <w:color w:val="auto"/>
        </w:rPr>
        <w:t>means for the most recent Rolling Period, the aggregate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NOI attributable to the Eligible Properties.</w:t>
      </w:r>
    </w:p>
    <w:p>
      <w:pPr>
        <w:spacing w:after="0" w:line="150" w:lineRule="exact"/>
        <w:rPr>
          <w:sz w:val="20"/>
          <w:szCs w:val="20"/>
          <w:color w:val="auto"/>
        </w:rPr>
      </w:pPr>
    </w:p>
    <w:p>
      <w:pPr>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“Borrowing Base Requirements” </w:t>
      </w:r>
      <w:r>
        <w:rPr>
          <w:rFonts w:ascii="Times New Roman" w:cs="Times New Roman" w:eastAsia="Times New Roman" w:hAnsi="Times New Roman"/>
          <w:sz w:val="22"/>
          <w:szCs w:val="22"/>
          <w:color w:val="auto"/>
        </w:rPr>
        <w:t>means with respect to the calculation of the Borrowing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Base, collectively that:</w:t>
      </w:r>
    </w:p>
    <w:p>
      <w:pPr>
        <w:spacing w:after="0" w:line="154" w:lineRule="exact"/>
        <w:rPr>
          <w:sz w:val="20"/>
          <w:szCs w:val="20"/>
          <w:color w:val="auto"/>
        </w:rPr>
      </w:pPr>
    </w:p>
    <w:p>
      <w:pPr>
        <w:ind w:left="860" w:right="239" w:firstLine="729"/>
        <w:spacing w:after="0" w:line="258" w:lineRule="auto"/>
        <w:tabs>
          <w:tab w:leader="none" w:pos="215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such calculation shall be based on no less than fifteen (15) Eligible Properties with a gross leasable area of not less than 25,000 square feet each;</w:t>
      </w:r>
    </w:p>
    <w:p>
      <w:pPr>
        <w:spacing w:after="0" w:line="158"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Base Value shall not be less than $400,000,000;</w:t>
      </w:r>
    </w:p>
    <w:p>
      <w:pPr>
        <w:spacing w:after="0" w:line="206" w:lineRule="exact"/>
        <w:rPr>
          <w:rFonts w:ascii="Times New Roman" w:cs="Times New Roman" w:eastAsia="Times New Roman" w:hAnsi="Times New Roman"/>
          <w:sz w:val="22"/>
          <w:szCs w:val="22"/>
          <w:color w:val="auto"/>
        </w:rPr>
      </w:pPr>
    </w:p>
    <w:p>
      <w:pPr>
        <w:jc w:val="both"/>
        <w:ind w:left="860" w:right="219" w:firstLine="729"/>
        <w:spacing w:after="0" w:line="251" w:lineRule="auto"/>
        <w:tabs>
          <w:tab w:leader="none" w:pos="215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more than 15% of the Borrowing Base Value may be comprised of Eligible Properties which are not retail properties, Retail Mixed-Use Properties or office properties (for the avoidance of doubt, an Eligible Property that exceeds this sublimit may be included in the calculation of Borrowing Base Value,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any amount over 15% of the Borrowing Base Value is excluded from the calculation of the Borrowing Base Value);</w:t>
      </w:r>
    </w:p>
    <w:p>
      <w:pPr>
        <w:spacing w:after="0" w:line="168" w:lineRule="exact"/>
        <w:rPr>
          <w:rFonts w:ascii="Times New Roman" w:cs="Times New Roman" w:eastAsia="Times New Roman" w:hAnsi="Times New Roman"/>
          <w:sz w:val="21"/>
          <w:szCs w:val="21"/>
          <w:color w:val="auto"/>
        </w:rPr>
      </w:pPr>
    </w:p>
    <w:p>
      <w:pPr>
        <w:jc w:val="both"/>
        <w:ind w:left="860" w:right="219" w:firstLine="717"/>
        <w:spacing w:after="0" w:line="238" w:lineRule="auto"/>
        <w:tabs>
          <w:tab w:leader="none" w:pos="215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more than 20% of the Borrowing Base Value may be comprised of any one Eligible Property (for the avoidance of doubt, an Eligible Property that exceeds this sublimit may be included in the calculation of Borrowing Base Value,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any amount over 20% of the Borrowing Base Value is excluded from the calculation of the Borrowing Base Value);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54" w:right="1440" w:bottom="1440" w:gutter="0" w:footer="0" w:header="0"/>
        </w:sectPr>
      </w:pPr>
    </w:p>
    <w:bookmarkStart w:id="83" w:name="page84"/>
    <w:bookmarkEnd w:id="83"/>
    <w:p>
      <w:pPr>
        <w:jc w:val="both"/>
        <w:ind w:left="860" w:right="219" w:firstLine="729"/>
        <w:spacing w:after="0" w:line="247" w:lineRule="auto"/>
        <w:tabs>
          <w:tab w:leader="none" w:pos="215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more than (i) (A) prior to September 30, 2025, 40% and (B) on and after September 30, 2025, 35% of the Borrowing Base Value may be comprised of Eligible Properties which are located in the same Major Target MSA Location and (ii) 25% of the Borrowing Base Value may be comprised of Eligible Properties which are located in the same Non-Major Target MSA Location (for the avoidance of doubt, an Eligible Property that exceeds any of the foregoing sublimits may be included in the calculation of Borrowing Base Value,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any amount over 40%, 35% or 25%, as applicable, of the Borrowing Base Value is excluded from the calculation of the Borrowing Base Value);</w:t>
      </w:r>
    </w:p>
    <w:p>
      <w:pPr>
        <w:spacing w:after="0" w:line="171" w:lineRule="exact"/>
        <w:rPr>
          <w:rFonts w:ascii="Times New Roman" w:cs="Times New Roman" w:eastAsia="Times New Roman" w:hAnsi="Times New Roman"/>
          <w:sz w:val="21"/>
          <w:szCs w:val="21"/>
          <w:color w:val="auto"/>
        </w:rPr>
      </w:pPr>
    </w:p>
    <w:p>
      <w:pPr>
        <w:ind w:left="2160" w:hanging="547"/>
        <w:spacing w:after="0"/>
        <w:tabs>
          <w:tab w:leader="none" w:pos="21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Properties must have a weighted average Occupancy Rate of at</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least 85%; and</w:t>
      </w:r>
    </w:p>
    <w:p>
      <w:pPr>
        <w:spacing w:after="0" w:line="182" w:lineRule="exact"/>
        <w:rPr>
          <w:rFonts w:ascii="Times New Roman" w:cs="Times New Roman" w:eastAsia="Times New Roman" w:hAnsi="Times New Roman"/>
          <w:sz w:val="22"/>
          <w:szCs w:val="22"/>
          <w:color w:val="auto"/>
        </w:rPr>
      </w:pPr>
    </w:p>
    <w:p>
      <w:pPr>
        <w:jc w:val="both"/>
        <w:ind w:left="860" w:right="219" w:firstLine="717"/>
        <w:spacing w:after="0" w:line="238" w:lineRule="auto"/>
        <w:tabs>
          <w:tab w:leader="none" w:pos="21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more than 15% of the Borrowing Base Value may be comprised of Eligible Properties constituting Eligible Leasehold Interests (for the avoidance of doubt, an Eligible Property that exceeds this sublimit may be included in the calculation of Borrowing Base Value,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any amount over 15% of the Borrowing Base Value is excluded from the calculation of the Borrowing Base Value).</w:t>
      </w:r>
    </w:p>
    <w:p>
      <w:pPr>
        <w:spacing w:after="0" w:line="173"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“Borrowing Base Value” </w:t>
      </w:r>
      <w:r>
        <w:rPr>
          <w:rFonts w:ascii="Times New Roman" w:cs="Times New Roman" w:eastAsia="Times New Roman" w:hAnsi="Times New Roman"/>
          <w:sz w:val="21"/>
          <w:szCs w:val="21"/>
          <w:color w:val="auto"/>
        </w:rPr>
        <w:t>means an amount equal to the sum of (a) for all Eligible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Properties owned for more than twelve (12) months, the quotient of (i) the Borrowing Base NOI divided by (ii) the Capitalization Rate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for all Eligible Properties owned for twelve (12) months or less, the undepreciated book value (as defined by GAAP) of any such Eligible Property;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Borrowing Base Value shall be reduced by excluding a portion of the Property NOI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or book value of any Eligible Properties attributable to any Eligible Properties that exceed the concentration limits in the Borrowing Base Requirements;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for any individual Eligible Property, the Borrowing Base Value shall not be less than zero dollars ($0.00).</w:t>
      </w:r>
    </w:p>
    <w:p>
      <w:pPr>
        <w:spacing w:after="0" w:line="172"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“Business Day” </w:t>
      </w:r>
      <w:r>
        <w:rPr>
          <w:rFonts w:ascii="Times New Roman" w:cs="Times New Roman" w:eastAsia="Times New Roman" w:hAnsi="Times New Roman"/>
          <w:sz w:val="21"/>
          <w:szCs w:val="21"/>
          <w:color w:val="auto"/>
        </w:rPr>
        <w:t>means (i) any day other than Saturday, Sunday or any other day on which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commercial banks in Cleveland, Ohio or New York, New York are authorized or required by law to close and (ii) with respect to any matters relating to SOFR Rate Loans, a SOFR Business Day.</w:t>
      </w:r>
    </w:p>
    <w:p>
      <w:pPr>
        <w:spacing w:after="0" w:line="151"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“Capital Expenditures” </w:t>
      </w:r>
      <w:r>
        <w:rPr>
          <w:rFonts w:ascii="Times New Roman" w:cs="Times New Roman" w:eastAsia="Times New Roman" w:hAnsi="Times New Roman"/>
          <w:sz w:val="22"/>
          <w:szCs w:val="22"/>
          <w:color w:val="auto"/>
        </w:rPr>
        <w:t>means, with respect to any Person for any period, the aggregate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spacing w:after="0" w:line="17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“Capital Lease</w:t>
      </w:r>
      <w:r>
        <w:rPr>
          <w:rFonts w:ascii="Times New Roman" w:cs="Times New Roman" w:eastAsia="Times New Roman" w:hAnsi="Times New Roman"/>
          <w:sz w:val="22"/>
          <w:szCs w:val="22"/>
          <w:color w:val="auto"/>
        </w:rPr>
        <w:t>” means any lease of Property which in accordance with GAAP is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be capitalized on the balance sheet of the lessee.</w:t>
      </w:r>
    </w:p>
    <w:p>
      <w:pPr>
        <w:spacing w:after="0" w:line="15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“Capitalization Rate” </w:t>
      </w:r>
      <w:r>
        <w:rPr>
          <w:rFonts w:ascii="Times New Roman" w:cs="Times New Roman" w:eastAsia="Times New Roman" w:hAnsi="Times New Roman"/>
          <w:sz w:val="21"/>
          <w:szCs w:val="21"/>
          <w:color w:val="auto"/>
        </w:rPr>
        <w:t>means (i) 6.25% for existing single-tenant Properties occupied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tenants maintaining a (A) BBB- Rating or better from S&amp;P’s or Fitch, or (B) Baa3 Rating or better from Moody’s, (ii) 6.50% for grocery anchored retail properties, (iii) 7.00% for all other retail and Retail Mixed-Use Properties, (iv) 8.00% for all other Properties not covered under the foregoing clauses (i), (ii) or (iii);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that</w:t>
      </w:r>
      <w:r>
        <w:rPr>
          <w:rFonts w:ascii="Times New Roman" w:cs="Times New Roman" w:eastAsia="Times New Roman" w:hAnsi="Times New Roman"/>
          <w:sz w:val="21"/>
          <w:szCs w:val="21"/>
          <w:color w:val="auto"/>
        </w:rPr>
        <w:t xml:space="preserve"> for all Properties that are subject to Ground Leases,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4" w:name="page85"/>
    <w:bookmarkEnd w:id="84"/>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applicable Capitalization Rate shall be determined as if the Borrower was the owner of the fully-completed building located on such Property.</w:t>
      </w:r>
    </w:p>
    <w:p>
      <w:pPr>
        <w:spacing w:after="0" w:line="15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“Capitalized Lease Obligation” </w:t>
      </w:r>
      <w:r>
        <w:rPr>
          <w:rFonts w:ascii="Times New Roman" w:cs="Times New Roman" w:eastAsia="Times New Roman" w:hAnsi="Times New Roman"/>
          <w:sz w:val="22"/>
          <w:szCs w:val="22"/>
          <w:color w:val="auto"/>
        </w:rPr>
        <w:t>means, for any Person, the amount of the liability shown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the balance sheet of such Person in respect of a Capital Lease determined in accordance with GAAP.</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CBA</w:t>
      </w:r>
      <w:r>
        <w:rPr>
          <w:rFonts w:ascii="Times New Roman" w:cs="Times New Roman" w:eastAsia="Times New Roman" w:hAnsi="Times New Roman"/>
          <w:sz w:val="22"/>
          <w:szCs w:val="22"/>
          <w:color w:val="auto"/>
        </w:rPr>
        <w:t>” means CME Group Benchmark Administration Ltd.</w:t>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“CERCLA” </w:t>
      </w:r>
      <w:r>
        <w:rPr>
          <w:rFonts w:ascii="Times New Roman" w:cs="Times New Roman" w:eastAsia="Times New Roman" w:hAnsi="Times New Roman"/>
          <w:sz w:val="22"/>
          <w:szCs w:val="22"/>
          <w:color w:val="auto"/>
        </w:rPr>
        <w:t>means the Comprehensive Environmental Response, Compensation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Liability Act of 1980, as amended by the Superfund Amendments and Reauthorization Act of 1986, 42 U.S.C.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9601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any future amendments.</w:t>
      </w:r>
    </w:p>
    <w:p>
      <w:pPr>
        <w:spacing w:after="0" w:line="167"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“Change in Law” </w:t>
      </w:r>
      <w:r>
        <w:rPr>
          <w:rFonts w:ascii="Times New Roman" w:cs="Times New Roman" w:eastAsia="Times New Roman" w:hAnsi="Times New Roman"/>
          <w:sz w:val="22"/>
          <w:szCs w:val="22"/>
          <w:color w:val="auto"/>
        </w:rPr>
        <w:t>means the occurrence, after the date of this Agreement, of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2"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i w:val="1"/>
          <w:iCs w:val="1"/>
          <w:color w:val="auto"/>
        </w:rPr>
        <w:t xml:space="preserve">“Change of Control” </w:t>
      </w:r>
      <w:r>
        <w:rPr>
          <w:rFonts w:ascii="Times New Roman" w:cs="Times New Roman" w:eastAsia="Times New Roman" w:hAnsi="Times New Roman"/>
          <w:sz w:val="21"/>
          <w:szCs w:val="21"/>
          <w:color w:val="auto"/>
        </w:rPr>
        <w:t>means any of (a) the acquisition by any</w:t>
      </w:r>
      <w:r>
        <w:rPr>
          <w:rFonts w:ascii="Times New Roman" w:cs="Times New Roman" w:eastAsia="Times New Roman" w:hAnsi="Times New Roman"/>
          <w:sz w:val="21"/>
          <w:szCs w:val="21"/>
          <w:i w:val="1"/>
          <w:iCs w:val="1"/>
          <w:color w:val="auto"/>
        </w:rPr>
        <w:t xml:space="preserve"> “person”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“group” </w:t>
      </w:r>
      <w:r>
        <w:rPr>
          <w:rFonts w:ascii="Times New Roman" w:cs="Times New Roman" w:eastAsia="Times New Roman" w:hAnsi="Times New Roman"/>
          <w:sz w:val="21"/>
          <w:szCs w:val="21"/>
          <w:color w:val="auto"/>
        </w:rPr>
        <w:t>(as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such terms are used in sections 13(d) and 14(d) of the Securities Exchange Act of 1934, as amended) at any time that causes such person or group to become the </w:t>
      </w:r>
      <w:r>
        <w:rPr>
          <w:rFonts w:ascii="Times New Roman" w:cs="Times New Roman" w:eastAsia="Times New Roman" w:hAnsi="Times New Roman"/>
          <w:sz w:val="21"/>
          <w:szCs w:val="21"/>
          <w:i w:val="1"/>
          <w:iCs w:val="1"/>
          <w:color w:val="auto"/>
        </w:rPr>
        <w:t>“beneficial owner”</w:t>
      </w:r>
      <w:r>
        <w:rPr>
          <w:rFonts w:ascii="Times New Roman" w:cs="Times New Roman" w:eastAsia="Times New Roman" w:hAnsi="Times New Roman"/>
          <w:sz w:val="21"/>
          <w:szCs w:val="21"/>
          <w:color w:val="auto"/>
        </w:rPr>
        <w:t xml:space="preserve"> (as defined in Rules 13d-3 and 13d-5 under the Securities Exchange Act of 1934, as amended) of 51% or more of the outstanding capital stock or other equity interests of the Borrower on a fully-diluted basis, other than acquisitions of such interests by any party who is an officer or director of the Borrower as of the Closing Date or (b) the failure of individuals who are members of the board of directors (or similar governing body) of the Borrower on the Closing Date (together with any new or replacement directors whose initial nomination for election was approved by a majority of the directors who were either directors on the Closing Date or previously so approved) to constitute a majority of the board of directors (or similar governing body) of the Borrower.</w:t>
      </w:r>
    </w:p>
    <w:p>
      <w:pPr>
        <w:spacing w:after="0" w:line="17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“Closing Date” </w:t>
      </w:r>
      <w:r>
        <w:rPr>
          <w:rFonts w:ascii="Times New Roman" w:cs="Times New Roman" w:eastAsia="Times New Roman" w:hAnsi="Times New Roman"/>
          <w:sz w:val="22"/>
          <w:szCs w:val="22"/>
          <w:color w:val="auto"/>
        </w:rPr>
        <w:t>means the date of this Agreement or such later Business Day upon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condition described in Section 7.2 shall be satisfied or waived in a manner acceptable to the Administrative Agent in its discretion.</w:t>
      </w:r>
    </w:p>
    <w:p>
      <w:pPr>
        <w:spacing w:after="0" w:line="16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and any successor statute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thereto.</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“Collateral Account” </w:t>
      </w:r>
      <w:r>
        <w:rPr>
          <w:rFonts w:ascii="Times New Roman" w:cs="Times New Roman" w:eastAsia="Times New Roman" w:hAnsi="Times New Roman"/>
          <w:sz w:val="22"/>
          <w:szCs w:val="22"/>
          <w:color w:val="auto"/>
        </w:rPr>
        <w:t>is defined in Section 9.4(b) hereof.</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i w:val="1"/>
          <w:i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5" w:name="page86"/>
    <w:bookmarkEnd w:id="85"/>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Documents</w:t>
      </w:r>
      <w:r>
        <w:rPr>
          <w:rFonts w:ascii="Times New Roman" w:cs="Times New Roman" w:eastAsia="Times New Roman" w:hAnsi="Times New Roman"/>
          <w:sz w:val="22"/>
          <w:szCs w:val="22"/>
          <w:color w:val="auto"/>
        </w:rPr>
        <w:t>” means the Mortgages, if any, and any other security agreement, pledge agreement or other security document that shall be executed by the Borrower or the Guarantors in favor of the Administrative Agent and the Lenders pursuant to Section 8.24(c) hereunder, as the same may be amended, modified, supplemented or restated from time to time.</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“Collateral Trigger Event” </w:t>
      </w:r>
      <w:r>
        <w:rPr>
          <w:rFonts w:ascii="Times New Roman" w:cs="Times New Roman" w:eastAsia="Times New Roman" w:hAnsi="Times New Roman"/>
          <w:sz w:val="22"/>
          <w:szCs w:val="22"/>
          <w:color w:val="auto"/>
        </w:rPr>
        <w:t>is defined in Section 8.24(b) hereof.</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w:t>
      </w:r>
      <w:r>
        <w:rPr>
          <w:rFonts w:ascii="Times New Roman" w:cs="Times New Roman" w:eastAsia="Times New Roman" w:hAnsi="Times New Roman"/>
          <w:sz w:val="22"/>
          <w:szCs w:val="22"/>
          <w:color w:val="auto"/>
        </w:rPr>
        <w:t>” means a 2029 Term Loan Commitment, an Incremental Revolving Commitment, or an Incremental Term Loan Commitment, as the context may require.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Amount Increase</w:t>
      </w:r>
      <w:r>
        <w:rPr>
          <w:rFonts w:ascii="Times New Roman" w:cs="Times New Roman" w:eastAsia="Times New Roman" w:hAnsi="Times New Roman"/>
          <w:sz w:val="22"/>
          <w:szCs w:val="22"/>
          <w:color w:val="auto"/>
        </w:rPr>
        <w:t>” has the meaning assigned to such term in Section 1.15.</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Increase</w:t>
      </w:r>
      <w:r>
        <w:rPr>
          <w:rFonts w:ascii="Times New Roman" w:cs="Times New Roman" w:eastAsia="Times New Roman" w:hAnsi="Times New Roman"/>
          <w:sz w:val="22"/>
          <w:szCs w:val="22"/>
          <w:color w:val="auto"/>
        </w:rPr>
        <w:t>” has the meaning assigned to such term in Section 1.15.</w:t>
      </w:r>
    </w:p>
    <w:p>
      <w:pPr>
        <w:spacing w:after="0" w:line="206"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Exchange Act</w:t>
      </w:r>
      <w:r>
        <w:rPr>
          <w:rFonts w:ascii="Times New Roman" w:cs="Times New Roman" w:eastAsia="Times New Roman" w:hAnsi="Times New Roman"/>
          <w:sz w:val="22"/>
          <w:szCs w:val="22"/>
          <w:color w:val="auto"/>
        </w:rPr>
        <w:t>” means the Commodity Exchange Act (7 U.S.C. § 1 et seq.), as amended from time to time, and any successor statute.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“Compliance Certificate” </w:t>
      </w:r>
      <w:r>
        <w:rPr>
          <w:rFonts w:ascii="Times New Roman" w:cs="Times New Roman" w:eastAsia="Times New Roman" w:hAnsi="Times New Roman"/>
          <w:sz w:val="22"/>
          <w:szCs w:val="22"/>
          <w:color w:val="auto"/>
        </w:rPr>
        <w:t>is defined in Section 8.5(e) hereof.</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Conforming Changes</w:t>
      </w:r>
      <w:r>
        <w:rPr>
          <w:rFonts w:ascii="Times New Roman" w:cs="Times New Roman" w:eastAsia="Times New Roman" w:hAnsi="Times New Roman"/>
          <w:sz w:val="21"/>
          <w:szCs w:val="21"/>
          <w:color w:val="auto"/>
        </w:rPr>
        <w:t>” means, with respect to either the use or administration of Daily Simple SOFR or Term SOFR, or the use, administration, adoption or implementation of any Benchmark Replacement, any technical, administrative or operational changes (including changes to the definition of “Base Rate,” the definition of “Business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1.11 and other technical, administrative or operational matters) that the Administrative Agent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76"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“Connection Income Taxes” </w:t>
      </w:r>
      <w:r>
        <w:rPr>
          <w:rFonts w:ascii="Times New Roman" w:cs="Times New Roman" w:eastAsia="Times New Roman" w:hAnsi="Times New Roman"/>
          <w:sz w:val="21"/>
          <w:szCs w:val="21"/>
          <w:color w:val="auto"/>
        </w:rPr>
        <w:t>means Other Connection Taxes that are imposed on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measured by net income (however denominated) or that are franchise Taxes or branch profit Taxes.</w:t>
      </w:r>
    </w:p>
    <w:p>
      <w:pPr>
        <w:spacing w:after="0" w:line="12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“Controlled Group” </w:t>
      </w:r>
      <w:r>
        <w:rPr>
          <w:rFonts w:ascii="Times New Roman" w:cs="Times New Roman" w:eastAsia="Times New Roman" w:hAnsi="Times New Roman"/>
          <w:sz w:val="22"/>
          <w:szCs w:val="22"/>
          <w:color w:val="auto"/>
        </w:rPr>
        <w:t>means all members of a controlled group of corporations and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trades or businesses (whether or not incorporated) under common control which, together with the Borrower, are treated as a single employer under Section 414 of the Code.</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“Convertible Senior Notes” </w:t>
      </w:r>
      <w:r>
        <w:rPr>
          <w:rFonts w:ascii="Times New Roman" w:cs="Times New Roman" w:eastAsia="Times New Roman" w:hAnsi="Times New Roman"/>
          <w:sz w:val="22"/>
          <w:szCs w:val="22"/>
          <w:color w:val="auto"/>
        </w:rPr>
        <w:t>means the Borrower’s 3.875% Convertible Senior Notes due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2025.</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Entity</w:t>
      </w:r>
      <w:r>
        <w:rPr>
          <w:rFonts w:ascii="Times New Roman" w:cs="Times New Roman" w:eastAsia="Times New Roman" w:hAnsi="Times New Roman"/>
          <w:sz w:val="22"/>
          <w:szCs w:val="22"/>
          <w:color w:val="auto"/>
        </w:rPr>
        <w:t>” has the meaning specified in Section 12.29.</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i w:val="1"/>
          <w:i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86" w:name="page87"/>
    <w:bookmarkEnd w:id="86"/>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i w:val="1"/>
          <w:iCs w:val="1"/>
          <w:color w:val="auto"/>
        </w:rPr>
        <w:t>SOFR Rate Day</w:t>
      </w:r>
      <w:r>
        <w:rPr>
          <w:rFonts w:ascii="Times New Roman" w:cs="Times New Roman" w:eastAsia="Times New Roman" w:hAnsi="Times New Roman"/>
          <w:sz w:val="22"/>
          <w:szCs w:val="22"/>
          <w:color w:val="auto"/>
        </w:rPr>
        <w:t>”), a rate per annum equal to SOFR for the day (such day, the “</w:t>
      </w:r>
      <w:r>
        <w:rPr>
          <w:rFonts w:ascii="Times New Roman" w:cs="Times New Roman" w:eastAsia="Times New Roman" w:hAnsi="Times New Roman"/>
          <w:sz w:val="22"/>
          <w:szCs w:val="22"/>
          <w:i w:val="1"/>
          <w:iCs w:val="1"/>
          <w:color w:val="auto"/>
        </w:rPr>
        <w:t>SOFR Determination Day</w:t>
      </w:r>
      <w:r>
        <w:rPr>
          <w:rFonts w:ascii="Times New Roman" w:cs="Times New Roman" w:eastAsia="Times New Roman" w:hAnsi="Times New Roman"/>
          <w:sz w:val="22"/>
          <w:szCs w:val="22"/>
          <w:color w:val="auto"/>
        </w:rPr>
        <w:t>”) that is five (5) SOFR Business Days prior to (i) if such SOFR Rate Day is a SOFR Business Day, such SOFR Rate Day or (ii) if such SOFR Rate Day is not a SOFR Business Day, the SOFR Business Day immediately preceding such SOFR Rate Day, in each case, as and when SOFR for such SOFR Rate Day is published by the SOFR Administrator on the SOFR Administrator’s Website. If by 5:00 pm (New York City time) on the second (2nd) SOFR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SOFR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7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Daily Simple SOFR Rate Loan</w:t>
      </w:r>
      <w:r>
        <w:rPr>
          <w:rFonts w:ascii="Times New Roman" w:cs="Times New Roman" w:eastAsia="Times New Roman" w:hAnsi="Times New Roman"/>
          <w:sz w:val="22"/>
          <w:szCs w:val="22"/>
          <w:color w:val="auto"/>
        </w:rPr>
        <w:t>” means a Loan bearing interest at a rate based on Adjusted Daily Simple SOFR.</w:t>
      </w:r>
    </w:p>
    <w:p>
      <w:pPr>
        <w:spacing w:after="0" w:line="15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“Debt Service Coverage Amount” </w:t>
      </w:r>
      <w:r>
        <w:rPr>
          <w:rFonts w:ascii="Times New Roman" w:cs="Times New Roman" w:eastAsia="Times New Roman" w:hAnsi="Times New Roman"/>
          <w:sz w:val="21"/>
          <w:szCs w:val="21"/>
          <w:color w:val="auto"/>
        </w:rPr>
        <w:t>means the principal amount of a loan that would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serviced by the Borrowing Base NOI for the Rolling Period most recently ended for which financial statements have been delivered pursuant to Section 8.5 hereof at a debt service coverage ratio of 1.40 to 1.00 with interest and principal payments (in each case assuming a 30-year amortization) at the greatest of (i) 5.75% per annum, (ii) a Term SOFR Rate Loan with an Interest Period of one (1) month (including the Applicable Margin) as of the last day of the most recent fiscal quarter and (iii) the 10-year treasury rate on the last day of such period plus 2.5%;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Borrowing Base NOI shall be reduced by excluding a portion of Property NOI attributable to Eligible Properties that exceed the concentration limits in the Borrowing Base Requirements.</w:t>
      </w:r>
    </w:p>
    <w:p>
      <w:pPr>
        <w:spacing w:after="0" w:line="16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“Debtor Relief Laws” </w:t>
      </w:r>
      <w:r>
        <w:rPr>
          <w:rFonts w:ascii="Times New Roman" w:cs="Times New Roman" w:eastAsia="Times New Roman" w:hAnsi="Times New Roman"/>
          <w:sz w:val="22"/>
          <w:szCs w:val="22"/>
          <w:color w:val="auto"/>
        </w:rPr>
        <w:t>means the Bankruptcy Code of the United States of America, and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means any event or condition the occurrence of which would, with the passage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time or the giving of notice, or both, constitute an Event of Default.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“Defaulted Loan” </w:t>
      </w:r>
      <w:r>
        <w:rPr>
          <w:rFonts w:ascii="Times New Roman" w:cs="Times New Roman" w:eastAsia="Times New Roman" w:hAnsi="Times New Roman"/>
          <w:sz w:val="22"/>
          <w:szCs w:val="22"/>
          <w:color w:val="auto"/>
        </w:rPr>
        <w:t>is defined in the definition of</w:t>
      </w:r>
      <w:r>
        <w:rPr>
          <w:rFonts w:ascii="Times New Roman" w:cs="Times New Roman" w:eastAsia="Times New Roman" w:hAnsi="Times New Roman"/>
          <w:sz w:val="22"/>
          <w:szCs w:val="22"/>
          <w:i w:val="1"/>
          <w:iCs w:val="1"/>
          <w:color w:val="auto"/>
        </w:rPr>
        <w:t xml:space="preserve"> “Defaulting Lender” </w:t>
      </w:r>
      <w:r>
        <w:rPr>
          <w:rFonts w:ascii="Times New Roman" w:cs="Times New Roman" w:eastAsia="Times New Roman" w:hAnsi="Times New Roman"/>
          <w:sz w:val="22"/>
          <w:szCs w:val="22"/>
          <w:color w:val="auto"/>
        </w:rPr>
        <w:t>in this Section 5.1.</w:t>
      </w:r>
    </w:p>
    <w:p>
      <w:pPr>
        <w:spacing w:after="0" w:line="206"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“Defaulting Lender” </w:t>
      </w:r>
      <w:r>
        <w:rPr>
          <w:rFonts w:ascii="Times New Roman" w:cs="Times New Roman" w:eastAsia="Times New Roman" w:hAnsi="Times New Roman"/>
          <w:sz w:val="21"/>
          <w:szCs w:val="21"/>
          <w:color w:val="auto"/>
        </w:rPr>
        <w:t>means any Lender that (a) has failed to fund any portion of the Loans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required to be funded by it hereunder (herein, a </w:t>
      </w:r>
      <w:r>
        <w:rPr>
          <w:rFonts w:ascii="Times New Roman" w:cs="Times New Roman" w:eastAsia="Times New Roman" w:hAnsi="Times New Roman"/>
          <w:sz w:val="21"/>
          <w:szCs w:val="21"/>
          <w:i w:val="1"/>
          <w:iCs w:val="1"/>
          <w:color w:val="auto"/>
        </w:rPr>
        <w:t>“Defaulted Loan”</w:t>
      </w:r>
      <w:r>
        <w:rPr>
          <w:rFonts w:ascii="Times New Roman" w:cs="Times New Roman" w:eastAsia="Times New Roman" w:hAnsi="Times New Roman"/>
          <w:sz w:val="21"/>
          <w:szCs w:val="21"/>
          <w:color w:val="auto"/>
        </w:rPr>
        <w:t>) within two (2) Business Days of the date required to be funded by it hereunder unless such failure has been cured, (b) has otherwise failed to pay over to the Administrative Agent or any other Lender any other amount required to be paid by it hereunder (except for up to $25,000 in the aggregate from a Lender which is owing for less than five (5) Business Days) within two (2) Business Days of the date when due, unless the subject of a good faith dispute or unless such failure has been cured, (c) has experienced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87" w:name="page88"/>
    <w:bookmarkEnd w:id="8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a Bankruptcy Event or (d) a receiver or conservator has been appointed for such Lender or (e) has become the subject of a Bail-In Action.</w:t>
      </w:r>
    </w:p>
    <w:p>
      <w:pPr>
        <w:spacing w:after="0" w:line="154"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“Defaulting Lender Excess” </w:t>
      </w:r>
      <w:r>
        <w:rPr>
          <w:rFonts w:ascii="Times New Roman" w:cs="Times New Roman" w:eastAsia="Times New Roman" w:hAnsi="Times New Roman"/>
          <w:sz w:val="22"/>
          <w:szCs w:val="22"/>
          <w:color w:val="auto"/>
        </w:rPr>
        <w:t>means, with respect to any Defaulting Lender, the excess,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of such Defaulting Lender’s Applicable Percentage of the aggregate outstanding principal amount of Loans of all Lenders (calculated as if all Defaulting Lenders other than such Defaulting Lender had funded all of their respective Defaulted Loans) over the aggregate outstanding principal amount of all Loans of such Defaulting Lender.</w:t>
      </w:r>
    </w:p>
    <w:p>
      <w:pPr>
        <w:spacing w:after="0" w:line="17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“Defaulting Lender Period” </w:t>
      </w:r>
      <w:r>
        <w:rPr>
          <w:rFonts w:ascii="Times New Roman" w:cs="Times New Roman" w:eastAsia="Times New Roman" w:hAnsi="Times New Roman"/>
          <w:sz w:val="21"/>
          <w:szCs w:val="21"/>
          <w:color w:val="auto"/>
        </w:rPr>
        <w:t>means, with respect to any Defaulting Lender, the period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commencing on the date upon which such Lender first became a Defaulting Lender and ending on the earliest of the following dates: the date on which (a) such Defaulting Lender is no longer the subject of a Bankruptcy Event or, if applicable, under the direction of a receiver or conservator,</w:t>
      </w:r>
    </w:p>
    <w:p>
      <w:pPr>
        <w:spacing w:after="0" w:line="2" w:lineRule="exact"/>
        <w:rPr>
          <w:sz w:val="20"/>
          <w:szCs w:val="20"/>
          <w:color w:val="auto"/>
        </w:rPr>
      </w:pPr>
    </w:p>
    <w:p>
      <w:pPr>
        <w:jc w:val="both"/>
        <w:ind w:left="200" w:right="219" w:firstLine="9"/>
        <w:spacing w:after="0" w:line="233" w:lineRule="auto"/>
        <w:tabs>
          <w:tab w:leader="none" w:pos="5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Defaulting Lender Excess with respect to such Defaulting Lender shall have been reduced to zero (whether by the funding by such Defaulting Lender of any Defaulted Loans of such Defaulting Lender or otherwise), and (c) such Defaulting Lender shall have delivered to the Borrower and the Administrative Agent a written reaffirmation of its intention to honor its obligations hereunder.</w:t>
      </w:r>
    </w:p>
    <w:p>
      <w:pPr>
        <w:spacing w:after="0" w:line="17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“Dividends</w:t>
      </w:r>
      <w:r>
        <w:rPr>
          <w:rFonts w:ascii="Times New Roman" w:cs="Times New Roman" w:eastAsia="Times New Roman" w:hAnsi="Times New Roman"/>
          <w:sz w:val="22"/>
          <w:szCs w:val="22"/>
          <w:color w:val="auto"/>
        </w:rPr>
        <w:t>” means any dividend paid (or declared and then payable), as the case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cash on any equity security issued by the Borrower.</w:t>
      </w:r>
    </w:p>
    <w:p>
      <w:pPr>
        <w:spacing w:after="0" w:line="15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Division</w:t>
      </w:r>
      <w:r>
        <w:rPr>
          <w:rFonts w:ascii="Times New Roman" w:cs="Times New Roman" w:eastAsia="Times New Roman" w:hAnsi="Times New Roman"/>
          <w:sz w:val="22"/>
          <w:szCs w:val="22"/>
          <w:color w:val="auto"/>
        </w:rPr>
        <w:t>” means the division of the assets, liabilities and/or obligations of a Person (the “</w:t>
      </w:r>
      <w:r>
        <w:rPr>
          <w:rFonts w:ascii="Times New Roman" w:cs="Times New Roman" w:eastAsia="Times New Roman" w:hAnsi="Times New Roman"/>
          <w:sz w:val="22"/>
          <w:szCs w:val="22"/>
          <w:i w:val="1"/>
          <w:iCs w:val="1"/>
          <w:color w:val="auto"/>
        </w:rPr>
        <w:t>Dividing Person</w:t>
      </w:r>
      <w:r>
        <w:rPr>
          <w:rFonts w:ascii="Times New Roman" w:cs="Times New Roman" w:eastAsia="Times New Roman" w:hAnsi="Times New Roman"/>
          <w:sz w:val="22"/>
          <w:szCs w:val="22"/>
          <w:color w:val="auto"/>
        </w:rPr>
        <w:t>”)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spacing w:after="0" w:line="177"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“EBITDA” </w:t>
      </w:r>
      <w:r>
        <w:rPr>
          <w:rFonts w:ascii="Times New Roman" w:cs="Times New Roman" w:eastAsia="Times New Roman" w:hAnsi="Times New Roman"/>
          <w:sz w:val="21"/>
          <w:szCs w:val="21"/>
          <w:color w:val="auto"/>
        </w:rPr>
        <w:t>means, for any period, determined on a consolidated basis of the Borrower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its Subsidiaries, in accordance with GAAP, the sum of net income (or loss)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(i) depreciation and amortization expense, to the extent included as an expense in the calculation of net income (or loss); (ii) Interest Expense; (iii) income tax expense, to the extent included as an expense in the calculation of net income (or loss); (iv) extraordinary, unrealized or non-recurring losses, including</w:t>
      </w:r>
    </w:p>
    <w:p>
      <w:pPr>
        <w:jc w:val="both"/>
        <w:ind w:left="200" w:right="219" w:firstLine="9"/>
        <w:spacing w:after="0" w:line="244" w:lineRule="auto"/>
        <w:tabs>
          <w:tab w:leader="none" w:pos="63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impairment charges and (B) losses from the sale of real property, and (v) non-cash compensation paid to employees of the Borrower in the form of the Borrower’s equity securities,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(a) extraordinary, unrealized or non-recurring gains, including (x) the write-up or write-offs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assets and (y) gains (or losses) from the sale of real property, (b) income tax benefits, (c) stock-based compensation and (d) other non-cash items as mutually agreed upon by the Borrower and Administrative Agent. The Borrower’s Ownership Share of the EBITDA of its Unconsolidated Affiliates will be included when determining EBITDA of the Borrower and its Subsidiaries.</w:t>
      </w:r>
    </w:p>
    <w:p>
      <w:pPr>
        <w:spacing w:after="0" w:line="170"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“EEA Financial Institution” </w:t>
      </w:r>
      <w:r>
        <w:rPr>
          <w:rFonts w:ascii="Times New Roman" w:cs="Times New Roman" w:eastAsia="Times New Roman" w:hAnsi="Times New Roman"/>
          <w:sz w:val="22"/>
          <w:szCs w:val="22"/>
          <w:color w:val="auto"/>
        </w:rPr>
        <w:t>means (a) any institution established in any EEA Member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Country which is subject to the supervision of an applicable Resolution Authority, (b) any entity established in an EEA Member Country which is a parent of an institution described in clause (a) of this definition, or (c) any institution established in an EEA Member Country which is a</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8" w:name="page89"/>
    <w:bookmarkEnd w:id="88"/>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subsidiary of an institution described in clauses (a) or (b) of this definition and is subject to consolidated supervision with its parent.</w:t>
      </w:r>
    </w:p>
    <w:p>
      <w:pPr>
        <w:spacing w:after="0" w:line="15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“EEA Member Country” </w:t>
      </w:r>
      <w:r>
        <w:rPr>
          <w:rFonts w:ascii="Times New Roman" w:cs="Times New Roman" w:eastAsia="Times New Roman" w:hAnsi="Times New Roman"/>
          <w:sz w:val="22"/>
          <w:szCs w:val="22"/>
          <w:color w:val="auto"/>
        </w:rPr>
        <w:t>means any of the member states of the European Union, Iceland,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Liechtenstein, and Norway.</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“EEA Resolution Authority” </w:t>
      </w:r>
      <w:r>
        <w:rPr>
          <w:rFonts w:ascii="Times New Roman" w:cs="Times New Roman" w:eastAsia="Times New Roman" w:hAnsi="Times New Roman"/>
          <w:sz w:val="22"/>
          <w:szCs w:val="22"/>
          <w:color w:val="auto"/>
        </w:rPr>
        <w:t>means any public administrative authority or any person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entrusted with public administrative authority of any EEA Member Country (including any delegee) having responsibility for the resolution of any EEA Financial Institution.</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Electronic Copy</w:t>
      </w:r>
      <w:r>
        <w:rPr>
          <w:rFonts w:ascii="Times New Roman" w:cs="Times New Roman" w:eastAsia="Times New Roman" w:hAnsi="Times New Roman"/>
          <w:sz w:val="22"/>
          <w:szCs w:val="22"/>
          <w:color w:val="auto"/>
        </w:rPr>
        <w:t>” has the meaning specified in Section 8.23.</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Electronic Record</w:t>
      </w:r>
      <w:r>
        <w:rPr>
          <w:rFonts w:ascii="Times New Roman" w:cs="Times New Roman" w:eastAsia="Times New Roman" w:hAnsi="Times New Roman"/>
          <w:sz w:val="22"/>
          <w:szCs w:val="22"/>
          <w:color w:val="auto"/>
        </w:rPr>
        <w:t>” has the meaning specified in Section 8.23</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Electronic Signature</w:t>
      </w:r>
      <w:r>
        <w:rPr>
          <w:rFonts w:ascii="Times New Roman" w:cs="Times New Roman" w:eastAsia="Times New Roman" w:hAnsi="Times New Roman"/>
          <w:sz w:val="22"/>
          <w:szCs w:val="22"/>
          <w:color w:val="auto"/>
        </w:rPr>
        <w:t>” has the meaning specified in Section 8.23.</w:t>
      </w:r>
    </w:p>
    <w:p>
      <w:pPr>
        <w:spacing w:after="0" w:line="206"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“Eligible Assignee” </w:t>
      </w:r>
      <w:r>
        <w:rPr>
          <w:rFonts w:ascii="Times New Roman" w:cs="Times New Roman" w:eastAsia="Times New Roman" w:hAnsi="Times New Roman"/>
          <w:sz w:val="22"/>
          <w:szCs w:val="22"/>
          <w:color w:val="auto"/>
        </w:rPr>
        <w:t>means (a) a Lender, (b) an Affiliate of a Lender, (c) an Approved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Fund, and (d) any other Person (other than a natural person) approved by (i) the Administrative Agent, and (ii) unless an Event of Default has occurred and is continuing, the Borrower (each such approval not to be unreasonably withheld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“Eligible Assignee” shall not include the Borrower or any Guarantor or any of the Borrower’s or such Guarantor’s Affiliates or Subsidiaries.</w:t>
      </w:r>
    </w:p>
    <w:p>
      <w:pPr>
        <w:spacing w:after="0" w:line="175"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“Eligible Leasehold Interest” </w:t>
      </w:r>
      <w:r>
        <w:rPr>
          <w:rFonts w:ascii="Times New Roman" w:cs="Times New Roman" w:eastAsia="Times New Roman" w:hAnsi="Times New Roman"/>
          <w:sz w:val="22"/>
          <w:szCs w:val="22"/>
          <w:color w:val="auto"/>
        </w:rPr>
        <w:t>means a leasehold interest where the Borrower or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is the lessee thereunder containing (a) the following terms and conditions: (i) a remaining term (inclusive of any unexercised extension options exercisable at lessee’s sole option) of thirty (30) years or more from the Closing Date or, with respect to any applicable Eligible Leasehold Interests, as previously approved by the Lenders prior to the Closing Date; (ii) the right of the lessee to mortgage and encumber its interest in the leased property without the consent of the lessor; (iii)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 and fails to do so; (iv) transferability and/or assignment of the lessee’s interest under such lease, including the ability to sublease, without consent; (v) such other rights customarily required by mortgagees making a loan secured by the interest of the holder of the leasehold estate demised pursuant to a ground lease; and (vi) in the event that such lease is terminated, such holder shall have the option to enter into a new lease having terms substantially identical to those contained in the terminated lease; or (b) terms and conditions otherwise reasonably acceptable to the Administrative Agent.</w:t>
      </w:r>
    </w:p>
    <w:p>
      <w:pPr>
        <w:spacing w:after="0" w:line="17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“Eligible Property” </w:t>
      </w:r>
      <w:r>
        <w:rPr>
          <w:rFonts w:ascii="Times New Roman" w:cs="Times New Roman" w:eastAsia="Times New Roman" w:hAnsi="Times New Roman"/>
          <w:sz w:val="22"/>
          <w:szCs w:val="22"/>
          <w:color w:val="auto"/>
        </w:rPr>
        <w:t>means, as of any Borrowing Base Determination Date, any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owned by the Borrower, a Guarantor or a 1031 Property Holder which satisfies the following conditions:</w:t>
      </w:r>
    </w:p>
    <w:p>
      <w:pPr>
        <w:spacing w:after="0" w:line="171" w:lineRule="exact"/>
        <w:rPr>
          <w:sz w:val="20"/>
          <w:szCs w:val="20"/>
          <w:color w:val="auto"/>
        </w:rPr>
      </w:pPr>
    </w:p>
    <w:p>
      <w:pPr>
        <w:jc w:val="both"/>
        <w:ind w:left="860" w:right="219" w:firstLine="729"/>
        <w:spacing w:after="0" w:line="244" w:lineRule="auto"/>
        <w:tabs>
          <w:tab w:leader="none" w:pos="21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real property one hundred percent (100%) owned in fee simple, individually or collectively, by the Borrower, any Guarantor or any 1031 Property Holder, or is leased pursuant to an Eligible Leasehold Interest;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9" w:name="page90"/>
    <w:bookmarkEnd w:id="89"/>
    <w:p>
      <w:pPr>
        <w:ind w:left="2160" w:hanging="583"/>
        <w:spacing w:after="0"/>
        <w:tabs>
          <w:tab w:leader="none" w:pos="21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Property located in the contiguous United States;</w:t>
      </w:r>
    </w:p>
    <w:p>
      <w:pPr>
        <w:spacing w:after="0" w:line="206" w:lineRule="exact"/>
        <w:rPr>
          <w:rFonts w:ascii="Times New Roman" w:cs="Times New Roman" w:eastAsia="Times New Roman" w:hAnsi="Times New Roman"/>
          <w:sz w:val="22"/>
          <w:szCs w:val="22"/>
          <w:color w:val="auto"/>
        </w:rPr>
      </w:pPr>
    </w:p>
    <w:p>
      <w:pPr>
        <w:jc w:val="both"/>
        <w:ind w:left="940" w:right="219" w:firstLine="649"/>
        <w:spacing w:after="0" w:line="235" w:lineRule="auto"/>
        <w:tabs>
          <w:tab w:leader="none" w:pos="21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Property is owned by the Borrower, (i) neither the Borrower’s beneficial ownership interest in such Property nor the Property is subject to any Lien (other than Permitted Liens or Liens in favor of the Administrative Agent) or to any negative pledge and (ii) the Borrower has the unilateral right (including the absence of any restrictions in an Eligible Leasehold Interest) to sell, transfer or otherwise dispose of such Property and to create a Lien on such Property as security for Indebtedness for Borrowed Money;</w:t>
      </w:r>
    </w:p>
    <w:p>
      <w:pPr>
        <w:spacing w:after="0" w:line="183" w:lineRule="exact"/>
        <w:rPr>
          <w:rFonts w:ascii="Times New Roman" w:cs="Times New Roman" w:eastAsia="Times New Roman" w:hAnsi="Times New Roman"/>
          <w:sz w:val="22"/>
          <w:szCs w:val="22"/>
          <w:color w:val="auto"/>
        </w:rPr>
      </w:pPr>
    </w:p>
    <w:p>
      <w:pPr>
        <w:jc w:val="both"/>
        <w:ind w:left="860" w:right="219" w:firstLine="717"/>
        <w:spacing w:after="0" w:line="234" w:lineRule="auto"/>
        <w:tabs>
          <w:tab w:leader="none" w:pos="215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Property is owned by a Material Subsidiary, (i) neither the Borrower’s beneficial ownership interest in such Material Subsidiary nor the Property is subject to any Liens (other than Permitted Liens or Liens in favor of the Administrative Agent) or any negative pledge, (ii) the Material Subsidiary has the unilateral right (including the absence of any restrictions in an Eligible Leasehold Interest) to sell, transfer or otherwise dispose of such Property and to create a Lien on such Property as security for Indebtedness for Borrowed Money, and (iii) the Material Subsidiary has provided an Additional Guarantor Supplement or other Guaranty to the Administrative Agent pursuant to Section 4.2 hereof;</w:t>
      </w:r>
    </w:p>
    <w:p>
      <w:pPr>
        <w:spacing w:after="0" w:line="183" w:lineRule="exact"/>
        <w:rPr>
          <w:rFonts w:ascii="Times New Roman" w:cs="Times New Roman" w:eastAsia="Times New Roman" w:hAnsi="Times New Roman"/>
          <w:sz w:val="22"/>
          <w:szCs w:val="22"/>
          <w:color w:val="auto"/>
        </w:rPr>
      </w:pPr>
    </w:p>
    <w:p>
      <w:pPr>
        <w:jc w:val="both"/>
        <w:ind w:left="860" w:right="219" w:firstLine="729"/>
        <w:spacing w:after="0" w:line="235" w:lineRule="auto"/>
        <w:tabs>
          <w:tab w:leader="none" w:pos="215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Property is owned by a 1031 Property Holder, (i) neither the Borrower’s beneficial ownership in the Property nor the Property itself is subject to (x) any Liens (other than Permitted Liens or Liens in favor of the Administrative Agent), or (y) any negative pledge, (ii) the 1031 Property Holder has the unilateral right (including the absence of any restrictions in an Eligible Leasehold Interest) to sell, transfer or otherwise dispose of such Property and to create a Lien on such Property as security for Indebtedness for Borrowed Money;</w:t>
      </w:r>
    </w:p>
    <w:p>
      <w:pPr>
        <w:spacing w:after="0" w:line="183" w:lineRule="exact"/>
        <w:rPr>
          <w:rFonts w:ascii="Times New Roman" w:cs="Times New Roman" w:eastAsia="Times New Roman" w:hAnsi="Times New Roman"/>
          <w:sz w:val="22"/>
          <w:szCs w:val="22"/>
          <w:color w:val="auto"/>
        </w:rPr>
      </w:pPr>
    </w:p>
    <w:p>
      <w:pPr>
        <w:jc w:val="both"/>
        <w:ind w:left="860" w:right="219" w:firstLine="753"/>
        <w:spacing w:after="0" w:line="261" w:lineRule="auto"/>
        <w:tabs>
          <w:tab w:leader="none" w:pos="215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to the extent requested historic operating statements for such Property for the previous three (3) years, if available, and historic rent rolls for such Property for the previous three (3) years, if available;</w:t>
      </w:r>
    </w:p>
    <w:p>
      <w:pPr>
        <w:spacing w:after="0" w:line="157" w:lineRule="exact"/>
        <w:rPr>
          <w:rFonts w:ascii="Times New Roman" w:cs="Times New Roman" w:eastAsia="Times New Roman" w:hAnsi="Times New Roman"/>
          <w:sz w:val="21"/>
          <w:szCs w:val="21"/>
          <w:color w:val="auto"/>
        </w:rPr>
      </w:pPr>
    </w:p>
    <w:p>
      <w:pPr>
        <w:jc w:val="both"/>
        <w:ind w:left="860" w:right="219" w:firstLine="717"/>
        <w:spacing w:after="0" w:line="234" w:lineRule="auto"/>
        <w:tabs>
          <w:tab w:leader="none" w:pos="215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Property, based on the Borrower’s or any Material Subsidiary’s actual knowledge, is free of all material 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 assessments, including, to the extent requested, Phase I and Phase II reports, the results of which disclose environmental conditions which are satisfactory to the Administrative Agent in its sole discretion;</w:t>
      </w:r>
    </w:p>
    <w:p>
      <w:pPr>
        <w:spacing w:after="0" w:line="179" w:lineRule="exact"/>
        <w:rPr>
          <w:rFonts w:ascii="Times New Roman" w:cs="Times New Roman" w:eastAsia="Times New Roman" w:hAnsi="Times New Roman"/>
          <w:sz w:val="22"/>
          <w:szCs w:val="22"/>
          <w:color w:val="auto"/>
        </w:rPr>
      </w:pPr>
    </w:p>
    <w:p>
      <w:pPr>
        <w:jc w:val="both"/>
        <w:ind w:left="860" w:right="219" w:firstLine="717"/>
        <w:spacing w:after="0" w:line="244" w:lineRule="auto"/>
        <w:tabs>
          <w:tab w:leader="none" w:pos="215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such Property, any Tenant under a Significant Lease is not more than 60 days past due with respect to any monthly rent payment obligations under such Lease;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0" w:name="page91"/>
    <w:bookmarkEnd w:id="90"/>
    <w:p>
      <w:pPr>
        <w:jc w:val="both"/>
        <w:ind w:left="860" w:right="219" w:firstLine="765"/>
        <w:spacing w:after="0" w:line="246" w:lineRule="auto"/>
        <w:tabs>
          <w:tab w:leader="none" w:pos="215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such Property, the Borrower, to the extent not previously provided, shall have delivered to the Administrative Agent a copy, certified as true and correct by the Borrower, of each of the following: if the Property Owner is not the Borrower, the Property Owner’s articles of incorporation, by-laws, partnership agreements, operating agreements, as applicable, and certificates of existence, good standing and authority to do business from each appropriate state authority, and partnership, corporate or limited liability company, as applicable, authorizations authorizing the execution, delivery and performance of the Additional Guarantor Supplement all certified to be true and complete by a duly authorized officer of such Property Owner; and</w:t>
      </w:r>
    </w:p>
    <w:p>
      <w:pPr>
        <w:spacing w:after="0" w:line="175" w:lineRule="exact"/>
        <w:rPr>
          <w:rFonts w:ascii="Times New Roman" w:cs="Times New Roman" w:eastAsia="Times New Roman" w:hAnsi="Times New Roman"/>
          <w:sz w:val="21"/>
          <w:szCs w:val="21"/>
          <w:color w:val="auto"/>
        </w:rPr>
      </w:pPr>
    </w:p>
    <w:p>
      <w:pPr>
        <w:ind w:left="2160" w:hanging="535"/>
        <w:spacing w:after="0"/>
        <w:tabs>
          <w:tab w:leader="none" w:pos="21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Property is not an Asset Under Development or a Land Asset.</w:t>
      </w:r>
    </w:p>
    <w:p>
      <w:pPr>
        <w:spacing w:after="0" w:line="20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“Environmental Claim” </w:t>
      </w:r>
      <w:r>
        <w:rPr>
          <w:rFonts w:ascii="Times New Roman" w:cs="Times New Roman" w:eastAsia="Times New Roman" w:hAnsi="Times New Roman"/>
          <w:sz w:val="22"/>
          <w:szCs w:val="22"/>
          <w:color w:val="auto"/>
        </w:rPr>
        <w:t>means any investigation, notice, violation, demand, allegation,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action, 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(c) from any abatement, removal, remedial, corrective­ or response action in connection with a Hazardous Material, Environmental Law or order of a governmental authority or (d) from any actual or alleged damage, injury, threat or harm to health, safety, natural resources or the environment.</w:t>
      </w:r>
    </w:p>
    <w:p>
      <w:pPr>
        <w:spacing w:after="0" w:line="178"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“Environmental Law” </w:t>
      </w:r>
      <w:r>
        <w:rPr>
          <w:rFonts w:ascii="Times New Roman" w:cs="Times New Roman" w:eastAsia="Times New Roman" w:hAnsi="Times New Roman"/>
          <w:sz w:val="22"/>
          <w:szCs w:val="22"/>
          <w:color w:val="auto"/>
        </w:rPr>
        <w:t>means any current or future Legal Requirement pertaining to (a)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protection of health,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spacing w:after="0" w:line="178"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“Equity Interests” </w:t>
      </w:r>
      <w:r>
        <w:rPr>
          <w:rFonts w:ascii="Times New Roman" w:cs="Times New Roman" w:eastAsia="Times New Roman" w:hAnsi="Times New Roman"/>
          <w:sz w:val="22"/>
          <w:szCs w:val="22"/>
          <w:color w:val="auto"/>
        </w:rPr>
        <w:t>means with respect to any Person, any share of capital stock of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7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successor statute thereto.</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“ESG” </w:t>
      </w:r>
      <w:r>
        <w:rPr>
          <w:rFonts w:ascii="Times New Roman" w:cs="Times New Roman" w:eastAsia="Times New Roman" w:hAnsi="Times New Roman"/>
          <w:sz w:val="22"/>
          <w:szCs w:val="22"/>
          <w:color w:val="auto"/>
        </w:rPr>
        <w:t>is defined in Section 1.18 hereof.</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“ESG Amendment” </w:t>
      </w:r>
      <w:r>
        <w:rPr>
          <w:rFonts w:ascii="Times New Roman" w:cs="Times New Roman" w:eastAsia="Times New Roman" w:hAnsi="Times New Roman"/>
          <w:sz w:val="22"/>
          <w:szCs w:val="22"/>
          <w:color w:val="auto"/>
        </w:rPr>
        <w:t>is defined in Section 1.18 hereof.</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1" w:name="page92"/>
    <w:bookmarkEnd w:id="91"/>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“ESG Pricing Provisions” </w:t>
      </w:r>
      <w:r>
        <w:rPr>
          <w:rFonts w:ascii="Times New Roman" w:cs="Times New Roman" w:eastAsia="Times New Roman" w:hAnsi="Times New Roman"/>
          <w:sz w:val="22"/>
          <w:szCs w:val="22"/>
          <w:color w:val="auto"/>
        </w:rPr>
        <w:t>is defined in Section 1.18 hereof.</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w:t>
      </w:r>
      <w:r>
        <w:rPr>
          <w:rFonts w:ascii="Times New Roman" w:cs="Times New Roman" w:eastAsia="Times New Roman" w:hAnsi="Times New Roman"/>
          <w:sz w:val="22"/>
          <w:szCs w:val="22"/>
          <w:color w:val="auto"/>
        </w:rPr>
        <w:t>” has the meaning assigned to such term in Section 12.30.</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Deficiency Assignment</w:t>
      </w:r>
      <w:r>
        <w:rPr>
          <w:rFonts w:ascii="Times New Roman" w:cs="Times New Roman" w:eastAsia="Times New Roman" w:hAnsi="Times New Roman"/>
          <w:sz w:val="22"/>
          <w:szCs w:val="22"/>
          <w:color w:val="auto"/>
        </w:rPr>
        <w:t>” has the meaning assigned to such term in Section 12.30.</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Impacted Class</w:t>
      </w:r>
      <w:r>
        <w:rPr>
          <w:rFonts w:ascii="Times New Roman" w:cs="Times New Roman" w:eastAsia="Times New Roman" w:hAnsi="Times New Roman"/>
          <w:sz w:val="22"/>
          <w:szCs w:val="22"/>
          <w:color w:val="auto"/>
        </w:rPr>
        <w:t>” has the meaning assigned to such term in Section 12.30(d).</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Return Deficiency</w:t>
      </w:r>
      <w:r>
        <w:rPr>
          <w:rFonts w:ascii="Times New Roman" w:cs="Times New Roman" w:eastAsia="Times New Roman" w:hAnsi="Times New Roman"/>
          <w:sz w:val="22"/>
          <w:szCs w:val="22"/>
          <w:color w:val="auto"/>
        </w:rPr>
        <w:t>” has the meaning assigned to such term in Section 12.30(d).</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Subrogation Rights</w:t>
      </w:r>
      <w:r>
        <w:rPr>
          <w:rFonts w:ascii="Times New Roman" w:cs="Times New Roman" w:eastAsia="Times New Roman" w:hAnsi="Times New Roman"/>
          <w:sz w:val="22"/>
          <w:szCs w:val="22"/>
          <w:color w:val="auto"/>
        </w:rPr>
        <w:t>” has the meaning assigned to such term in Section 12.30(d).</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“EU Bail-In Legislation Schedule” </w:t>
      </w:r>
      <w:r>
        <w:rPr>
          <w:rFonts w:ascii="Times New Roman" w:cs="Times New Roman" w:eastAsia="Times New Roman" w:hAnsi="Times New Roman"/>
          <w:sz w:val="22"/>
          <w:szCs w:val="22"/>
          <w:color w:val="auto"/>
        </w:rPr>
        <w:t>means the EU Bail-In Legislation Schedule published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Loan Market Association (or any successor Person), as in effect from time to time.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means any event or condition identified as such in Section 9.1 hereof.</w:t>
      </w:r>
    </w:p>
    <w:p>
      <w:pPr>
        <w:spacing w:after="0" w:line="20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Swap Obligation</w:t>
      </w:r>
      <w:r>
        <w:rPr>
          <w:rFonts w:ascii="Times New Roman" w:cs="Times New Roman" w:eastAsia="Times New Roman" w:hAnsi="Times New Roman"/>
          <w:sz w:val="22"/>
          <w:szCs w:val="22"/>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5"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i w:val="1"/>
          <w:iCs w:val="1"/>
          <w:color w:val="auto"/>
        </w:rPr>
        <w:t xml:space="preserve">“Excluded Taxes” </w:t>
      </w:r>
      <w:r>
        <w:rPr>
          <w:rFonts w:ascii="Times New Roman" w:cs="Times New Roman" w:eastAsia="Times New Roman" w:hAnsi="Times New Roman"/>
          <w:sz w:val="21"/>
          <w:szCs w:val="21"/>
          <w:color w:val="auto"/>
        </w:rPr>
        <w:t>means any of the following Taxes imposed on or with respect to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1.13 hereof) or (ii) such Lender changes its 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2" w:name="page93"/>
    <w:bookmarkEnd w:id="92"/>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to comply with Section 12.1(b) or Section 12.1(d), and (d) any U.S. federal withholding Taxes imposed under FATCA.</w:t>
      </w:r>
    </w:p>
    <w:p>
      <w:pPr>
        <w:spacing w:after="0" w:line="15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w:t>
      </w:r>
      <w:r>
        <w:rPr>
          <w:rFonts w:ascii="Times New Roman" w:cs="Times New Roman" w:eastAsia="Times New Roman" w:hAnsi="Times New Roman"/>
          <w:sz w:val="22"/>
          <w:szCs w:val="22"/>
          <w:color w:val="auto"/>
        </w:rPr>
        <w:t>” means the 2029 Term Credit Facility, any Incremental Revolving Credit Facility, or any Incremental Term Credit Facility, as the context may require.</w:t>
      </w:r>
    </w:p>
    <w:p>
      <w:pPr>
        <w:spacing w:after="0" w:line="150"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“FATCA” </w:t>
      </w:r>
      <w:r>
        <w:rPr>
          <w:rFonts w:ascii="Times New Roman" w:cs="Times New Roman" w:eastAsia="Times New Roman" w:hAnsi="Times New Roman"/>
          <w:sz w:val="21"/>
          <w:szCs w:val="21"/>
          <w:color w:val="auto"/>
        </w:rPr>
        <w:t>means Sections 1471 through 1474 of the Code, as of the date of this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“FCPA” </w:t>
      </w:r>
      <w:r>
        <w:rPr>
          <w:rFonts w:ascii="Times New Roman" w:cs="Times New Roman" w:eastAsia="Times New Roman" w:hAnsi="Times New Roman"/>
          <w:sz w:val="22"/>
          <w:szCs w:val="22"/>
          <w:color w:val="auto"/>
        </w:rPr>
        <w:t>means the Foreign Corrupt Practices Act, 15 U.S.C. §§78dd-1, et seq.</w:t>
      </w:r>
    </w:p>
    <w:p>
      <w:pPr>
        <w:spacing w:after="0" w:line="206"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“Federal Funds Rate” </w:t>
      </w:r>
      <w:r>
        <w:rPr>
          <w:rFonts w:ascii="Times New Roman" w:cs="Times New Roman" w:eastAsia="Times New Roman" w:hAnsi="Times New Roman"/>
          <w:sz w:val="22"/>
          <w:szCs w:val="22"/>
          <w:color w:val="auto"/>
        </w:rPr>
        <w:t>means, for any day, the rate per annum (rounded upward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nearest one one-hundredth of one percent (1/100 of 1%)) announced by the Federal Reserve Bank of Cleveland on such day as being the weighted average of the rates on overnight federal funds transactions arranged by federal funds brokers on the previous trading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 Federal Funds Rate be less than 0.00%.</w:t>
      </w:r>
    </w:p>
    <w:p>
      <w:pPr>
        <w:spacing w:after="0" w:line="17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“Federal Reserve Bank of New York’s Website” </w:t>
      </w:r>
      <w:r>
        <w:rPr>
          <w:rFonts w:ascii="Times New Roman" w:cs="Times New Roman" w:eastAsia="Times New Roman" w:hAnsi="Times New Roman"/>
          <w:sz w:val="22"/>
          <w:szCs w:val="22"/>
          <w:color w:val="auto"/>
        </w:rPr>
        <w:t>means the website of the Federal Reserve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 of New York at http://www.newyorkfed.org, or any successor source.</w:t>
      </w:r>
    </w:p>
    <w:p>
      <w:pPr>
        <w:spacing w:after="0" w:line="150"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“Fee Letters” </w:t>
      </w:r>
      <w:r>
        <w:rPr>
          <w:rFonts w:ascii="Times New Roman" w:cs="Times New Roman" w:eastAsia="Times New Roman" w:hAnsi="Times New Roman"/>
          <w:sz w:val="21"/>
          <w:szCs w:val="21"/>
          <w:color w:val="auto"/>
        </w:rPr>
        <w:t>means, (i) the letter agreement, dated August 29, 2024, among the Borrower,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KBCM and KeyBank, (ii) the fee letter dated September 26, 2024 by and among the Borrower, PNC Bank, National Association and PNC Capital Markets LLC, and (iii) the letter agreement, dated September 19, 2024, among the Borrower, Regions Bank, and Regions Capital Markets.</w:t>
      </w:r>
    </w:p>
    <w:p>
      <w:pPr>
        <w:spacing w:after="0" w:line="158"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“Fiscal Quarter” </w:t>
      </w:r>
      <w:r>
        <w:rPr>
          <w:rFonts w:ascii="Times New Roman" w:cs="Times New Roman" w:eastAsia="Times New Roman" w:hAnsi="Times New Roman"/>
          <w:sz w:val="22"/>
          <w:szCs w:val="22"/>
          <w:color w:val="auto"/>
        </w:rPr>
        <w:t>means each of the three-month periods ending on March 31, June 30,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September 30 and December 31.</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“Fiscal Year” </w:t>
      </w:r>
      <w:r>
        <w:rPr>
          <w:rFonts w:ascii="Times New Roman" w:cs="Times New Roman" w:eastAsia="Times New Roman" w:hAnsi="Times New Roman"/>
          <w:sz w:val="22"/>
          <w:szCs w:val="22"/>
          <w:color w:val="auto"/>
        </w:rPr>
        <w:t>means the twelve-month period ending on December 31.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“Fitch” </w:t>
      </w:r>
      <w:r>
        <w:rPr>
          <w:rFonts w:ascii="Times New Roman" w:cs="Times New Roman" w:eastAsia="Times New Roman" w:hAnsi="Times New Roman"/>
          <w:sz w:val="22"/>
          <w:szCs w:val="22"/>
          <w:color w:val="auto"/>
        </w:rPr>
        <w:t>means Fitch Ratings, or any successor thereto.</w:t>
      </w:r>
    </w:p>
    <w:p>
      <w:pPr>
        <w:spacing w:after="0" w:line="20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“Fixed Charges” </w:t>
      </w:r>
      <w:r>
        <w:rPr>
          <w:rFonts w:ascii="Times New Roman" w:cs="Times New Roman" w:eastAsia="Times New Roman" w:hAnsi="Times New Roman"/>
          <w:sz w:val="21"/>
          <w:szCs w:val="21"/>
          <w:color w:val="auto"/>
        </w:rPr>
        <w:t>means, for any Rolling Period, (a) Interest Expense, plus (b) scheduled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principal amortization paid on Total Indebtedness (exclusive of any balloon payments or prepayments of principal paid on such Total Indebtedness), plus (c) Dividends and required distributions on the Borrower’s preferred equity securities for such Rolling Period, plus (d) all income taxes (federal, state and local) paid by the Borrower in cash during such Rolling Period, plus (e) cash payments of base rent under Eligible Leasehold Interests made or to be made during such period, unless such payments are deducted from the calculation of Property NOI and EBITDA;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of calculating income taxes under clause (d) for any Rolling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3" w:name="page94"/>
    <w:bookmarkEnd w:id="93"/>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Period, such amount shall not include any income taxes paid from and in connection with any extraordinary gain (or loss) for such Rolling Period. The Borrower’s Ownership Share of the Fixed Charges of its Unconsolidated Affiliates will be included when determining Fixed Charges of the Borrower and its Subsidiaries.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“Floor” </w:t>
      </w:r>
      <w:r>
        <w:rPr>
          <w:rFonts w:ascii="Times New Roman" w:cs="Times New Roman" w:eastAsia="Times New Roman" w:hAnsi="Times New Roman"/>
          <w:sz w:val="22"/>
          <w:szCs w:val="22"/>
          <w:color w:val="auto"/>
        </w:rPr>
        <w:t>means the rate per annum of interest equal to 0.00%.</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i w:val="1"/>
          <w:iCs w:val="1"/>
          <w:color w:val="auto"/>
        </w:rPr>
        <w:t xml:space="preserve">“FRB” </w:t>
      </w:r>
      <w:r>
        <w:rPr>
          <w:rFonts w:ascii="Times New Roman" w:cs="Times New Roman" w:eastAsia="Times New Roman" w:hAnsi="Times New Roman"/>
          <w:sz w:val="21"/>
          <w:szCs w:val="21"/>
          <w:color w:val="auto"/>
        </w:rPr>
        <w:t>means the Board of Governors of the Federal Reserve System of the United States.</w:t>
      </w:r>
    </w:p>
    <w:p>
      <w:pPr>
        <w:spacing w:after="0" w:line="218"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“Fund” </w:t>
      </w:r>
      <w:r>
        <w:rPr>
          <w:rFonts w:ascii="Times New Roman" w:cs="Times New Roman" w:eastAsia="Times New Roman" w:hAnsi="Times New Roman"/>
          <w:sz w:val="22"/>
          <w:szCs w:val="22"/>
          <w:color w:val="auto"/>
        </w:rPr>
        <w:t>means any Person (other than a natural person) that is (or will be) engaged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making, purchasing, holding or otherwise investing in commercial loans and similar extensions of credit in the ordinary course of its business.</w:t>
      </w:r>
    </w:p>
    <w:p>
      <w:pPr>
        <w:spacing w:after="0" w:line="167" w:lineRule="exact"/>
        <w:rPr>
          <w:sz w:val="20"/>
          <w:szCs w:val="20"/>
          <w:color w:val="auto"/>
        </w:rPr>
      </w:pPr>
    </w:p>
    <w:p>
      <w:pPr>
        <w:jc w:val="both"/>
        <w:ind w:left="200" w:right="239" w:firstLine="648"/>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“Funds Transfer and Deposit Account Liability” </w:t>
      </w:r>
      <w:r>
        <w:rPr>
          <w:rFonts w:ascii="Times New Roman" w:cs="Times New Roman" w:eastAsia="Times New Roman" w:hAnsi="Times New Roman"/>
          <w:sz w:val="22"/>
          <w:szCs w:val="22"/>
          <w:color w:val="auto"/>
        </w:rPr>
        <w:t>means the liability of the Borrower,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Subsidiary owing to any of the Lenders, or any Affiliates of such Lenders, arising out of</w:t>
      </w:r>
    </w:p>
    <w:p>
      <w:pPr>
        <w:spacing w:after="0" w:line="2" w:lineRule="exact"/>
        <w:rPr>
          <w:sz w:val="20"/>
          <w:szCs w:val="20"/>
          <w:color w:val="auto"/>
        </w:rPr>
      </w:pPr>
    </w:p>
    <w:p>
      <w:pPr>
        <w:jc w:val="both"/>
        <w:ind w:left="200" w:right="219" w:firstLine="9"/>
        <w:spacing w:after="0" w:line="232" w:lineRule="auto"/>
        <w:tabs>
          <w:tab w:leader="none" w:pos="55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spacing w:after="0" w:line="179"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“GAAP” </w:t>
      </w:r>
      <w:r>
        <w:rPr>
          <w:rFonts w:ascii="Times New Roman" w:cs="Times New Roman" w:eastAsia="Times New Roman" w:hAnsi="Times New Roman"/>
          <w:sz w:val="22"/>
          <w:szCs w:val="22"/>
          <w:color w:val="auto"/>
        </w:rPr>
        <w:t>means generally accepted accounting principles set forth from time to time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75"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 the government of the United States of America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“Ground Lease” </w:t>
      </w:r>
      <w:r>
        <w:rPr>
          <w:rFonts w:ascii="Times New Roman" w:cs="Times New Roman" w:eastAsia="Times New Roman" w:hAnsi="Times New Roman"/>
          <w:sz w:val="22"/>
          <w:szCs w:val="22"/>
          <w:color w:val="auto"/>
        </w:rPr>
        <w:t>means a long term lease of real Property granted by the fee owner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real Property </w:t>
      </w:r>
      <w:r>
        <w:rPr>
          <w:rFonts w:ascii="Times New Roman" w:cs="Times New Roman" w:eastAsia="Times New Roman" w:hAnsi="Times New Roman"/>
          <w:sz w:val="19"/>
          <w:szCs w:val="19"/>
          <w:color w:val="auto"/>
        </w:rPr>
        <w:t>with the Borrower or any Subsidiary as lessor and Tenant as lessee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“Guarantor”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“Guarantors” </w:t>
      </w:r>
      <w:r>
        <w:rPr>
          <w:rFonts w:ascii="Times New Roman" w:cs="Times New Roman" w:eastAsia="Times New Roman" w:hAnsi="Times New Roman"/>
          <w:sz w:val="22"/>
          <w:szCs w:val="22"/>
          <w:color w:val="auto"/>
        </w:rPr>
        <w:t>are defined in Section 4.1 hereof.</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“Guaranty”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“Guaranties” </w:t>
      </w:r>
      <w:r>
        <w:rPr>
          <w:rFonts w:ascii="Times New Roman" w:cs="Times New Roman" w:eastAsia="Times New Roman" w:hAnsi="Times New Roman"/>
          <w:sz w:val="22"/>
          <w:szCs w:val="22"/>
          <w:color w:val="auto"/>
        </w:rPr>
        <w:t>are defined in Section 4.1 hereof.</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“Hazardous Material” </w:t>
      </w:r>
      <w:r>
        <w:rPr>
          <w:rFonts w:ascii="Times New Roman" w:cs="Times New Roman" w:eastAsia="Times New Roman" w:hAnsi="Times New Roman"/>
          <w:sz w:val="22"/>
          <w:szCs w:val="22"/>
          <w:color w:val="auto"/>
        </w:rPr>
        <w:t>means any substance, chemical, compound, product, solid, gas,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4" w:name="page95"/>
    <w:bookmarkEnd w:id="94"/>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“Hazardous Material Activity” </w:t>
      </w:r>
      <w:r>
        <w:rPr>
          <w:rFonts w:ascii="Times New Roman" w:cs="Times New Roman" w:eastAsia="Times New Roman" w:hAnsi="Times New Roman"/>
          <w:sz w:val="22"/>
          <w:szCs w:val="22"/>
          <w:color w:val="auto"/>
        </w:rPr>
        <w:t>means any activity, event or occurrence involving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Hazardous Material, including, without limitation, the manufacture, possession, presence, use, generation, transportation, treatment, storage, disposal, Release, threatened Release, abatement, removal, remediation, handling of or corrective or response action to any Hazardous Material other than any activity, event or occurrence performed in compliance with or allowed under applicable law.</w:t>
      </w:r>
    </w:p>
    <w:p>
      <w:pPr>
        <w:spacing w:after="0" w:line="175"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“Hedging Agreement” </w:t>
      </w:r>
      <w:r>
        <w:rPr>
          <w:rFonts w:ascii="Times New Roman" w:cs="Times New Roman" w:eastAsia="Times New Roman" w:hAnsi="Times New Roman"/>
          <w:sz w:val="22"/>
          <w:szCs w:val="22"/>
          <w:color w:val="auto"/>
        </w:rPr>
        <w:t>means any agreement with respect to any swap, forward, future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phantom stock or similar plan providing for payments only on account of services provided by current or former directors, officers, employees or consultants of Borrower or any Subsidiary shall be a Hedging Agreement.</w:t>
      </w:r>
    </w:p>
    <w:p>
      <w:pPr>
        <w:spacing w:after="0" w:line="178"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“Hedging Counterparty” </w:t>
      </w:r>
      <w:r>
        <w:rPr>
          <w:rFonts w:ascii="Times New Roman" w:cs="Times New Roman" w:eastAsia="Times New Roman" w:hAnsi="Times New Roman"/>
          <w:sz w:val="22"/>
          <w:szCs w:val="22"/>
          <w:color w:val="auto"/>
        </w:rPr>
        <w:t>means any Person that, (a) at the time it enters into a Hedging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with the Borrower or any Subsidiary is a Lender, an Affiliate of a Lender, the Administrative Agent or an Affiliate of the Administrative Agent or (b) at the time it (or its Affiliate) becomes a Lender or the Administrative Agent (including on the Closing Date or any amendment date), is a party to a Hedging Agreement with the Borrower or any Subsidiary, in each case whether or not such Person remains a Lender or the Administrative Agent (or an Affiliate of either).</w:t>
      </w:r>
    </w:p>
    <w:p>
      <w:pPr>
        <w:spacing w:after="0" w:line="176"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“Hedging Liability” </w:t>
      </w:r>
      <w:r>
        <w:rPr>
          <w:rFonts w:ascii="Times New Roman" w:cs="Times New Roman" w:eastAsia="Times New Roman" w:hAnsi="Times New Roman"/>
          <w:sz w:val="21"/>
          <w:szCs w:val="21"/>
          <w:color w:val="auto"/>
        </w:rPr>
        <w:t>means the liability of the Borrower or any Subsidiary to any Hedging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Counterparty in respect of any Hedging Agreement as the Borrower or such Subsidiary, as the case may be, may from time to time enter into with any one or more Hedging Counterparties.</w:t>
      </w:r>
    </w:p>
    <w:p>
      <w:pPr>
        <w:spacing w:after="0" w:line="1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Amendment</w:t>
      </w:r>
      <w:r>
        <w:rPr>
          <w:rFonts w:ascii="Times New Roman" w:cs="Times New Roman" w:eastAsia="Times New Roman" w:hAnsi="Times New Roman"/>
          <w:sz w:val="22"/>
          <w:szCs w:val="22"/>
          <w:color w:val="auto"/>
        </w:rPr>
        <w:t>” has the meaning assigned to such term in Section 1.15.</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Commitment</w:t>
      </w:r>
      <w:r>
        <w:rPr>
          <w:rFonts w:ascii="Times New Roman" w:cs="Times New Roman" w:eastAsia="Times New Roman" w:hAnsi="Times New Roman"/>
          <w:sz w:val="22"/>
          <w:szCs w:val="22"/>
          <w:color w:val="auto"/>
        </w:rPr>
        <w:t>” has the meaning assigned to such term in Section 1.15.</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Credit</w:t>
      </w:r>
      <w:r>
        <w:rPr>
          <w:rFonts w:ascii="Times New Roman" w:cs="Times New Roman" w:eastAsia="Times New Roman" w:hAnsi="Times New Roman"/>
          <w:sz w:val="22"/>
          <w:szCs w:val="22"/>
          <w:color w:val="auto"/>
        </w:rPr>
        <w:t>” means each Incremental Revolving Credit Facility or Incremental Term Credit Facility.</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Lender</w:t>
      </w:r>
      <w:r>
        <w:rPr>
          <w:rFonts w:ascii="Times New Roman" w:cs="Times New Roman" w:eastAsia="Times New Roman" w:hAnsi="Times New Roman"/>
          <w:sz w:val="22"/>
          <w:szCs w:val="22"/>
          <w:color w:val="auto"/>
        </w:rPr>
        <w:t>” means each Incremental Revolving Lender or Incremental Term Loan Lender.</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Loan</w:t>
      </w:r>
      <w:r>
        <w:rPr>
          <w:rFonts w:ascii="Times New Roman" w:cs="Times New Roman" w:eastAsia="Times New Roman" w:hAnsi="Times New Roman"/>
          <w:sz w:val="22"/>
          <w:szCs w:val="22"/>
          <w:color w:val="auto"/>
        </w:rPr>
        <w:t>” means each Incremental Revolving Loan or Incremental Term Loan.</w:t>
      </w:r>
    </w:p>
    <w:p>
      <w:pPr>
        <w:spacing w:after="0" w:line="20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Credit Facility</w:t>
      </w:r>
      <w:r>
        <w:rPr>
          <w:rFonts w:ascii="Times New Roman" w:cs="Times New Roman" w:eastAsia="Times New Roman" w:hAnsi="Times New Roman"/>
          <w:sz w:val="22"/>
          <w:szCs w:val="22"/>
          <w:color w:val="auto"/>
        </w:rPr>
        <w:t>” means the credit facility for Incremental Revolving Loans established in accordance with Section 1.15. Unless otherwise specified herein, each tranche of Incremental Revolving Commitments or Incremental Revolving Loans shall constitute a separate Incremental Revolving Credit Facility.</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Commitment</w:t>
      </w:r>
      <w:r>
        <w:rPr>
          <w:rFonts w:ascii="Times New Roman" w:cs="Times New Roman" w:eastAsia="Times New Roman" w:hAnsi="Times New Roman"/>
          <w:sz w:val="22"/>
          <w:szCs w:val="22"/>
          <w:color w:val="auto"/>
        </w:rPr>
        <w:t>” has the meaning assigned to such term in Section</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1.15.</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5" w:name="page96"/>
    <w:bookmarkEnd w:id="95"/>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Lender</w:t>
      </w:r>
      <w:r>
        <w:rPr>
          <w:rFonts w:ascii="Times New Roman" w:cs="Times New Roman" w:eastAsia="Times New Roman" w:hAnsi="Times New Roman"/>
          <w:sz w:val="22"/>
          <w:szCs w:val="22"/>
          <w:color w:val="auto"/>
        </w:rPr>
        <w:t>” means, at any time, any Lender that has an Incremental Term Loan Commitment or holds Incremental Term Loans at such time, including each assignee Lender pursuant to Section 12.12 hereof.</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Loan</w:t>
      </w:r>
      <w:r>
        <w:rPr>
          <w:rFonts w:ascii="Times New Roman" w:cs="Times New Roman" w:eastAsia="Times New Roman" w:hAnsi="Times New Roman"/>
          <w:sz w:val="22"/>
          <w:szCs w:val="22"/>
          <w:color w:val="auto"/>
        </w:rPr>
        <w:t>” has the meaning assigned to such term in Section 1.15.</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“Incremental Revolving Percentage” </w:t>
      </w:r>
      <w:r>
        <w:rPr>
          <w:rFonts w:ascii="Times New Roman" w:cs="Times New Roman" w:eastAsia="Times New Roman" w:hAnsi="Times New Roman"/>
          <w:sz w:val="22"/>
          <w:szCs w:val="22"/>
          <w:color w:val="auto"/>
        </w:rPr>
        <w:t>means for each Incremental Revolving Lender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Incremental Revolving Credit Facility, the percentage of the aggregate Incremental Revolving Commitments represented by such Lender’s portion thereof or, if such Incremental Revolving Commitments have been terminated, the percentage held by such Lender of the aggregate principal amount of all Incremental Revolving then outstanding.</w:t>
      </w:r>
    </w:p>
    <w:p>
      <w:pPr>
        <w:spacing w:after="0" w:line="17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Credit Facility</w:t>
      </w:r>
      <w:r>
        <w:rPr>
          <w:rFonts w:ascii="Times New Roman" w:cs="Times New Roman" w:eastAsia="Times New Roman" w:hAnsi="Times New Roman"/>
          <w:sz w:val="22"/>
          <w:szCs w:val="22"/>
          <w:color w:val="auto"/>
        </w:rPr>
        <w:t>” means each credit facility for Incremental Term Loans established in accordance with Section 1.15. Unless otherwise specified herein, each tranche of Incremental Term Loan Commitments or Incremental Term Loans shall constitute a separate Incremental Term Credit Facility.</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w:t>
      </w:r>
      <w:r>
        <w:rPr>
          <w:rFonts w:ascii="Times New Roman" w:cs="Times New Roman" w:eastAsia="Times New Roman" w:hAnsi="Times New Roman"/>
          <w:sz w:val="22"/>
          <w:szCs w:val="22"/>
          <w:color w:val="auto"/>
        </w:rPr>
        <w:t>” has the meaning assigned to such term in Section 1.15.</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 Commitment</w:t>
      </w:r>
      <w:r>
        <w:rPr>
          <w:rFonts w:ascii="Times New Roman" w:cs="Times New Roman" w:eastAsia="Times New Roman" w:hAnsi="Times New Roman"/>
          <w:sz w:val="22"/>
          <w:szCs w:val="22"/>
          <w:color w:val="auto"/>
        </w:rPr>
        <w:t>” has the meaning assigned to such term in Section</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1.15.</w:t>
      </w:r>
    </w:p>
    <w:p>
      <w:pPr>
        <w:spacing w:after="0" w:line="178"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 Lender</w:t>
      </w:r>
      <w:r>
        <w:rPr>
          <w:rFonts w:ascii="Times New Roman" w:cs="Times New Roman" w:eastAsia="Times New Roman" w:hAnsi="Times New Roman"/>
          <w:sz w:val="22"/>
          <w:szCs w:val="22"/>
          <w:color w:val="auto"/>
        </w:rPr>
        <w:t>” means, at any time, any Lender that has an Incremental Term Loan Commitment or holds Incremental Term Loans at such time, including each assignee Lender pursuant to Section 12.12 hereof.</w:t>
      </w:r>
    </w:p>
    <w:p>
      <w:pPr>
        <w:spacing w:after="0" w:line="16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“Incremental Term Loan Percentage” </w:t>
      </w:r>
      <w:r>
        <w:rPr>
          <w:rFonts w:ascii="Times New Roman" w:cs="Times New Roman" w:eastAsia="Times New Roman" w:hAnsi="Times New Roman"/>
          <w:sz w:val="22"/>
          <w:szCs w:val="22"/>
          <w:color w:val="auto"/>
        </w:rPr>
        <w:t>means for each Incremental Term Loan Lender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Incremental Term Credit Facility, the percentage of the aggregate Incremental Term Loan Commitments represented by such Lender’s portion thereof or, if such Incremental Term Loan Commitments have been terminated, the percentage held by such Lender of the aggregate principal amount of all Incremental Term Loans then outstanding.</w:t>
      </w:r>
    </w:p>
    <w:p>
      <w:pPr>
        <w:spacing w:after="0" w:line="17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“Indebtedness for Borrowed Money” </w:t>
      </w:r>
      <w:r>
        <w:rPr>
          <w:rFonts w:ascii="Times New Roman" w:cs="Times New Roman" w:eastAsia="Times New Roman" w:hAnsi="Times New Roman"/>
          <w:sz w:val="22"/>
          <w:szCs w:val="22"/>
          <w:color w:val="auto"/>
        </w:rPr>
        <w:t>means for any Person (without duplication) (a)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of such Person, whether or not such Person has assumed or become liable for the payment of such indebtedness,</w:t>
      </w:r>
    </w:p>
    <w:p>
      <w:pPr>
        <w:spacing w:after="0" w:line="6" w:lineRule="exact"/>
        <w:rPr>
          <w:sz w:val="20"/>
          <w:szCs w:val="20"/>
          <w:color w:val="auto"/>
        </w:rPr>
      </w:pPr>
    </w:p>
    <w:p>
      <w:pPr>
        <w:jc w:val="both"/>
        <w:ind w:left="200" w:right="219" w:firstLine="9"/>
        <w:spacing w:after="0" w:line="232" w:lineRule="auto"/>
        <w:tabs>
          <w:tab w:leader="none" w:pos="51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similar interest rate, currency or commodity hedging arrangement.</w:t>
      </w:r>
    </w:p>
    <w:p>
      <w:pPr>
        <w:spacing w:after="0" w:line="179" w:lineRule="exact"/>
        <w:rPr>
          <w:sz w:val="20"/>
          <w:szCs w:val="20"/>
          <w:color w:val="auto"/>
        </w:rPr>
      </w:pPr>
    </w:p>
    <w:p>
      <w:pPr>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“Indemnified Taxes” </w:t>
      </w:r>
      <w:r>
        <w:rPr>
          <w:rFonts w:ascii="Times New Roman" w:cs="Times New Roman" w:eastAsia="Times New Roman" w:hAnsi="Times New Roman"/>
          <w:sz w:val="22"/>
          <w:szCs w:val="22"/>
          <w:color w:val="auto"/>
        </w:rPr>
        <w:t>means (a) all Taxes other than Excluded Taxes and (b)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otherwise described in (a), Other Taxes.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6" w:name="page97"/>
    <w:bookmarkEnd w:id="96"/>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“Initial Properties” </w:t>
      </w:r>
      <w:r>
        <w:rPr>
          <w:rFonts w:ascii="Times New Roman" w:cs="Times New Roman" w:eastAsia="Times New Roman" w:hAnsi="Times New Roman"/>
          <w:sz w:val="22"/>
          <w:szCs w:val="22"/>
          <w:color w:val="auto"/>
        </w:rPr>
        <w:t>means collectively the Properties listed on Schedule 1.1 and</w:t>
      </w:r>
      <w:r>
        <w:rPr>
          <w:rFonts w:ascii="Times New Roman" w:cs="Times New Roman" w:eastAsia="Times New Roman" w:hAnsi="Times New Roman"/>
          <w:sz w:val="22"/>
          <w:szCs w:val="22"/>
          <w:i w:val="1"/>
          <w:iCs w:val="1"/>
          <w:color w:val="auto"/>
        </w:rPr>
        <w:t xml:space="preserve"> “Initial Property” </w:t>
      </w:r>
      <w:r>
        <w:rPr>
          <w:rFonts w:ascii="Times New Roman" w:cs="Times New Roman" w:eastAsia="Times New Roman" w:hAnsi="Times New Roman"/>
          <w:sz w:val="22"/>
          <w:szCs w:val="22"/>
          <w:color w:val="auto"/>
        </w:rPr>
        <w:t>means any of such Properties.</w:t>
      </w:r>
    </w:p>
    <w:p>
      <w:pPr>
        <w:spacing w:after="0" w:line="15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“Interest Expense” </w:t>
      </w:r>
      <w:r>
        <w:rPr>
          <w:rFonts w:ascii="Times New Roman" w:cs="Times New Roman" w:eastAsia="Times New Roman" w:hAnsi="Times New Roman"/>
          <w:sz w:val="22"/>
          <w:szCs w:val="22"/>
          <w:color w:val="auto"/>
        </w:rPr>
        <w:t>means, with respect to a Person for any period of time, the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 whether paid, accrued or capitalized (without deduction of consolidated interest income) of such Person for such period. Interest Expense shall exclude any amortization of (i) deferred financing fees, including the write-off such fees relating to the early retirement of such related Indebtedness for Borrowed Money, and (ii) debt discounts (but only to the extent such discounts do not exceed 3.0% of the initial face principal amount of such debt). The Borrower’s Ownership Share of the Interest Expense of its Unconsolidated Affiliates will be included when determining Interest Expense of the Borrower and its Subsidiaries.</w:t>
      </w:r>
    </w:p>
    <w:p>
      <w:pPr>
        <w:spacing w:after="0" w:line="178"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“Interest Payment Date” </w:t>
      </w:r>
      <w:r>
        <w:rPr>
          <w:rFonts w:ascii="Times New Roman" w:cs="Times New Roman" w:eastAsia="Times New Roman" w:hAnsi="Times New Roman"/>
          <w:sz w:val="22"/>
          <w:szCs w:val="22"/>
          <w:color w:val="auto"/>
        </w:rPr>
        <w:t>means (a) with respect to any Term SOFR Rate Loan, the last day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each Interest Period with respect to such Term SOFR Rate Loan and, if the applicable Interest Period is longer than (1) one month, on each day occurring every three (3) months after the commencement of such Interest Period, (b) with respect to any Daily Simple SOFR Rate Loan, the last day of every calendar month, (c) with respect to any Base Rate Loan, the last day of every calendar month, and (d) with respect to any Term SOFR Rate Loan, Daily Simple SOFR Rate Loan, or Base Rate Loan, the Maturity Date.</w:t>
      </w:r>
    </w:p>
    <w:p>
      <w:pPr>
        <w:spacing w:after="0" w:line="17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“Interest Period” </w:t>
      </w:r>
      <w:r>
        <w:rPr>
          <w:rFonts w:ascii="Times New Roman" w:cs="Times New Roman" w:eastAsia="Times New Roman" w:hAnsi="Times New Roman"/>
          <w:sz w:val="22"/>
          <w:szCs w:val="22"/>
          <w:color w:val="auto"/>
        </w:rPr>
        <w:t>means the period commencing on the date a Borrowing of Term SOFR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 Loans is advanced, continued, or created by conversion and ending one (1), three (3), or six</w:t>
      </w:r>
    </w:p>
    <w:p>
      <w:pPr>
        <w:spacing w:after="0" w:line="2" w:lineRule="exact"/>
        <w:rPr>
          <w:sz w:val="20"/>
          <w:szCs w:val="20"/>
          <w:color w:val="auto"/>
        </w:rPr>
      </w:pPr>
    </w:p>
    <w:p>
      <w:pPr>
        <w:ind w:left="520" w:hanging="311"/>
        <w:spacing w:after="0"/>
        <w:tabs>
          <w:tab w:leader="none" w:pos="5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months thereafter,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w:t>
      </w:r>
    </w:p>
    <w:p>
      <w:pPr>
        <w:spacing w:after="0" w:line="182" w:lineRule="exact"/>
        <w:rPr>
          <w:rFonts w:ascii="Times New Roman" w:cs="Times New Roman" w:eastAsia="Times New Roman" w:hAnsi="Times New Roman"/>
          <w:sz w:val="22"/>
          <w:szCs w:val="22"/>
          <w:color w:val="auto"/>
        </w:rPr>
      </w:pPr>
    </w:p>
    <w:p>
      <w:pPr>
        <w:ind w:left="2160" w:hanging="535"/>
        <w:spacing w:after="0"/>
        <w:tabs>
          <w:tab w:leader="none" w:pos="216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as applicable;</w:t>
      </w:r>
    </w:p>
    <w:p>
      <w:pPr>
        <w:spacing w:after="0" w:line="206" w:lineRule="exact"/>
        <w:rPr>
          <w:rFonts w:ascii="Times New Roman" w:cs="Times New Roman" w:eastAsia="Times New Roman" w:hAnsi="Times New Roman"/>
          <w:sz w:val="22"/>
          <w:szCs w:val="22"/>
          <w:color w:val="auto"/>
        </w:rPr>
      </w:pPr>
    </w:p>
    <w:p>
      <w:pPr>
        <w:jc w:val="both"/>
        <w:ind w:left="860" w:right="219" w:firstLine="705"/>
        <w:spacing w:after="0" w:line="236" w:lineRule="auto"/>
        <w:tabs>
          <w:tab w:leader="none" w:pos="215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with respect to any portion of the Loans shall extend beyond a date on which the Borrower is required to make a scheduled payment of principal on the Loans, unless the sum of (a) the aggregate principal amount of Loans that are Base Rate Loans plus (b) the aggregate principal amount of Loans that are Term SOFR Rate Loans with Interest Periods expiring on or before such date equals or exceeds the principal amount to be paid on the Loans on such payment date;</w:t>
      </w:r>
    </w:p>
    <w:p>
      <w:pPr>
        <w:spacing w:after="0" w:line="181" w:lineRule="exact"/>
        <w:rPr>
          <w:rFonts w:ascii="Times New Roman" w:cs="Times New Roman" w:eastAsia="Times New Roman" w:hAnsi="Times New Roman"/>
          <w:sz w:val="22"/>
          <w:szCs w:val="22"/>
          <w:color w:val="auto"/>
        </w:rPr>
      </w:pPr>
    </w:p>
    <w:p>
      <w:pPr>
        <w:jc w:val="both"/>
        <w:ind w:left="860" w:right="219" w:firstLine="645"/>
        <w:spacing w:after="0" w:line="236" w:lineRule="auto"/>
        <w:tabs>
          <w:tab w:leader="none" w:pos="215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the last day of any Interest Period would otherwise be a day that is not a Business Day, the last day of such Interest Period shall be extended to the next succeeding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extension would cause the last day of an Interest Period for a Borrowing of Term SOFR Rate Loans to occur in the following calendar month, the last day of such Interest Period shall be the immediately preceding Business Day;</w:t>
      </w:r>
    </w:p>
    <w:p>
      <w:pPr>
        <w:spacing w:after="0" w:line="181" w:lineRule="exact"/>
        <w:rPr>
          <w:rFonts w:ascii="Times New Roman" w:cs="Times New Roman" w:eastAsia="Times New Roman" w:hAnsi="Times New Roman"/>
          <w:sz w:val="22"/>
          <w:szCs w:val="22"/>
          <w:color w:val="auto"/>
        </w:rPr>
      </w:pPr>
    </w:p>
    <w:p>
      <w:pPr>
        <w:jc w:val="both"/>
        <w:ind w:left="860" w:right="219" w:firstLine="657"/>
        <w:spacing w:after="0" w:line="235" w:lineRule="auto"/>
        <w:tabs>
          <w:tab w:leader="none" w:pos="215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an Interest Period for a Borrowing of Term SOFR Rate Loans, a month means a period starting on one day in a calendar month and ending on the numerically corresponding day in the next calendar month; provided,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 and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7" w:name="page98"/>
    <w:bookmarkEnd w:id="97"/>
    <w:p>
      <w:pPr>
        <w:jc w:val="both"/>
        <w:ind w:left="860" w:right="219" w:firstLine="717"/>
        <w:spacing w:after="0" w:line="239"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tenor that has been removed from this definition pursuant to Section 10.6 (or the availability of which has been temporarily suspended pursuant to Section 10.2) below shall be available for specification in such Borrowing Request or Notice of Continuation/Conversion.</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KBCM</w:t>
      </w:r>
      <w:r>
        <w:rPr>
          <w:rFonts w:ascii="Times New Roman" w:cs="Times New Roman" w:eastAsia="Times New Roman" w:hAnsi="Times New Roman"/>
          <w:sz w:val="22"/>
          <w:szCs w:val="22"/>
          <w:color w:val="auto"/>
        </w:rPr>
        <w:t>” means, KeyBanc Capital Markets Inc. and its successors.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KeyBank</w:t>
      </w:r>
      <w:r>
        <w:rPr>
          <w:rFonts w:ascii="Times New Roman" w:cs="Times New Roman" w:eastAsia="Times New Roman" w:hAnsi="Times New Roman"/>
          <w:sz w:val="22"/>
          <w:szCs w:val="22"/>
          <w:color w:val="auto"/>
        </w:rPr>
        <w:t>” means, KeyBank National Association and its successors.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“KPIs” </w:t>
      </w:r>
      <w:r>
        <w:rPr>
          <w:rFonts w:ascii="Times New Roman" w:cs="Times New Roman" w:eastAsia="Times New Roman" w:hAnsi="Times New Roman"/>
          <w:sz w:val="22"/>
          <w:szCs w:val="22"/>
          <w:color w:val="auto"/>
        </w:rPr>
        <w:t>is defined in Section 1.18 hereof.</w:t>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“Land Assets” </w:t>
      </w:r>
      <w:r>
        <w:rPr>
          <w:rFonts w:ascii="Times New Roman" w:cs="Times New Roman" w:eastAsia="Times New Roman" w:hAnsi="Times New Roman"/>
          <w:sz w:val="22"/>
          <w:szCs w:val="22"/>
          <w:color w:val="auto"/>
        </w:rPr>
        <w:t>means any real property which is not an Asset Under Development and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which no significant improvements have been constructed;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real property that is adjacent to an Eligible Property but is undeveloped shall not constitute </w:t>
      </w:r>
      <w:r>
        <w:rPr>
          <w:rFonts w:ascii="Times New Roman" w:cs="Times New Roman" w:eastAsia="Times New Roman" w:hAnsi="Times New Roman"/>
          <w:sz w:val="22"/>
          <w:szCs w:val="22"/>
          <w:i w:val="1"/>
          <w:iCs w:val="1"/>
          <w:color w:val="auto"/>
        </w:rPr>
        <w:t>“Land Assets”.</w:t>
      </w:r>
    </w:p>
    <w:p>
      <w:pPr>
        <w:spacing w:after="0" w:line="16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“Lease” </w:t>
      </w:r>
      <w:r>
        <w:rPr>
          <w:rFonts w:ascii="Times New Roman" w:cs="Times New Roman" w:eastAsia="Times New Roman" w:hAnsi="Times New Roman"/>
          <w:sz w:val="22"/>
          <w:szCs w:val="22"/>
          <w:color w:val="auto"/>
        </w:rPr>
        <w:t>means each existing or future lease, sublease, license, or other agreement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terms of which any Person has or acquires any right to occupy or use any Property of the Borrower or any Subsidiary, or any part thereof, or interest therein, as the same may be amended, supplemented or modified.</w:t>
      </w:r>
    </w:p>
    <w:p>
      <w:pPr>
        <w:spacing w:after="0" w:line="172"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“Legal Requirement” </w:t>
      </w:r>
      <w:r>
        <w:rPr>
          <w:rFonts w:ascii="Times New Roman" w:cs="Times New Roman" w:eastAsia="Times New Roman" w:hAnsi="Times New Roman"/>
          <w:sz w:val="22"/>
          <w:szCs w:val="22"/>
          <w:color w:val="auto"/>
        </w:rPr>
        <w:t>means any treaty, convention, statute, law, regulation, ordinance,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license, permit, governmental approval, injunction, judgment, order, consent decree or other requirement of any governmental authority, whether federal, state, or local.</w:t>
      </w:r>
    </w:p>
    <w:p>
      <w:pPr>
        <w:spacing w:after="0" w:line="16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“Lenders” </w:t>
      </w:r>
      <w:r>
        <w:rPr>
          <w:rFonts w:ascii="Times New Roman" w:cs="Times New Roman" w:eastAsia="Times New Roman" w:hAnsi="Times New Roman"/>
          <w:sz w:val="22"/>
          <w:szCs w:val="22"/>
          <w:color w:val="auto"/>
        </w:rPr>
        <w:t>means and includes KeyBank and the other financial institutions from time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party to this Agreement, including each assignee Lender pursuant to Section 12.12 hereof and each Incremental Lender.</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“Lending Office” </w:t>
      </w:r>
      <w:r>
        <w:rPr>
          <w:rFonts w:ascii="Times New Roman" w:cs="Times New Roman" w:eastAsia="Times New Roman" w:hAnsi="Times New Roman"/>
          <w:sz w:val="22"/>
          <w:szCs w:val="22"/>
          <w:color w:val="auto"/>
        </w:rPr>
        <w:t>is defined in Section 10.4 hereof.</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“Leverage Ratio Increase Period” </w:t>
      </w:r>
      <w:r>
        <w:rPr>
          <w:rFonts w:ascii="Times New Roman" w:cs="Times New Roman" w:eastAsia="Times New Roman" w:hAnsi="Times New Roman"/>
          <w:sz w:val="22"/>
          <w:szCs w:val="22"/>
          <w:color w:val="auto"/>
        </w:rPr>
        <w:t>means, so long as no Default or Event of Default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then occurred and is continuing, a period commencing on, (i) the first day of the Fiscal Quarter in which the Borrower notifies Administrative Agent in writing that a Material Acquisition has occurred and ending (ii) on the last day of the third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2"/>
          <w:szCs w:val="22"/>
          <w:color w:val="auto"/>
        </w:rPr>
        <w:t xml:space="preserve">) full Fiscal Quarter after such Material Acquisition;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(x) there shall not be more than two (2) Leverage Ratio Increase Periods during the term of the 2029 Credit Facility and (y) there shall not be two consecutive Leverage Ratio Increase Periods.</w:t>
      </w:r>
    </w:p>
    <w:p>
      <w:pPr>
        <w:spacing w:after="0" w:line="17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“Lien” </w:t>
      </w:r>
      <w:r>
        <w:rPr>
          <w:rFonts w:ascii="Times New Roman" w:cs="Times New Roman" w:eastAsia="Times New Roman" w:hAnsi="Times New Roman"/>
          <w:sz w:val="22"/>
          <w:szCs w:val="22"/>
          <w:color w:val="auto"/>
        </w:rPr>
        <w:t>means any mortgage, lien, security interest, pledge, charge or encumbrance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kind in respect of any Property, including the interests of a vendor or lessor under any conditional sale, Capital Lease or other title retention arrangement.</w:t>
      </w:r>
    </w:p>
    <w:p>
      <w:pPr>
        <w:spacing w:after="0" w:line="16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“Loan” </w:t>
      </w:r>
      <w:r>
        <w:rPr>
          <w:rFonts w:ascii="Times New Roman" w:cs="Times New Roman" w:eastAsia="Times New Roman" w:hAnsi="Times New Roman"/>
          <w:sz w:val="22"/>
          <w:szCs w:val="22"/>
          <w:color w:val="auto"/>
        </w:rPr>
        <w:t>means any 2029 Term Loan, Incremental Revolving Loan, or Incremental 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Loan, whether outstanding as a Base Rate Loan, Daily Simple SOFR Rate Loan or Term SOFR Rate Loan or otherwise, each of which is a </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xml:space="preserve"> of Loan hereunder.</w:t>
      </w:r>
    </w:p>
    <w:p>
      <w:pPr>
        <w:spacing w:after="0" w:line="167"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“Loan Documents” </w:t>
      </w:r>
      <w:r>
        <w:rPr>
          <w:rFonts w:ascii="Times New Roman" w:cs="Times New Roman" w:eastAsia="Times New Roman" w:hAnsi="Times New Roman"/>
          <w:sz w:val="21"/>
          <w:szCs w:val="21"/>
          <w:color w:val="auto"/>
        </w:rPr>
        <w:t>means this Agreement, the Notes (if any), the Guaranties, if any,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Incremental Amendment, the Collateral Documents, if any, and each other instrument or document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8" w:name="page99"/>
    <w:bookmarkEnd w:id="98"/>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to be delivered hereunder or thereunder or otherwise in connection therewith. Deposit account agreements, cash management agreements and other documents executed in connection with Funds Transfer and Deposit Account Liability (other than deposit account control agreements, if any) are not Loan Documents hereunder.</w:t>
      </w:r>
    </w:p>
    <w:p>
      <w:pPr>
        <w:spacing w:after="0" w:line="17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“Major Target MSA Location</w:t>
      </w:r>
      <w:r>
        <w:rPr>
          <w:rFonts w:ascii="Times New Roman" w:cs="Times New Roman" w:eastAsia="Times New Roman" w:hAnsi="Times New Roman"/>
          <w:sz w:val="22"/>
          <w:szCs w:val="22"/>
          <w:color w:val="auto"/>
        </w:rPr>
        <w:t>” means each of the following MSAs: Atlanta, GA; Las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Vegas, NV; Denver, CO; Phoenix, AZ; Austin, TX; Houston, TX; Dallas, TX; Nashville, TN; Tampa, FL; Orlando, FL; Miami, FL; Charlotte, NC; Raleigh, NC; and Washington, DC</w:t>
      </w:r>
      <w:r>
        <w:rPr>
          <w:rFonts w:ascii="Times New Roman" w:cs="Times New Roman" w:eastAsia="Times New Roman" w:hAnsi="Times New Roman"/>
          <w:sz w:val="22"/>
          <w:szCs w:val="22"/>
          <w:i w:val="1"/>
          <w:iCs w:val="1"/>
          <w:color w:val="auto"/>
        </w:rPr>
        <w:t>.</w:t>
      </w:r>
    </w:p>
    <w:p>
      <w:pPr>
        <w:spacing w:after="0" w:line="167"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Acquisition</w:t>
      </w:r>
      <w:r>
        <w:rPr>
          <w:rFonts w:ascii="Times New Roman" w:cs="Times New Roman" w:eastAsia="Times New Roman" w:hAnsi="Times New Roman"/>
          <w:sz w:val="21"/>
          <w:szCs w:val="21"/>
          <w:color w:val="auto"/>
        </w:rPr>
        <w:t>” means any single transaction or series of related transactions for the purpose of, or resulting, directly or indirectly, in, the acquisition (including, without limitation, a merger or consolidation or any other combination with another Person) of a Person or assets by the Parent (directly or indirectly) that has a gross purchase price equal to or greater than ten percent (10.0%) of the then current Total Asset Value (without giving effect to such transactions).</w:t>
      </w:r>
    </w:p>
    <w:p>
      <w:pPr>
        <w:spacing w:after="0" w:line="16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“Material Adverse Effect” </w:t>
      </w:r>
      <w:r>
        <w:rPr>
          <w:rFonts w:ascii="Times New Roman" w:cs="Times New Roman" w:eastAsia="Times New Roman" w:hAnsi="Times New Roman"/>
          <w:sz w:val="22"/>
          <w:szCs w:val="22"/>
          <w:color w:val="auto"/>
        </w:rPr>
        <w:t>means (a) a material adverse change in, or material adverse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upon, the operations, business, Property, or financial condition of the Borrower or of the Borrower and its Subsidiaries taken as a whole, (b) a material impairment of the ability of the Borrower or any Subsidiary to perform its obligations under any Loan Document or (c) a material adverse effect upon the legality, validity, binding effect or enforceability against the Borrower or any Subsidiary of any Loan Document or the rights and remedies of the Administrative Agent and the Lenders thereunder.</w:t>
      </w:r>
    </w:p>
    <w:p>
      <w:pPr>
        <w:spacing w:after="0" w:line="17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“Material Subsidiary” </w:t>
      </w:r>
      <w:r>
        <w:rPr>
          <w:rFonts w:ascii="Times New Roman" w:cs="Times New Roman" w:eastAsia="Times New Roman" w:hAnsi="Times New Roman"/>
          <w:sz w:val="22"/>
          <w:szCs w:val="22"/>
          <w:color w:val="auto"/>
        </w:rPr>
        <w:t>means, each Subsidiary that owns an Eligible Property included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Borrowing Base Value.</w:t>
      </w:r>
    </w:p>
    <w:p>
      <w:pPr>
        <w:spacing w:after="0" w:line="15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Maturity Date</w:t>
      </w:r>
      <w:r>
        <w:rPr>
          <w:rFonts w:ascii="Times New Roman" w:cs="Times New Roman" w:eastAsia="Times New Roman" w:hAnsi="Times New Roman"/>
          <w:sz w:val="21"/>
          <w:szCs w:val="21"/>
          <w:color w:val="auto"/>
        </w:rPr>
        <w:t xml:space="preserve">” means the earlier of (i) (a) with respect to the 2029 Term Credit Facility, September 30, 2029, and (b) with respect to any Incremental Credit Facility, the maturity date for such Incremental Credit Facility as set forth in the applicable Incremental Amendment and (ii) the date on which the principal amount of the Loans has been declared or automatically has become due and payable (whether by acceleration or otherwise);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that, in each case, if such date is not a Business Day, the Maturity Date shall be the next preceding Business Day.</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“Moody’s” </w:t>
      </w:r>
      <w:r>
        <w:rPr>
          <w:rFonts w:ascii="Times New Roman" w:cs="Times New Roman" w:eastAsia="Times New Roman" w:hAnsi="Times New Roman"/>
          <w:sz w:val="22"/>
          <w:szCs w:val="22"/>
          <w:color w:val="auto"/>
        </w:rPr>
        <w:t>means Moody’s Investors Service, Inc., or any successor thereof.</w:t>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“Mortgages” </w:t>
      </w:r>
      <w:r>
        <w:rPr>
          <w:rFonts w:ascii="Times New Roman" w:cs="Times New Roman" w:eastAsia="Times New Roman" w:hAnsi="Times New Roman"/>
          <w:sz w:val="22"/>
          <w:szCs w:val="22"/>
          <w:color w:val="auto"/>
        </w:rPr>
        <w:t>means, collectively, each mortgage and deed of trust delivered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pursuant to Section 8.24(c) hereunder, as the same may be amended, modified, supplemented or restated from time to time.</w:t>
      </w:r>
    </w:p>
    <w:p>
      <w:pPr>
        <w:spacing w:after="0" w:line="16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“MSA” </w:t>
      </w:r>
      <w:r>
        <w:rPr>
          <w:rFonts w:ascii="Times New Roman" w:cs="Times New Roman" w:eastAsia="Times New Roman" w:hAnsi="Times New Roman"/>
          <w:sz w:val="22"/>
          <w:szCs w:val="22"/>
          <w:color w:val="auto"/>
        </w:rPr>
        <w:t>means any major metropolitan area of the United States of America that has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population size that is in the fifty (50) largest metropolitan areas of the United States of America.</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“Non-Major Target MSA Location</w:t>
      </w:r>
      <w:r>
        <w:rPr>
          <w:rFonts w:ascii="Times New Roman" w:cs="Times New Roman" w:eastAsia="Times New Roman" w:hAnsi="Times New Roman"/>
          <w:sz w:val="22"/>
          <w:szCs w:val="22"/>
          <w:color w:val="auto"/>
        </w:rPr>
        <w:t>” means any MSA other than a Major Target MSA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Location.</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“Note”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“Notes” </w:t>
      </w:r>
      <w:r>
        <w:rPr>
          <w:rFonts w:ascii="Times New Roman" w:cs="Times New Roman" w:eastAsia="Times New Roman" w:hAnsi="Times New Roman"/>
          <w:sz w:val="22"/>
          <w:szCs w:val="22"/>
          <w:color w:val="auto"/>
        </w:rPr>
        <w:t>are defined in Section 1.10(d) hereof.</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i w:val="1"/>
          <w:i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9" w:name="page100"/>
    <w:bookmarkEnd w:id="99"/>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“Obligations” </w:t>
      </w:r>
      <w:r>
        <w:rPr>
          <w:rFonts w:ascii="Times New Roman" w:cs="Times New Roman" w:eastAsia="Times New Roman" w:hAnsi="Times New Roman"/>
          <w:sz w:val="22"/>
          <w:szCs w:val="22"/>
          <w:color w:val="auto"/>
        </w:rPr>
        <w:t>means all obligations of the Borrower to pay principal and interest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all fees and charges payable hereunder, all other payment obligations of the Borrower or any of its Subsidiaries arising under or in relation to any Loan Document and all Hedging Liability, 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spacing w:after="0" w:line="175"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“Occupancy Rate” </w:t>
      </w:r>
      <w:r>
        <w:rPr>
          <w:rFonts w:ascii="Times New Roman" w:cs="Times New Roman" w:eastAsia="Times New Roman" w:hAnsi="Times New Roman"/>
          <w:sz w:val="21"/>
          <w:szCs w:val="21"/>
          <w:color w:val="auto"/>
        </w:rPr>
        <w:t>means for any Property, the percentage of the rentable square footage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Property occupied by bona fide Tenants of such Property or leased by such Tenants pursuant to bona fide Tenant Leases (including upon Tenant Lease execution but prior to occupancy), in each case, which (a) with respect to Significant Leases, are not more than 60 days in arrears on base rental or other similar payments due under the Significant Leases and (b) Tenants are not subject to a then continuing Bankruptcy Event, or if subject to a then continuing Bankruptcy Event</w:t>
      </w:r>
    </w:p>
    <w:p>
      <w:pPr>
        <w:spacing w:after="0" w:line="1" w:lineRule="exact"/>
        <w:rPr>
          <w:sz w:val="20"/>
          <w:szCs w:val="20"/>
          <w:color w:val="auto"/>
        </w:rPr>
      </w:pPr>
    </w:p>
    <w:p>
      <w:pPr>
        <w:jc w:val="both"/>
        <w:ind w:left="200" w:right="219" w:firstLine="9"/>
        <w:spacing w:after="0" w:line="233" w:lineRule="auto"/>
        <w:tabs>
          <w:tab w:leader="none" w:pos="4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in bankruptcy of such tenant shall have accepted and assumed such Lease or the Tenant shall be in compliance with the rental payments described above in </w:t>
      </w:r>
      <w:r>
        <w:rPr>
          <w:rFonts w:ascii="Times New Roman" w:cs="Times New Roman" w:eastAsia="Times New Roman" w:hAnsi="Times New Roman"/>
          <w:sz w:val="22"/>
          <w:szCs w:val="22"/>
          <w:i w:val="1"/>
          <w:iCs w:val="1"/>
          <w:color w:val="auto"/>
        </w:rPr>
        <w:t>clause (a)</w:t>
      </w:r>
      <w:r>
        <w:rPr>
          <w:rFonts w:ascii="Times New Roman" w:cs="Times New Roman" w:eastAsia="Times New Roman" w:hAnsi="Times New Roman"/>
          <w:sz w:val="22"/>
          <w:szCs w:val="22"/>
          <w:color w:val="auto"/>
        </w:rPr>
        <w:t>; (ii) to the extent that the Tenant shall have filed and the bankruptcy court shall have approved the Tenant’s plan for reorganization, the Tenant shall be performing its obligations pursuant to the approved plan of reorganization; or (iii) is otherwise reasonably acceptable to the Administrative Agent.</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OFAC</w:t>
      </w:r>
      <w:r>
        <w:rPr>
          <w:rFonts w:ascii="Times New Roman" w:cs="Times New Roman" w:eastAsia="Times New Roman" w:hAnsi="Times New Roman"/>
          <w:sz w:val="21"/>
          <w:szCs w:val="21"/>
          <w:color w:val="auto"/>
        </w:rPr>
        <w:t>” means the United States Department of Treasury Office of Foreign Assets Control.</w:t>
      </w:r>
    </w:p>
    <w:p>
      <w:pPr>
        <w:spacing w:after="0" w:line="2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OFAC Event</w:t>
      </w:r>
      <w:r>
        <w:rPr>
          <w:rFonts w:ascii="Times New Roman" w:cs="Times New Roman" w:eastAsia="Times New Roman" w:hAnsi="Times New Roman"/>
          <w:sz w:val="22"/>
          <w:szCs w:val="22"/>
          <w:color w:val="auto"/>
        </w:rPr>
        <w:t>” means the event specified in Section 8.13(c) hereof.</w:t>
      </w:r>
    </w:p>
    <w:p>
      <w:pPr>
        <w:spacing w:after="0" w:line="206"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OFAC Sanctions Programs</w:t>
      </w:r>
      <w:r>
        <w:rPr>
          <w:rFonts w:ascii="Times New Roman" w:cs="Times New Roman" w:eastAsia="Times New Roman" w:hAnsi="Times New Roman"/>
          <w:sz w:val="22"/>
          <w:szCs w:val="22"/>
          <w:color w:val="auto"/>
        </w:rPr>
        <w:t>” means all laws, regulations, and Executive Orders administered by OFAC, including without limitation, the Bank Secrecy Act, anti-money laundering laws (including, without limitation, the Patriot Act), and all economic and trade sanction programs administered by OFAC, any and all similar United States federal laws, regulations or Executive Orders (whether administered by OFAC or otherwise), and any similar laws, regulators or orders adopted by any State within the United States.</w:t>
      </w:r>
    </w:p>
    <w:p>
      <w:pPr>
        <w:spacing w:after="0" w:line="175"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“Other Connection Taxes” </w:t>
      </w:r>
      <w:r>
        <w:rPr>
          <w:rFonts w:ascii="Times New Roman" w:cs="Times New Roman" w:eastAsia="Times New Roman" w:hAnsi="Times New Roman"/>
          <w:sz w:val="22"/>
          <w:szCs w:val="22"/>
          <w:color w:val="auto"/>
        </w:rPr>
        <w:t>means, with respect to any Recipient, Taxes imposed as a result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“Other Guaranty Trigger” </w:t>
      </w:r>
      <w:r>
        <w:rPr>
          <w:rFonts w:ascii="Times New Roman" w:cs="Times New Roman" w:eastAsia="Times New Roman" w:hAnsi="Times New Roman"/>
          <w:sz w:val="22"/>
          <w:szCs w:val="22"/>
          <w:color w:val="auto"/>
        </w:rPr>
        <w:t>is defined in Section 8.24(b) hereof.</w:t>
      </w:r>
    </w:p>
    <w:p>
      <w:pPr>
        <w:spacing w:after="0" w:line="206"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Taxes</w:t>
      </w:r>
      <w:r>
        <w:rPr>
          <w:rFonts w:ascii="Times New Roman" w:cs="Times New Roman" w:eastAsia="Times New Roman" w:hAnsi="Times New Roman"/>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1.13 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0" w:name="page101"/>
    <w:bookmarkEnd w:id="100"/>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“Other Unsecured Indebtedness” </w:t>
      </w:r>
      <w:r>
        <w:rPr>
          <w:rFonts w:ascii="Times New Roman" w:cs="Times New Roman" w:eastAsia="Times New Roman" w:hAnsi="Times New Roman"/>
          <w:sz w:val="22"/>
          <w:szCs w:val="22"/>
          <w:color w:val="auto"/>
        </w:rPr>
        <w:t>means any Unsecured Indebtedness (other than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Obligations) that is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or structurally senior to the Obligations and is recourse to the Borrower, including, without limitation, the Convertible Senior Notes.</w:t>
      </w:r>
    </w:p>
    <w:p>
      <w:pPr>
        <w:spacing w:after="0" w:line="167"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“Ownership Share” </w:t>
      </w:r>
      <w:r>
        <w:rPr>
          <w:rFonts w:ascii="Times New Roman" w:cs="Times New Roman" w:eastAsia="Times New Roman" w:hAnsi="Times New Roman"/>
          <w:sz w:val="21"/>
          <w:szCs w:val="21"/>
          <w:color w:val="auto"/>
        </w:rPr>
        <w:t>means with respect to any Subsidiary of a Person (other than a Wholly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Owned Subsidiary) or any Unconsolidated Affiliate of a Person, the greater of (a) such Person’s relative nominal direct and indirect ownership interest (expressed as a percentage) in such Subsidiary or Unconsolidated Affiliate or (b)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7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“Patriot Act” </w:t>
      </w:r>
      <w:r>
        <w:rPr>
          <w:rFonts w:ascii="Times New Roman" w:cs="Times New Roman" w:eastAsia="Times New Roman" w:hAnsi="Times New Roman"/>
          <w:sz w:val="22"/>
          <w:szCs w:val="22"/>
          <w:color w:val="auto"/>
        </w:rPr>
        <w:t>means the Uniting and Strengthening America by Providing Appropriate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Tools Required to Intercept and Obstruct Terrorism Act of 2001, Pub. L. 107-56.</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Recipient</w:t>
      </w:r>
      <w:r>
        <w:rPr>
          <w:rFonts w:ascii="Times New Roman" w:cs="Times New Roman" w:eastAsia="Times New Roman" w:hAnsi="Times New Roman"/>
          <w:sz w:val="22"/>
          <w:szCs w:val="22"/>
          <w:color w:val="auto"/>
        </w:rPr>
        <w:t>” has the meaning assigned to such term in Section 12.30(a).</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“PBGC” </w:t>
      </w:r>
      <w:r>
        <w:rPr>
          <w:rFonts w:ascii="Times New Roman" w:cs="Times New Roman" w:eastAsia="Times New Roman" w:hAnsi="Times New Roman"/>
          <w:sz w:val="22"/>
          <w:szCs w:val="22"/>
          <w:color w:val="auto"/>
        </w:rPr>
        <w:t>means the Pension Benefit Guaranty Corporation or any Person succeeding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or all of its functions under ERISA.</w:t>
      </w:r>
    </w:p>
    <w:p>
      <w:pPr>
        <w:spacing w:after="0" w:line="15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means each of the following: (a) Liens for taxes, assessments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governmental charges or levies to the extent not required to be paid under Section 8.3; (b) Liens 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w:t>
      </w:r>
    </w:p>
    <w:p>
      <w:pPr>
        <w:spacing w:after="0" w:line="2" w:lineRule="exact"/>
        <w:rPr>
          <w:sz w:val="20"/>
          <w:szCs w:val="20"/>
          <w:color w:val="auto"/>
        </w:rPr>
      </w:pPr>
    </w:p>
    <w:p>
      <w:pPr>
        <w:jc w:val="both"/>
        <w:ind w:left="200" w:right="219" w:firstLine="9"/>
        <w:spacing w:after="0" w:line="241" w:lineRule="auto"/>
        <w:tabs>
          <w:tab w:leader="none" w:pos="52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contracts (other than for borrowed money), leases, statutory obligations, surety and appeal bonds, performance bonds and other obligations of like nature incurred in the ordinary course of business;</w:t>
      </w:r>
    </w:p>
    <w:p>
      <w:pPr>
        <w:spacing w:after="0" w:line="2" w:lineRule="exact"/>
        <w:rPr>
          <w:rFonts w:ascii="Times New Roman" w:cs="Times New Roman" w:eastAsia="Times New Roman" w:hAnsi="Times New Roman"/>
          <w:sz w:val="21"/>
          <w:szCs w:val="21"/>
          <w:color w:val="auto"/>
        </w:rPr>
      </w:pPr>
    </w:p>
    <w:p>
      <w:pPr>
        <w:jc w:val="both"/>
        <w:ind w:left="200" w:right="219" w:firstLine="9"/>
        <w:spacing w:after="0" w:line="241" w:lineRule="auto"/>
        <w:tabs>
          <w:tab w:leader="none" w:pos="515"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the United States of America for amounts paid to the Borrower or any Subsidiary as progress payments under government contracts entered into by it; (g) attachment, 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 (h) the rights of tenants or lessees under leases or subleases not interfering with the ordinary conduct of business of such Person; (i) Liens in favor of the Administrative Agent for its benefit and the benefit of the Lenders;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Closing Date and set forth in Schedule 8.7, (l) Liens on Properties that are not Eligible Properties and whose Borrowing Base Values are not included in the calculation of the Borrowing Base and</w:t>
      </w:r>
    </w:p>
    <w:p>
      <w:pPr>
        <w:spacing w:after="0" w:line="6" w:lineRule="exact"/>
        <w:rPr>
          <w:rFonts w:ascii="Times New Roman" w:cs="Times New Roman" w:eastAsia="Times New Roman" w:hAnsi="Times New Roman"/>
          <w:sz w:val="21"/>
          <w:szCs w:val="21"/>
          <w:color w:val="auto"/>
        </w:rPr>
      </w:pPr>
    </w:p>
    <w:p>
      <w:pPr>
        <w:ind w:left="580" w:hanging="371"/>
        <w:spacing w:after="0"/>
        <w:tabs>
          <w:tab w:leader="none" w:pos="5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Equity Interest in any direct Material Subsidiary securing Other Unsecured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1" w:name="page102"/>
    <w:bookmarkEnd w:id="101"/>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 xml:space="preserve">Indebtedness (which Other Unsecured Indebtedness will be subtracted under clause (y) of each Borrowing Base calculation),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prior to the grant of any such Lien securing Other Unsecured Indebtedness, the Administrative Agent and the holders of such Other Unsecured Indebtedness have entered into an intercreditor agreement on terms reasonably acceptable to the Administrative Agent.</w:t>
      </w:r>
    </w:p>
    <w:p>
      <w:pPr>
        <w:spacing w:after="0" w:line="173"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 individual, partnership, corporation, limited liability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association, trust, unincorporated organization or any other entity or organization, including a government or agency or political subdivision thereof.</w:t>
      </w:r>
    </w:p>
    <w:p>
      <w:pPr>
        <w:spacing w:after="0" w:line="167"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means any employee pension benefit plan covered by Title IV of ERISA or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17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“Property”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“Properties” </w:t>
      </w:r>
      <w:r>
        <w:rPr>
          <w:rFonts w:ascii="Times New Roman" w:cs="Times New Roman" w:eastAsia="Times New Roman" w:hAnsi="Times New Roman"/>
          <w:sz w:val="22"/>
          <w:szCs w:val="22"/>
          <w:color w:val="auto"/>
        </w:rPr>
        <w:t>means, as to any Person, all types of real, personal, tangible,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intangible or mixed property, including property encumbered by Ground Leases or owned pursuant to Eligible Leasehold Interests, owned by such Person whether or not included in the most recent balance sheet of such Person and its subsidiaries under GAAP, including any Eligible Property owned by the Borrower or any of its Subsidiaries.</w:t>
      </w:r>
    </w:p>
    <w:p>
      <w:pPr>
        <w:spacing w:after="0" w:line="17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“Property Expenses” </w:t>
      </w:r>
      <w:r>
        <w:rPr>
          <w:rFonts w:ascii="Times New Roman" w:cs="Times New Roman" w:eastAsia="Times New Roman" w:hAnsi="Times New Roman"/>
          <w:sz w:val="22"/>
          <w:szCs w:val="22"/>
          <w:color w:val="auto"/>
        </w:rPr>
        <w:t>means the costs (including, but not limited to, payroll, taxes,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assessments, insurance, utilities, landscaping and other similar charges) of operating and maintaining any real Property, which are the responsibility of the Borrower and its Subsidiaries that are not paid directly by the tenant, including without limitation, the Annual Capital Expenditure Reserve and the greater of (a) 3% of rents and (b) actual management fees paid in cash, but excluding depreciation, amortization and interest costs. The Borrower’s Ownership Share of assets held by Unconsolidated Affiliates shall be included when determining Property Expenses shall be included when determining Property Income of the Borrower and its Subsidiaries, subject to the adjustments set forth in this definition</w:t>
      </w:r>
    </w:p>
    <w:p>
      <w:pPr>
        <w:spacing w:after="0" w:line="174"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“Property Income” </w:t>
      </w:r>
      <w:r>
        <w:rPr>
          <w:rFonts w:ascii="Times New Roman" w:cs="Times New Roman" w:eastAsia="Times New Roman" w:hAnsi="Times New Roman"/>
          <w:sz w:val="22"/>
          <w:szCs w:val="22"/>
          <w:color w:val="auto"/>
        </w:rPr>
        <w:t>means cash rents (excluding non-cash straight-line rent) and other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revenues received by the Borrower and its Subsidiaries in the ordinary course for any real property, but excluding security deposits and prepaid rent except to the extent applied in satisfaction of tenants’ obligations for rent. The Borrower’s Ownership Share of assets held by Unconsolidated Affiliates shall be included when determining Property Income of the Borrower and its Subsidiaries, subject to the adjustments set forth in this definition.</w:t>
      </w:r>
    </w:p>
    <w:p>
      <w:pPr>
        <w:spacing w:after="0" w:line="175"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“Property Net Operating Income”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“Property NOI” </w:t>
      </w:r>
      <w:r>
        <w:rPr>
          <w:rFonts w:ascii="Times New Roman" w:cs="Times New Roman" w:eastAsia="Times New Roman" w:hAnsi="Times New Roman"/>
          <w:sz w:val="21"/>
          <w:szCs w:val="21"/>
          <w:color w:val="auto"/>
        </w:rPr>
        <w:t>means, with respect to any Property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for any Rolling Period (without duplication), the aggregate amount of (i) Property Income for such period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(ii) Property Expenses for such period. The Borrower’s Ownership Share of assets held by Unconsolidated Affiliates shall be included when determining Property Net Operating Income of the Borrower and its Subsidiaries, subject to the adjustments set forth in this definition.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2" w:name="page103"/>
    <w:bookmarkEnd w:id="102"/>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“Property Owner” </w:t>
      </w:r>
      <w:r>
        <w:rPr>
          <w:rFonts w:ascii="Times New Roman" w:cs="Times New Roman" w:eastAsia="Times New Roman" w:hAnsi="Times New Roman"/>
          <w:sz w:val="22"/>
          <w:szCs w:val="22"/>
          <w:color w:val="auto"/>
        </w:rPr>
        <w:t>means the Person who owns fee title interest in and to a Property.</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ECP Guarantor</w:t>
      </w:r>
      <w:r>
        <w:rPr>
          <w:rFonts w:ascii="Times New Roman" w:cs="Times New Roman" w:eastAsia="Times New Roman" w:hAnsi="Times New Roman"/>
          <w:sz w:val="22"/>
          <w:szCs w:val="22"/>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“Rating” </w:t>
      </w:r>
      <w:r>
        <w:rPr>
          <w:rFonts w:ascii="Times New Roman" w:cs="Times New Roman" w:eastAsia="Times New Roman" w:hAnsi="Times New Roman"/>
          <w:sz w:val="22"/>
          <w:szCs w:val="22"/>
          <w:color w:val="auto"/>
        </w:rPr>
        <w:t>means the debt rating provided by S&amp;P, Moody’s or Fitch with respect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unsecured senior long-term non-credit enhanced debt of a Person.</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“RCRA” </w:t>
      </w:r>
      <w:r>
        <w:rPr>
          <w:rFonts w:ascii="Times New Roman" w:cs="Times New Roman" w:eastAsia="Times New Roman" w:hAnsi="Times New Roman"/>
          <w:sz w:val="22"/>
          <w:szCs w:val="22"/>
          <w:color w:val="auto"/>
        </w:rPr>
        <w:t>means the Solid Waste Disposal Act, as amended by the Resource Conservation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Recovery Act of 1976 and Hazardous and Solid Waste Amendments of 1984, 42 U.S.C.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6901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any future amendments.</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“Recipient</w:t>
      </w:r>
      <w:r>
        <w:rPr>
          <w:rFonts w:ascii="Times New Roman" w:cs="Times New Roman" w:eastAsia="Times New Roman" w:hAnsi="Times New Roman"/>
          <w:sz w:val="22"/>
          <w:szCs w:val="22"/>
          <w:color w:val="auto"/>
        </w:rPr>
        <w:t>” means (a) the Administrative Agent and (b) any Lender, as applicable.</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“REIT” </w:t>
      </w:r>
      <w:r>
        <w:rPr>
          <w:rFonts w:ascii="Times New Roman" w:cs="Times New Roman" w:eastAsia="Times New Roman" w:hAnsi="Times New Roman"/>
          <w:sz w:val="22"/>
          <w:szCs w:val="22"/>
          <w:color w:val="auto"/>
        </w:rPr>
        <w:t>means a “real estate investment trust” in accordance with Section 856 et. seq.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Code.</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“Related Parties” </w:t>
      </w:r>
      <w:r>
        <w:rPr>
          <w:rFonts w:ascii="Times New Roman" w:cs="Times New Roman" w:eastAsia="Times New Roman" w:hAnsi="Times New Roman"/>
          <w:sz w:val="22"/>
          <w:szCs w:val="22"/>
          <w:color w:val="auto"/>
        </w:rPr>
        <w:t>means, with respect to any Person, such Person’s Affiliates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partners, directors, officers, employees, agents, trustees, administrators, managers, advisors and representatives of such Person and of such Person’s Affiliates.</w:t>
      </w:r>
    </w:p>
    <w:p>
      <w:pPr>
        <w:spacing w:after="0" w:line="167"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“Release” </w:t>
      </w:r>
      <w:r>
        <w:rPr>
          <w:rFonts w:ascii="Times New Roman" w:cs="Times New Roman" w:eastAsia="Times New Roman" w:hAnsi="Times New Roman"/>
          <w:sz w:val="21"/>
          <w:szCs w:val="21"/>
          <w:color w:val="auto"/>
        </w:rPr>
        <w:t>means any spilling, leaking, pumping, pouring, emitting, emptying, discharging,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spacing w:after="0" w:line="158"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“Relevant Governmental Body” </w:t>
      </w:r>
      <w:r>
        <w:rPr>
          <w:rFonts w:ascii="Times New Roman" w:cs="Times New Roman" w:eastAsia="Times New Roman" w:hAnsi="Times New Roman"/>
          <w:sz w:val="22"/>
          <w:szCs w:val="22"/>
          <w:color w:val="auto"/>
        </w:rPr>
        <w:t>means the Federal Reserve Board or the Federal Reserve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 of New York, or a committee officially endorsed or convened by the Federal Reserve Board or the Federal Reserve Bank of New York, or any successor thereto.</w:t>
      </w:r>
    </w:p>
    <w:p>
      <w:pPr>
        <w:spacing w:after="0" w:line="167"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Required Lenders”</w:t>
      </w:r>
      <w:r>
        <w:rPr>
          <w:rFonts w:ascii="Times New Roman" w:cs="Times New Roman" w:eastAsia="Times New Roman" w:hAnsi="Times New Roman"/>
          <w:sz w:val="21"/>
          <w:szCs w:val="21"/>
          <w:color w:val="auto"/>
        </w:rPr>
        <w:t xml:space="preserve"> means, as of the date of determination thereof, (i) at any time in which there are only two Lenders, both Lenders and (ii) at any other time Lenders whose outstanding Loans constitute more than 50% of the sum of the Total Outstandings. The outstanding Loans of any Defaulting Lender shall be disregarded in determining Required Lenders at any time.</w:t>
      </w:r>
    </w:p>
    <w:p>
      <w:pPr>
        <w:spacing w:after="0" w:line="158"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“Resolution Authority” </w:t>
      </w:r>
      <w:r>
        <w:rPr>
          <w:rFonts w:ascii="Times New Roman" w:cs="Times New Roman" w:eastAsia="Times New Roman" w:hAnsi="Times New Roman"/>
          <w:sz w:val="22"/>
          <w:szCs w:val="22"/>
          <w:color w:val="auto"/>
        </w:rPr>
        <w:t>means an EEA Resolution Authority or, with respect to any UK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Institution, a UK Resolution Authority.</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“Responsible Officer” </w:t>
      </w:r>
      <w:r>
        <w:rPr>
          <w:rFonts w:ascii="Times New Roman" w:cs="Times New Roman" w:eastAsia="Times New Roman" w:hAnsi="Times New Roman"/>
          <w:sz w:val="22"/>
          <w:szCs w:val="22"/>
          <w:color w:val="auto"/>
        </w:rPr>
        <w:t>means, with respect to the Borrower or any of its Subsidiaries,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chief executive officer, the chief financial officer, chief accounting officer, chief legal officer or the chief operating officer of the Borrower or such Subsidiary.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3" w:name="page104"/>
    <w:bookmarkEnd w:id="103"/>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“Restricted Payments” </w:t>
      </w:r>
      <w:r>
        <w:rPr>
          <w:rFonts w:ascii="Times New Roman" w:cs="Times New Roman" w:eastAsia="Times New Roman" w:hAnsi="Times New Roman"/>
          <w:sz w:val="22"/>
          <w:szCs w:val="22"/>
          <w:color w:val="auto"/>
        </w:rPr>
        <w:t>means dividends on or other distributions in respect of any class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series of Stock, Stock Equivalents or other Equity Interests of the Borrower or its Subsidiaries or the direct or indirect purchase, redemption, acquisition, or retirement of any of the Borrower’s or a Subsidiaries’ Stock, Stock Equivalents or other Equity Interest.</w:t>
      </w:r>
    </w:p>
    <w:p>
      <w:pPr>
        <w:spacing w:after="0" w:line="17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“Retail Mixed-Use Properties” </w:t>
      </w:r>
      <w:r>
        <w:rPr>
          <w:rFonts w:ascii="Times New Roman" w:cs="Times New Roman" w:eastAsia="Times New Roman" w:hAnsi="Times New Roman"/>
          <w:sz w:val="22"/>
          <w:szCs w:val="22"/>
          <w:color w:val="auto"/>
        </w:rPr>
        <w:t>means real property with not less than 20% of gross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leasable area occupied by Tenants utilizing such property for retail space.</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“Rolling Period” </w:t>
      </w:r>
      <w:r>
        <w:rPr>
          <w:rFonts w:ascii="Times New Roman" w:cs="Times New Roman" w:eastAsia="Times New Roman" w:hAnsi="Times New Roman"/>
          <w:sz w:val="22"/>
          <w:szCs w:val="22"/>
          <w:color w:val="auto"/>
        </w:rPr>
        <w:t>means, as of any date, the four Fiscal Quarters ending on or immediately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preceding such date.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“S&amp;P” </w:t>
      </w:r>
      <w:r>
        <w:rPr>
          <w:rFonts w:ascii="Times New Roman" w:cs="Times New Roman" w:eastAsia="Times New Roman" w:hAnsi="Times New Roman"/>
          <w:sz w:val="22"/>
          <w:szCs w:val="22"/>
          <w:color w:val="auto"/>
        </w:rPr>
        <w:t>means S&amp;P Global, Inc. or any successor thereof.</w:t>
      </w:r>
    </w:p>
    <w:p>
      <w:pPr>
        <w:spacing w:after="0" w:line="20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“Secured Indebtedness” </w:t>
      </w:r>
      <w:r>
        <w:rPr>
          <w:rFonts w:ascii="Times New Roman" w:cs="Times New Roman" w:eastAsia="Times New Roman" w:hAnsi="Times New Roman"/>
          <w:sz w:val="22"/>
          <w:szCs w:val="22"/>
          <w:color w:val="auto"/>
        </w:rPr>
        <w:t>means all Indebtedness for Borrowed Money of the Borrower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Subsidiaries, that is secured by a Lien, other than the Obligations. The Borrower’s Ownership Share of Secured Indebtedness held by Unconsolidated Affiliates shall be included when determining Secured Indebtedness of the Borrower and its Subsidiaries.</w:t>
      </w:r>
    </w:p>
    <w:p>
      <w:pPr>
        <w:spacing w:after="0" w:line="17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“Secured Recourse Indebtedness” </w:t>
      </w:r>
      <w:r>
        <w:rPr>
          <w:rFonts w:ascii="Times New Roman" w:cs="Times New Roman" w:eastAsia="Times New Roman" w:hAnsi="Times New Roman"/>
          <w:sz w:val="22"/>
          <w:szCs w:val="22"/>
          <w:color w:val="auto"/>
        </w:rPr>
        <w:t>means Secured Indebtedness for which recourse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(except for customary exceptions for fraud, misapplication of funds, environmental indemnities and other similar exceptions to recourse liability) is to the Borrower or any Guarantor, other than the Obligations.</w:t>
      </w:r>
    </w:p>
    <w:p>
      <w:pPr>
        <w:spacing w:after="0" w:line="17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“Significant Lease” </w:t>
      </w:r>
      <w:r>
        <w:rPr>
          <w:rFonts w:ascii="Times New Roman" w:cs="Times New Roman" w:eastAsia="Times New Roman" w:hAnsi="Times New Roman"/>
          <w:sz w:val="22"/>
          <w:szCs w:val="22"/>
          <w:color w:val="auto"/>
        </w:rPr>
        <w:t>means, as to any particular Property, each Lease which constitutes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 or more of all base rent revenue of such Property.</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Administrator’s Website</w:t>
      </w:r>
      <w:r>
        <w:rPr>
          <w:rFonts w:ascii="Times New Roman" w:cs="Times New Roman" w:eastAsia="Times New Roman" w:hAnsi="Times New Roman"/>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6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2"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Determination Day</w:t>
      </w:r>
      <w:r>
        <w:rPr>
          <w:rFonts w:ascii="Times New Roman" w:cs="Times New Roman" w:eastAsia="Times New Roman" w:hAnsi="Times New Roman"/>
          <w:sz w:val="22"/>
          <w:szCs w:val="22"/>
          <w:color w:val="auto"/>
        </w:rPr>
        <w:t>” has the meaning specified in the definition of “Daily Simple SOFR”.</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Index Adjustment</w:t>
      </w:r>
      <w:r>
        <w:rPr>
          <w:rFonts w:ascii="Times New Roman" w:cs="Times New Roman" w:eastAsia="Times New Roman" w:hAnsi="Times New Roman"/>
          <w:sz w:val="22"/>
          <w:szCs w:val="22"/>
          <w:color w:val="auto"/>
        </w:rPr>
        <w:t>” means for any calculation with respect to a Base Rate Loan, a Daily Simple SOFR Rate Loan or a Term SOFR Rate Loan, a percentage per annum as set forth below for the applicable Type of such Loan: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4" w:name="page105"/>
    <w:bookmarkEnd w:id="104"/>
    <w:p>
      <w:pPr>
        <w:ind w:left="860"/>
        <w:spacing w:after="0"/>
        <w:rPr>
          <w:sz w:val="20"/>
          <w:szCs w:val="20"/>
          <w:color w:val="auto"/>
        </w:rPr>
      </w:pPr>
      <w:r>
        <w:rPr>
          <w:rFonts w:ascii="Times New Roman" w:cs="Times New Roman" w:eastAsia="Times New Roman" w:hAnsi="Times New Roman"/>
          <w:sz w:val="22"/>
          <w:szCs w:val="22"/>
          <w:color w:val="auto"/>
        </w:rPr>
        <w:t>Daily Simple SOFR Rate Loans: 0.10%</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Term SOFR Rate Loans (for all Interest Periods): 0.10%</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SOFR Rate Loan</w:t>
      </w:r>
      <w:r>
        <w:rPr>
          <w:rFonts w:ascii="Times New Roman" w:cs="Times New Roman" w:eastAsia="Times New Roman" w:hAnsi="Times New Roman"/>
          <w:sz w:val="21"/>
          <w:szCs w:val="21"/>
          <w:color w:val="auto"/>
        </w:rPr>
        <w:t>” means each Daily Simple SOFR Rate Loan and each Term SOFR Rate</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Loan.</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Rate Day</w:t>
      </w:r>
      <w:r>
        <w:rPr>
          <w:rFonts w:ascii="Times New Roman" w:cs="Times New Roman" w:eastAsia="Times New Roman" w:hAnsi="Times New Roman"/>
          <w:sz w:val="22"/>
          <w:szCs w:val="22"/>
          <w:color w:val="auto"/>
        </w:rPr>
        <w:t>” has the meaning specified in the definition of “Daily Simple SOFR”.</w:t>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“Stock” </w:t>
      </w:r>
      <w:r>
        <w:rPr>
          <w:rFonts w:ascii="Times New Roman" w:cs="Times New Roman" w:eastAsia="Times New Roman" w:hAnsi="Times New Roman"/>
          <w:sz w:val="22"/>
          <w:szCs w:val="22"/>
          <w:color w:val="auto"/>
        </w:rPr>
        <w:t>means shares of capital stock, beneficial or partnership interests, participations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equivalents (regardless of how designated) of or in a corporation or equivalent entity, whether voting or non-voting, and includes, without limitation, common stock.</w:t>
      </w:r>
    </w:p>
    <w:p>
      <w:pPr>
        <w:spacing w:after="0" w:line="16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“Stock Equivalents” </w:t>
      </w:r>
      <w:r>
        <w:rPr>
          <w:rFonts w:ascii="Times New Roman" w:cs="Times New Roman" w:eastAsia="Times New Roman" w:hAnsi="Times New Roman"/>
          <w:sz w:val="22"/>
          <w:szCs w:val="22"/>
          <w:color w:val="auto"/>
        </w:rPr>
        <w:t>means all securities (other than Stock) convertible into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exchangeable for Stock at the option of the holder, and all warrants, options or other rights to purchase or subscribe for any stock, whether or not presently convertible, exchangeable or exercisable.</w:t>
      </w:r>
    </w:p>
    <w:p>
      <w:pPr>
        <w:spacing w:after="0" w:line="172"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as to any particular parent corporation or organization,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corporation or 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xml:space="preserve"> means a Subsidiary of the Borrower or of any of its direct or indirect Subsidiaries.</w:t>
      </w:r>
    </w:p>
    <w:p>
      <w:pPr>
        <w:spacing w:after="0" w:line="17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Sustainability Structuring Agent</w:t>
      </w:r>
      <w:r>
        <w:rPr>
          <w:rFonts w:ascii="Times New Roman" w:cs="Times New Roman" w:eastAsia="Times New Roman" w:hAnsi="Times New Roman"/>
          <w:sz w:val="22"/>
          <w:szCs w:val="22"/>
          <w:color w:val="auto"/>
        </w:rPr>
        <w:t>” means KeyBank National Association, as sustainability structuring agent under the terms of this Agreement, and any of its successors.</w:t>
      </w:r>
    </w:p>
    <w:p>
      <w:pPr>
        <w:spacing w:after="0" w:line="15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Sustainability Linked Loan Principles</w:t>
      </w:r>
      <w:r>
        <w:rPr>
          <w:rFonts w:ascii="Times New Roman" w:cs="Times New Roman" w:eastAsia="Times New Roman" w:hAnsi="Times New Roman"/>
          <w:sz w:val="22"/>
          <w:szCs w:val="22"/>
          <w:color w:val="auto"/>
        </w:rPr>
        <w:t>” means the Sustainability Linked Loan Principles (as published in February 2023 and updated on April 20, 2023 by the Loan Market Association, Asia Pacific Loan Market Association and Loan Syndications &amp; Trading Association) or such other principles and metrics mutually agreed to by the Borrower and the Sustainability Structuring Agent (each acting reasonably).</w:t>
      </w:r>
    </w:p>
    <w:p>
      <w:pPr>
        <w:spacing w:after="0" w:line="17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Swap Obligation</w:t>
      </w:r>
      <w:r>
        <w:rPr>
          <w:rFonts w:ascii="Times New Roman" w:cs="Times New Roman" w:eastAsia="Times New Roman" w:hAnsi="Times New Roman"/>
          <w:sz w:val="22"/>
          <w:szCs w:val="22"/>
          <w:color w:val="auto"/>
        </w:rPr>
        <w:t>” means, with respect to any Guarantor, any obligation to pay or perform under any agreement, contract or transaction that constitutes a “swap” within the meaning of Section 1a(47) of the Commodity Exchange Act.</w:t>
      </w:r>
    </w:p>
    <w:p>
      <w:pPr>
        <w:spacing w:after="0" w:line="167"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“Tangible Net Worth” </w:t>
      </w:r>
      <w:r>
        <w:rPr>
          <w:rFonts w:ascii="Times New Roman" w:cs="Times New Roman" w:eastAsia="Times New Roman" w:hAnsi="Times New Roman"/>
          <w:sz w:val="22"/>
          <w:szCs w:val="22"/>
          <w:color w:val="auto"/>
        </w:rPr>
        <w:t>means for each applicable period, total shareholder’s equity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Borrower’s consolidated balance sheet as reported in its Form 10-K or 10-Q for such period, </w:t>
      </w:r>
      <w:r>
        <w:rPr>
          <w:rFonts w:ascii="Times New Roman" w:cs="Times New Roman" w:eastAsia="Times New Roman" w:hAnsi="Times New Roman"/>
          <w:sz w:val="22"/>
          <w:szCs w:val="22"/>
          <w:u w:val="single" w:color="auto"/>
          <w:color w:val="auto"/>
        </w:rPr>
        <w:t>plus</w:t>
      </w:r>
    </w:p>
    <w:p>
      <w:pPr>
        <w:spacing w:after="0" w:line="2" w:lineRule="exact"/>
        <w:rPr>
          <w:sz w:val="20"/>
          <w:szCs w:val="20"/>
          <w:color w:val="auto"/>
        </w:rPr>
      </w:pPr>
    </w:p>
    <w:p>
      <w:pPr>
        <w:jc w:val="both"/>
        <w:ind w:left="200" w:right="219" w:firstLine="9"/>
        <w:spacing w:after="0" w:line="232" w:lineRule="auto"/>
        <w:tabs>
          <w:tab w:leader="none" w:pos="49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accumulated depreciation and amortization and (ii) unrealized losses related to marketable securities,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to the extent included when determining stockholders’ equity, (x) all unrealized gains related to marketable securities and (y) all amounts appearing on the assets side of the Borrower’s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5" w:name="page106"/>
    <w:bookmarkEnd w:id="105"/>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“Taxes” </w:t>
      </w:r>
      <w:r>
        <w:rPr>
          <w:rFonts w:ascii="Times New Roman" w:cs="Times New Roman" w:eastAsia="Times New Roman" w:hAnsi="Times New Roman"/>
          <w:sz w:val="21"/>
          <w:szCs w:val="21"/>
          <w:color w:val="auto"/>
        </w:rPr>
        <w:t>means all present or future taxes, levies, imposts, duties, deductions, withholdings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(including back up withholding), assessments, fees or other charges imposed by any Governmental Authority, including any interest, additions to tax or penalties applicable thereto.</w:t>
      </w:r>
    </w:p>
    <w:p>
      <w:pPr>
        <w:spacing w:after="0" w:line="15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“Tenant” </w:t>
      </w:r>
      <w:r>
        <w:rPr>
          <w:rFonts w:ascii="Times New Roman" w:cs="Times New Roman" w:eastAsia="Times New Roman" w:hAnsi="Times New Roman"/>
          <w:sz w:val="22"/>
          <w:szCs w:val="22"/>
          <w:color w:val="auto"/>
        </w:rPr>
        <w:t>means any Person leasing, subleasing or otherwise occupying any portion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under a Lease or other occupancy agreement with the Borrower or a Subsidiary that is the direct owner or lessor of such Property.</w:t>
      </w:r>
    </w:p>
    <w:p>
      <w:pPr>
        <w:spacing w:after="0" w:line="16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Lender</w:t>
      </w:r>
      <w:r>
        <w:rPr>
          <w:rFonts w:ascii="Times New Roman" w:cs="Times New Roman" w:eastAsia="Times New Roman" w:hAnsi="Times New Roman"/>
          <w:sz w:val="22"/>
          <w:szCs w:val="22"/>
          <w:color w:val="auto"/>
        </w:rPr>
        <w:t>” means (a) on the Closing Date, any Lender that has a 2029 Term Loan Commitment at such time and (b) at any time after the Closing Date, any Lender that has a Term Loan Commitment or holds Term Loans at such time.</w:t>
      </w:r>
    </w:p>
    <w:p>
      <w:pPr>
        <w:spacing w:after="0" w:line="16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“Term Loan” </w:t>
      </w:r>
      <w:r>
        <w:rPr>
          <w:rFonts w:ascii="Times New Roman" w:cs="Times New Roman" w:eastAsia="Times New Roman" w:hAnsi="Times New Roman"/>
          <w:sz w:val="22"/>
          <w:szCs w:val="22"/>
          <w:color w:val="auto"/>
        </w:rPr>
        <w:t>means the 2029 Term Loans and any other Incremental Term Loans made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Section 1.15 hereof.</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left="200" w:right="219" w:firstLine="657"/>
        <w:spacing w:after="0" w:line="233" w:lineRule="auto"/>
        <w:tabs>
          <w:tab w:leader="none" w:pos="11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Term SOFR Rate Loan, the Term SOFR Reference Rate for a tenor comparable to the applicable Interest Period on the day (such day, the “</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Lookback Day</w:t>
      </w:r>
      <w:r>
        <w:rPr>
          <w:rFonts w:ascii="Times New Roman" w:cs="Times New Roman" w:eastAsia="Times New Roman" w:hAnsi="Times New Roman"/>
          <w:sz w:val="22"/>
          <w:szCs w:val="22"/>
          <w:color w:val="auto"/>
        </w:rPr>
        <w:t>”) that is two SOFR Business Days prior to the first day of such Interest Period,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Term SOFR Lookback Day, and</w:t>
      </w:r>
    </w:p>
    <w:p>
      <w:pPr>
        <w:spacing w:after="0" w:line="184" w:lineRule="exact"/>
        <w:rPr>
          <w:rFonts w:ascii="Times New Roman" w:cs="Times New Roman" w:eastAsia="Times New Roman" w:hAnsi="Times New Roman"/>
          <w:sz w:val="22"/>
          <w:szCs w:val="22"/>
          <w:color w:val="auto"/>
        </w:rPr>
      </w:pPr>
    </w:p>
    <w:p>
      <w:pPr>
        <w:jc w:val="both"/>
        <w:ind w:left="200" w:right="219" w:firstLine="657"/>
        <w:spacing w:after="0" w:line="245" w:lineRule="auto"/>
        <w:tabs>
          <w:tab w:leader="none" w:pos="1194"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1"/>
          <w:szCs w:val="21"/>
          <w:i w:val="1"/>
          <w:iCs w:val="1"/>
          <w:color w:val="auto"/>
        </w:rPr>
        <w:t>Base Rate Term SOFR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Lookback Day</w:t>
      </w:r>
      <w:r>
        <w:rPr>
          <w:rFonts w:ascii="Times New Roman" w:cs="Times New Roman" w:eastAsia="Times New Roman" w:hAnsi="Times New Roman"/>
          <w:sz w:val="21"/>
          <w:szCs w:val="21"/>
          <w:color w:val="auto"/>
        </w:rPr>
        <w:t>”) that is two SOFR Business Days prior to such day, as such rate is published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as of 5:00 p.m. (New York City time) on any Base Rate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Base Rate Term SOFR Lookback Day.</w:t>
      </w:r>
    </w:p>
    <w:p>
      <w:pPr>
        <w:spacing w:after="0" w:line="173" w:lineRule="exact"/>
        <w:rPr>
          <w:sz w:val="20"/>
          <w:szCs w:val="20"/>
          <w:color w:val="auto"/>
        </w:rPr>
      </w:pPr>
    </w:p>
    <w:p>
      <w:pPr>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CBA (or a successor administrator of the Term SOFR Reference Rate, as selected by the Administrative Agent in its reasonable discretion).</w:t>
      </w:r>
    </w:p>
    <w:p>
      <w:pPr>
        <w:spacing w:after="0" w:line="150" w:lineRule="exact"/>
        <w:rPr>
          <w:sz w:val="20"/>
          <w:szCs w:val="20"/>
          <w:color w:val="auto"/>
        </w:rPr>
      </w:pPr>
    </w:p>
    <w:p>
      <w:pPr>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Rate Loan</w:t>
      </w:r>
      <w:r>
        <w:rPr>
          <w:rFonts w:ascii="Times New Roman" w:cs="Times New Roman" w:eastAsia="Times New Roman" w:hAnsi="Times New Roman"/>
          <w:sz w:val="22"/>
          <w:szCs w:val="22"/>
          <w:color w:val="auto"/>
        </w:rPr>
        <w:t>” means each Loan bearing interest at a rate based upon Adjusted Term SOFR (other than pursuant to clause (iii) of the definition of Base Rate).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6" w:name="page107"/>
    <w:bookmarkEnd w:id="106"/>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0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“Total Asset Value” </w:t>
      </w:r>
      <w:r>
        <w:rPr>
          <w:rFonts w:ascii="Times New Roman" w:cs="Times New Roman" w:eastAsia="Times New Roman" w:hAnsi="Times New Roman"/>
          <w:sz w:val="21"/>
          <w:szCs w:val="21"/>
          <w:color w:val="auto"/>
        </w:rPr>
        <w:t>means, as of the end of any Rolling Period, an amount equal to the sum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 (a) for all Properties owned by the Borrower and its Subsidiaries for more than twelve (12) months, the quotient of (i) the Property NOI from such Properties divided by (ii) the Capitalization Rate,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for all Properties owned by the Borrower and its Subsidiaries for twelve (12) months or less, the undepreciated book value (as defined in GAAP) of any such property,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(c) the aggregate book value of all unimproved land holdings, land-related assets, mortgage or mezzanine loans, notes receivable and/or construction in progress owned by the Borrower and its Subsidiaries </w:t>
      </w:r>
      <w:r>
        <w:rPr>
          <w:rFonts w:ascii="Times New Roman" w:cs="Times New Roman" w:eastAsia="Times New Roman" w:hAnsi="Times New Roman"/>
          <w:sz w:val="21"/>
          <w:szCs w:val="21"/>
          <w:i w:val="1"/>
          <w:iCs w:val="1"/>
          <w:color w:val="auto"/>
        </w:rPr>
        <w:t xml:space="preserve">plus </w:t>
      </w:r>
      <w:r>
        <w:rPr>
          <w:rFonts w:ascii="Times New Roman" w:cs="Times New Roman" w:eastAsia="Times New Roman" w:hAnsi="Times New Roman"/>
          <w:sz w:val="21"/>
          <w:szCs w:val="21"/>
          <w:color w:val="auto"/>
        </w:rPr>
        <w:t>(d) cash, cash equivalents and marketable securities owned by the Borrower and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Subsidiaries that are not then being held in or subject to escrow in connection with funding commitments of the Borrower or such Subsidiary. Other than with respect to assets of the type described in the immediately preceding clause (d), the Borrower’s or Subsidiaries’ Ownership Share of any Properties held by Unconsolidated Affiliates shall be included when determining Total Asset Value of the Borrower and its Subsidiaries, subject to the adjustments set forth in this definition. For purposes of determining Total Asset Value: (u) to the extent the amount of Total Asset Value attributable to non-Wholly Owned Subsidiaries and Unconsolidated Affiliates would exceed 15% of Total Asset Value, such excess shall be excluded; (v) to the extent the amount of Total Asset Value attributable to Assets Under Development would exceed 10% of Total Asset Value, such excess shall be excluded; (w) to the extent the amount of Total Asset Value attributable to mortgages, deeds of trust, deeds to secure debt or similar instruments that are a lien upon Property, mezzanine loans, notes receivable, and investments in preferred equity securities would exceed 15% of Total Asset Value, such excess shall be excluded; (x) to the extent the amount of Total Asset Value attributable to Land Assets and Land Assets contributed to joint ventures would exceed 10% of Total Asset Value, such excess shall be excluded, (y) to the extent the amount of Total Asset Value attributable to Eligible Leasehold Interests would exceed 15% of Total Asset Value, such excess shall be excluded and (z) to the extent the amount of Total Asset Value attributable to the items outlined in clauses (u), (v), (w), (x) and (y) of this sentence would exceed 30% of Total Asset Value, such excess shall be excluded.</w:t>
      </w:r>
    </w:p>
    <w:p>
      <w:pPr>
        <w:spacing w:after="0" w:line="200" w:lineRule="exact"/>
        <w:rPr>
          <w:sz w:val="20"/>
          <w:szCs w:val="20"/>
          <w:color w:val="auto"/>
        </w:rPr>
      </w:pPr>
    </w:p>
    <w:p>
      <w:pPr>
        <w:spacing w:after="0" w:line="22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“Total Indebtedness” </w:t>
      </w:r>
      <w:r>
        <w:rPr>
          <w:rFonts w:ascii="Times New Roman" w:cs="Times New Roman" w:eastAsia="Times New Roman" w:hAnsi="Times New Roman"/>
          <w:sz w:val="22"/>
          <w:szCs w:val="22"/>
          <w:color w:val="auto"/>
        </w:rPr>
        <w:t>means, as of a given date, all liabilities of the Borrower and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which would, in conformity with GAAP, be properly classified as a liability on a consolidated balance sheet of the Borrower and its Subsidiaries as of such date, excluding any amounts categorized as accrued expenses, accrued dividends, deposits held, deferred revenues, minority interests and other liabilities not directly associated with the borrowing of money. The Borrower’s Ownership Share of Total Indebtedness held by Unconsolidated Affiliates shall be included when determining Total Indebtedness of the Borrower and its Subsidiaries.</w:t>
      </w:r>
    </w:p>
    <w:p>
      <w:pPr>
        <w:spacing w:after="0" w:line="17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Outstandings</w:t>
      </w:r>
      <w:r>
        <w:rPr>
          <w:rFonts w:ascii="Times New Roman" w:cs="Times New Roman" w:eastAsia="Times New Roman" w:hAnsi="Times New Roman"/>
          <w:sz w:val="22"/>
          <w:szCs w:val="22"/>
          <w:color w:val="auto"/>
        </w:rPr>
        <w:t>” means the aggregate Outstanding Amount of all Loans for all Facilities.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“UCC” </w:t>
      </w:r>
      <w:r>
        <w:rPr>
          <w:rFonts w:ascii="Times New Roman" w:cs="Times New Roman" w:eastAsia="Times New Roman" w:hAnsi="Times New Roman"/>
          <w:sz w:val="22"/>
          <w:szCs w:val="22"/>
          <w:color w:val="auto"/>
        </w:rPr>
        <w:t>means the Uniform Commercial Code as in effect in the State of New York.</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“UK Financial Institution” </w:t>
      </w:r>
      <w:r>
        <w:rPr>
          <w:rFonts w:ascii="Times New Roman" w:cs="Times New Roman" w:eastAsia="Times New Roman" w:hAnsi="Times New Roman"/>
          <w:sz w:val="22"/>
          <w:szCs w:val="22"/>
          <w:color w:val="auto"/>
        </w:rPr>
        <w:t>means any BRRD Undertaking (as such term is defined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PRA Rulebook (as amended form time to time) promulgated by the United Kingdom Prudential Regulation Authority) or any person falling within IFPRU 11.6 of the FCA Handbook (as amended from time to time) promulgated by the United Kingdom Financial Conduct Authority, which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7" w:name="page108"/>
    <w:bookmarkEnd w:id="10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includes certain credit institutions and investment firms, and certain affiliates of such credit institutions or investment firms.</w:t>
      </w:r>
    </w:p>
    <w:p>
      <w:pPr>
        <w:spacing w:after="0" w:line="154"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“UK Resolution Authority” </w:t>
      </w:r>
      <w:r>
        <w:rPr>
          <w:rFonts w:ascii="Times New Roman" w:cs="Times New Roman" w:eastAsia="Times New Roman" w:hAnsi="Times New Roman"/>
          <w:sz w:val="22"/>
          <w:szCs w:val="22"/>
          <w:color w:val="auto"/>
        </w:rPr>
        <w:t>means the Bank of England or any other public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having responsibility for the resolution of any UK Financial Institution.</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“Unfunded Vested Liabilities” </w:t>
      </w:r>
      <w:r>
        <w:rPr>
          <w:rFonts w:ascii="Times New Roman" w:cs="Times New Roman" w:eastAsia="Times New Roman" w:hAnsi="Times New Roman"/>
          <w:sz w:val="22"/>
          <w:szCs w:val="22"/>
          <w:color w:val="auto"/>
        </w:rPr>
        <w:t>means, for any Plan at any time, the amount (if any)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177"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“Unconsolidated Affiliate” </w:t>
      </w:r>
      <w:r>
        <w:rPr>
          <w:rFonts w:ascii="Times New Roman" w:cs="Times New Roman" w:eastAsia="Times New Roman" w:hAnsi="Times New Roman"/>
          <w:sz w:val="22"/>
          <w:szCs w:val="22"/>
          <w:color w:val="auto"/>
        </w:rPr>
        <w:t>means with respect to any Person, any other Person in whom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For the avoidance of doubt, Alpine shall not be deemed to constitute an Unconsolidated Affiliate of the Borrower for purposes of calculating the financial covenants set forth in this Agreement.</w:t>
      </w:r>
    </w:p>
    <w:p>
      <w:pPr>
        <w:spacing w:after="0" w:line="176"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“Unsecured Indebtedness” </w:t>
      </w:r>
      <w:r>
        <w:rPr>
          <w:rFonts w:ascii="Times New Roman" w:cs="Times New Roman" w:eastAsia="Times New Roman" w:hAnsi="Times New Roman"/>
          <w:sz w:val="22"/>
          <w:szCs w:val="22"/>
          <w:color w:val="auto"/>
        </w:rPr>
        <w:t>means Total Indebtedness</w:t>
      </w:r>
      <w:r>
        <w:rPr>
          <w:rFonts w:ascii="Times New Roman" w:cs="Times New Roman" w:eastAsia="Times New Roman" w:hAnsi="Times New Roman"/>
          <w:sz w:val="22"/>
          <w:szCs w:val="22"/>
          <w:i w:val="1"/>
          <w:iCs w:val="1"/>
          <w:color w:val="auto"/>
        </w:rPr>
        <w:t xml:space="preserve"> minus </w:t>
      </w:r>
      <w:r>
        <w:rPr>
          <w:rFonts w:ascii="Times New Roman" w:cs="Times New Roman" w:eastAsia="Times New Roman" w:hAnsi="Times New Roman"/>
          <w:sz w:val="22"/>
          <w:szCs w:val="22"/>
          <w:color w:val="auto"/>
        </w:rPr>
        <w:t>Secured Indebtedness,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provided, that so long as an Other Guaranty Trigger has not occurred, the calculation of Unsecured Indebtedness shall not include Convertible Senior Notes.</w:t>
      </w:r>
    </w:p>
    <w:p>
      <w:pPr>
        <w:spacing w:after="0" w:line="167"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“Unsecured Interest Expense” </w:t>
      </w:r>
      <w:r>
        <w:rPr>
          <w:rFonts w:ascii="Times New Roman" w:cs="Times New Roman" w:eastAsia="Times New Roman" w:hAnsi="Times New Roman"/>
          <w:sz w:val="22"/>
          <w:szCs w:val="22"/>
          <w:color w:val="auto"/>
        </w:rPr>
        <w:t>means, with respect to a Person, for any Rolling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duplication), the aggregate amount of Interest Expense attributable to Unsecured Indebtedness during such Rolling Period calculated at an implied rate equal to the greatest of (i) Adjusted Term SOFR for an Interest Period of one (1) month as of the last day of such Rolling Period plus the Applicable Margin, (ii) 5.75% and (ii) the 10-year treasury rate on the last day of such period plus 1.75%.</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“U.S. Dollars”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each means the lawful currency of the United States of America.</w:t>
      </w:r>
    </w:p>
    <w:p>
      <w:pPr>
        <w:spacing w:after="0" w:line="20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“Voting Stock” </w:t>
      </w:r>
      <w:r>
        <w:rPr>
          <w:rFonts w:ascii="Times New Roman" w:cs="Times New Roman" w:eastAsia="Times New Roman" w:hAnsi="Times New Roman"/>
          <w:sz w:val="22"/>
          <w:szCs w:val="22"/>
          <w:color w:val="auto"/>
        </w:rPr>
        <w:t>of any Person means capital stock or other equity interests of any class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classes (however designated) having ordinary power for the election of directors or other similar governing body of such Person, other than stock or other equity interests having such power only by reason of the happening of a contingency.</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“Welfare Plan” </w:t>
      </w:r>
      <w:r>
        <w:rPr>
          <w:rFonts w:ascii="Times New Roman" w:cs="Times New Roman" w:eastAsia="Times New Roman" w:hAnsi="Times New Roman"/>
          <w:sz w:val="22"/>
          <w:szCs w:val="22"/>
          <w:color w:val="auto"/>
        </w:rPr>
        <w:t>means a “welfare plan” as defined in Section 3(1) of ERISA.</w:t>
      </w:r>
    </w:p>
    <w:p>
      <w:pPr>
        <w:spacing w:after="0" w:line="20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“Wholly-owned Subsidiary” </w:t>
      </w:r>
      <w:r>
        <w:rPr>
          <w:rFonts w:ascii="Times New Roman" w:cs="Times New Roman" w:eastAsia="Times New Roman" w:hAnsi="Times New Roman"/>
          <w:sz w:val="22"/>
          <w:szCs w:val="22"/>
          <w:color w:val="auto"/>
        </w:rPr>
        <w:t>means a Subsidiary of which all of the issued and outstanding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of capital stock (other than directors’ qualifying shares as required by law) or other equity interests are owned by the Borrower and/or one or more Wholly-owned Subsidiaries within the meaning of this definition.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8" w:name="page109"/>
    <w:bookmarkEnd w:id="108"/>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“Write-Down and Conversion Powers” </w:t>
      </w:r>
      <w:r>
        <w:rPr>
          <w:rFonts w:ascii="Times New Roman" w:cs="Times New Roman" w:eastAsia="Times New Roman" w:hAnsi="Times New Roman"/>
          <w:sz w:val="22"/>
          <w:szCs w:val="22"/>
          <w:color w:val="auto"/>
        </w:rPr>
        <w:t>means, (a) with respect to any EEA Resolution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Section 5.2. Interpretation</w:t>
      </w:r>
      <w:r>
        <w:rPr>
          <w:rFonts w:ascii="Times New Roman" w:cs="Times New Roman" w:eastAsia="Times New Roman" w:hAnsi="Times New Roman"/>
          <w:sz w:val="22"/>
          <w:szCs w:val="22"/>
          <w:color w:val="auto"/>
        </w:rPr>
        <w:t>. The foregoing definitions are equally applicable to both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singular and plural forms of the terms defined. The words </w:t>
      </w:r>
      <w:r>
        <w:rPr>
          <w:rFonts w:ascii="Times New Roman" w:cs="Times New Roman" w:eastAsia="Times New Roman" w:hAnsi="Times New Roman"/>
          <w:sz w:val="22"/>
          <w:szCs w:val="22"/>
          <w:i w:val="1"/>
          <w:iCs w:val="1"/>
          <w:color w:val="auto"/>
        </w:rPr>
        <w:t>“hereof”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“herein”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“hereunder”</w:t>
      </w:r>
      <w:r>
        <w:rPr>
          <w:rFonts w:ascii="Times New Roman" w:cs="Times New Roman" w:eastAsia="Times New Roman" w:hAnsi="Times New Roman"/>
          <w:sz w:val="22"/>
          <w:szCs w:val="22"/>
          <w:color w:val="auto"/>
        </w:rPr>
        <w:t xml:space="preserve"> and words of like import when used in this Agreement shall refer to this Agreement as a whole and not to any particular provision of this Agreement. All references to time of day herein are references to New York, New York,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Whenever reference is made to the Borrower’s knowledge or awareness, or a similar qualification, knowledge or awareness means the actual knowledge of the Borrower’s Responsible Officers.</w:t>
      </w:r>
    </w:p>
    <w:p>
      <w:pPr>
        <w:spacing w:after="0" w:line="176"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i w:val="1"/>
          <w:iCs w:val="1"/>
          <w:color w:val="auto"/>
        </w:rPr>
        <w:t>Section 5.3. Change in Accounting Principles</w:t>
      </w:r>
      <w:r>
        <w:rPr>
          <w:rFonts w:ascii="Times New Roman" w:cs="Times New Roman" w:eastAsia="Times New Roman" w:hAnsi="Times New Roman"/>
          <w:sz w:val="22"/>
          <w:szCs w:val="22"/>
          <w:color w:val="auto"/>
        </w:rPr>
        <w:t>. If, after the date of this Agreement, there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occur 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Borrower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spacing w:after="0" w:line="188"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5.4. Divisions</w:t>
      </w:r>
      <w:r>
        <w:rPr>
          <w:rFonts w:ascii="Times New Roman" w:cs="Times New Roman" w:eastAsia="Times New Roman" w:hAnsi="Times New Roman"/>
          <w:sz w:val="22"/>
          <w:szCs w:val="22"/>
          <w:color w:val="auto"/>
        </w:rPr>
        <w:t>. For all purposes under the Loan Documents, in connection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Division or plan of Division (whether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9" w:name="page110"/>
    <w:bookmarkEnd w:id="109"/>
    <w:p>
      <w:pPr>
        <w:ind w:left="200" w:right="659"/>
        <w:spacing w:after="0" w:line="258" w:lineRule="auto"/>
        <w:rPr>
          <w:sz w:val="20"/>
          <w:szCs w:val="20"/>
          <w:color w:val="auto"/>
        </w:rPr>
      </w:pPr>
      <w:r>
        <w:rPr>
          <w:rFonts w:ascii="Times New Roman" w:cs="Times New Roman" w:eastAsia="Times New Roman" w:hAnsi="Times New Roman"/>
          <w:sz w:val="22"/>
          <w:szCs w:val="22"/>
          <w:color w:val="auto"/>
        </w:rPr>
        <w:t>into existence, such new Person shall be deemed to have been organized on the first date of its existence by the holders of its equity interests at such time.</w:t>
      </w:r>
    </w:p>
    <w:p>
      <w:pPr>
        <w:spacing w:after="0" w:line="154"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1"/>
          <w:szCs w:val="21"/>
          <w:i w:val="1"/>
          <w:iCs w:val="1"/>
          <w:color w:val="auto"/>
        </w:rPr>
        <w:t>Section 5.5. Interest Rates</w:t>
      </w:r>
      <w:r>
        <w:rPr>
          <w:rFonts w:ascii="Times New Roman" w:cs="Times New Roman" w:eastAsia="Times New Roman" w:hAnsi="Times New Roman"/>
          <w:sz w:val="21"/>
          <w:szCs w:val="21"/>
          <w:color w:val="auto"/>
        </w:rPr>
        <w:t>. The interest rate on Loans denominated in U.S. Dollars may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 determined by reference to a benchmark rate that is, or may in the future become, the subject of regulatory reform or cessation. The Administrative Agent does not warrant or accept responsibility for, and shall not have any liability with respect to (a) the continuation of, administration of, submission of, calculation of or any other matter related to the Base Rate, Daily Simple SOFR, Adjusted Daily Simple SOFR,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Daily Simple SOFR, Adjusted Daily Simple SOFR,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Daily Simple SOFR, Adjusted Daily Simple SOFR,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Daily Simple SOFR, Adjusted Daily Simple SOFR,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In connection with the use or administration of Daily Simple SOFR and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Daily Simple SOFR and Term SOFR.</w:t>
      </w: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6.  REPRESENTATIONS AND WARRANTIES</w:t>
      </w:r>
      <w:r>
        <w:rPr>
          <w:rFonts w:ascii="Times New Roman" w:cs="Times New Roman" w:eastAsia="Times New Roman" w:hAnsi="Times New Roman"/>
          <w:sz w:val="22"/>
          <w:szCs w:val="22"/>
          <w:i w:val="1"/>
          <w:iCs w:val="1"/>
          <w:color w:val="auto"/>
        </w:rPr>
        <w:t>.</w:t>
      </w:r>
    </w:p>
    <w:p>
      <w:pPr>
        <w:spacing w:after="0" w:line="21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Borrower represents and warrants to the Administrative Agent and the Lenders as follows:</w:t>
      </w:r>
    </w:p>
    <w:p>
      <w:pPr>
        <w:spacing w:after="0" w:line="15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6.1. Organization and Qualification</w:t>
      </w:r>
      <w:r>
        <w:rPr>
          <w:rFonts w:ascii="Times New Roman" w:cs="Times New Roman" w:eastAsia="Times New Roman" w:hAnsi="Times New Roman"/>
          <w:sz w:val="22"/>
          <w:szCs w:val="22"/>
          <w:color w:val="auto"/>
        </w:rPr>
        <w:t>. The Borrower is duly organized, validly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existing, and in good standing as a corporation under the laws of the State of Maryland. The Borrower has full and adequate power to own its Property and conduct its business as now</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0" w:name="page111"/>
    <w:bookmarkEnd w:id="110"/>
    <w:p>
      <w:pPr>
        <w:jc w:val="both"/>
        <w:ind w:left="200" w:right="359"/>
        <w:spacing w:after="0" w:line="239" w:lineRule="auto"/>
        <w:rPr>
          <w:sz w:val="20"/>
          <w:szCs w:val="20"/>
          <w:color w:val="auto"/>
        </w:rPr>
      </w:pPr>
      <w:r>
        <w:rPr>
          <w:rFonts w:ascii="Times New Roman" w:cs="Times New Roman" w:eastAsia="Times New Roman" w:hAnsi="Times New Roman"/>
          <w:sz w:val="22"/>
          <w:szCs w:val="22"/>
          <w:color w:val="auto"/>
        </w:rPr>
        <w:t>conducted, and is duly licensed or qualified and in good standing in each jurisdiction in which the nature of the business conducted by it or the nature of the Property owned or leased by it requires such licensing or qualifying and where the failure to be so qualified could reasonably be expected to have, in each instance, a Material Adverse Effect.</w:t>
      </w:r>
    </w:p>
    <w:p>
      <w:pPr>
        <w:spacing w:after="0" w:line="176"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i w:val="1"/>
          <w:iCs w:val="1"/>
          <w:color w:val="auto"/>
        </w:rPr>
        <w:t>Section 6.2. Subsidiaries</w:t>
      </w:r>
      <w:r>
        <w:rPr>
          <w:rFonts w:ascii="Times New Roman" w:cs="Times New Roman" w:eastAsia="Times New Roman" w:hAnsi="Times New Roman"/>
          <w:sz w:val="22"/>
          <w:szCs w:val="22"/>
          <w:color w:val="auto"/>
        </w:rPr>
        <w:t>. Each Subsidiary is duly organized, validly existing, and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good standing under the laws of the jurisdiction in which it is organized,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and where the failure to be so qualified could reasonably be expected to have, in each instance, a Material Adverse Effect. Schedule 6.2 hereto identifies each Subsidiary as of the date hereof and as updated from time to time as provided in Section 8.5(l), the jurisdiction of its organization, the percentage of issued and outstanding shares of each class of its capital stock or other equity interests owned by the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There are no outstanding commitments or other obligations of any Subsidiary to issue, and no options, warrants or other rights of any Person to acquire, any shares of any class of capital stock or other equity interests of any Subsidiary.</w:t>
      </w:r>
    </w:p>
    <w:p>
      <w:pPr>
        <w:spacing w:after="0" w:line="187"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i w:val="1"/>
          <w:iCs w:val="1"/>
          <w:color w:val="auto"/>
        </w:rPr>
        <w:t>Section 6.3. Authority and Validity of Obligations</w:t>
      </w:r>
      <w:r>
        <w:rPr>
          <w:rFonts w:ascii="Times New Roman" w:cs="Times New Roman" w:eastAsia="Times New Roman" w:hAnsi="Times New Roman"/>
          <w:sz w:val="21"/>
          <w:szCs w:val="21"/>
          <w:color w:val="auto"/>
        </w:rPr>
        <w:t>. The Borrower has full right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authority to enter into this Agreement and the other Loan Documents executed by it, to make the borrowings herein provided for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 Subsidiary of any of the matters and things herein or therein provided for, (a) contravene or constitute a default under any provision of law or any judgment, injunction, order or decree binding upon the Borrower or any Subsidiary or any provision of the organizational documents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charter, certificate or articles of incorporation and by-laws, certificate or articles of association and operating agreement, partnership agreement, or other similar organizational documents) of the Borrower or any Material Subsidiary, (b) contravene or constitute a default under any covenant, indenture or agreement of or affecting the Borrower or any Material Subsidiary or any of their Property, in each case where such contravention or default, individually or in the aggregate, could reasonably be expected to have a</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1" w:name="page112"/>
    <w:bookmarkEnd w:id="111"/>
    <w:p>
      <w:pPr>
        <w:ind w:left="200" w:right="399"/>
        <w:spacing w:after="0" w:line="244" w:lineRule="auto"/>
        <w:rPr>
          <w:sz w:val="20"/>
          <w:szCs w:val="20"/>
          <w:color w:val="auto"/>
        </w:rPr>
      </w:pPr>
      <w:r>
        <w:rPr>
          <w:rFonts w:ascii="Times New Roman" w:cs="Times New Roman" w:eastAsia="Times New Roman" w:hAnsi="Times New Roman"/>
          <w:sz w:val="22"/>
          <w:szCs w:val="22"/>
          <w:color w:val="auto"/>
        </w:rPr>
        <w:t>Material Adverse Effect, or (c) result in the creation or imposition of any Lien on any Property of the Borrower or any Material Subsidiary (other than in favor of the Administrative Agent for its benefit and the benefit of the Lenders).</w:t>
      </w:r>
    </w:p>
    <w:p>
      <w:pPr>
        <w:spacing w:after="0" w:line="169"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Section 6.4. Use of Proceeds; Margin Stock</w:t>
      </w:r>
      <w:r>
        <w:rPr>
          <w:rFonts w:ascii="Times New Roman" w:cs="Times New Roman" w:eastAsia="Times New Roman" w:hAnsi="Times New Roman"/>
          <w:sz w:val="22"/>
          <w:szCs w:val="22"/>
          <w:color w:val="auto"/>
        </w:rPr>
        <w:t>. The Borrower shall use the proceeds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for its general corporate purposes, to refinance existing indebtedness, finance capital expenditures, real estate related investments (including investments permitted pursuant to Section 8.8 hereof), working capital and stock buybacks and for such other legal and proper purposes as are consistent with all applicable laws. Neither the Borrower nor any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spacing w:after="0" w:line="18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Section 6.5. Financial Reports</w:t>
      </w:r>
      <w:r>
        <w:rPr>
          <w:rFonts w:ascii="Times New Roman" w:cs="Times New Roman" w:eastAsia="Times New Roman" w:hAnsi="Times New Roman"/>
          <w:sz w:val="22"/>
          <w:szCs w:val="22"/>
          <w:color w:val="auto"/>
        </w:rPr>
        <w:t>. The consolidated balance sheet of the Borrower and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as of June 30, 2024, and the related consolidated statements of income, retained earnings and cash flows of the Borrower and its Subsidiaries for the fiscal year then ended, and accompanying notes thereto, which consolidated financial statements are accompanied by the unqualified audit report of independent public accountants, heretofore furnished to the Administrative Agent and the Lenders, fairly present the consolidated financial condition of the Borrower and its Subsidiaries as at said date and the consolidated results of their operations and cash flows for the period then ended in conformity with GAAP applied on a consistent basis. None of the Borrower or any Subsidiary has contingent liabilities which are material to it and are required to be set forth in its consolidated financial statements or notes thereto in accordance with GAAP other than as indicated on such consolidated financial statements and notes thereto, including with respect to future periods, on the consolidated financial statements furnished pursuant to Section 8.5 hereof.</w:t>
      </w:r>
    </w:p>
    <w:p>
      <w:pPr>
        <w:spacing w:after="0" w:line="182"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6.6. No Material Adverse Effect. </w:t>
      </w:r>
      <w:r>
        <w:rPr>
          <w:rFonts w:ascii="Times New Roman" w:cs="Times New Roman" w:eastAsia="Times New Roman" w:hAnsi="Times New Roman"/>
          <w:sz w:val="22"/>
          <w:szCs w:val="22"/>
          <w:color w:val="auto"/>
        </w:rPr>
        <w:t>Except as set forth on Schedule 6.6, since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of delivery of the most recent financial statements delivered to the Administrative Agent pursuant to Section 8.5(c), there has been no change in the financial condition or business of the Borrower or any Subsidiary except those occurring in the ordinary course of business, none of which individually or in the aggregate could reasonably be expected to have a Material Adverse Effect.</w:t>
      </w:r>
    </w:p>
    <w:p>
      <w:pPr>
        <w:spacing w:after="0" w:line="175"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Section 6.7. Full Disclosure</w:t>
      </w:r>
      <w:r>
        <w:rPr>
          <w:rFonts w:ascii="Times New Roman" w:cs="Times New Roman" w:eastAsia="Times New Roman" w:hAnsi="Times New Roman"/>
          <w:sz w:val="22"/>
          <w:szCs w:val="22"/>
          <w:color w:val="auto"/>
        </w:rPr>
        <w:t>. The statements and information furnished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and the Lenders in connection with the negotiation of this Agreement and the other Loan Documents and the commitments by the Lenders to provide all or part of the financing contemplated hereby do not contain any untrue statements (known by the Borrower to be untrue) of a material fact known to the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2" w:name="page113"/>
    <w:bookmarkEnd w:id="112"/>
    <w:p>
      <w:pPr>
        <w:ind w:left="200" w:right="259"/>
        <w:spacing w:after="0" w:line="238" w:lineRule="auto"/>
        <w:rPr>
          <w:sz w:val="20"/>
          <w:szCs w:val="20"/>
          <w:color w:val="auto"/>
        </w:rPr>
      </w:pPr>
      <w:r>
        <w:rPr>
          <w:rFonts w:ascii="Times New Roman" w:cs="Times New Roman" w:eastAsia="Times New Roman" w:hAnsi="Times New Roman"/>
          <w:sz w:val="22"/>
          <w:szCs w:val="22"/>
          <w:color w:val="auto"/>
        </w:rPr>
        <w:t>Lenders, the Borrower only represents that the same were prepared on the basis of information and estimates the Borrower believed to be reasonable and (b) the financial information provided to the Administrative Agent and the Lenders is governed by Section 6.5 hereof. As of the Closing Date, the information included in the Beneficial Ownership Certification is true and correct in all respects.</w:t>
      </w:r>
    </w:p>
    <w:p>
      <w:pPr>
        <w:spacing w:after="0" w:line="17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Section 6.8. Trademarks, Franchises, and Licenses</w:t>
      </w:r>
      <w:r>
        <w:rPr>
          <w:rFonts w:ascii="Times New Roman" w:cs="Times New Roman" w:eastAsia="Times New Roman" w:hAnsi="Times New Roman"/>
          <w:sz w:val="22"/>
          <w:szCs w:val="22"/>
          <w:color w:val="auto"/>
        </w:rPr>
        <w:t>. To the Borrower’s knowledge,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and its 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trade style, copyright or other proprietary right of any other Person, which conflict could reasonably be expected to have a Material Adverse Effect.</w:t>
      </w:r>
    </w:p>
    <w:p>
      <w:pPr>
        <w:spacing w:after="0" w:line="17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Section 6.9. Governmental Authority and Licensing</w:t>
      </w:r>
      <w:r>
        <w:rPr>
          <w:rFonts w:ascii="Times New Roman" w:cs="Times New Roman" w:eastAsia="Times New Roman" w:hAnsi="Times New Roman"/>
          <w:sz w:val="22"/>
          <w:szCs w:val="22"/>
          <w:color w:val="auto"/>
        </w:rPr>
        <w:t>. The Borrower and its Subsidiaries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received 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spacing w:after="0" w:line="17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6.10. Good Title</w:t>
      </w:r>
      <w:r>
        <w:rPr>
          <w:rFonts w:ascii="Times New Roman" w:cs="Times New Roman" w:eastAsia="Times New Roman" w:hAnsi="Times New Roman"/>
          <w:sz w:val="22"/>
          <w:szCs w:val="22"/>
          <w:color w:val="auto"/>
        </w:rPr>
        <w:t>. The Borrower and its Subsidiaries have good and defensible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title (or valid leasehold interests) to their material assets as reflected on the most recent consolidated balance sheet of the Borrower and its Subsidiaries furnished to the Administrative Agent and the Lenders (except for sales of assets in the ordinary course of business), subject to no Liens other than such thereof as are permitted by Section 8.7 hereof.</w:t>
      </w:r>
    </w:p>
    <w:p>
      <w:pPr>
        <w:spacing w:after="0" w:line="17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6.11. Litigation and Other Controversies. </w:t>
      </w:r>
      <w:r>
        <w:rPr>
          <w:rFonts w:ascii="Times New Roman" w:cs="Times New Roman" w:eastAsia="Times New Roman" w:hAnsi="Times New Roman"/>
          <w:sz w:val="22"/>
          <w:szCs w:val="22"/>
          <w:color w:val="auto"/>
        </w:rPr>
        <w:t>Except as set forth on Schedule 6.11,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 is no litigation or governmental or arbitration proceeding or labor controversy pending, nor to the knowledge of the Borrower threatened, against the Borrower or any Subsidiary or any of their Property which individually or in the aggregate, could reasonably be expected to have a Material Adverse Effect.</w:t>
      </w:r>
    </w:p>
    <w:p>
      <w:pPr>
        <w:spacing w:after="0" w:line="177"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i w:val="1"/>
          <w:iCs w:val="1"/>
          <w:color w:val="auto"/>
        </w:rPr>
        <w:t>Section 6.12. Taxes</w:t>
      </w:r>
      <w:r>
        <w:rPr>
          <w:rFonts w:ascii="Times New Roman" w:cs="Times New Roman" w:eastAsia="Times New Roman" w:hAnsi="Times New Roman"/>
          <w:sz w:val="21"/>
          <w:szCs w:val="21"/>
          <w:color w:val="auto"/>
        </w:rPr>
        <w:t>. All material tax returns required to be filed by the Borrower 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Subsidiary in any jurisdiction have, in fact, been filed, and all taxes, assessments, fees, and other governmental charges upon the Borrower or any Subsidiary or upon any of its Property,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The Borrower has not received written notice of any proposed additional tax assessment against the Borrower or its Subsidiaries for which adequate provisions in accordance with GAAP have not been made on their accounts. Adequate provisions in accordance with GAAP for taxes on the books of the Borrower and each Subsidiary have been made for all open years, and for its current fiscal period.</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3" w:name="page114"/>
    <w:bookmarkEnd w:id="113"/>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6.13. Approvals</w:t>
      </w:r>
      <w:r>
        <w:rPr>
          <w:rFonts w:ascii="Times New Roman" w:cs="Times New Roman" w:eastAsia="Times New Roman" w:hAnsi="Times New Roman"/>
          <w:sz w:val="22"/>
          <w:szCs w:val="22"/>
          <w:color w:val="auto"/>
        </w:rPr>
        <w:t>. No authorization, consent, license or exemption from, or filing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registration with, any court or governmental department, agency or instrumentality, nor any approval or consent of any other Person, is or will be necessary to the valid execution, delivery or performance by the Borrower or any Guarantor of any Loan Document.</w:t>
      </w:r>
    </w:p>
    <w:p>
      <w:pPr>
        <w:spacing w:after="0" w:line="17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6.14. Affiliate Transactions. </w:t>
      </w:r>
      <w:r>
        <w:rPr>
          <w:rFonts w:ascii="Times New Roman" w:cs="Times New Roman" w:eastAsia="Times New Roman" w:hAnsi="Times New Roman"/>
          <w:sz w:val="22"/>
          <w:szCs w:val="22"/>
          <w:color w:val="auto"/>
        </w:rPr>
        <w:t>Except as permitted by Section 8.14 hereof, none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spacing w:after="0" w:line="17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6.15. Investment Company. </w:t>
      </w:r>
      <w:r>
        <w:rPr>
          <w:rFonts w:ascii="Times New Roman" w:cs="Times New Roman" w:eastAsia="Times New Roman" w:hAnsi="Times New Roman"/>
          <w:sz w:val="22"/>
          <w:szCs w:val="22"/>
          <w:color w:val="auto"/>
        </w:rPr>
        <w:t>None of the Borrower or any Subsidiary is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“investment company” or a company “controlled” by an “investment company” within the meaning of the Investment Company Act of 1940, as amended.</w:t>
      </w:r>
    </w:p>
    <w:p>
      <w:pPr>
        <w:spacing w:after="0" w:line="167"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Section 6.16. ERISA</w:t>
      </w:r>
      <w:r>
        <w:rPr>
          <w:rFonts w:ascii="Times New Roman" w:cs="Times New Roman" w:eastAsia="Times New Roman" w:hAnsi="Times New Roman"/>
          <w:sz w:val="22"/>
          <w:szCs w:val="22"/>
          <w:color w:val="auto"/>
        </w:rPr>
        <w:t>. The Borrower and each other member of their Controlled Group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spacing w:after="0" w:line="17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Section 6.17. Compliance with Laws</w:t>
      </w:r>
      <w:r>
        <w:rPr>
          <w:rFonts w:ascii="Times New Roman" w:cs="Times New Roman" w:eastAsia="Times New Roman" w:hAnsi="Times New Roman"/>
          <w:sz w:val="22"/>
          <w:szCs w:val="22"/>
          <w:color w:val="auto"/>
        </w:rPr>
        <w:t>. (a) The Borrower and its Subsidiaries are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compliance with the requirements of all federal, state and local laws, rules and regulations applicable to or pertaining to their Property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w:t>
      </w:r>
    </w:p>
    <w:p>
      <w:pPr>
        <w:spacing w:after="0" w:line="180" w:lineRule="exact"/>
        <w:rPr>
          <w:sz w:val="20"/>
          <w:szCs w:val="20"/>
          <w:color w:val="auto"/>
        </w:rPr>
      </w:pPr>
    </w:p>
    <w:p>
      <w:pPr>
        <w:jc w:val="both"/>
        <w:ind w:left="200" w:right="219" w:firstLine="1305"/>
        <w:spacing w:after="0" w:line="244" w:lineRule="auto"/>
        <w:tabs>
          <w:tab w:leader="none" w:pos="2144"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 (i) 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 (iii) the Borrower and its Subsidiaries have not, and the Borrower has no knowledge of any other Person who has, caused any Release, threatened Release or disposal of any Hazardous Material at, on, about, or off 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4" w:name="page115"/>
    <w:bookmarkEnd w:id="114"/>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priority list promulgated or published pursuant to any comparable state law; (v) the Borrower and its Subsidiaries have not used a material quantity of any Hazardous Material and have conducted no 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an Environmental Claim against the Borrower or any Subsidiary or such Properties; (viii) none of the Properties are 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 (ix) there are no conditions or circumstances at any of the Properties which pose an unreasonable risk to the 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provided that the Administrative Agent shall be entitled to make only one (1) such request per Property during the term of this Agreement unless an Event of Default has occurred and is continuing.</w:t>
      </w:r>
    </w:p>
    <w:p>
      <w:pPr>
        <w:spacing w:after="0" w:line="203" w:lineRule="exact"/>
        <w:rPr>
          <w:sz w:val="20"/>
          <w:szCs w:val="20"/>
          <w:color w:val="auto"/>
        </w:rPr>
      </w:pPr>
    </w:p>
    <w:p>
      <w:pPr>
        <w:jc w:val="both"/>
        <w:ind w:left="200" w:right="219" w:firstLine="1305"/>
        <w:spacing w:after="0" w:line="233" w:lineRule="auto"/>
        <w:tabs>
          <w:tab w:leader="none" w:pos="21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of its Subsidiaries is in material compliance with all Anti-Corruption Laws. The Borrower and each of its Subsidiaries has implemented and maintains in effect policies and procedures designed to ensure compliance by such Person, its Subsidiaries and their respective directors, officers, employees and agents with Anti-Corruption Laws. Neither the Borrower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Borrower or such Subsidiary or to any other Person, in violation of any Anti-Corruption Laws.</w:t>
      </w:r>
    </w:p>
    <w:p>
      <w:pPr>
        <w:spacing w:after="0" w:line="18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Section 6.18. OFAC</w:t>
      </w:r>
      <w:r>
        <w:rPr>
          <w:rFonts w:ascii="Times New Roman" w:cs="Times New Roman" w:eastAsia="Times New Roman" w:hAnsi="Times New Roman"/>
          <w:sz w:val="22"/>
          <w:szCs w:val="22"/>
          <w:color w:val="auto"/>
        </w:rPr>
        <w:t>. (a) The Borrower is in compliance, in all material respects,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requirements of all OFAC Sanctions Programs applicable to it, (b) each Subsidiary of the Borrower is in compliance, in all material respects, with the requirements of all OFAC Sanctions Programs applicable to such Subsidiary, (c) the Borrower has provided to the Administrative Agent and the Lenders all information regarding the Borrower and its Affiliates and Subsidiaries necessary for the Administrative Agent and the Lenders to comply with all applicable OFAC Sanctions Programs, and (d) neither the Borrower nor any of its Affiliates or Subsidiaries nor, to the knowledge of the Borrower, any officer, director or Affiliate of any such Person or any of its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5" w:name="page116"/>
    <w:bookmarkEnd w:id="115"/>
    <w:p>
      <w:pPr>
        <w:jc w:val="both"/>
        <w:ind w:left="200" w:right="379"/>
        <w:spacing w:after="0" w:line="244" w:lineRule="auto"/>
        <w:rPr>
          <w:sz w:val="20"/>
          <w:szCs w:val="20"/>
          <w:color w:val="auto"/>
        </w:rPr>
      </w:pPr>
      <w:r>
        <w:rPr>
          <w:rFonts w:ascii="Times New Roman" w:cs="Times New Roman" w:eastAsia="Times New Roman" w:hAnsi="Times New Roman"/>
          <w:sz w:val="22"/>
          <w:szCs w:val="22"/>
          <w:color w:val="auto"/>
        </w:rPr>
        <w:t>Subsidiaries, is a person, that is, or is owned or controlled by Persons that are (i) the target of any OFAC Sanctions Programs or (ii) located, organized or resident in a country or territory that is, or whose government is, the subject of any OFAC Sanctions Programs.</w:t>
      </w:r>
    </w:p>
    <w:p>
      <w:pPr>
        <w:spacing w:after="0" w:line="169"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Section 6.19. Other Agreements</w:t>
      </w:r>
      <w:r>
        <w:rPr>
          <w:rFonts w:ascii="Times New Roman" w:cs="Times New Roman" w:eastAsia="Times New Roman" w:hAnsi="Times New Roman"/>
          <w:sz w:val="22"/>
          <w:szCs w:val="22"/>
          <w:color w:val="auto"/>
        </w:rPr>
        <w:t>. Neither the Borrower nor any Subsidiary is in default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terms of any covenant, indenture or agreement of or affecting such Person or any of its Property, which default could reasonably be expected to have a Material Adverse Effect. Neither the Borrower nor any Subsidiary shall enter into an amendment or modification of any contract or agreement which could, in the Responsible Officer’s business judgment, reasonably be expected to have a Material Adverse Effect.</w:t>
      </w:r>
    </w:p>
    <w:p>
      <w:pPr>
        <w:spacing w:after="0" w:line="175"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6.20. Solvency</w:t>
      </w:r>
      <w:r>
        <w:rPr>
          <w:rFonts w:ascii="Times New Roman" w:cs="Times New Roman" w:eastAsia="Times New Roman" w:hAnsi="Times New Roman"/>
          <w:sz w:val="22"/>
          <w:szCs w:val="22"/>
          <w:color w:val="auto"/>
        </w:rPr>
        <w:t>. The Borrower and its Subsidiaries are solvent, able to pay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debts as they become due, and have sufficient capital to carry on their business and all businesses in which they are about to engage.</w:t>
      </w:r>
    </w:p>
    <w:p>
      <w:pPr>
        <w:spacing w:after="0" w:line="16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6.21.</w:t>
      </w:r>
      <w:r>
        <w:rPr>
          <w:sz w:val="20"/>
          <w:szCs w:val="20"/>
          <w:color w:val="auto"/>
        </w:rPr>
        <w:tab/>
      </w:r>
      <w:r>
        <w:rPr>
          <w:rFonts w:ascii="Times New Roman" w:cs="Times New Roman" w:eastAsia="Times New Roman" w:hAnsi="Times New Roman"/>
          <w:sz w:val="21"/>
          <w:szCs w:val="21"/>
          <w:i w:val="1"/>
          <w:iCs w:val="1"/>
          <w:color w:val="auto"/>
        </w:rPr>
        <w:t xml:space="preserve">No Default. </w:t>
      </w:r>
      <w:r>
        <w:rPr>
          <w:rFonts w:ascii="Times New Roman" w:cs="Times New Roman" w:eastAsia="Times New Roman" w:hAnsi="Times New Roman"/>
          <w:sz w:val="21"/>
          <w:szCs w:val="21"/>
          <w:color w:val="auto"/>
        </w:rPr>
        <w:t>No Default or Event of Default has occurred and is continuing.</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Section 6.22. No Broker Fees</w:t>
      </w:r>
      <w:r>
        <w:rPr>
          <w:rFonts w:ascii="Times New Roman" w:cs="Times New Roman" w:eastAsia="Times New Roman" w:hAnsi="Times New Roman"/>
          <w:sz w:val="22"/>
          <w:szCs w:val="22"/>
          <w:color w:val="auto"/>
        </w:rPr>
        <w:t>. No broker’s or finder’s fee or commission will be payable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spacing w:after="0" w:line="178"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i w:val="1"/>
          <w:iCs w:val="1"/>
          <w:color w:val="auto"/>
        </w:rPr>
        <w:t>Section 6.23. Condition of Property; Casualties; Condemnation</w:t>
      </w:r>
      <w:r>
        <w:rPr>
          <w:rFonts w:ascii="Times New Roman" w:cs="Times New Roman" w:eastAsia="Times New Roman" w:hAnsi="Times New Roman"/>
          <w:sz w:val="22"/>
          <w:szCs w:val="22"/>
          <w:color w:val="auto"/>
        </w:rPr>
        <w:t>. Each Property owned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and each Subsidiary, in all material respects (a) is in good repair, working order and condition, normal wear and tear excepted, (b) is free of material structural defects, (c) is not subject to material deferred maintenance, (d) has and will have all building systems contained therein in good repair, working order and condition, normal wear and tear excepted and (e) is not located in a flood plain or flood hazard area, or if located in a flood plain or flood hazard area is covered by full replacement cost flood insurance. None of the Properties owned by the Borrower or any Subsidiary is currently materially and adversely affected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 which is not in the process of being repaired. 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Adverse Effect. Promptly after the reasonable request of the Administrative Agent, the Borrower shall deliver a current property condition report in form and substance acceptable to Administrative Agent from an independent engineering or architectural firm acceptable to Administrative Agent with respect to any (i) Eligible Property specified by Administrative Agent that has a material maintenance or structural issue that would materially affect the value or use of such Eligible Property and (ii) Property that is not an Eligible Property that has a material maintenance or structural issue</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6" w:name="page117"/>
    <w:bookmarkEnd w:id="116"/>
    <w:p>
      <w:pPr>
        <w:ind w:left="200" w:right="219"/>
        <w:spacing w:after="0" w:line="239" w:lineRule="auto"/>
        <w:rPr>
          <w:sz w:val="20"/>
          <w:szCs w:val="20"/>
          <w:color w:val="auto"/>
        </w:rPr>
      </w:pPr>
      <w:r>
        <w:rPr>
          <w:rFonts w:ascii="Times New Roman" w:cs="Times New Roman" w:eastAsia="Times New Roman" w:hAnsi="Times New Roman"/>
          <w:sz w:val="22"/>
          <w:szCs w:val="22"/>
          <w:color w:val="auto"/>
        </w:rPr>
        <w:t xml:space="preserve">associated with such Property that could reasonably be expected to have a Material Adverse Effect;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Administrative Agent shall be entitled to make only one (1) such request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each Property during the term of this Agreement unless an Event of Default has occurred and is continuing.</w:t>
      </w:r>
    </w:p>
    <w:p>
      <w:pPr>
        <w:spacing w:after="0" w:line="17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Section 6.24. Legal Requirements and Zoning</w:t>
      </w:r>
      <w:r>
        <w:rPr>
          <w:rFonts w:ascii="Times New Roman" w:cs="Times New Roman" w:eastAsia="Times New Roman" w:hAnsi="Times New Roman"/>
          <w:sz w:val="22"/>
          <w:szCs w:val="22"/>
          <w:color w:val="auto"/>
        </w:rPr>
        <w:t>. To the Borrower’s knowledge, the use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operation of each Property owned by the Borrower and its Subsidiaries constitutes a legal use (including legally nonconforming use) under applicable zoning regulations (as the same may be modified by special use permits or the granting of variances) and complies in all material respects with all Legal Requirements, and does not violate in any material respect any approvals, restrictions of record or any material agreement affecting any such Property (or any portion thereof).</w:t>
      </w:r>
    </w:p>
    <w:p>
      <w:pPr>
        <w:spacing w:after="0" w:line="176"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Section 6.25. No Defaults; Landlord is in Compliance with Leases</w:t>
      </w:r>
      <w:r>
        <w:rPr>
          <w:rFonts w:ascii="Times New Roman" w:cs="Times New Roman" w:eastAsia="Times New Roman" w:hAnsi="Times New Roman"/>
          <w:sz w:val="22"/>
          <w:szCs w:val="22"/>
          <w:color w:val="auto"/>
        </w:rPr>
        <w:t>. The Borrower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Subsidiary shall at all times maintain accurate and complete records of each Significant Lease. Except as disclosed to the Administrative Agent in writing in accordance with Section 8.5(l) hereof, none of the tenants under Significant Leases on Properties owned by the Borrower, Material Subsidiaries or any other Subsidiary of the Borrower are in default for a period in excess of sixty (60) days on the monthly contractual rent payments.</w:t>
      </w:r>
    </w:p>
    <w:p>
      <w:pPr>
        <w:spacing w:after="0" w:line="17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Section 6.26. Affected Financial Institution</w:t>
      </w:r>
      <w:r>
        <w:rPr>
          <w:rFonts w:ascii="Times New Roman" w:cs="Times New Roman" w:eastAsia="Times New Roman" w:hAnsi="Times New Roman"/>
          <w:sz w:val="22"/>
          <w:szCs w:val="22"/>
          <w:color w:val="auto"/>
        </w:rPr>
        <w:t>. Neither the Borrower nor any Subsidiary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Affected Financial Institution.</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6.27. REIT Status</w:t>
      </w:r>
      <w:r>
        <w:rPr>
          <w:rFonts w:ascii="Times New Roman" w:cs="Times New Roman" w:eastAsia="Times New Roman" w:hAnsi="Times New Roman"/>
          <w:sz w:val="22"/>
          <w:szCs w:val="22"/>
          <w:color w:val="auto"/>
        </w:rPr>
        <w:t>. The Borrower has elected to be taxed as a REIT and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operate in a manner so as to qualify as a REIT, and will not revoke its election to be taxed as a REIT.</w:t>
      </w:r>
    </w:p>
    <w:p>
      <w:pPr>
        <w:spacing w:after="0" w:line="16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6.28.</w:t>
      </w:r>
      <w:r>
        <w:rPr>
          <w:sz w:val="20"/>
          <w:szCs w:val="20"/>
          <w:color w:val="auto"/>
        </w:rPr>
        <w:tab/>
      </w:r>
      <w:r>
        <w:rPr>
          <w:rFonts w:ascii="Times New Roman" w:cs="Times New Roman" w:eastAsia="Times New Roman" w:hAnsi="Times New Roman"/>
          <w:sz w:val="21"/>
          <w:szCs w:val="21"/>
          <w:i w:val="1"/>
          <w:iCs w:val="1"/>
          <w:color w:val="auto"/>
        </w:rPr>
        <w:t>Covered Entity</w:t>
      </w:r>
      <w:r>
        <w:rPr>
          <w:rFonts w:ascii="Times New Roman" w:cs="Times New Roman" w:eastAsia="Times New Roman" w:hAnsi="Times New Roman"/>
          <w:sz w:val="21"/>
          <w:szCs w:val="21"/>
          <w:color w:val="auto"/>
        </w:rPr>
        <w:t>. The Borrower is not a Covered Entity.</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7.  CONDITIONS PRECEDENT</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7.1.</w:t>
      </w:r>
      <w:r>
        <w:rPr>
          <w:sz w:val="20"/>
          <w:szCs w:val="20"/>
          <w:color w:val="auto"/>
        </w:rPr>
        <w:tab/>
      </w:r>
      <w:r>
        <w:rPr>
          <w:rFonts w:ascii="Times New Roman" w:cs="Times New Roman" w:eastAsia="Times New Roman" w:hAnsi="Times New Roman"/>
          <w:sz w:val="21"/>
          <w:szCs w:val="21"/>
          <w:i w:val="1"/>
          <w:iCs w:val="1"/>
          <w:color w:val="auto"/>
        </w:rPr>
        <w:t>All Borrowings</w:t>
      </w:r>
      <w:r>
        <w:rPr>
          <w:rFonts w:ascii="Times New Roman" w:cs="Times New Roman" w:eastAsia="Times New Roman" w:hAnsi="Times New Roman"/>
          <w:sz w:val="21"/>
          <w:szCs w:val="21"/>
          <w:color w:val="auto"/>
        </w:rPr>
        <w:t>. At the time of each Borrowing hereunder:</w:t>
      </w:r>
    </w:p>
    <w:p>
      <w:pPr>
        <w:spacing w:after="0" w:line="210" w:lineRule="exact"/>
        <w:rPr>
          <w:sz w:val="20"/>
          <w:szCs w:val="20"/>
          <w:color w:val="auto"/>
        </w:rPr>
      </w:pPr>
    </w:p>
    <w:p>
      <w:pPr>
        <w:jc w:val="both"/>
        <w:ind w:left="200" w:right="219" w:firstLine="1305"/>
        <w:spacing w:after="0" w:line="235" w:lineRule="auto"/>
        <w:tabs>
          <w:tab w:leader="none" w:pos="21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or would occur as a result of such Borrowing;</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Borrowing the Administrative Agent shall have received the notice required by Section 1.6 hereof; and</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7" w:name="page118"/>
    <w:bookmarkEnd w:id="117"/>
    <w:p>
      <w:pPr>
        <w:jc w:val="both"/>
        <w:ind w:left="200" w:right="219" w:firstLine="1305"/>
        <w:spacing w:after="0" w:line="239" w:lineRule="auto"/>
        <w:tabs>
          <w:tab w:leader="none" w:pos="21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Borrowing shall not violate any order, judgment or decree of any court or other authority or any provision of law or regulation applicable to the Administrative Agent or any Lender (including, without limitation, Regulation U of the Board of Governors of the Federal Reserve System) as then in effect.</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Each request for a Borrowing hereunder shall be deemed to be a representation and warranty by the Borrower on the date of such Borrowing as to the facts specified in subsections (a) through (c), inclusive, of this Section 7.1; provided, however, that the Lenders may advance a Loan, in the sole discretion of the Lenders with Commitments, notwithstanding the failure of the Borrower to satisfy one or more of the conditions set forth above and any such advances so made shall not be deemed a waiver of any Default or Event of Default or other condition set forth above that may then exist.</w:t>
      </w:r>
    </w:p>
    <w:p>
      <w:pPr>
        <w:spacing w:after="0" w:line="179" w:lineRule="exact"/>
        <w:rPr>
          <w:sz w:val="20"/>
          <w:szCs w:val="20"/>
          <w:color w:val="auto"/>
        </w:rPr>
      </w:pPr>
    </w:p>
    <w:p>
      <w:pPr>
        <w:ind w:left="860"/>
        <w:spacing w:after="0"/>
        <w:tabs>
          <w:tab w:leader="none" w:pos="2140" w:val="left"/>
          <w:tab w:leader="none" w:pos="3920" w:val="left"/>
        </w:tabs>
        <w:rPr>
          <w:sz w:val="20"/>
          <w:szCs w:val="20"/>
          <w:color w:val="auto"/>
        </w:rPr>
      </w:pPr>
      <w:r>
        <w:rPr>
          <w:rFonts w:ascii="Times New Roman" w:cs="Times New Roman" w:eastAsia="Times New Roman" w:hAnsi="Times New Roman"/>
          <w:sz w:val="22"/>
          <w:szCs w:val="22"/>
          <w:i w:val="1"/>
          <w:iCs w:val="1"/>
          <w:color w:val="auto"/>
        </w:rPr>
        <w:t>Section 7.2.</w:t>
        <w:tab/>
        <w:t>Initial Borrowing.</w:t>
      </w:r>
      <w:r>
        <w:rPr>
          <w:sz w:val="20"/>
          <w:szCs w:val="20"/>
          <w:color w:val="auto"/>
        </w:rPr>
        <w:tab/>
      </w:r>
      <w:r>
        <w:rPr>
          <w:rFonts w:ascii="Times New Roman" w:cs="Times New Roman" w:eastAsia="Times New Roman" w:hAnsi="Times New Roman"/>
          <w:sz w:val="22"/>
          <w:szCs w:val="22"/>
          <w:color w:val="auto"/>
        </w:rPr>
        <w:t>Before or concurrently with the advance of the 2029</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Term Loans:</w:t>
      </w:r>
    </w:p>
    <w:p>
      <w:pPr>
        <w:spacing w:after="0" w:line="182" w:lineRule="exact"/>
        <w:rPr>
          <w:sz w:val="20"/>
          <w:szCs w:val="20"/>
          <w:color w:val="auto"/>
        </w:rPr>
      </w:pPr>
    </w:p>
    <w:p>
      <w:pPr>
        <w:ind w:left="200" w:right="219" w:firstLine="1305"/>
        <w:spacing w:after="0" w:line="258"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this Agreement duly executed by the Borrower, the Material Subsidiaries, as Guarantors, and the Lenders.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any Lender, the Administrative Agent shall have received for such Lender such Lender’s duly executed Note of the Borrower dated the date hereof and otherwise in compliance with the provisions of Section 1.10 hereof;</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the Borrower’s and each Material Subsidiary’s articles of incorporation and bylaws (or comparable organizational documents) and any amendments thereto, certified in each instance by its Secretary or Assistant Secretary;</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resolutions of the Borrower’s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and each Material Subsidiary’s behalf, all certified in each instance by its Secretary or Assistant Secretary or other Authorized Representative;</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the certificates of good standing for the Borrower and each Material Subsidiary (dated no earlier than forty-five (45) days prior to the date hereof) from the office of the secretary of the state of its incorporation or organization and of each state in which it is required to the qualified to do business as a foreign corporation or organization under Sections 6.1 or 6.2;</w:t>
      </w:r>
    </w:p>
    <w:p>
      <w:pPr>
        <w:spacing w:after="0" w:line="17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list of the Borrower’s Authorized Representatives;</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initial fees called for by</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 hereof;</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8" w:name="page119"/>
    <w:bookmarkEnd w:id="118"/>
    <w:p>
      <w:pPr>
        <w:ind w:left="200" w:right="219" w:firstLine="1305"/>
        <w:spacing w:after="0" w:line="258" w:lineRule="auto"/>
        <w:tabs>
          <w:tab w:leader="none" w:pos="21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 and organizational structure of the Borrower and its Subsidiaries shall be reasonably satisfactory to the Administrative Agent;</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Closing Date Borrowing</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Certificate;</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financing statement, tax, and judgment lien search results against the Borrower evidencing the absence of Liens on its Property except as Permitted Liens or as otherwise permitted by Section 8.8 hereof;</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written opinion of counsel to the Borrower and each Material Subsidiary organized in the State of Delaware, in form and substance reasonably satisfactory to the Administrative Agent;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fully executed Internal Revenue Service Form W-9 for the Borrower; and the Administrative Agent and the Borrower shall have received the Internal Revenue Service Forms and any applicable attachments required by Section 12.1(b);</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other agreements, instruments, documents, certificates, and opinions as the Administrative Agent may reasonably request;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any Lender shall have received any information or materials reasonably required by the Administrative Agent or such Lender in order to assist the Administrative Agent or such Lender in maintaining compliance with (i) the Patriot Act and (ii) any applicable “know your customer” or similar rules and regulations; and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five days prior to the Closing Date, if the Borrower qualifies as a “legal entity customer” under the Beneficial Ownership Regulation, the Borrower shall deliver a Beneficial Ownership Certification in relation to it</w:t>
      </w:r>
      <w:r>
        <w:rPr>
          <w:rFonts w:ascii="Times New Roman" w:cs="Times New Roman" w:eastAsia="Times New Roman" w:hAnsi="Times New Roman"/>
          <w:sz w:val="22"/>
          <w:szCs w:val="22"/>
          <w:i w:val="1"/>
          <w:iCs w:val="1"/>
          <w:color w:val="auto"/>
        </w:rPr>
        <w:t>.</w:t>
      </w:r>
    </w:p>
    <w:p>
      <w:pPr>
        <w:spacing w:after="0" w:line="169"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7.3. Eligible Property Additions and Deletions to the Borrowing Base</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represents and warrants to the Lenders and the Administrative Agent that Schedule 1.1 sets forth each of the Eligible Properties as of the Closing Date and that the information provided on Schedule 1.1 is true and correct in all material respects.</w:t>
      </w:r>
    </w:p>
    <w:p>
      <w:pPr>
        <w:spacing w:after="0" w:line="17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Upon not less than ten (10) Business Days prior written notice from the Borrower to the Administrative Agent, the Borrower can designate that a Property be added (subject to the other requirements for a Property qualifying as an Eligible Property) or deleted as an Eligible Property included in calculating the Borrowing Base. Such notice shall be accompanied by a Borrowing Base Certificate setting forth the components of the Borrowing Base as of the addition or deletion of the designated Property as an Eligible Property, and with respect to a deletion, the Borrower’s certification in such detail as reasonably required by the Administrative Agent that no Default or Event of Default exists under this Agreement and such deletion shall not (A) cause the Eligible Properties to violate the Borrowing Base Requirements, (B) cause a Default, or (C) cause or result in the Borrower failing to comply with any of the financial covenants contained in Section 8.20 hereof. Each addition with respect to Eligible Properties shall be an Eligible Property in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9" w:name="page120"/>
    <w:bookmarkEnd w:id="119"/>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minimum amount equal to $500,000 Borrowing Base Value or $500,000 Debt Service Coverage Amount, or shall be comprised of more than one qualifying Eligible Properties that in the aggregate have a minimum amount equal to $1,000,000 Borrowing Base Value or $1,000,000 Debt Service Coverage Amount, and all such additions shall be subject to reasonable approval by the Administrative Agent.</w:t>
      </w:r>
    </w:p>
    <w:p>
      <w:pPr>
        <w:spacing w:after="0" w:line="21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If no Default exists at the time of any deletion of a Property from qualifying as an Eligible Property included in calculating the Borrowing Base, any Material Subsidiary which owned such Property, but that does not otherwise own any other Eligible Property, shall be released from its obligations under its Guaranty.</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8.  COVENANTS</w:t>
      </w:r>
      <w:r>
        <w:rPr>
          <w:rFonts w:ascii="Times New Roman" w:cs="Times New Roman" w:eastAsia="Times New Roman" w:hAnsi="Times New Roman"/>
          <w:sz w:val="22"/>
          <w:szCs w:val="22"/>
          <w:i w:val="1"/>
          <w:iCs w:val="1"/>
          <w:color w:val="auto"/>
        </w:rPr>
        <w:t>.</w:t>
      </w:r>
    </w:p>
    <w:p>
      <w:pPr>
        <w:spacing w:after="0" w:line="210"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The Borrower agrees that, so long as any credit is available to or in use by the Borrower hereunder, except to the extent compliance in any case or cases is cured or waived in writing pursuant to the terms of Section 12.13 hereof:</w:t>
      </w:r>
    </w:p>
    <w:p>
      <w:pPr>
        <w:spacing w:after="0" w:line="16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8.1. Maintenance of Existence. </w:t>
      </w:r>
      <w:r>
        <w:rPr>
          <w:rFonts w:ascii="Times New Roman" w:cs="Times New Roman" w:eastAsia="Times New Roman" w:hAnsi="Times New Roman"/>
          <w:sz w:val="22"/>
          <w:szCs w:val="22"/>
          <w:color w:val="auto"/>
        </w:rPr>
        <w:t>(i) The Borrower shall, and shall cause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 to, 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business except where such failure to preserve and keep in force and effect could not reasonably be expected to have a Material Adverse Effect.</w:t>
      </w:r>
    </w:p>
    <w:p>
      <w:pPr>
        <w:spacing w:after="0" w:line="182" w:lineRule="exact"/>
        <w:rPr>
          <w:sz w:val="20"/>
          <w:szCs w:val="20"/>
          <w:color w:val="auto"/>
        </w:rPr>
      </w:pPr>
    </w:p>
    <w:p>
      <w:pPr>
        <w:jc w:val="both"/>
        <w:ind w:left="860" w:right="219" w:firstLine="1293"/>
        <w:spacing w:after="0" w:line="236" w:lineRule="auto"/>
        <w:tabs>
          <w:tab w:leader="none" w:pos="280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At least one class of common stock of the Borrower shall at all times be duly listed on the New York Stock Exchange, the NYSE American or The NASDAQ Stock Market and (b) the Borrower shall timely file all reports required to be filed by it with the New York Stock Exchange, the NYSE American or The NASDAQ Stock Market, as applicable, and the Securities and Exchange Commission, unless such failure to timely file could not reasonably be expected to have a Material Adverse Effect.</w:t>
      </w:r>
    </w:p>
    <w:p>
      <w:pPr>
        <w:spacing w:after="0" w:line="17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8.2. Maintenance of Properties, Agreements. </w:t>
      </w:r>
      <w:r>
        <w:rPr>
          <w:rFonts w:ascii="Times New Roman" w:cs="Times New Roman" w:eastAsia="Times New Roman" w:hAnsi="Times New Roman"/>
          <w:sz w:val="22"/>
          <w:szCs w:val="22"/>
          <w:color w:val="auto"/>
        </w:rPr>
        <w:t>The Borrower and each Guarantor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cause each of its tenants to maintain, preserve, and keep all of the Borrower’s and each Guarantor’s Property in working condition and order (ordinary wear and tear excepted) in all material respects, and the Borrower and each Guarantor shall from time to time make all needful and proper repairs, renewals, replacements, additions, and betterments to its Property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the Borrower in its business judgment or due to any breach by the other party thereto) and shall not modify or amend any material contract or agreement that would cause a Material Adverse Effect.</w:t>
      </w:r>
    </w:p>
    <w:p>
      <w:pPr>
        <w:spacing w:after="0" w:line="17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Section 8.3. Taxes and Assessments</w:t>
      </w:r>
      <w:r>
        <w:rPr>
          <w:rFonts w:ascii="Times New Roman" w:cs="Times New Roman" w:eastAsia="Times New Roman" w:hAnsi="Times New Roman"/>
          <w:sz w:val="22"/>
          <w:szCs w:val="22"/>
          <w:color w:val="auto"/>
        </w:rPr>
        <w:t>. The Borrower and each Guarantor shall, 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cause its tenants to, duly pay and discharge all taxes, rates, assessments, fees, and governmental</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0" w:name="page121"/>
    <w:bookmarkEnd w:id="120"/>
    <w:p>
      <w:pPr>
        <w:ind w:left="200" w:right="359"/>
        <w:spacing w:after="0" w:line="239" w:lineRule="auto"/>
        <w:rPr>
          <w:sz w:val="20"/>
          <w:szCs w:val="20"/>
          <w:color w:val="auto"/>
        </w:rPr>
      </w:pPr>
      <w:r>
        <w:rPr>
          <w:rFonts w:ascii="Times New Roman" w:cs="Times New Roman" w:eastAsia="Times New Roman" w:hAnsi="Times New Roman"/>
          <w:sz w:val="22"/>
          <w:szCs w:val="22"/>
          <w:color w:val="auto"/>
        </w:rPr>
        <w:t>charges upon or against it or its Property,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spacing w:after="0" w:line="17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Section 8.4. Insurance. </w:t>
      </w:r>
      <w:r>
        <w:rPr>
          <w:rFonts w:ascii="Times New Roman" w:cs="Times New Roman" w:eastAsia="Times New Roman" w:hAnsi="Times New Roman"/>
          <w:sz w:val="21"/>
          <w:szCs w:val="21"/>
          <w:color w:val="auto"/>
        </w:rPr>
        <w:t>Except where the Tenant of a Property shall maintain insurance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pursuant to the terms of its Lease, the Borrower shall insure and keep insured, and shall cause each Subsidiary to insure and keep insured, with 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and the Borrower shall insure, and shall cause each Subsidiary to insure, such other hazards and risks (including, without limitation, business interruption, employers’ and public liability risks) with good and responsible insurance companies as and to the extent usually insured by Persons similarly situated and conducting similar businesses. The Borrower shall, upon the reasonable request of the Administrative Agent, furnish to the Administrative Agent and the Lenders a certificate setting forth in summary form the nature and extent of the insurance maintained pursuant to this Section 8.4. After the occurrence of a Collateral Trigger Event, such policies of insurance shall contain satisfactory mortgagee/lender’s loss payable endorsements showing only such loss payees, assignees and additional insureds as are satisfactory to the Administrative Agent. After the occurrence of a Collateral Trigger Event, each policy of insurance or endorsement shall contain a clause requiring the insurer to give not less than thirty (30) days’ (or ten (10) days’ in the case of nonpayment of insurance premiums) prior written notice to the Administrative Agent in the event of cancellation of the policy for any reason whatsoever and a clause specifying that the interest of the Administrative Agent shall not be impaired or invalidated by any act or neglect of any Material Subsidiary or Tenant, or the owner of the premises or Property or by the occupation of the premises for purposes more hazardous than are permitted by said policy.</w:t>
      </w:r>
    </w:p>
    <w:p>
      <w:pPr>
        <w:spacing w:after="0" w:line="200" w:lineRule="exact"/>
        <w:rPr>
          <w:sz w:val="20"/>
          <w:szCs w:val="20"/>
          <w:color w:val="auto"/>
        </w:rPr>
      </w:pPr>
    </w:p>
    <w:p>
      <w:pPr>
        <w:spacing w:after="0" w:line="227"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8.5. Financial Reports. </w:t>
      </w:r>
      <w:r>
        <w:rPr>
          <w:rFonts w:ascii="Times New Roman" w:cs="Times New Roman" w:eastAsia="Times New Roman" w:hAnsi="Times New Roman"/>
          <w:sz w:val="22"/>
          <w:szCs w:val="22"/>
          <w:color w:val="auto"/>
        </w:rPr>
        <w:t>The Borrower shall, and shall cause each Subsidiary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maintain a standard system of accounting in accordance with GAAP and shall furnish to the Administrative Agent, each Lender and each of their duly authorized representatives such information respecting the business and financial condition of the Borrower and each Subsidiary as the Administrative Agent or such Lender may reasonably request; and without any request, shall furnish to the Administrative Agent for distribution to the Lenders:</w:t>
      </w:r>
    </w:p>
    <w:p>
      <w:pPr>
        <w:spacing w:after="0" w:line="179" w:lineRule="exact"/>
        <w:rPr>
          <w:sz w:val="20"/>
          <w:szCs w:val="20"/>
          <w:color w:val="auto"/>
        </w:rPr>
      </w:pPr>
    </w:p>
    <w:p>
      <w:pPr>
        <w:jc w:val="both"/>
        <w:ind w:left="200" w:right="219" w:firstLine="1305"/>
        <w:spacing w:after="0" w:line="245" w:lineRule="auto"/>
        <w:tabs>
          <w:tab w:leader="none" w:pos="214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and in any event no later than ninety (90) days after the last day each fiscal year of the Borrower, a copy of the consolidated and consolidating balance sheet of the Borrower and its Subsidiaries as of the last day of the fiscal year then ended and the consolidated and consolidating statements of income, retained earnings, and cash flows of the Borrower and its Subsidiaries for the fiscal year then ended, and accompanying notes thereto, each in reasonable detail showing in comparative form the figures for the previous fiscal year, accompanied by an unqualified opinion of independent public accountants of recognized national standing, selected by the Borrower and reasonably satisfactory to the Administrative Agent, to the effect that the consolidated financial statements have been prepared in accordance with GAAP and present fairly in accordance with GAAP the consolidated financial condition of the Borrower and its Subsidiaries as of the close of such fiscal year and the results of their operations and cash flows for the fiscal year then ended and that an examination of such accounts in connection with such</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1" w:name="page122"/>
    <w:bookmarkEnd w:id="121"/>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financial statements has been made in accordance with generally accepted auditing standards and, accordingly, such examination included such tests of the accounting records and such other auditing procedures as were considered necessary in the circumstances;</w:t>
      </w:r>
    </w:p>
    <w:p>
      <w:pPr>
        <w:spacing w:after="0" w:line="173" w:lineRule="exact"/>
        <w:rPr>
          <w:sz w:val="20"/>
          <w:szCs w:val="20"/>
          <w:color w:val="auto"/>
        </w:rPr>
      </w:pPr>
    </w:p>
    <w:p>
      <w:pPr>
        <w:jc w:val="both"/>
        <w:ind w:left="200" w:right="219" w:firstLine="1305"/>
        <w:spacing w:after="0" w:line="238" w:lineRule="auto"/>
        <w:tabs>
          <w:tab w:leader="none" w:pos="21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no later than forty-five (45) days after the last day of each fiscal quarter of each fiscal year of the Borrower, a copy of the consolidated and consolidating balance sheet of the Borrower and its Subsidiaries as of the last day of such fiscal quarter and the consolidated and consolidating statements of income, retained earnings, and cash flows of the Borrower and its Subsidiaries for the fiscal quarter and for the fiscal year-to-date period then ended, each in reasonable detail showing in comparative form the figures for the corresponding date and period in the previous fiscal year, prepared by the Borrower in accordance with GAAP (subject to the absence of footnote disclosures and year-end audit adjustments) and certified to by its chief financial officer, chief accounting officer or another officer of the Borrower reasonably acceptable to the Administrative Agent;</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forty-five (45) days after the last day of each Fiscal Quarter (or ninety (90) days after the last day of each Fiscal Year) a Borrowing Base Certificate showing the computation of the Borrowing Base in reasonable detail as of the close of business on the last day of such fiscal quarter, prepared by the Borrower and certified to by its chief financial officer, chief accounting officer or another officer of the Borrower acceptable to the Administrative Agent;</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each of the financial statements delivered pursuant to subsections (a) and (b) above, a Compliance Certificate (“Compliance Certificate”) in the form attached hereto as Exhibit E signed by the chief financial officer, chief accounting officer or another officer of the Borrower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thereof, any additional written reports, management letters or other detailed information contained in writing concerning significant aspects of the Borrower’s or any Subsidiary’s operations and financial affairs given to it by its independent public accountants;</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sending or filing thereof, copies of each financial statement, report, notice or proxy statement sent by the Borrower or any Subsidiary to its stockholders or other equity holders, and upon written request from the Administrative Agent, copies of each regular, periodic or special report, registration statement or prospectus (including</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2" w:name="page123"/>
    <w:bookmarkEnd w:id="122"/>
    <w:p>
      <w:pPr>
        <w:ind w:left="200" w:right="219"/>
        <w:spacing w:after="0" w:line="258" w:lineRule="auto"/>
        <w:rPr>
          <w:sz w:val="20"/>
          <w:szCs w:val="20"/>
          <w:color w:val="auto"/>
        </w:rPr>
      </w:pPr>
      <w:r>
        <w:rPr>
          <w:rFonts w:ascii="Times New Roman" w:cs="Times New Roman" w:eastAsia="Times New Roman" w:hAnsi="Times New Roman"/>
          <w:sz w:val="22"/>
          <w:szCs w:val="22"/>
          <w:color w:val="auto"/>
        </w:rPr>
        <w:t>all Form 10-K, Form 10-Q and Form 8-K reports) filed by the Borrower or any Subsidiary with any securities exchange or the Securities and Exchange Commission or any successor agency;</w:t>
      </w:r>
    </w:p>
    <w:p>
      <w:pPr>
        <w:spacing w:after="0" w:line="158" w:lineRule="exact"/>
        <w:rPr>
          <w:sz w:val="20"/>
          <w:szCs w:val="20"/>
          <w:color w:val="auto"/>
        </w:rPr>
      </w:pPr>
    </w:p>
    <w:p>
      <w:pPr>
        <w:jc w:val="both"/>
        <w:ind w:left="200" w:right="219" w:firstLine="1305"/>
        <w:spacing w:after="0" w:line="239" w:lineRule="auto"/>
        <w:tabs>
          <w:tab w:leader="none" w:pos="21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thereof, a copy of each audit made by any regulatory agency of the books and records of the Borrower or any Subsidiary or of notice of any material noncompliance with any applicable law, regulation or guideline relating to the Borrower or any Subsidiary, or its business;</w:t>
      </w:r>
    </w:p>
    <w:p>
      <w:pPr>
        <w:spacing w:after="0" w:line="18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Change of Control;</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knowledge thereof shall have come to the attention of any Responsible Officer of the Borrower, written notice of (i) any threatened (in writing) or pending litigation or governmental or arbitration proceeding or labor controversy against the Borrower or any Subsidiary or any of their Property which could reasonably be expected to have a Material Adverse Effect, (ii) the occurrence of any matter which could reasonably be expected to have a Material Adverse Effect, (iii) the occurrence of any Default or Event of Default hereunder or (iv) any change in the information provided in the Beneficial Ownership Certification that would result in a change to the list of beneficial owners identified in such certification;</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forty-five (45) days of the end of each of the first three (3) fiscal quarters and within ninety (90) days after the close of the last fiscal quarter of the year (i) a list of all newly formed or acquired Subsidiaries during such quarter (such list shall contain the information relative to such new Subsidiaries as set forth in Schedule 6.2 hereto); (ii) a list of newly executed Significant Leases during such quarter; (iii) a copy of any notice of a material default or any other material notice (including without limitation property condition reviews) received by the Borrower or any Guarantor from any ground lessor under a Significant Lease during such quarter and (iv) a schedule showing for such quarter (A) any Significant Lease that was or is continuing to be in default with respect to monthly contractual rent payments in excess of sixty (60) days;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knowledge thereof shall have come to the attention of any Responsible Officer of the Borrower, written notice to each Lender if amounts payable under a Significant Lease or portion thereof included in the Borrowing Base Value is more than sixty (60) days past due; and</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request of any Lender, any other information or report reasonably requested by a Lender.</w:t>
      </w:r>
    </w:p>
    <w:p>
      <w:pPr>
        <w:spacing w:after="0" w:line="15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provided, however, to the extent such items set forth above are filed with the Securities and Exchange Commission or otherwise are publicly available, the Borrower shall be deemed to have satisfied this covenant once it provides notice to the Administrative Agent of such availability.</w:t>
      </w:r>
    </w:p>
    <w:p>
      <w:pPr>
        <w:spacing w:after="0" w:line="15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8.6. Inspection</w:t>
      </w:r>
      <w:r>
        <w:rPr>
          <w:rFonts w:ascii="Times New Roman" w:cs="Times New Roman" w:eastAsia="Times New Roman" w:hAnsi="Times New Roman"/>
          <w:sz w:val="22"/>
          <w:szCs w:val="22"/>
          <w:color w:val="auto"/>
        </w:rPr>
        <w:t>. The Borrower shall, and shall cause each Subsidiary to,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Agent, each Lender and each of their duly authorized representatives and agents during normal business hours to visit and inspect any of its Property, corporate books, and financial records, to examine and make copies of its books of accounts and other financial records (which</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3" w:name="page124"/>
    <w:bookmarkEnd w:id="123"/>
    <w:p>
      <w:pPr>
        <w:ind w:left="200" w:right="279"/>
        <w:spacing w:after="0" w:line="234" w:lineRule="auto"/>
        <w:rPr>
          <w:sz w:val="20"/>
          <w:szCs w:val="20"/>
          <w:color w:val="auto"/>
        </w:rPr>
      </w:pPr>
      <w:r>
        <w:rPr>
          <w:rFonts w:ascii="Times New Roman" w:cs="Times New Roman" w:eastAsia="Times New Roman" w:hAnsi="Times New Roman"/>
          <w:sz w:val="22"/>
          <w:szCs w:val="22"/>
          <w:color w:val="auto"/>
        </w:rPr>
        <w:t>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the Borrower hereby authorizes such accountants with the Borrower present to discuss with the Administrative Agent and such Lenders the finances and affairs of the Borrower and its Subsidiaries) at such reasonable times and intervals as the Administrative Agent or any such Lender may designate and, so long as no Default or Event of Default exists, with reasonable prior notice to the Borrower. The Administrative Agent and Lenders shall use reasonable efforts to coordinate inspections undertaken in accordance with this Section 8.6 to reduce the administrative burden of such inspections on the Borrower and their Subsidiaries.</w:t>
      </w:r>
    </w:p>
    <w:p>
      <w:pPr>
        <w:spacing w:after="0" w:line="175" w:lineRule="exact"/>
        <w:rPr>
          <w:sz w:val="20"/>
          <w:szCs w:val="20"/>
          <w:color w:val="auto"/>
        </w:rPr>
      </w:pPr>
    </w:p>
    <w:p>
      <w:pPr>
        <w:jc w:val="both"/>
        <w:ind w:left="200" w:right="239" w:firstLine="648"/>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Section 8.7. Liens. </w:t>
      </w:r>
      <w:r>
        <w:rPr>
          <w:rFonts w:ascii="Times New Roman" w:cs="Times New Roman" w:eastAsia="Times New Roman" w:hAnsi="Times New Roman"/>
          <w:sz w:val="21"/>
          <w:szCs w:val="21"/>
          <w:color w:val="auto"/>
        </w:rPr>
        <w:t>The Borrower shall not, nor shall it permit any Subsidiary to, create,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incur or permit to exist any Lien of any kind on any Property owned by any such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however, </w:t>
      </w:r>
      <w:r>
        <w:rPr>
          <w:rFonts w:ascii="Times New Roman" w:cs="Times New Roman" w:eastAsia="Times New Roman" w:hAnsi="Times New Roman"/>
          <w:sz w:val="21"/>
          <w:szCs w:val="21"/>
          <w:color w:val="auto"/>
        </w:rPr>
        <w:t>that the foregoing shall not apply to nor operate to prevent any Permitted Liens.</w:t>
      </w:r>
    </w:p>
    <w:p>
      <w:pPr>
        <w:spacing w:after="0" w:line="151"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Section 8.8. Investments, Acquisitions, Loans and Advances</w:t>
      </w:r>
      <w:r>
        <w:rPr>
          <w:rFonts w:ascii="Times New Roman" w:cs="Times New Roman" w:eastAsia="Times New Roman" w:hAnsi="Times New Roman"/>
          <w:sz w:val="22"/>
          <w:szCs w:val="22"/>
          <w:color w:val="auto"/>
        </w:rPr>
        <w:t>. The Borrower shall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nor shall it permit any Subsidiary to (i) directly or indirectly, make, retain or have outstanding any investments (whether through the purchase of stock or obligations or otherwise) in any Person, real property or improvements on real property, or any loans, advances, lines of credit, mortgage loans or other financings (including pursuant to sale/leaseback transactions) to any other Person, or (ii) acquire any real property, improvements on real property or all or any substantial part of the assets or business of any other Person or division thereof;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foregoing shall not apply to nor operate to prevent, with respect to the Borrower or any Subsidiary, any of the following:</w:t>
      </w:r>
    </w:p>
    <w:p>
      <w:pPr>
        <w:spacing w:after="0" w:line="178" w:lineRule="exact"/>
        <w:rPr>
          <w:sz w:val="20"/>
          <w:szCs w:val="20"/>
          <w:color w:val="auto"/>
        </w:rPr>
      </w:pPr>
    </w:p>
    <w:p>
      <w:pPr>
        <w:jc w:val="both"/>
        <w:ind w:left="200" w:right="219" w:firstLine="1305"/>
        <w:spacing w:after="0" w:line="239"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spacing w:after="0" w:line="180"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with a Rating of at least P-1 by Moody’s and at least A-1 by S&amp;P maturing within one (1) year of the date of issuance thereof;</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bearing assets or investments in certificates of deposit issued by any Lender or by any United States commercial bank having capital and surplus of not less than $100,000,000 which have a maturity of one (1) year or less;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market funds that invest solely, and which are restricted by their respective charters to invest solely, in investments of the type described in the immediately preceding subsections (a), (b), (c), and (d) above;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4" w:name="page125"/>
    <w:bookmarkEnd w:id="124"/>
    <w:p>
      <w:pPr>
        <w:jc w:val="both"/>
        <w:ind w:left="200" w:right="219" w:firstLine="1305"/>
        <w:spacing w:after="0" w:line="236"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investments in (x) corporate debt issued by any real estate company or real estate investment trust, (y) Stock or Stock Equivalents issued by any real estate company or real estate investment trust, so long as in each case the real estate company or real estate investment trust is listed on the New York Stock Exchange, the NYSE American or The NASDAQ Stock Market or (z) Stock issued by Alpine; or (ii) investments in Stock Equivalents issued by Alpine or its operating partnership;</w:t>
      </w:r>
    </w:p>
    <w:p>
      <w:pPr>
        <w:spacing w:after="0" w:line="181"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investments from time to time in its Subsidiaries, and investments made from time to time by a Subsidiary in one or more of its Subsidiaries;</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advances made from time to time among the Borrower and its Subsidiaries in the ordinary course of business to finance working capital needs; a</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from time to time in individual Properties, including Eligible Properties and Eligible Leasehold Interests, Land Assets, and Assets Under Development, or in joint venture or other entities which own such individual Properties, including Eligible Properties, Eligible Leasehold Interests, Land Assets, and Assets Under Development, provided that such investment does not cause a breach of the financial covenants set forth in Section 8.20 hereof;</w:t>
      </w:r>
    </w:p>
    <w:p>
      <w:pPr>
        <w:spacing w:after="0" w:line="168" w:lineRule="exact"/>
        <w:rPr>
          <w:rFonts w:ascii="Times New Roman" w:cs="Times New Roman" w:eastAsia="Times New Roman" w:hAnsi="Times New Roman"/>
          <w:sz w:val="21"/>
          <w:szCs w:val="21"/>
          <w:color w:val="auto"/>
        </w:rPr>
      </w:pPr>
    </w:p>
    <w:p>
      <w:pPr>
        <w:jc w:val="both"/>
        <w:ind w:left="200" w:right="219" w:firstLine="1305"/>
        <w:spacing w:after="0" w:line="239"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from time to time in mortgages, deeds of trust, deeds to secure debt or similar instruments that are a lien upon Property, mezzanine loans, notes receivable, and investments in preferred equity securities; provided that, such investment does not cause a breach of the financial covenants set forth in Section 8.20 hereof;</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(including tender offers (e.g. Dutch or modified Dutch tender offers)) of the Borrower’s stock to the extent permitted under Section 8.29 hereof.</w:t>
      </w:r>
    </w:p>
    <w:p>
      <w:pPr>
        <w:spacing w:after="0" w:line="158"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In determining the amount of investments, acquisitions, loans, and advances permitted under this Section, investments and acquisitions shall always be taken at the book value (as defined in GAAP) thereof, and loans and advances shall be taken at the principal amount thereof then remaining unpaid.</w:t>
      </w:r>
    </w:p>
    <w:p>
      <w:pPr>
        <w:spacing w:after="0" w:line="17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8.9. Mergers, Consolidations and Sales. </w:t>
      </w:r>
      <w:r>
        <w:rPr>
          <w:rFonts w:ascii="Times New Roman" w:cs="Times New Roman" w:eastAsia="Times New Roman" w:hAnsi="Times New Roman"/>
          <w:sz w:val="22"/>
          <w:szCs w:val="22"/>
          <w:color w:val="auto"/>
        </w:rPr>
        <w:t>Except with the prior written consent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Required Lenders (which shall not be unreasonably withheld, conditioned or delayed), the Borrower shall not, nor shall it permit any Subsidiary to, be a party to any merger or consolidation, or sell, transfer, lease or otherwise dispose of all or substantially all of its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so long as the Borrower and Subsidiaries are in compliance with all covenants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agreements in this Agreement and no Default or Event of Default then exist, this Section shall not apply to nor operate to prevent:</w:t>
      </w:r>
    </w:p>
    <w:p>
      <w:pPr>
        <w:spacing w:after="0" w:line="180" w:lineRule="exact"/>
        <w:rPr>
          <w:sz w:val="20"/>
          <w:szCs w:val="20"/>
          <w:color w:val="auto"/>
        </w:rPr>
      </w:pPr>
    </w:p>
    <w:p>
      <w:pPr>
        <w:ind w:left="200" w:right="219" w:firstLine="1305"/>
        <w:spacing w:after="0" w:line="258" w:lineRule="auto"/>
        <w:tabs>
          <w:tab w:leader="none" w:pos="21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lease or other disposition of Property of the Borrower and its Subsidiaries to one another in the ordinary course of its business;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of any Subsidiary with and into the Borrower or any other Subsidiary, provided that, in the case of any merger involving the Borrower, the Borrower is the corporation surviving the merger;</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5" w:name="page126"/>
    <w:bookmarkEnd w:id="125"/>
    <w:p>
      <w:pPr>
        <w:jc w:val="both"/>
        <w:ind w:left="200" w:right="219" w:firstLine="1305"/>
        <w:spacing w:after="0" w:line="244"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any tangible personal property that, in the reasonable business judgment of the Borrower or its Subsidiary, has become obsolete or worn out, and which is disposed of in the ordinary course of business; and</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 and</w:t>
      </w:r>
    </w:p>
    <w:p>
      <w:pPr>
        <w:spacing w:after="0" w:line="180"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merger if it results in the simultaneous payoff in immediately available funds of the Obligations.</w:t>
      </w:r>
    </w:p>
    <w:p>
      <w:pPr>
        <w:spacing w:after="0" w:line="154"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8.10. Maintenance of Subsidiaries. </w:t>
      </w:r>
      <w:r>
        <w:rPr>
          <w:rFonts w:ascii="Times New Roman" w:cs="Times New Roman" w:eastAsia="Times New Roman" w:hAnsi="Times New Roman"/>
          <w:sz w:val="22"/>
          <w:szCs w:val="22"/>
          <w:color w:val="auto"/>
        </w:rPr>
        <w:t>The Borrower shall not assign, sell or transfer,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nor shall it permit any Material Subsidiary to issue, assign, sell or transfer, any shares of capital stock or other equity interests of a Material Subsidiary;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foregoing shall not operate to prevent (a) Liens on the capital stock or other equity interests of Material Subsidiaries granted to the Administrative Agent, (b) the issuance, sale and transfer to any Person of any shares of capital stock of a Material Subsidiary solely for the purpose of qualifying, and to the extent legally necessary to qualify, such person as a director of such Subsidiary, and (c) any transaction permitted by Section 8.9(b) above.</w:t>
      </w:r>
    </w:p>
    <w:p>
      <w:pPr>
        <w:spacing w:after="0" w:line="178"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8.11. ERISA. </w:t>
      </w:r>
      <w:r>
        <w:rPr>
          <w:rFonts w:ascii="Times New Roman" w:cs="Times New Roman" w:eastAsia="Times New Roman" w:hAnsi="Times New Roman"/>
          <w:sz w:val="22"/>
          <w:szCs w:val="22"/>
          <w:color w:val="auto"/>
        </w:rPr>
        <w:t>The Borrower shall, and shall cause each Subsidiary to, promptly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 and discharge all obligations and liabilities arising under ERISA in excess of $1,000,000 of a character which if unpaid or unperformed could reasonably be expected to result in the imposition of a Lien against any of its Property. Upon the Borrower or a Subsidiary obtaining knowledge of any of the following events, the Borrower shall, and shall cause each Subsidiary to, promptly notify the Administrative Agent and each Lender of: (a) the occurrence of any reportable 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any Plan, and (d) 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spacing w:after="0" w:line="18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8.12.</w:t>
      </w:r>
      <w:r>
        <w:rPr>
          <w:sz w:val="20"/>
          <w:szCs w:val="20"/>
          <w:color w:val="auto"/>
        </w:rPr>
        <w:tab/>
      </w:r>
      <w:r>
        <w:rPr>
          <w:rFonts w:ascii="Times New Roman" w:cs="Times New Roman" w:eastAsia="Times New Roman" w:hAnsi="Times New Roman"/>
          <w:sz w:val="21"/>
          <w:szCs w:val="21"/>
          <w:i w:val="1"/>
          <w:iCs w:val="1"/>
          <w:color w:val="auto"/>
        </w:rPr>
        <w:t>Compliance with Laws.</w:t>
      </w:r>
    </w:p>
    <w:p>
      <w:pPr>
        <w:spacing w:after="0" w:line="210" w:lineRule="exact"/>
        <w:rPr>
          <w:sz w:val="20"/>
          <w:szCs w:val="20"/>
          <w:color w:val="auto"/>
        </w:rPr>
      </w:pPr>
    </w:p>
    <w:p>
      <w:pPr>
        <w:jc w:val="both"/>
        <w:ind w:left="200" w:right="219" w:firstLine="1305"/>
        <w:spacing w:after="0" w:line="238"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and shall cause each Subsidiary to, comply in all material respects with the requirements of all federal, state, and local laws, rules, regulations, ordinances and orders applicable to or pertaining to its Property or business operations, where any such non-compliance, individually or in the aggregate, could reasonably be expected to have a Material Adverse Effect.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and shall cause each Subsidiary to, at all times, do the following to the extent the failure to do so, individually or in the aggregate, could reasonably be expected to have a Material Adverse Effect: (i) comply in all material respects with, and maintain</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6" w:name="page127"/>
    <w:bookmarkEnd w:id="126"/>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w:t>
      </w:r>
    </w:p>
    <w:p>
      <w:pPr>
        <w:ind w:left="580" w:hanging="371"/>
        <w:spacing w:after="0"/>
        <w:tabs>
          <w:tab w:leader="none" w:pos="58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cure any material violation by it or at any of the Properties of applicable Environmental Laws;</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1" w:lineRule="auto"/>
        <w:tabs>
          <w:tab w:leader="none" w:pos="5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allow the presence or operation at any of the Properties of any (1) landfill or dump or (2) 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of written notice of any of the following in connection with the Borrower or any Subsidiary or any of the Properties that could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the use of the Properties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Properties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spacing w:after="0" w:line="175"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8.13. Compliance with OFAC Sanctions Programs and Anti-Corruption Laws.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shall at all times comply in all material respects with the requirements of all OFAC Sanctions Programs applicable to the Borrower and shall cause each of its Subsidiaries to comply with the requirements of all OFAC Sanctions Programs applicable to such Subsidiary.</w:t>
      </w:r>
    </w:p>
    <w:p>
      <w:pPr>
        <w:spacing w:after="0" w:line="176" w:lineRule="exact"/>
        <w:rPr>
          <w:sz w:val="20"/>
          <w:szCs w:val="20"/>
          <w:color w:val="auto"/>
        </w:rPr>
      </w:pPr>
    </w:p>
    <w:p>
      <w:pPr>
        <w:jc w:val="both"/>
        <w:ind w:left="200" w:right="219" w:firstLine="1305"/>
        <w:spacing w:after="0" w:line="238" w:lineRule="auto"/>
        <w:tabs>
          <w:tab w:leader="none" w:pos="21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provide the Administrative Agent and the Lenders any information regarding the Borrower, its Affiliates, and its Subsidiaries necessary for the Administrative Agent and the Lenders to comply with all applicable OFAC Sanctions Programs; subject however, in the case of Affiliates, to the Borrower’s ability to provide information applicable to them.</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Responsible Officer of the Borrower obtains actual knowledge or receives any written notice that the Borrower, any Subsidiary of the Borrower, or any officer, director or Affiliate of Borrower or any Subsidiary or that any Person that owns or controls any</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7" w:name="page128"/>
    <w:bookmarkEnd w:id="127"/>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such Person is the target of any OFAC Sanctions Programs or is located, organized or resident in a country or territory that is, or whose government is, the subject of any OFAC Sanctions Programs (such occurrence, an “OFAC Event”), the Borrower shall promptly (i) give written notice to the `Administrative Agent and the Lenders of such OFAC Event, and (ii) comply with all applicable laws with respect to such OFAC Event (regardless of whether the target Person is located within the jurisdiction of the United States of America), including the OFAC Sanctions Programs, and the Borrower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spacing w:after="0" w:line="187" w:lineRule="exact"/>
        <w:rPr>
          <w:sz w:val="20"/>
          <w:szCs w:val="20"/>
          <w:color w:val="auto"/>
        </w:rPr>
      </w:pPr>
    </w:p>
    <w:p>
      <w:pPr>
        <w:jc w:val="both"/>
        <w:ind w:left="200" w:right="219" w:firstLine="1305"/>
        <w:spacing w:after="0" w:line="235"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 government is, the subject of any OFAC Sanctions Programs, or (ii) in any other manner that would result in a violation of OFAC Sanctions Programs or Anti-Corruption Laws by any Person (including any Person participating in the Loans, whether as underwriter, lender, advisor, investor, or otherwise).</w:t>
      </w:r>
    </w:p>
    <w:p>
      <w:pPr>
        <w:spacing w:after="0" w:line="17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nor will it permit any Subsidiary to, violate any Anti-Corruption Law in any material respect.</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Subsidiary will maintain in effect policies and procedures designed to ensure compliance by such Persons, their Subsidiaries, and their respective directors, officers, employees, and agents with applicable Anti-Corruption Laws.</w:t>
      </w:r>
    </w:p>
    <w:p>
      <w:pPr>
        <w:spacing w:after="0" w:line="16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8.14. Burdensome Contracts With Affiliates. </w:t>
      </w:r>
      <w:r>
        <w:rPr>
          <w:rFonts w:ascii="Times New Roman" w:cs="Times New Roman" w:eastAsia="Times New Roman" w:hAnsi="Times New Roman"/>
          <w:sz w:val="22"/>
          <w:szCs w:val="22"/>
          <w:color w:val="auto"/>
        </w:rPr>
        <w:t>Except (a) compensation, bonus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 arrangements with employees, officers and directors approved by the Board of Directors or committee thereof, (b) transactions permitted by Section 8.9 hereof, (c) transactions in the ordinary course of business of the Borrower or its Subsidiaries or (d) transactions approved by the Borrower’s board of directors and reasonably acceptable to the Administrative Agent, the Borrower shall not, nor shall it permit any Subsidiary to, enter into any contract, agreement or business arrangement with any of its Affiliates on terms and conditions which are less favorable to the Borrower or such Subsidiary than would be usual and customary in similar contracts, agreements or business arrangements between Persons not affiliated with each other.</w:t>
      </w:r>
    </w:p>
    <w:p>
      <w:pPr>
        <w:spacing w:after="0" w:line="174" w:lineRule="exact"/>
        <w:rPr>
          <w:sz w:val="20"/>
          <w:szCs w:val="20"/>
          <w:color w:val="auto"/>
        </w:rPr>
      </w:pPr>
    </w:p>
    <w:p>
      <w:pPr>
        <w:ind w:left="860"/>
        <w:spacing w:after="0"/>
        <w:tabs>
          <w:tab w:leader="none" w:pos="2140" w:val="left"/>
          <w:tab w:leader="none" w:pos="4940" w:val="left"/>
        </w:tabs>
        <w:rPr>
          <w:sz w:val="20"/>
          <w:szCs w:val="20"/>
          <w:color w:val="auto"/>
        </w:rPr>
      </w:pPr>
      <w:r>
        <w:rPr>
          <w:rFonts w:ascii="Times New Roman" w:cs="Times New Roman" w:eastAsia="Times New Roman" w:hAnsi="Times New Roman"/>
          <w:sz w:val="22"/>
          <w:szCs w:val="22"/>
          <w:i w:val="1"/>
          <w:iCs w:val="1"/>
          <w:color w:val="auto"/>
        </w:rPr>
        <w:t>Section 8.15.</w:t>
        <w:tab/>
        <w:t>No Changes in Fiscal Year.</w:t>
      </w:r>
      <w:r>
        <w:rPr>
          <w:sz w:val="20"/>
          <w:szCs w:val="20"/>
          <w:color w:val="auto"/>
        </w:rPr>
        <w:tab/>
      </w:r>
      <w:r>
        <w:rPr>
          <w:rFonts w:ascii="Times New Roman" w:cs="Times New Roman" w:eastAsia="Times New Roman" w:hAnsi="Times New Roman"/>
          <w:sz w:val="22"/>
          <w:szCs w:val="22"/>
          <w:color w:val="auto"/>
        </w:rPr>
        <w:t>The Fiscal Year of the Borrower and its</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Subsidiaries ends on December 31 of each year; and the Borrower shall not, nor shall it permit any</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Subsidiary to, change its Fiscal Year from its present basis.</w:t>
      </w:r>
    </w:p>
    <w:p>
      <w:pPr>
        <w:spacing w:after="0" w:line="178"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8.16. Formation of Subsidiaries. </w:t>
      </w:r>
      <w:r>
        <w:rPr>
          <w:rFonts w:ascii="Times New Roman" w:cs="Times New Roman" w:eastAsia="Times New Roman" w:hAnsi="Times New Roman"/>
          <w:sz w:val="22"/>
          <w:szCs w:val="22"/>
          <w:color w:val="auto"/>
        </w:rPr>
        <w:t>Promptly upon the formation or acquisition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Material Subsidiary, the Borrower shall provide the Administrative Agent and the Lenders notice thereof and timely comply with the requirements of Sections 4.2 and 8.24 hereof.</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8" w:name="page129"/>
    <w:bookmarkEnd w:id="128"/>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8.17. Change in the Nature of Business. </w:t>
      </w:r>
      <w:r>
        <w:rPr>
          <w:rFonts w:ascii="Times New Roman" w:cs="Times New Roman" w:eastAsia="Times New Roman" w:hAnsi="Times New Roman"/>
          <w:sz w:val="22"/>
          <w:szCs w:val="22"/>
          <w:color w:val="auto"/>
        </w:rPr>
        <w:t>The Borrower shall not, nor shall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 any Subsidiary to, engage in any business or activity if as a result the general nature of the business of the Borrower or any Subsidiary would be changed in any material respect from the general nature of the business engaged in by it on the Closing Date.</w:t>
      </w:r>
    </w:p>
    <w:p>
      <w:pPr>
        <w:spacing w:after="0" w:line="17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Section 8.18. Use of Proceeds</w:t>
      </w:r>
      <w:r>
        <w:rPr>
          <w:rFonts w:ascii="Times New Roman" w:cs="Times New Roman" w:eastAsia="Times New Roman" w:hAnsi="Times New Roman"/>
          <w:sz w:val="22"/>
          <w:szCs w:val="22"/>
          <w:color w:val="auto"/>
        </w:rPr>
        <w:t>. The Borrower shall use the credit extended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solely for the purposes set forth in, or otherwise permitted by, Section 6.4 hereof.</w:t>
      </w:r>
    </w:p>
    <w:p>
      <w:pPr>
        <w:spacing w:after="0" w:line="15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Section 8.19. No Restrictions</w:t>
      </w:r>
      <w:r>
        <w:rPr>
          <w:rFonts w:ascii="Times New Roman" w:cs="Times New Roman" w:eastAsia="Times New Roman" w:hAnsi="Times New Roman"/>
          <w:sz w:val="21"/>
          <w:szCs w:val="21"/>
          <w:color w:val="auto"/>
        </w:rPr>
        <w:t>. Except as provided herein, the Borrower shall not, nor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it permit 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other Subsidiary,</w:t>
      </w:r>
    </w:p>
    <w:p>
      <w:pPr>
        <w:jc w:val="both"/>
        <w:ind w:left="200" w:right="219" w:firstLine="9"/>
        <w:spacing w:after="0" w:line="232" w:lineRule="auto"/>
        <w:tabs>
          <w:tab w:leader="none" w:pos="5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any indebtedness owed to the Borrower or any other Subsidiary, (c) make loans or advances to the Borrower or any other Subsidiary, (d) transfer any of its Property to the Borrower or any other Subsidiary</w:t>
      </w:r>
      <w:r>
        <w:rPr>
          <w:rFonts w:ascii="Times New Roman" w:cs="Times New Roman" w:eastAsia="Times New Roman" w:hAnsi="Times New Roman"/>
          <w:sz w:val="22"/>
          <w:szCs w:val="22"/>
          <w:i w:val="1"/>
          <w:iCs w:val="1"/>
          <w:color w:val="auto"/>
        </w:rPr>
        <w:t>; provided however, that</w:t>
      </w:r>
      <w:r>
        <w:rPr>
          <w:rFonts w:ascii="Times New Roman" w:cs="Times New Roman" w:eastAsia="Times New Roman" w:hAnsi="Times New Roman"/>
          <w:sz w:val="22"/>
          <w:szCs w:val="22"/>
          <w:color w:val="auto"/>
        </w:rPr>
        <w:t xml:space="preserve"> the foregoing does not apply to any limitation on transfers of property that is subject to a Permitted Lien or (e) guarantee the Obligations, Hedging Liability, and Funds Transfer and Deposit Account Liability and/or grant Liens on its assets to the Administrative Agent.</w:t>
      </w:r>
    </w:p>
    <w:p>
      <w:pPr>
        <w:spacing w:after="0" w:line="179"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8.20.</w:t>
      </w:r>
      <w:r>
        <w:rPr>
          <w:sz w:val="20"/>
          <w:szCs w:val="20"/>
          <w:color w:val="auto"/>
        </w:rPr>
        <w:tab/>
      </w:r>
      <w:r>
        <w:rPr>
          <w:rFonts w:ascii="Times New Roman" w:cs="Times New Roman" w:eastAsia="Times New Roman" w:hAnsi="Times New Roman"/>
          <w:sz w:val="21"/>
          <w:szCs w:val="21"/>
          <w:i w:val="1"/>
          <w:iCs w:val="1"/>
          <w:color w:val="auto"/>
        </w:rPr>
        <w:t>Financial Covenants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200" w:right="219" w:firstLine="1305"/>
        <w:spacing w:after="0" w:line="239" w:lineRule="auto"/>
        <w:tabs>
          <w:tab w:leader="none" w:pos="21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Maximum Total Indebtedness to Total Asset Value Ratio. As of the last day of each Fiscal Quarter of the Borrower, the Borrower shall not permit the ratio of Total Indebtedness to Total Asset Value to be greater than (x) during a Leverage Ratio Increase Period, 0.65 to 1.00 and (y) at all other times, 0.60 to 1.00.</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Maximum Unsecured Indebtedness to Borrowing Base Value Ratio. As of the last day of each Fiscal Quarter of the Borrower, the Borrower shall not permit the ratio of Unsecured Indebtedness to Borrowing Base Value to be greater than (x) during a Leverage Ratio Increase Period, 0.65 to 1.00 and (y) at all other times, 0.60 to 1.00.</w:t>
      </w:r>
    </w:p>
    <w:p>
      <w:pPr>
        <w:spacing w:after="0" w:line="180" w:lineRule="exact"/>
        <w:rPr>
          <w:rFonts w:ascii="Times New Roman" w:cs="Times New Roman" w:eastAsia="Times New Roman" w:hAnsi="Times New Roman"/>
          <w:sz w:val="22"/>
          <w:szCs w:val="22"/>
          <w:color w:val="auto"/>
        </w:rPr>
      </w:pPr>
    </w:p>
    <w:p>
      <w:pPr>
        <w:jc w:val="both"/>
        <w:ind w:left="200" w:right="239" w:firstLine="1305"/>
        <w:spacing w:after="0" w:line="244" w:lineRule="auto"/>
        <w:tabs>
          <w:tab w:leader="none" w:pos="21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Maximum Secured Indebtedness to Total Asset Value Ratio. As of the last day of each Fiscal Quarter of the Borrower, the Borrower shall not permit the ratio of Secured Indebtedness to Total Asset Value to be greater than 0.40 to 1.00.</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Minimum Adjusted EBITDA to Fixed Charges Ratio. As of the last day of each Fiscal Quarter of the Borrower, the Borrower shall not permit the ratio of Adjusted EBITDA for the applicable Rolling Period to Fixed Charges for such Rolling Period to be less than 1.50 to 1.0.</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Maximum Secured Recourse Indebtedness to Total Asset Value Ratio. As of the last day of each Fiscal Quarter of the Borrower, the Borrower and its Subsidiaries shall not permit the ratio of Secured Recourse Indebtedness to Total Asset Value to be greater than 0.05 to 1.0.</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Maintenance of Net Worth. The Borrower shall, as of the last day of each Fiscal Quarter, maintain a Tangible Net Worth of not less than the sum of (a) $465,259,119, plus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9" w:name="page130"/>
    <w:bookmarkEnd w:id="129"/>
    <w:p>
      <w:pPr>
        <w:jc w:val="both"/>
        <w:ind w:left="200" w:right="219" w:firstLine="9"/>
        <w:spacing w:after="0" w:line="244" w:lineRule="auto"/>
        <w:tabs>
          <w:tab w:leader="none" w:pos="53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 of the aggregate net proceeds received by the Borrower or any of its Subsidiaries after June 30, 2024 in connection with any offering of Stock or Stock Equivalents of the Borrower or the Subsidiaries.</w:t>
      </w:r>
    </w:p>
    <w:p>
      <w:pPr>
        <w:sectPr>
          <w:pgSz w:w="11900" w:h="16838" w:orient="portrait"/>
          <w:cols w:equalWidth="0" w:num="1">
            <w:col w:w="9019"/>
          </w:cols>
          <w:pgMar w:left="1440" w:top="895" w:right="1440" w:bottom="1440" w:gutter="0" w:footer="0" w:header="0"/>
        </w:sectPr>
      </w:pPr>
    </w:p>
    <w:p>
      <w:pPr>
        <w:spacing w:after="0" w:line="173" w:lineRule="exact"/>
        <w:rPr>
          <w:sz w:val="20"/>
          <w:szCs w:val="20"/>
          <w:color w:val="auto"/>
        </w:rPr>
      </w:pPr>
    </w:p>
    <w:p>
      <w:pPr>
        <w:ind w:left="2160" w:hanging="655"/>
        <w:spacing w:after="0"/>
        <w:tabs>
          <w:tab w:leader="none" w:pos="21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Minimum Unsecured Coverage Ratio.</w:t>
      </w:r>
    </w:p>
    <w:p>
      <w:pPr>
        <w:spacing w:after="0" w:line="14" w:lineRule="exact"/>
        <w:rPr>
          <w:rFonts w:ascii="Times New Roman" w:cs="Times New Roman" w:eastAsia="Times New Roman" w:hAnsi="Times New Roman"/>
          <w:sz w:val="22"/>
          <w:szCs w:val="22"/>
          <w:color w:val="auto"/>
        </w:rPr>
      </w:pPr>
    </w:p>
    <w:p>
      <w:pPr>
        <w:ind w:left="2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 of the Borrower, the Borrower shall not permit the Unsecured Interest Expense to be less than 1.50 to 1.00.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219" w:hanging="54"/>
        <w:spacing w:after="0" w:line="258" w:lineRule="auto"/>
        <w:rPr>
          <w:sz w:val="20"/>
          <w:szCs w:val="20"/>
          <w:color w:val="auto"/>
        </w:rPr>
      </w:pPr>
      <w:r>
        <w:rPr>
          <w:rFonts w:ascii="Times New Roman" w:cs="Times New Roman" w:eastAsia="Times New Roman" w:hAnsi="Times New Roman"/>
          <w:sz w:val="22"/>
          <w:szCs w:val="22"/>
          <w:color w:val="auto"/>
        </w:rPr>
        <w:t>As of the last day of each Fiscal ratio of Borrowing Base NOI to</w:t>
      </w:r>
    </w:p>
    <w:p>
      <w:pPr>
        <w:spacing w:after="0" w:line="396" w:lineRule="exact"/>
        <w:rPr>
          <w:sz w:val="20"/>
          <w:szCs w:val="20"/>
          <w:color w:val="auto"/>
        </w:rPr>
      </w:pPr>
    </w:p>
    <w:p>
      <w:pPr>
        <w:sectPr>
          <w:pgSz w:w="11900" w:h="16838" w:orient="portrait"/>
          <w:cols w:equalWidth="0" w:num="2">
            <w:col w:w="5700" w:space="100"/>
            <w:col w:w="3219"/>
          </w:cols>
          <w:pgMar w:left="1440" w:top="895" w:right="1440" w:bottom="1440" w:gutter="0" w:footer="0" w:header="0"/>
          <w:type w:val="continuous"/>
        </w:sect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Section 8.21. Borrowing Base Covenant</w:t>
      </w:r>
      <w:r>
        <w:rPr>
          <w:rFonts w:ascii="Times New Roman" w:cs="Times New Roman" w:eastAsia="Times New Roman" w:hAnsi="Times New Roman"/>
          <w:sz w:val="22"/>
          <w:szCs w:val="22"/>
          <w:color w:val="auto"/>
        </w:rPr>
        <w:t>. The Borrower shall cause the Eligible Properties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the Borrowing Base to at all times comply with the Borrowing Base Requirements (other than with respect to Eligible Properties that may exceed concentration limits but still be included in the Borrowing Base Value in compliance with the definition of Borrowing Base Requirements) and shall exclude from the calculation of Borrowing Base Value any portion of Property NOI or book value of any Eligible Properties attributable to any Eligible Properties that exceed the concentration limits set forth in the Borrowing Base Requirements.</w:t>
      </w:r>
    </w:p>
    <w:p>
      <w:pPr>
        <w:spacing w:after="0" w:line="17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8.22.</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Section 8.23. Electronic Delivery of Certain Information. </w:t>
      </w:r>
      <w:r>
        <w:rPr>
          <w:rFonts w:ascii="Times New Roman" w:cs="Times New Roman" w:eastAsia="Times New Roman" w:hAnsi="Times New Roman"/>
          <w:sz w:val="21"/>
          <w:szCs w:val="21"/>
          <w:color w:val="auto"/>
        </w:rPr>
        <w:t>(a) Documents, including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financial reports to be delivered pursuant to Section 8.5 hereof, required to be delivered pursuant to this Agreement may be delivered by electronic communication and delivery, including, the Internet, including the website maintained by the Securities and Exchange Commission,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Section 1.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Chicago time on the opening of business on the next business day for the recipient. Notwithstanding anything contained herein, in every instance the Borrower shall be required to provide paper copies of the certificates required by Sections 8.5(d) and 8.5(e) to the 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w:t>
      </w:r>
    </w:p>
    <w:p>
      <w:pPr>
        <w:spacing w:after="0" w:line="185" w:lineRule="exact"/>
        <w:rPr>
          <w:sz w:val="20"/>
          <w:szCs w:val="20"/>
          <w:color w:val="auto"/>
        </w:rPr>
      </w:pPr>
    </w:p>
    <w:p>
      <w:pPr>
        <w:jc w:val="both"/>
        <w:ind w:left="200" w:right="219" w:firstLine="1305"/>
        <w:spacing w:after="0" w:line="244" w:lineRule="auto"/>
        <w:tabs>
          <w:tab w:leader="none" w:pos="214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required to be delivered pursuant to Section 1 may be delivered electronically to a website provided for such purpose by the Administrative Agent pursuant to the procedures provided to the Borrower by the Administrative Agent.</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30" w:name="page131"/>
    <w:bookmarkEnd w:id="130"/>
    <w:p>
      <w:pPr>
        <w:jc w:val="both"/>
        <w:ind w:left="200" w:right="219" w:firstLine="1305"/>
        <w:spacing w:after="0" w:line="231" w:lineRule="auto"/>
        <w:tabs>
          <w:tab w:leader="none" w:pos="21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Credit Agreement and any document, amendment, approval, consent, information, notice, certificate, request, statement, disclosure or authorization related to this Credit Agreement (each a “Communication”),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such Loan Party to the same extent as a manual, original signature, and that any Communication entered into by Electronic Signature, will constitute the legal, valid and binding obligation of such Loan Party, enforceable against such Loan Party in accordance with the terms thereof to the same extent as if a manually executed original signature was delivered or a paper-based recordkeeping system was used, as the case may be.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 (i) to the extent Administrative Agent has agreed to accept such Electronic Signature, Administrative Agent and each of the Lenders shall be entitled to rely on any such Electronic Signature purportedly given by or on behalf of any Loan Party without further verification and (ii) upon the request of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spacing w:after="0" w:line="19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8.24.</w:t>
      </w:r>
      <w:r>
        <w:rPr>
          <w:sz w:val="20"/>
          <w:szCs w:val="20"/>
          <w:color w:val="auto"/>
        </w:rPr>
        <w:tab/>
      </w:r>
      <w:r>
        <w:rPr>
          <w:rFonts w:ascii="Times New Roman" w:cs="Times New Roman" w:eastAsia="Times New Roman" w:hAnsi="Times New Roman"/>
          <w:sz w:val="21"/>
          <w:szCs w:val="21"/>
          <w:i w:val="1"/>
          <w:iCs w:val="1"/>
          <w:color w:val="auto"/>
        </w:rPr>
        <w:t>Collateral Trigger Event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160" w:hanging="655"/>
        <w:spacing w:after="0"/>
        <w:tabs>
          <w:tab w:leader="none" w:pos="21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Collateral Trigger Event. If at any time (i) any Other Unsecured Indebtedness is required to be guaranteed, or otherwise becomes guaranteed, by any or all of the Material Subsidiaries, or is required to be secured, or otherwise becomes secured, by the Equity Interest owned by the Borrower in any or all of its direct and indirect Material Subsidiaries, the occurrence of any such event is an “Other Guaranty Trigger”) and (ii) the sum of the outstanding Loans plus the outstanding Other Unsecured Indebtedness would exceed the amount described in clause (x) of the calculation of “Borrowing Base” as then calculated (the occurrence of such event and an Other Guaranty Trigger is a “Collateral Trigger Event”), then, within ninety (90) days of the Collateral Trigger Event and at all times thereafter, the Borrower shall comply with Section 8.24(c) hereof. Promptly upon the occurrence of an Other Guaranty Trigger, and in any event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1" w:name="page132"/>
    <w:bookmarkEnd w:id="131"/>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within two (2) Business Days of such event, the Borrower shall deliver to the Administrative Agent a duly completed Borrowing Base Certificate calculating the Borrowing Base in the manner described in clause (ii) of the previous sentence.</w:t>
      </w:r>
    </w:p>
    <w:p>
      <w:pPr>
        <w:spacing w:after="0" w:line="173" w:lineRule="exact"/>
        <w:rPr>
          <w:sz w:val="20"/>
          <w:szCs w:val="20"/>
          <w:color w:val="auto"/>
        </w:rPr>
      </w:pPr>
    </w:p>
    <w:p>
      <w:pPr>
        <w:jc w:val="both"/>
        <w:ind w:left="200" w:right="219" w:firstLine="1305"/>
        <w:spacing w:after="0" w:line="244" w:lineRule="auto"/>
        <w:tabs>
          <w:tab w:leader="none" w:pos="21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Requirements. Within ninety (90) days after the occurrence of a Collateral Trigger Event, the Borrower and each Material Subsidiary, as applicable, shall deliver, or cause to be delivered, to the Administrative Agent:</w:t>
      </w:r>
    </w:p>
    <w:p>
      <w:pPr>
        <w:spacing w:after="0" w:line="173" w:lineRule="exact"/>
        <w:rPr>
          <w:rFonts w:ascii="Times New Roman" w:cs="Times New Roman" w:eastAsia="Times New Roman" w:hAnsi="Times New Roman"/>
          <w:sz w:val="22"/>
          <w:szCs w:val="22"/>
          <w:color w:val="auto"/>
        </w:rPr>
      </w:pPr>
    </w:p>
    <w:p>
      <w:pPr>
        <w:jc w:val="both"/>
        <w:ind w:left="860" w:right="219" w:firstLine="1293"/>
        <w:spacing w:after="0" w:line="244" w:lineRule="auto"/>
        <w:tabs>
          <w:tab w:leader="none" w:pos="280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Mortgages duly executed by the Borrower or the relevant Material Subsidiaries for each Eligible Property, in form and substance reasonably acceptable to the Borrower, each applicable Material Subsidiary, and Administrative Agent;</w:t>
      </w:r>
    </w:p>
    <w:p>
      <w:pPr>
        <w:spacing w:after="0" w:line="173" w:lineRule="exact"/>
        <w:rPr>
          <w:rFonts w:ascii="Times New Roman" w:cs="Times New Roman" w:eastAsia="Times New Roman" w:hAnsi="Times New Roman"/>
          <w:sz w:val="22"/>
          <w:szCs w:val="22"/>
          <w:color w:val="auto"/>
        </w:rPr>
      </w:pPr>
    </w:p>
    <w:p>
      <w:pPr>
        <w:jc w:val="both"/>
        <w:ind w:left="860" w:right="219" w:firstLine="1293"/>
        <w:spacing w:after="0" w:line="244" w:lineRule="auto"/>
        <w:tabs>
          <w:tab w:leader="none" w:pos="280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insurance required to be maintained under the Loan Documents, naming the Administrative Agent as mortgagee/lender’s loss payee and as an additional insured, as applicable;</w:t>
      </w:r>
    </w:p>
    <w:p>
      <w:pPr>
        <w:spacing w:after="0" w:line="173" w:lineRule="exact"/>
        <w:rPr>
          <w:rFonts w:ascii="Times New Roman" w:cs="Times New Roman" w:eastAsia="Times New Roman" w:hAnsi="Times New Roman"/>
          <w:sz w:val="22"/>
          <w:szCs w:val="22"/>
          <w:color w:val="auto"/>
        </w:rPr>
      </w:pPr>
    </w:p>
    <w:p>
      <w:pPr>
        <w:jc w:val="both"/>
        <w:ind w:left="860" w:right="219" w:firstLine="1293"/>
        <w:spacing w:after="0" w:line="235" w:lineRule="auto"/>
        <w:tabs>
          <w:tab w:leader="none" w:pos="280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mortgagee’s title insurance policies with respect to each Eligible Property (or a prepaid binding commitment therefor) in form and substance reasonably acceptable to the Administrative Agent from a title insurance company acceptable to the Administrative Agent in the aggregate principal amount of the outstanding Loans (subject to the underwriting requirements of the applicable title insurance company) insuring the Lien of the Mortgages to be valid first priority Liens subject only to Permitted Liens, together with such endorsements as the Administrative Agent may reasonably require;</w:t>
      </w:r>
    </w:p>
    <w:p>
      <w:pPr>
        <w:spacing w:after="0" w:line="183" w:lineRule="exact"/>
        <w:rPr>
          <w:rFonts w:ascii="Times New Roman" w:cs="Times New Roman" w:eastAsia="Times New Roman" w:hAnsi="Times New Roman"/>
          <w:sz w:val="22"/>
          <w:szCs w:val="22"/>
          <w:color w:val="auto"/>
        </w:rPr>
      </w:pPr>
    </w:p>
    <w:p>
      <w:pPr>
        <w:jc w:val="both"/>
        <w:ind w:left="860" w:right="219" w:firstLine="1293"/>
        <w:spacing w:after="0" w:line="239" w:lineRule="auto"/>
        <w:tabs>
          <w:tab w:leader="none" w:pos="280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survey in form acceptable to the Administrative Agent and disclosing no Liens other than Permitted Liens prepared by a licensed surveyor for each parcel of Eligible Property, which surveys shall also state whether or not any portion of any Eligible Property is in a federally designated flood hazard area;</w:t>
      </w:r>
    </w:p>
    <w:p>
      <w:pPr>
        <w:spacing w:after="0" w:line="180" w:lineRule="exact"/>
        <w:rPr>
          <w:rFonts w:ascii="Times New Roman" w:cs="Times New Roman" w:eastAsia="Times New Roman" w:hAnsi="Times New Roman"/>
          <w:sz w:val="22"/>
          <w:szCs w:val="22"/>
          <w:color w:val="auto"/>
        </w:rPr>
      </w:pPr>
    </w:p>
    <w:p>
      <w:pPr>
        <w:jc w:val="both"/>
        <w:ind w:left="860" w:right="219" w:firstLine="1293"/>
        <w:spacing w:after="0" w:line="238" w:lineRule="auto"/>
        <w:tabs>
          <w:tab w:leader="none" w:pos="280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report as to whether or not any portion of each Eligible Property is in a federally designated flood hazard area and, if any improvements thereon are in a federally designated flood hazard area, evidence of the maintenance of flood insurance (including on the improvements, personal property, structures and contents, as applicable), as may be required by applicable law;</w:t>
      </w:r>
    </w:p>
    <w:p>
      <w:pPr>
        <w:spacing w:after="0" w:line="176" w:lineRule="exact"/>
        <w:rPr>
          <w:rFonts w:ascii="Times New Roman" w:cs="Times New Roman" w:eastAsia="Times New Roman" w:hAnsi="Times New Roman"/>
          <w:sz w:val="22"/>
          <w:szCs w:val="22"/>
          <w:color w:val="auto"/>
        </w:rPr>
      </w:pPr>
    </w:p>
    <w:p>
      <w:pPr>
        <w:jc w:val="both"/>
        <w:ind w:left="860" w:right="219" w:firstLine="1293"/>
        <w:spacing w:after="0" w:line="239" w:lineRule="auto"/>
        <w:tabs>
          <w:tab w:leader="none" w:pos="280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report of an independent firm of environmental engineers acceptable to the Administrative Agent concerning the environmental conditions of each parcel of Eligible Property subject to the Lien of the Mortgages, together with a reliance letter thereon acceptable to the Administrative Agent;</w:t>
      </w:r>
    </w:p>
    <w:p>
      <w:pPr>
        <w:spacing w:after="0" w:line="180" w:lineRule="exact"/>
        <w:rPr>
          <w:rFonts w:ascii="Times New Roman" w:cs="Times New Roman" w:eastAsia="Times New Roman" w:hAnsi="Times New Roman"/>
          <w:sz w:val="22"/>
          <w:szCs w:val="22"/>
          <w:color w:val="auto"/>
        </w:rPr>
      </w:pPr>
    </w:p>
    <w:p>
      <w:pPr>
        <w:jc w:val="both"/>
        <w:ind w:left="860" w:right="219" w:firstLine="1293"/>
        <w:spacing w:after="0" w:line="238" w:lineRule="auto"/>
        <w:tabs>
          <w:tab w:leader="none" w:pos="280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appraisal report prepared for the Administrative Agent by a state certified appraiser selected and retained by the Administrative Agent, which appraisal report describes the fair market value of each Eligible Property and otherwise meets the requirements of applicable law for appraisals prepared for federally insured depository institutions;</w:t>
      </w:r>
    </w:p>
    <w:p>
      <w:pPr>
        <w:spacing w:after="0" w:line="176" w:lineRule="exact"/>
        <w:rPr>
          <w:rFonts w:ascii="Times New Roman" w:cs="Times New Roman" w:eastAsia="Times New Roman" w:hAnsi="Times New Roman"/>
          <w:sz w:val="22"/>
          <w:szCs w:val="22"/>
          <w:color w:val="auto"/>
        </w:rPr>
      </w:pPr>
    </w:p>
    <w:p>
      <w:pPr>
        <w:ind w:left="860" w:right="239" w:firstLine="1293"/>
        <w:spacing w:after="0" w:line="258" w:lineRule="auto"/>
        <w:tabs>
          <w:tab w:leader="none" w:pos="280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favorable written opinion of local counsel to each Material Subsidiary covering due authorization, execution and delivery and enforceability of the</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2" w:name="page133"/>
    <w:bookmarkEnd w:id="132"/>
    <w:p>
      <w:pPr>
        <w:jc w:val="both"/>
        <w:ind w:left="860" w:right="219"/>
        <w:spacing w:after="0" w:line="244" w:lineRule="auto"/>
        <w:rPr>
          <w:sz w:val="20"/>
          <w:szCs w:val="20"/>
          <w:color w:val="auto"/>
        </w:rPr>
      </w:pPr>
      <w:r>
        <w:rPr>
          <w:rFonts w:ascii="Times New Roman" w:cs="Times New Roman" w:eastAsia="Times New Roman" w:hAnsi="Times New Roman"/>
          <w:sz w:val="22"/>
          <w:szCs w:val="22"/>
          <w:color w:val="auto"/>
        </w:rPr>
        <w:t>Mortgages, together with customary real estate opinions as to sufficiency of the Mortgages for recordation and perfection of the liens provided therein and otherwise in form and substance satisfactory to the Administrative Agent;</w:t>
      </w:r>
    </w:p>
    <w:p>
      <w:pPr>
        <w:spacing w:after="0" w:line="173" w:lineRule="exact"/>
        <w:rPr>
          <w:sz w:val="20"/>
          <w:szCs w:val="20"/>
          <w:color w:val="auto"/>
        </w:rPr>
      </w:pPr>
    </w:p>
    <w:p>
      <w:pPr>
        <w:ind w:left="860" w:right="219" w:firstLine="1293"/>
        <w:spacing w:after="0" w:line="258" w:lineRule="auto"/>
        <w:tabs>
          <w:tab w:leader="none" w:pos="280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property condition report satisfactory to Administrative Agent with respect to each Eligible Property;</w:t>
      </w:r>
    </w:p>
    <w:p>
      <w:pPr>
        <w:spacing w:after="0" w:line="158" w:lineRule="exact"/>
        <w:rPr>
          <w:rFonts w:ascii="Times New Roman" w:cs="Times New Roman" w:eastAsia="Times New Roman" w:hAnsi="Times New Roman"/>
          <w:sz w:val="22"/>
          <w:szCs w:val="22"/>
          <w:color w:val="auto"/>
        </w:rPr>
      </w:pPr>
    </w:p>
    <w:p>
      <w:pPr>
        <w:jc w:val="both"/>
        <w:ind w:left="860" w:right="219" w:firstLine="1293"/>
        <w:spacing w:after="0" w:line="244" w:lineRule="auto"/>
        <w:tabs>
          <w:tab w:leader="none" w:pos="280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amendment to this Agreement containing such provisions as may reasonably be required by Administrative Agent to incorporate relevant and appropriate provisions with respect to the Mortgages; and</w:t>
      </w:r>
    </w:p>
    <w:p>
      <w:pPr>
        <w:spacing w:after="0" w:line="173" w:lineRule="exact"/>
        <w:rPr>
          <w:rFonts w:ascii="Times New Roman" w:cs="Times New Roman" w:eastAsia="Times New Roman" w:hAnsi="Times New Roman"/>
          <w:sz w:val="22"/>
          <w:szCs w:val="22"/>
          <w:color w:val="auto"/>
        </w:rPr>
      </w:pPr>
    </w:p>
    <w:p>
      <w:pPr>
        <w:jc w:val="both"/>
        <w:ind w:left="860" w:right="219" w:firstLine="1293"/>
        <w:spacing w:after="0" w:line="239" w:lineRule="auto"/>
        <w:tabs>
          <w:tab w:leader="none" w:pos="280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for the Administrative Agent or any Lender to comply with its internal policies generally applicable to loans of this nature or with applicable Legal Requirements, any other agreement, instrument, document, certificate or opinion requested by the Administrative Agent.</w:t>
      </w:r>
    </w:p>
    <w:p>
      <w:pPr>
        <w:spacing w:after="0" w:line="17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Section 8.25. 1031 Properties</w:t>
      </w:r>
      <w:r>
        <w:rPr>
          <w:rFonts w:ascii="Times New Roman" w:cs="Times New Roman" w:eastAsia="Times New Roman" w:hAnsi="Times New Roman"/>
          <w:sz w:val="22"/>
          <w:szCs w:val="22"/>
          <w:color w:val="auto"/>
        </w:rPr>
        <w:t>. Upon the request of the Required Lenders after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occurrence and during the continuance of a Default, the Borrower hereby agrees that it shall, or it shall cause any applicable Guarantor to, cause any 1031 Property Holder to (i) follow instructions given by the Administrative Agent regarding the transfer of the 1031 Property to any other Person without the further consent of the Borrower, any Guarantor or any other Person and (ii) transfer fee simple title to any 1031 Property to the Borrower, a Guarantor or another entity acceptable to the Required Lenders regardless of whether such required transfer shall cause the Borrower or any Subsidiary to incur any additional liabilities or reduce or negate the tax or other anticipated benefits to the Borrower or any Subsidiary.</w:t>
      </w:r>
    </w:p>
    <w:p>
      <w:pPr>
        <w:spacing w:after="0" w:line="174"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8.26.</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8.27.</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8.28.</w:t>
      </w:r>
      <w:r>
        <w:rPr>
          <w:sz w:val="20"/>
          <w:szCs w:val="20"/>
          <w:color w:val="auto"/>
        </w:rPr>
        <w:tab/>
      </w:r>
      <w:r>
        <w:rPr>
          <w:rFonts w:ascii="Times New Roman" w:cs="Times New Roman" w:eastAsia="Times New Roman" w:hAnsi="Times New Roman"/>
          <w:sz w:val="21"/>
          <w:szCs w:val="21"/>
          <w:i w:val="1"/>
          <w:iCs w:val="1"/>
          <w:color w:val="auto"/>
        </w:rPr>
        <w:t xml:space="preserve">REIT Status. </w:t>
      </w:r>
      <w:r>
        <w:rPr>
          <w:rFonts w:ascii="Times New Roman" w:cs="Times New Roman" w:eastAsia="Times New Roman" w:hAnsi="Times New Roman"/>
          <w:sz w:val="21"/>
          <w:szCs w:val="21"/>
          <w:color w:val="auto"/>
        </w:rPr>
        <w:t>The Borrower shall maintain its status as a REIT.</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8.29.</w:t>
      </w:r>
      <w:r>
        <w:rPr>
          <w:sz w:val="20"/>
          <w:szCs w:val="20"/>
          <w:color w:val="auto"/>
        </w:rPr>
        <w:tab/>
      </w:r>
      <w:r>
        <w:rPr>
          <w:rFonts w:ascii="Times New Roman" w:cs="Times New Roman" w:eastAsia="Times New Roman" w:hAnsi="Times New Roman"/>
          <w:sz w:val="21"/>
          <w:szCs w:val="21"/>
          <w:i w:val="1"/>
          <w:iCs w:val="1"/>
          <w:color w:val="auto"/>
        </w:rPr>
        <w:t xml:space="preserve">Restricted Payments. </w:t>
      </w:r>
      <w:r>
        <w:rPr>
          <w:rFonts w:ascii="Times New Roman" w:cs="Times New Roman" w:eastAsia="Times New Roman" w:hAnsi="Times New Roman"/>
          <w:sz w:val="21"/>
          <w:szCs w:val="21"/>
          <w:color w:val="auto"/>
        </w:rPr>
        <w:t>The Borrower shall not permit, nor shall it permit any</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Subsidiary to, declare or make any Restricted Payment;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82" w:lineRule="exact"/>
        <w:rPr>
          <w:sz w:val="20"/>
          <w:szCs w:val="20"/>
          <w:color w:val="auto"/>
        </w:rPr>
      </w:pPr>
    </w:p>
    <w:p>
      <w:pPr>
        <w:jc w:val="both"/>
        <w:ind w:left="200" w:right="219" w:firstLine="1305"/>
        <w:spacing w:after="0" w:line="234" w:lineRule="auto"/>
        <w:tabs>
          <w:tab w:leader="none" w:pos="21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Borrower may declare or make cash distributions to its equity holders in an aggregate amount not to exceed the greater of (x) ninety-five percent (95%) of the Borrower’s Adjusted FFO for each Rolling Period, or (y) the amount necessary for the Borrower to be able to make distributions required to maintain its status as a REIT and to avoid the imposition of any federal or state income tax, and to avoid the imposition of the excise tax described by Section 4981 of the Code, in each case on the Borrower; provided, that, in either case, (A) during the continuance of an Event of Default, Restricted Payments made pursuant to this clause (a) shall not exceed the amounts described in clause (y), and (B) following a Bankruptcy Event with respect to the Borrower or the acceleration of the Obligations, Borrower shall not make any cash distributions;</w:t>
      </w:r>
    </w:p>
    <w:p>
      <w:pPr>
        <w:spacing w:after="0" w:line="17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Subsidiary may make Restricted Payments ratably to the holders of its</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Equity Interests;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3" w:name="page134"/>
    <w:bookmarkEnd w:id="133"/>
    <w:p>
      <w:pPr>
        <w:jc w:val="both"/>
        <w:ind w:left="200" w:right="219" w:firstLine="1305"/>
        <w:spacing w:after="0" w:line="236"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Guarantor may declare and make dividend payments or other distributions payable solely in the common equity interests or other equity interests of such entity including (i) “cashless exercises” of options granted under any share option plan adopted by such entity, (ii) distributions of rights or equity securities under any rights plan adopted by such entity and (iii) distributions (or effect stock splits or reverse stock splits) with respect to its equity interests payable solely in additional shares of its equity interests;</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Guarantor may make cash payments in lieu of the issuance of fractional shares representing insignificant interests in connection with the exercise of warrants, options or other securities convertible into or exchangeable for equity interests of the Borrower or any Subsidiary;</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Change of Control results therefrom,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Change of Control results therefrom, the Borrower and each Subsidiary that is a Guarantor may make dividends or distributions to allow Borrower to make payments in connection with share purchase programs, to the extent not otherwise prohibited by the terms of this Agreement; and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exercise any redemption or conversion rights with respect to its Equity Interests in accordance with the terms of the governing documents setting out any such rights.</w:t>
      </w:r>
    </w:p>
    <w:p>
      <w:pPr>
        <w:spacing w:after="0" w:line="169"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8.30. Florida Documentary Stamp Tax. </w:t>
      </w:r>
      <w:r>
        <w:rPr>
          <w:rFonts w:ascii="Times New Roman" w:cs="Times New Roman" w:eastAsia="Times New Roman" w:hAnsi="Times New Roman"/>
          <w:sz w:val="22"/>
          <w:szCs w:val="22"/>
          <w:color w:val="auto"/>
        </w:rPr>
        <w:t>To the extent any Notes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1.10 hereof are signed or delivered in the State of Florida, the Borrower shall pay any documentary stamp taxes due under Section 201.08, Florida Statutes on or prior to the date required thereunder with respect to such Notes.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9.  EVENTS OF DEFAULT AND REMEDIES</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9.1. Events of Default. </w:t>
      </w:r>
      <w:r>
        <w:rPr>
          <w:rFonts w:ascii="Times New Roman" w:cs="Times New Roman" w:eastAsia="Times New Roman" w:hAnsi="Times New Roman"/>
          <w:sz w:val="22"/>
          <w:szCs w:val="22"/>
          <w:color w:val="auto"/>
        </w:rPr>
        <w:t>Any one or more of the following shall constitute an</w:t>
      </w:r>
      <w:r>
        <w:rPr>
          <w:rFonts w:ascii="Times New Roman" w:cs="Times New Roman" w:eastAsia="Times New Roman" w:hAnsi="Times New Roman"/>
          <w:sz w:val="22"/>
          <w:szCs w:val="22"/>
          <w:i w:val="1"/>
          <w:iCs w:val="1"/>
          <w:color w:val="auto"/>
        </w:rPr>
        <w:t xml:space="preserve"> “Event of Default” </w:t>
      </w:r>
      <w:r>
        <w:rPr>
          <w:rFonts w:ascii="Times New Roman" w:cs="Times New Roman" w:eastAsia="Times New Roman" w:hAnsi="Times New Roman"/>
          <w:sz w:val="22"/>
          <w:szCs w:val="22"/>
          <w:color w:val="auto"/>
        </w:rPr>
        <w:t>hereunder:</w:t>
      </w:r>
    </w:p>
    <w:p>
      <w:pPr>
        <w:spacing w:after="0" w:line="154" w:lineRule="exact"/>
        <w:rPr>
          <w:sz w:val="20"/>
          <w:szCs w:val="20"/>
          <w:color w:val="auto"/>
        </w:rPr>
      </w:pPr>
    </w:p>
    <w:p>
      <w:pPr>
        <w:jc w:val="both"/>
        <w:ind w:left="200" w:right="219" w:firstLine="1305"/>
        <w:spacing w:after="0" w:line="238" w:lineRule="auto"/>
        <w:tabs>
          <w:tab w:leader="none" w:pos="21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when due of all or any part of the principal of any Loan (whether at the stated maturity thereof or at any other time provided for in this Agreement, including a mandatory prepayment required by Section 1.8(b)); or default for a period of three (3) Business Days in the payment when due of any interest, fee or other Obligation payable hereunder or under any other Loan Document;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observance or performance of any covenant set forth in Sections 8.1 (only with respect to the first sentence thereof), 8.5 (for a period of five (5) days), 8.7, 8.8, 8.9, 8.10, 8.20, 8.21 (if not replaced with another Eligible Property or Eligible Properties in accordance with Section 7.3 hereof within ten (10) Business Days after the period of notice required by Section 7.3), 8.22, 8.24, 8.25, 8.29 or 8.30 hereof or of any provision in any Loan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4" w:name="page135"/>
    <w:bookmarkEnd w:id="13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Document dealing with the use, disposition or remittance of the proceeds of Collateral or requiring the maintenance of insurance thereon;</w:t>
      </w:r>
    </w:p>
    <w:p>
      <w:pPr>
        <w:spacing w:after="0" w:line="158" w:lineRule="exact"/>
        <w:rPr>
          <w:sz w:val="20"/>
          <w:szCs w:val="20"/>
          <w:color w:val="auto"/>
        </w:rPr>
      </w:pPr>
    </w:p>
    <w:p>
      <w:pPr>
        <w:jc w:val="both"/>
        <w:ind w:left="200" w:right="219" w:firstLine="1305"/>
        <w:spacing w:after="0" w:line="249" w:lineRule="auto"/>
        <w:tabs>
          <w:tab w:leader="none" w:pos="2144"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the observance or performance of any other provision hereof or of any other Loan Document which is not remedied within thirty (30) days after the earlier of (i) the date on which such failure shall first become known to any Responsible Officer of the Borrower or</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2" w:lineRule="auto"/>
        <w:tabs>
          <w:tab w:leader="none" w:pos="57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thereof is given to the Borrower by the Administrative Agent; provided, however, if such a default is susceptible of cure but cannot reasonably be cured within such thirty (30) day period and provided further that the Borrower shall have commenced to cure such default within such thirty (30) day period and thereafter diligently and expeditiously proceeds to cure the same, such thirty (30) day period shall be extended for such time as is reasonably necessary for the Borrower in the exercise of due diligence to cure such default, provided such additional period shall not exceed sixty (60) days;</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provided, 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and expiration of any cure periods related thereto shall occur under</w:t>
      </w:r>
    </w:p>
    <w:p>
      <w:pPr>
        <w:spacing w:after="0" w:line="14" w:lineRule="exact"/>
        <w:rPr>
          <w:rFonts w:ascii="Times New Roman" w:cs="Times New Roman" w:eastAsia="Times New Roman" w:hAnsi="Times New Roman"/>
          <w:sz w:val="22"/>
          <w:szCs w:val="22"/>
          <w:color w:val="auto"/>
        </w:rPr>
      </w:pPr>
    </w:p>
    <w:p>
      <w:pPr>
        <w:jc w:val="both"/>
        <w:ind w:left="200" w:right="219" w:firstLine="9"/>
        <w:spacing w:after="0" w:line="232" w:lineRule="auto"/>
        <w:tabs>
          <w:tab w:leader="none" w:pos="54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nonrecourse Indebtedness for Borrowed Money issued, assumed or guaranteed by the Borrower or any Subsidiary aggregating in excess of $20,000,000 or (y) any recourse Indebtedness for Borrowed Money issued, assumed or guaranteed by the Borrower or any Subsidiary aggregating in excess of $10,000,000, or a default and expiration of any cure periods related thereto, shall occur under any indenture, agreement or other instrument under which such Indebtedness for Borrowed Money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or judgments, writ or writs or warrant or warrants of attachment, or any similar process or processes, shall be entered or filed against the Borrower or any Subsidiary, or against any of its Property, in an aggregate amount in excess of $5,000,000 (except to the extent fully covered by insurance pursuant to which the insurer has accepted liability therefor in writing), and which remains undischarged, unvacated, unbonded or unstayed for a period of thirty (30) days;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5" w:name="page136"/>
    <w:bookmarkEnd w:id="135"/>
    <w:p>
      <w:pPr>
        <w:jc w:val="both"/>
        <w:ind w:left="200" w:right="219" w:firstLine="1305"/>
        <w:spacing w:after="0" w:line="233"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“Material Plan”) shall be filed under Title IV of ERISA by the Borrower or any Subsidiary,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Borrower or any Subsidiary,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w:t>
      </w:r>
    </w:p>
    <w:p>
      <w:pPr>
        <w:spacing w:after="0" w:line="18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shall occur;</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Material Subsidiary shall (i) have entered involuntarily against it an order for relief under the United States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Property,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 (vii) fail to contest in good faith any appointment or proceeding described in Section 9.1(k) hereof;</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receiver, trustee, examiner, liquidator or similar official shall be appointed for the Borrower or any Subsidiary, or any substantial part of any of its Property, or a proceeding described in Section 9.1(j)(v) shall be instituted against the Borrower or any Subsidiary, and such appointment continues undischarged or such proceeding continues undismissed or unstayed for a period of sixty (60) days;</w:t>
      </w:r>
    </w:p>
    <w:p>
      <w:pPr>
        <w:spacing w:after="0" w:line="17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stock of the Borrower fails to be duly listed on the New York Stock Exchange, the NYSE American or The NASDAQ Stock Market; or</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provision of any Loan Document, at any time after its execution and delivery and for any reason other than in accordance with the terms hereof or thereof, or satisfaction in full or all the Obligations, is revoked, terminated, cancelled or rescinded, without the prior written approval of the Administrative Agent; or any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6" w:name="page137"/>
    <w:bookmarkEnd w:id="136"/>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ruling to the effect that, any one or more of the Loan Documents is illegal, invalid or unenforceable as to any material terms thereof.</w:t>
      </w:r>
    </w:p>
    <w:p>
      <w:pPr>
        <w:spacing w:after="0" w:line="154"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9.2. Non-Bankruptcy Defaults. </w:t>
      </w:r>
      <w:r>
        <w:rPr>
          <w:rFonts w:ascii="Times New Roman" w:cs="Times New Roman" w:eastAsia="Times New Roman" w:hAnsi="Times New Roman"/>
          <w:sz w:val="22"/>
          <w:szCs w:val="22"/>
          <w:color w:val="auto"/>
        </w:rPr>
        <w:t>When any Event of Default (other than those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described in subsection (j) or (k) of Section 9.1 hereof)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and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The Administrative Agent, after giving notice to the Borrower pursuant to Section 9.1(c) or this Section 9.2, shall also promptly send a copy of such notice to the other Lenders, but the failure to do so shall not impair or annul the effect of such notice.</w:t>
      </w:r>
    </w:p>
    <w:p>
      <w:pPr>
        <w:spacing w:after="0" w:line="185"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9.3.</w:t>
        <w:tab/>
        <w:t>Bankruptcy Defaults</w:t>
      </w:r>
      <w:r>
        <w:rPr>
          <w:rFonts w:ascii="Times New Roman" w:cs="Times New Roman" w:eastAsia="Times New Roman" w:hAnsi="Times New Roman"/>
          <w:sz w:val="22"/>
          <w:szCs w:val="22"/>
          <w:color w:val="auto"/>
        </w:rPr>
        <w:t>. When any Event of Default described in subsections</w:t>
      </w:r>
    </w:p>
    <w:p>
      <w:pPr>
        <w:spacing w:after="0" w:line="18" w:lineRule="exact"/>
        <w:rPr>
          <w:sz w:val="20"/>
          <w:szCs w:val="20"/>
          <w:color w:val="auto"/>
        </w:rPr>
      </w:pPr>
    </w:p>
    <w:p>
      <w:pPr>
        <w:jc w:val="both"/>
        <w:ind w:left="200" w:right="219" w:firstLine="9"/>
        <w:spacing w:after="0" w:line="235" w:lineRule="auto"/>
        <w:tabs>
          <w:tab w:leader="none" w:pos="48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(k) of Section 9.1 hereof has occurred and is continuing, then all outstanding Loans shall immediately become due and payable together with all other amounts payable under the Loan Documents without presentment, demand, protest or notice of any kind.</w:t>
      </w:r>
    </w:p>
    <w:p>
      <w:pPr>
        <w:spacing w:after="0" w:line="17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9.4. Notice of Default</w:t>
      </w:r>
      <w:r>
        <w:rPr>
          <w:rFonts w:ascii="Times New Roman" w:cs="Times New Roman" w:eastAsia="Times New Roman" w:hAnsi="Times New Roman"/>
          <w:sz w:val="22"/>
          <w:szCs w:val="22"/>
          <w:color w:val="auto"/>
        </w:rPr>
        <w:t>. The Administrative Agent shall give notice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under Section 9.1 hereof promptly upon being requested to do so by any Lender and shall thereupon notify all the Lenders thereof.</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10. CHANGE IN CIRCUMSTANCES</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Section 10.1. Change of Law</w:t>
      </w:r>
      <w:r>
        <w:rPr>
          <w:rFonts w:ascii="Times New Roman" w:cs="Times New Roman" w:eastAsia="Times New Roman" w:hAnsi="Times New Roman"/>
          <w:sz w:val="22"/>
          <w:szCs w:val="22"/>
          <w:color w:val="auto"/>
        </w:rPr>
        <w:t>. Notwithstanding any other provisions of this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other Loan Document, if at any time any Change in Law makes it unlawful for any Lender to make or continue to maintain any SOFR Rate Loans or to perform its obligations as contemplated hereby related to SOFR Rate Loans, such Lender shall promptly give written notice thereof to the Borrower and such Lender’s obligations to make or maintain SOFR Rate Loans under this Agreement shall be suspended until it is no longer unlawful for such Lender to make or maintain SOFR Rate Loans. The Borrower shall promptly prepay the outstanding principal amount of any such affected SOFR Rate Loans, together with all interest accrued thereon and all other amounts then due and payable to such Lender under this Agreement or, subject to all of the terms and conditions of this Agreement, convert such affected SOFR Rate Loans into Base Rate Loans;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subject to all of the terms and conditions of this Agreement (unless the affected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SOFR Rate Loans are converted into Base Rate Loans), the Borrower may then elect to borrow the principal amount of the affected SOFR Rate Loans from such Lender by means of Base Rate Loans from such Lender, which Base Rate Loans shall not be made ratably by the Lenders but only from such affected Lender.</w:t>
      </w:r>
    </w:p>
    <w:p>
      <w:pPr>
        <w:spacing w:after="0" w:line="177"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i w:val="1"/>
          <w:iCs w:val="1"/>
          <w:color w:val="auto"/>
        </w:rPr>
        <w:t>Section 10.2. Temporary Inability to Determine Rates; Alternate Rate of Interest</w:t>
      </w:r>
      <w:r>
        <w:rPr>
          <w:rFonts w:ascii="Times New Roman" w:cs="Times New Roman" w:eastAsia="Times New Roman" w:hAnsi="Times New Roman"/>
          <w:sz w:val="21"/>
          <w:szCs w:val="21"/>
          <w:color w:val="auto"/>
        </w:rPr>
        <w:t>. If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Administrative Agent determines (which determination shall be conclusive and binding absent manifest error) that Adjusted Daily Simple SOFR or Adjusted Term SOFR cannot be determined</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7" w:name="page138"/>
    <w:bookmarkEnd w:id="137"/>
    <w:p>
      <w:pPr>
        <w:ind w:left="200" w:right="219"/>
        <w:spacing w:after="0" w:line="242" w:lineRule="auto"/>
        <w:rPr>
          <w:sz w:val="20"/>
          <w:szCs w:val="20"/>
          <w:color w:val="auto"/>
        </w:rPr>
      </w:pPr>
      <w:r>
        <w:rPr>
          <w:rFonts w:ascii="Times New Roman" w:cs="Times New Roman" w:eastAsia="Times New Roman" w:hAnsi="Times New Roman"/>
          <w:sz w:val="21"/>
          <w:szCs w:val="21"/>
          <w:color w:val="auto"/>
        </w:rPr>
        <w:t>pursuant to the definition thereof or (B) the Required Lenders determine that for any reason in connection with any request for a SOFR Rate Loan or a conversion thereto or a continuation thereof that Adjusted Daily Simple SOFR or Adjusted Term SOFR for any requested Interest Period with respect to a proposed SOFR Rate Loan does not adequately and fairly reflect the cost to such Lenders of funding such Loan, and the Required Lenders have provided notice of such determination to the Administrative Agent, in each case of (A) and (B) with respect to a Term SOFR Rate Loan, on or prior to the first day of any Interest Period, the Administrative Agent will promptly so notify the Borrower and each Lender. Upon notice thereof by the Administrative Agent to the Borrower, (i) any obligation of the Lenders to make or continue the applicable SOFR Rate Loans or to convert Base Rate Loans to SOFR Rate Loans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 Upon receipt of such notice, (i) the Borrower may revoke any pending request for a borrowing of, conversion to or continuation of any applicable SOFR Rate Loans (to the extent of the affected SOFR Rate Loans or affected Interest Periods) or, failing that, the Borrower will be deemed to have converted any such request into a request for a Borrowing of or conversion to Base Rate Loans in the amount specified therein and (ii) any outstanding affected SOFR Rate Loans will be deemed to have been converted into Base Rate Loans at the end of the applicable Interest Period, in respect of Term SOFR Rate Loans, or immediately in respect of Daily Simple SOFR Rate Loans. Upon any such conversion, the Borrower shall also pay accrued interest on the amount so converted, together with any additional amounts required pursuant to Section 1.11. If the Administrative Agent determines (which determination shall be conclusive and binding absent manifest error) that “Adjusted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The Administrative Agent shall promptly revoke any such determination promptly upon the circumstances leading to such determination ceasing to exist.</w:t>
      </w:r>
    </w:p>
    <w:p>
      <w:pPr>
        <w:spacing w:after="0" w:line="200" w:lineRule="exact"/>
        <w:rPr>
          <w:sz w:val="20"/>
          <w:szCs w:val="20"/>
          <w:color w:val="auto"/>
        </w:rPr>
      </w:pPr>
    </w:p>
    <w:p>
      <w:pPr>
        <w:spacing w:after="0" w:line="24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10.3.</w:t>
      </w:r>
      <w:r>
        <w:rPr>
          <w:sz w:val="20"/>
          <w:szCs w:val="20"/>
          <w:color w:val="auto"/>
        </w:rPr>
        <w:tab/>
      </w:r>
      <w:r>
        <w:rPr>
          <w:rFonts w:ascii="Times New Roman" w:cs="Times New Roman" w:eastAsia="Times New Roman" w:hAnsi="Times New Roman"/>
          <w:sz w:val="21"/>
          <w:szCs w:val="21"/>
          <w:i w:val="1"/>
          <w:iCs w:val="1"/>
          <w:color w:val="auto"/>
        </w:rPr>
        <w:t>Increased Cost and Reduced Return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160" w:hanging="655"/>
        <w:spacing w:after="0"/>
        <w:tabs>
          <w:tab w:leader="none" w:pos="21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Costs Generally. If any Change in Law shall:</w:t>
      </w:r>
    </w:p>
    <w:p>
      <w:pPr>
        <w:spacing w:after="0" w:line="206" w:lineRule="exact"/>
        <w:rPr>
          <w:rFonts w:ascii="Times New Roman" w:cs="Times New Roman" w:eastAsia="Times New Roman" w:hAnsi="Times New Roman"/>
          <w:sz w:val="22"/>
          <w:szCs w:val="22"/>
          <w:color w:val="auto"/>
        </w:rPr>
      </w:pPr>
    </w:p>
    <w:p>
      <w:pPr>
        <w:jc w:val="both"/>
        <w:ind w:left="860" w:right="219" w:firstLine="1293"/>
        <w:spacing w:after="0" w:line="238" w:lineRule="auto"/>
        <w:tabs>
          <w:tab w:leader="none" w:pos="280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Lender (or its Lending Office) to any Tax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6" w:lineRule="exact"/>
        <w:rPr>
          <w:rFonts w:ascii="Times New Roman" w:cs="Times New Roman" w:eastAsia="Times New Roman" w:hAnsi="Times New Roman"/>
          <w:sz w:val="22"/>
          <w:szCs w:val="22"/>
          <w:color w:val="auto"/>
        </w:rPr>
      </w:pPr>
    </w:p>
    <w:p>
      <w:pPr>
        <w:jc w:val="both"/>
        <w:ind w:left="860" w:right="219" w:firstLine="1293"/>
        <w:spacing w:after="0" w:line="236" w:lineRule="auto"/>
        <w:tabs>
          <w:tab w:leader="none" w:pos="280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(including, without limitation, any such requirement imposed by the Board of Governors of the Federal Reserve System) against assets of, deposits with or for the account of, or credit extended by, any Lender (or its Lending Office) or on the interbank market any other condition affecting its SOFR Rate Loans, it Notes or its obligations to make SOFR Rate Loans;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8" w:name="page139"/>
    <w:bookmarkEnd w:id="138"/>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and the result of any of the foregoing is to increase the cost to such Lender (or its Lending Office) or to reduce the amount of any sum received or receivable by such Lender (or its Lending Office) or under any other Loan Document with respect thereto, by an amount deemed by such Lender to be material, then, within 15 days after demand by such Lender (with a copy to the Administrative Agent), the Borrower shall be obligated to pay to such Lender such additional amount or amounts as will compensate such Lender for such increased cost or reduction.</w:t>
      </w:r>
    </w:p>
    <w:p>
      <w:pPr>
        <w:spacing w:after="0" w:line="181" w:lineRule="exact"/>
        <w:rPr>
          <w:sz w:val="20"/>
          <w:szCs w:val="20"/>
          <w:color w:val="auto"/>
        </w:rPr>
      </w:pPr>
    </w:p>
    <w:p>
      <w:pPr>
        <w:jc w:val="both"/>
        <w:ind w:left="200" w:right="219" w:firstLine="1305"/>
        <w:spacing w:after="0" w:line="233"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Requirements.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within 15 days after demand by such Lender (with a copy to the Administrative Agent), the Borrower shall pay to such Lender, as the case may be, such additional amount or amounts as will compensate such Lender or such Lender’s holding company for any such reduction suffered.</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for Reimbursement. A certificate of a Lender setting forth the amount or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ten (10) days after receipt thereof.</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 in Requests. Failure or delay on the part of any Lender to demand compensation pursuant to this Section shall not constitute a waiver of such Lender’s right to demand such compensation; provided that the Borrower shall not be required to compensate a Lender pursuant to this Section for any increased costs incurred or reductions suffered more than nine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Section 10.4. Lending Offices</w:t>
      </w:r>
      <w:r>
        <w:rPr>
          <w:rFonts w:ascii="Times New Roman" w:cs="Times New Roman" w:eastAsia="Times New Roman" w:hAnsi="Times New Roman"/>
          <w:sz w:val="22"/>
          <w:szCs w:val="22"/>
          <w:color w:val="auto"/>
        </w:rPr>
        <w:t>. Each Lender may, at its option, elect to make its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hereunder at the branch, office or affiliate specified on the appropriate signature page hereof (each a </w:t>
      </w:r>
      <w:r>
        <w:rPr>
          <w:rFonts w:ascii="Times New Roman" w:cs="Times New Roman" w:eastAsia="Times New Roman" w:hAnsi="Times New Roman"/>
          <w:sz w:val="22"/>
          <w:szCs w:val="22"/>
          <w:i w:val="1"/>
          <w:iCs w:val="1"/>
          <w:color w:val="auto"/>
        </w:rPr>
        <w:t>“Lending Office”</w:t>
      </w:r>
      <w:r>
        <w:rPr>
          <w:rFonts w:ascii="Times New Roman" w:cs="Times New Roman" w:eastAsia="Times New Roman" w:hAnsi="Times New Roman"/>
          <w:sz w:val="22"/>
          <w:szCs w:val="22"/>
          <w:color w:val="auto"/>
        </w:rPr>
        <w:t>) for each type of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SOFR Rate Loans to reduce any liability of the Borrower to such Lender under Section 10.3 hereof or to avoid the unavailability of SOFR Rate Loans under Section 10.2 hereof, so long as such designation is not otherwise disadvantageous to the Lender.</w:t>
      </w:r>
    </w:p>
    <w:p>
      <w:pPr>
        <w:spacing w:after="0" w:line="174"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Section 10.5. Discretion of Lender as to Manner of Funding</w:t>
      </w:r>
      <w:r>
        <w:rPr>
          <w:rFonts w:ascii="Times New Roman" w:cs="Times New Roman" w:eastAsia="Times New Roman" w:hAnsi="Times New Roman"/>
          <w:sz w:val="22"/>
          <w:szCs w:val="22"/>
          <w:color w:val="auto"/>
        </w:rPr>
        <w:t>. Notwithstanding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 of this Agreement, each Lender shall be entitled to fund and maintain its funding of all</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9" w:name="page140"/>
    <w:bookmarkEnd w:id="139"/>
    <w:p>
      <w:pPr>
        <w:ind w:left="200" w:right="339"/>
        <w:spacing w:after="0" w:line="236" w:lineRule="auto"/>
        <w:rPr>
          <w:sz w:val="20"/>
          <w:szCs w:val="20"/>
          <w:color w:val="auto"/>
        </w:rPr>
      </w:pPr>
      <w:r>
        <w:rPr>
          <w:rFonts w:ascii="Times New Roman" w:cs="Times New Roman" w:eastAsia="Times New Roman" w:hAnsi="Times New Roman"/>
          <w:sz w:val="22"/>
          <w:szCs w:val="22"/>
          <w:color w:val="auto"/>
        </w:rPr>
        <w:t>or any part of its Loans in any manner it sees fit, it being understood, however, that for the purposes of this Agreement all determinations hereunder with respect to Term SOFR Rate Loans shall be made as if each Lender had actually funded and maintained each Term SOFR Rate Loan through the purchase of deposits in the applicable interbank market having a maturity corresponding to such Loan’s Interest Period, and bearing an interest rate equal to Term SOFR for any applicable Interest Period.</w:t>
      </w:r>
    </w:p>
    <w:p>
      <w:pPr>
        <w:spacing w:after="0" w:line="17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10.6.</w:t>
      </w:r>
      <w:r>
        <w:rPr>
          <w:sz w:val="20"/>
          <w:szCs w:val="20"/>
          <w:color w:val="auto"/>
        </w:rPr>
        <w:tab/>
      </w:r>
      <w:r>
        <w:rPr>
          <w:rFonts w:ascii="Times New Roman" w:cs="Times New Roman" w:eastAsia="Times New Roman" w:hAnsi="Times New Roman"/>
          <w:sz w:val="21"/>
          <w:szCs w:val="21"/>
          <w:i w:val="1"/>
          <w:iCs w:val="1"/>
          <w:color w:val="auto"/>
        </w:rPr>
        <w:t>Permanent Inability to Determine Rate; Benchmark Replacement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200" w:right="219" w:firstLine="1305"/>
        <w:spacing w:after="0" w:line="234"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Benchmark Replacement.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Chicago time,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No replacement of the then-current Benchmark with a Benchmark Replacement pursuant to this Section 10.6 will occur prior to the applicable Benchmark Transition Start Date</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Benchmark Replacement Conforming Changes.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0" w:lineRule="exact"/>
        <w:rPr>
          <w:rFonts w:ascii="Times New Roman" w:cs="Times New Roman" w:eastAsia="Times New Roman" w:hAnsi="Times New Roman"/>
          <w:sz w:val="21"/>
          <w:szCs w:val="21"/>
          <w:color w:val="auto"/>
        </w:rPr>
      </w:pPr>
    </w:p>
    <w:p>
      <w:pPr>
        <w:jc w:val="both"/>
        <w:ind w:left="200" w:right="219" w:firstLine="1305"/>
        <w:spacing w:after="0" w:line="233"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Standards for Decisions and Determinations. The Administrative Agent will promptly notify the Borrower and the Lenders of the implementation of any Benchmark Replacement and the effectiveness of any Conforming Changes. The Administrative Agent will notify the Borrower of (x) the removal or reinstatement of any tenor of a Benchmark and (y) the commencement of any Benchmark Unavailability Period. Any determination, decision or election that may be made by the Administrative Agent or Lenders pursuant to this Section 10.6,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10.6.</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Unavailability of Tenor of Benchmark. Notwithstanding anything to the contrary herein or in any other Loan Document, at any time (including in connection with the implementation of a Benchmark Replacement), (i) if any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0" w:name="page141"/>
    <w:bookmarkEnd w:id="140"/>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5" w:lineRule="exact"/>
        <w:rPr>
          <w:sz w:val="20"/>
          <w:szCs w:val="20"/>
          <w:color w:val="auto"/>
        </w:rPr>
      </w:pPr>
    </w:p>
    <w:p>
      <w:pPr>
        <w:jc w:val="both"/>
        <w:ind w:left="200" w:right="219" w:firstLine="1305"/>
        <w:spacing w:after="0" w:line="234" w:lineRule="auto"/>
        <w:tabs>
          <w:tab w:leader="none" w:pos="21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Benchmark Unavailability Period. Upon the Borrower’s receipt of notice of the commencement of a Benchmark Unavailability Period, the Borrower may revoke any request for the applicable SOFR Borrowing of, conversion to or continuation of SOFR Rate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Adjusted Term SOFR (or then-current Benchmark) will not be used in any determination of Base Rate.</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11. THE ADMINISTRATIVE AGENT</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i w:val="1"/>
          <w:iCs w:val="1"/>
          <w:color w:val="auto"/>
        </w:rPr>
        <w:t>Section 11.1. Appointment and Authority</w:t>
      </w:r>
      <w:r>
        <w:rPr>
          <w:rFonts w:ascii="Times New Roman" w:cs="Times New Roman" w:eastAsia="Times New Roman" w:hAnsi="Times New Roman"/>
          <w:sz w:val="21"/>
          <w:szCs w:val="21"/>
          <w:color w:val="auto"/>
        </w:rPr>
        <w:t>. Each of the Lenders hereby irrevocably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appoints KeyBank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and the Lenders, and neither the Borrower nor any Guarantor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4"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Section 11.2. Rights as a Lender</w:t>
      </w:r>
      <w:r>
        <w:rPr>
          <w:rFonts w:ascii="Times New Roman" w:cs="Times New Roman" w:eastAsia="Times New Roman" w:hAnsi="Times New Roman"/>
          <w:sz w:val="22"/>
          <w:szCs w:val="22"/>
          <w:color w:val="auto"/>
        </w:rPr>
        <w:t>. The Person serving as the Administrative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1" w:name="page142"/>
    <w:bookmarkEnd w:id="141"/>
    <w:p>
      <w:pPr>
        <w:ind w:left="200" w:right="779"/>
        <w:spacing w:after="0" w:line="282" w:lineRule="auto"/>
        <w:rPr>
          <w:sz w:val="20"/>
          <w:szCs w:val="20"/>
          <w:color w:val="auto"/>
        </w:rPr>
      </w:pPr>
      <w:r>
        <w:rPr>
          <w:rFonts w:ascii="Times New Roman" w:cs="Times New Roman" w:eastAsia="Times New Roman" w:hAnsi="Times New Roman"/>
          <w:sz w:val="21"/>
          <w:szCs w:val="21"/>
          <w:color w:val="auto"/>
        </w:rPr>
        <w:t>with, the Borrower or any Subsidiary or other Affiliate thereof as if such Person were not the Administrative Agent hereunder and without any duty to account therefor to the Lenders.</w:t>
      </w:r>
    </w:p>
    <w:p>
      <w:pPr>
        <w:spacing w:after="0" w:line="131" w:lineRule="exact"/>
        <w:rPr>
          <w:sz w:val="20"/>
          <w:szCs w:val="20"/>
          <w:color w:val="auto"/>
        </w:rPr>
      </w:pPr>
    </w:p>
    <w:p>
      <w:pPr>
        <w:jc w:val="both"/>
        <w:ind w:left="200" w:right="239" w:firstLine="648"/>
        <w:spacing w:after="0" w:line="256" w:lineRule="auto"/>
        <w:rPr>
          <w:sz w:val="20"/>
          <w:szCs w:val="20"/>
          <w:color w:val="auto"/>
        </w:rPr>
      </w:pPr>
      <w:r>
        <w:rPr>
          <w:rFonts w:ascii="Times New Roman" w:cs="Times New Roman" w:eastAsia="Times New Roman" w:hAnsi="Times New Roman"/>
          <w:sz w:val="21"/>
          <w:szCs w:val="21"/>
          <w:i w:val="1"/>
          <w:iCs w:val="1"/>
          <w:color w:val="auto"/>
        </w:rPr>
        <w:t>Section 11.3. Action by Administrative Agent; Exculpatory Provisions</w:t>
      </w:r>
      <w:r>
        <w:rPr>
          <w:rFonts w:ascii="Times New Roman" w:cs="Times New Roman" w:eastAsia="Times New Roman" w:hAnsi="Times New Roman"/>
          <w:sz w:val="21"/>
          <w:szCs w:val="21"/>
          <w:color w:val="auto"/>
        </w:rPr>
        <w:t>. (a)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62" w:lineRule="exact"/>
        <w:rPr>
          <w:sz w:val="20"/>
          <w:szCs w:val="20"/>
          <w:color w:val="auto"/>
        </w:rPr>
      </w:pPr>
    </w:p>
    <w:p>
      <w:pPr>
        <w:ind w:left="860" w:right="219" w:firstLine="1293"/>
        <w:spacing w:after="0" w:line="258" w:lineRule="auto"/>
        <w:tabs>
          <w:tab w:leader="none" w:pos="2804"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 continuing;</w:t>
      </w:r>
    </w:p>
    <w:p>
      <w:pPr>
        <w:spacing w:after="0" w:line="158" w:lineRule="exact"/>
        <w:rPr>
          <w:rFonts w:ascii="Times New Roman" w:cs="Times New Roman" w:eastAsia="Times New Roman" w:hAnsi="Times New Roman"/>
          <w:sz w:val="22"/>
          <w:szCs w:val="22"/>
          <w:color w:val="auto"/>
        </w:rPr>
      </w:pPr>
    </w:p>
    <w:p>
      <w:pPr>
        <w:jc w:val="both"/>
        <w:ind w:left="860" w:right="219" w:firstLine="1293"/>
        <w:spacing w:after="0" w:line="244" w:lineRule="auto"/>
        <w:tabs>
          <w:tab w:leader="none" w:pos="2804" w:val="left"/>
        </w:tabs>
        <w:numPr>
          <w:ilvl w:val="2"/>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spacing w:after="0" w:line="175" w:lineRule="exact"/>
        <w:rPr>
          <w:rFonts w:ascii="Times New Roman" w:cs="Times New Roman" w:eastAsia="Times New Roman" w:hAnsi="Times New Roman"/>
          <w:sz w:val="21"/>
          <w:szCs w:val="21"/>
          <w:color w:val="auto"/>
        </w:rPr>
      </w:pPr>
    </w:p>
    <w:p>
      <w:pPr>
        <w:jc w:val="both"/>
        <w:ind w:left="860" w:right="219" w:firstLine="1293"/>
        <w:spacing w:after="0" w:line="238" w:lineRule="auto"/>
        <w:tabs>
          <w:tab w:leader="none" w:pos="2804"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or responsibility to disclose, and shall not be liable for the failure to disclose, any information relating to the Borrower or any of its Affiliates or any Guarantor or any of their Affiliates that is communicated to or obtained by the Person serving as the Administrative Agent or any of its Affiliates in any capacity.</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of its Related Parties shall be liable for any action taken or not taken by the Administrative Agent under or in connection with this Agreement or any other Loan Document or the transactions contemplated hereby or thereby</w:t>
      </w:r>
    </w:p>
    <w:p>
      <w:pPr>
        <w:jc w:val="both"/>
        <w:ind w:left="200" w:right="219" w:firstLine="67"/>
        <w:spacing w:after="0" w:line="232" w:lineRule="auto"/>
        <w:tabs>
          <w:tab w:leader="none" w:pos="52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or at the request of the Required Lenders (or such other number or percentage of the Lenders as shall be necessary, or as the Administrative Agent shall believe in good faith shall be necessary, under the circumstances as provided in Sections 9.2, 9.3, 9.4 and 12.13),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or a Lender.</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2" w:name="page143"/>
    <w:bookmarkEnd w:id="142"/>
    <w:p>
      <w:pPr>
        <w:jc w:val="both"/>
        <w:ind w:left="200" w:right="219" w:firstLine="1305"/>
        <w:spacing w:after="0" w:line="233" w:lineRule="auto"/>
        <w:tabs>
          <w:tab w:leader="none" w:pos="214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of its Related Parties 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Section 7.1 or 7.2 or elsewhere herein, other than to confirm receipt of items expressly required to be delivered to the Administrative Agent.</w:t>
      </w:r>
    </w:p>
    <w:p>
      <w:pPr>
        <w:spacing w:after="0" w:line="18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Section 11.4. Reliance by Administrative Agent</w:t>
      </w:r>
      <w:r>
        <w:rPr>
          <w:rFonts w:ascii="Times New Roman" w:cs="Times New Roman" w:eastAsia="Times New Roman" w:hAnsi="Times New Roman"/>
          <w:sz w:val="22"/>
          <w:szCs w:val="22"/>
          <w:color w:val="auto"/>
        </w:rPr>
        <w:t>. The Administrative Agent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Guarantors), independent accountants and other experts selected by it, and shall not be liable for any action taken or not taken by it in accordance with the advice of any such counsel, accountants or experts.</w:t>
      </w:r>
    </w:p>
    <w:p>
      <w:pPr>
        <w:spacing w:after="0" w:line="177"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i w:val="1"/>
          <w:iCs w:val="1"/>
          <w:color w:val="auto"/>
        </w:rPr>
        <w:t>Section 11.5. Delegation of Duties</w:t>
      </w:r>
      <w:r>
        <w:rPr>
          <w:rFonts w:ascii="Times New Roman" w:cs="Times New Roman" w:eastAsia="Times New Roman" w:hAnsi="Times New Roman"/>
          <w:sz w:val="21"/>
          <w:szCs w:val="21"/>
          <w:color w:val="auto"/>
        </w:rPr>
        <w:t>. The Administrative Agent may perform any and all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Section 11.6. Resignation of Administrative Agent; Removal of Administrative Agent</w:t>
      </w:r>
      <w:r>
        <w:rPr>
          <w:rFonts w:ascii="Times New Roman" w:cs="Times New Roman" w:eastAsia="Times New Roman" w:hAnsi="Times New Roman"/>
          <w:sz w:val="21"/>
          <w:szCs w:val="21"/>
          <w:color w:val="auto"/>
        </w:rPr>
        <w:t>.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Administrative Agent may at any time give notice of its resignation to the Lenders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be a bank with an office in the United States of America, or an Affiliate of any such bank with an office in</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3" w:name="page144"/>
    <w:bookmarkEnd w:id="143"/>
    <w:p>
      <w:pPr>
        <w:ind w:left="200" w:right="399"/>
        <w:spacing w:after="0" w:line="235" w:lineRule="auto"/>
        <w:rPr>
          <w:sz w:val="20"/>
          <w:szCs w:val="20"/>
          <w:color w:val="auto"/>
        </w:rPr>
      </w:pPr>
      <w:r>
        <w:rPr>
          <w:rFonts w:ascii="Times New Roman" w:cs="Times New Roman" w:eastAsia="Times New Roman" w:hAnsi="Times New Roman"/>
          <w:sz w:val="22"/>
          <w:szCs w:val="22"/>
          <w:color w:val="auto"/>
        </w:rPr>
        <w:t xml:space="preserve">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Times New Roman" w:cs="Times New Roman" w:eastAsia="Times New Roman" w:hAnsi="Times New Roman"/>
          <w:sz w:val="22"/>
          <w:szCs w:val="22"/>
          <w:i w:val="1"/>
          <w:iCs w:val="1"/>
          <w:color w:val="auto"/>
        </w:rPr>
        <w:t>“Resignation Effective Date”</w:t>
      </w:r>
      <w:r>
        <w:rPr>
          <w:rFonts w:ascii="Times New Roman" w:cs="Times New Roman" w:eastAsia="Times New Roman" w:hAnsi="Times New Roman"/>
          <w:sz w:val="22"/>
          <w:szCs w:val="22"/>
          <w:color w:val="auto"/>
        </w:rPr>
        <w:t>), then the retiring Administrative Agent may (but shall not be obligated to), on behalf of the Lenders, appoint a successor Administrative Agent meeting the qualifications set forth above. Whether or not a successor has been appointed, such resignation or removal shall become effective in accordance with such notice on the Resignation Effective Date.</w:t>
      </w:r>
    </w:p>
    <w:p>
      <w:pPr>
        <w:spacing w:after="0" w:line="178" w:lineRule="exact"/>
        <w:rPr>
          <w:sz w:val="20"/>
          <w:szCs w:val="20"/>
          <w:color w:val="auto"/>
        </w:rPr>
      </w:pPr>
    </w:p>
    <w:p>
      <w:pPr>
        <w:jc w:val="right"/>
        <w:ind w:left="200" w:right="219" w:firstLine="1305"/>
        <w:spacing w:after="0" w:line="242" w:lineRule="auto"/>
        <w:tabs>
          <w:tab w:leader="none" w:pos="214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effect  from  the  Resignation  Effective  Date,  (i)  the  retiring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If on the Resignation Effective Date no successor has been appointed and accepted such appointment, the Administrative Agent’s rights in the Collateral Documents shall be assigned without representation, recourse or warranty to the Lenders as their interests may appear.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w:t>
      </w:r>
    </w:p>
    <w:p>
      <w:pPr>
        <w:spacing w:after="0" w:line="16" w:lineRule="exact"/>
        <w:rPr>
          <w:rFonts w:ascii="Times New Roman" w:cs="Times New Roman" w:eastAsia="Times New Roman" w:hAnsi="Times New Roman"/>
          <w:sz w:val="21"/>
          <w:szCs w:val="21"/>
          <w:color w:val="auto"/>
        </w:rPr>
      </w:pPr>
    </w:p>
    <w:p>
      <w:pPr>
        <w:jc w:val="both"/>
        <w:ind w:left="200" w:right="219" w:firstLine="113"/>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After the retiring Administrative Agent’s resignation hereunder and under the other Loan Documents, the provisions of this Section 11 and Section 12.15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75"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Section 11.7. Non-Reliance on Administrative Agent and Other Lenders</w:t>
      </w:r>
      <w:r>
        <w:rPr>
          <w:rFonts w:ascii="Times New Roman" w:cs="Times New Roman" w:eastAsia="Times New Roman" w:hAnsi="Times New Roman"/>
          <w:sz w:val="21"/>
          <w:szCs w:val="21"/>
          <w:color w:val="auto"/>
        </w:rPr>
        <w:t>. Each Lender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w:t>
      </w:r>
    </w:p>
    <w:p>
      <w:pPr>
        <w:spacing w:after="0" w:line="2" w:lineRule="exact"/>
        <w:rPr>
          <w:sz w:val="20"/>
          <w:szCs w:val="20"/>
          <w:color w:val="auto"/>
        </w:rPr>
      </w:pPr>
    </w:p>
    <w:p>
      <w:pPr>
        <w:jc w:val="both"/>
        <w:ind w:left="200" w:right="219" w:firstLine="121"/>
        <w:spacing w:after="0" w:line="243" w:lineRule="auto"/>
        <w:rPr>
          <w:sz w:val="20"/>
          <w:szCs w:val="20"/>
          <w:color w:val="auto"/>
        </w:rPr>
      </w:pPr>
      <w:r>
        <w:rPr>
          <w:rFonts w:ascii="Times New Roman" w:cs="Times New Roman" w:eastAsia="Times New Roman" w:hAnsi="Times New Roman"/>
          <w:sz w:val="21"/>
          <w:szCs w:val="21"/>
          <w:color w:val="auto"/>
        </w:rPr>
        <w:t>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4" w:name="page145"/>
    <w:bookmarkEnd w:id="144"/>
    <w:p>
      <w:pPr>
        <w:ind w:left="200" w:right="219"/>
        <w:spacing w:after="0" w:line="234" w:lineRule="auto"/>
        <w:rPr>
          <w:sz w:val="20"/>
          <w:szCs w:val="20"/>
          <w:color w:val="auto"/>
        </w:rPr>
      </w:pPr>
      <w:r>
        <w:rPr>
          <w:rFonts w:ascii="Times New Roman" w:cs="Times New Roman" w:eastAsia="Times New Roman" w:hAnsi="Times New Roman"/>
          <w:sz w:val="22"/>
          <w:szCs w:val="22"/>
          <w:color w:val="auto"/>
        </w:rPr>
        <w:t>laws), (iii) it has, independently and without reliance upon the Administrative Agent, any Arranger, any Syndication Agent, any documentation agent or any other Lender,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3"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Upon a Lender’s written request, the Administrative Agent agrees to forward to such Lender, when complete, copies of any field audit, examination, or appraisal report prepared by or for the Administrative Agent with respect to the Borrower or any Material Subsidiary or the Collateral (herein, “Reports”). 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Material Subsidiaries and will rely significantly upon the books and records of the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 this Agreement; and (e) without limiting the generality of any other indemnification provision contained in this Agreement,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spacing w:after="0" w:line="18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i w:val="1"/>
          <w:iCs w:val="1"/>
          <w:color w:val="auto"/>
        </w:rPr>
        <w:t>Section 11.8.</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0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11.9. Hedging Liability and Funds Transfer and Deposit Account Liability. </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virtue of a Lender’s execution of this Agreement or an assignment agreement pursuant to Section 12.10, as the case may be, any Affiliate of such Lender (including any Hedging Counterparty)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Guaranties as more fully set forth in Section 3.1. In connection with any such distribution of payments and collections, or any request for the release of the Guaranties and the Administrative Agent’s Liens in connection with the termination of the Commitments, and the payment in full of the Obligations, the Administrative Agent shall be entitled to assume no amounts are due to any Lender or its Affiliate with respect to Hedging</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5" w:name="page146"/>
    <w:bookmarkEnd w:id="145"/>
    <w:p>
      <w:pPr>
        <w:ind w:left="200" w:right="219"/>
        <w:spacing w:after="0" w:line="232" w:lineRule="auto"/>
        <w:rPr>
          <w:sz w:val="20"/>
          <w:szCs w:val="20"/>
          <w:color w:val="auto"/>
        </w:rPr>
      </w:pPr>
      <w:r>
        <w:rPr>
          <w:rFonts w:ascii="Times New Roman" w:cs="Times New Roman" w:eastAsia="Times New Roman" w:hAnsi="Times New Roman"/>
          <w:sz w:val="22"/>
          <w:szCs w:val="22"/>
          <w:color w:val="auto"/>
        </w:rPr>
        <w:t>Liability or Funds Transfer and Deposit Account Liability unless such Lender has notified the Administrative Agent in writing of the amount of any such liability owed to it or its Affiliate prior to such distribution or payment or release of Guaranties and Liens. Without limiting the generality of the foregoing, (i) each such Affiliate shall, for the avoidance of doubt, be deemed to have agreed to the provisions of Section 3.1(c) and (ii) no such Affiliate shall have any right to notice of any action or to consent to, direct or object to any action hereunder or under any other Loan Document or otherwise in respect of the Collateral (including the release or impairment of any Collateral). Notwithstanding any other provision of this Section 11.9 to the contrary, the Administrative Agent shall not be required to verify the payment of, or that other satisfactory arrangements have been made with respect to Hedging Liability or Funds Transfer and Deposit Account Liability unless the Administrative Agent has received written notice of such Hedging Liability or Funds Transfer and Deposit Account Liability, together with such supporting documentation as the Administrative Agent may request, from the applicable Lender or Affiliate. For the avoidance of doubt, all references in this Section 11.9 to any Lender or Affiliate of a Lender shall include or be deemed to include each Hedging Counterparty, even if such Hedging Counterparty or any Person affiliated with such Hedging Counterparty shall cease to be a Lender hereunder, such that any such Hedging Counterparty shall continue to be entitled to all of the rights and benefits otherwise afforded to such Hedging Counterparty hereunder (including without limitation the Guaranties provided under Section 13).</w:t>
      </w:r>
    </w:p>
    <w:p>
      <w:pPr>
        <w:spacing w:after="0" w:line="18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Section 11.10. Designation of Additional Agents</w:t>
      </w:r>
      <w:r>
        <w:rPr>
          <w:rFonts w:ascii="Times New Roman" w:cs="Times New Roman" w:eastAsia="Times New Roman" w:hAnsi="Times New Roman"/>
          <w:sz w:val="22"/>
          <w:szCs w:val="22"/>
          <w:color w:val="auto"/>
        </w:rPr>
        <w:t>. The Administrative Agent shall have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“sustainability structuring agents,” or other designations for purposes hereto, but such designation shall have no substantive effect, and such Lenders and their Affiliates shall have no additional powers, duties or responsibilities as a result thereof.</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Section 11.11. [Intentionally 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Section 11.12. Authorization to Release Guaranties. </w:t>
      </w:r>
      <w:r>
        <w:rPr>
          <w:rFonts w:ascii="Times New Roman" w:cs="Times New Roman" w:eastAsia="Times New Roman" w:hAnsi="Times New Roman"/>
          <w:sz w:val="21"/>
          <w:szCs w:val="21"/>
          <w:color w:val="auto"/>
        </w:rPr>
        <w:t>The Administrative Agent is hereby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irrevocably authorized by each of the Lenders and their Affiliates to release any Material Subsidiary from its obligations as a Guarantor if such Person ceases to be a Material Subsidiary as a result of a transaction permitted under the Loan Documents. Upon the Administrative Agent’s request, the Required Lenders will confirm in writing the Administrative Agent’s authority to release any Material Subsidiary from its obligations as a Guarantor under the Loan Documents.</w:t>
      </w:r>
    </w:p>
    <w:p>
      <w:pPr>
        <w:spacing w:after="0" w:line="165"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Section 11.13. Authorization of Administrative Agent to File Proofs of Claim</w:t>
      </w:r>
      <w:r>
        <w:rPr>
          <w:rFonts w:ascii="Times New Roman" w:cs="Times New Roman" w:eastAsia="Times New Roman" w:hAnsi="Times New Roman"/>
          <w:sz w:val="22"/>
          <w:szCs w:val="22"/>
          <w:color w:val="auto"/>
        </w:rPr>
        <w:t>. In case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pendency of any proceeding under any Debtor Relief Law or any other judicial proceeding relative to the Borrower or any Guarantor,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9" w:lineRule="exact"/>
        <w:rPr>
          <w:sz w:val="20"/>
          <w:szCs w:val="20"/>
          <w:color w:val="auto"/>
        </w:rPr>
      </w:pPr>
    </w:p>
    <w:p>
      <w:pPr>
        <w:ind w:left="200" w:right="219" w:firstLine="1305"/>
        <w:spacing w:after="0" w:line="258" w:lineRule="auto"/>
        <w:tabs>
          <w:tab w:leader="none" w:pos="214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and all other Obligations that are owing and unpaid and</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6" w:name="page147"/>
    <w:bookmarkEnd w:id="146"/>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to file such other documents as may be necessary or advisable in order to have the claims of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the Loan Documents including, but not limited to, Sections 1.2, 10.3, 1.11, and 12.15) allowed in such judicial proceeding; and</w:t>
      </w:r>
    </w:p>
    <w:p>
      <w:pPr>
        <w:spacing w:after="0" w:line="181" w:lineRule="exact"/>
        <w:rPr>
          <w:sz w:val="20"/>
          <w:szCs w:val="20"/>
          <w:color w:val="auto"/>
        </w:rPr>
      </w:pPr>
    </w:p>
    <w:p>
      <w:pPr>
        <w:ind w:left="200" w:right="219" w:firstLine="1305"/>
        <w:spacing w:after="0" w:line="258" w:lineRule="auto"/>
        <w:tabs>
          <w:tab w:leader="none" w:pos="214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58"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2.1 and 12.15.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12. MISCELLANEOUS</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i w:val="1"/>
          <w:iCs w:val="1"/>
          <w:color w:val="auto"/>
        </w:rPr>
        <w:t>Section 12.1. Withholding Taxes</w:t>
      </w:r>
      <w:r>
        <w:rPr>
          <w:rFonts w:ascii="Times New Roman" w:cs="Times New Roman" w:eastAsia="Times New Roman" w:hAnsi="Times New Roman"/>
          <w:sz w:val="21"/>
          <w:szCs w:val="21"/>
          <w:color w:val="auto"/>
        </w:rPr>
        <w:t>. (a)</w:t>
      </w:r>
      <w:r>
        <w:rPr>
          <w:rFonts w:ascii="Times New Roman" w:cs="Times New Roman" w:eastAsia="Times New Roman" w:hAnsi="Times New Roman"/>
          <w:sz w:val="21"/>
          <w:szCs w:val="21"/>
          <w:i w:val="1"/>
          <w:iCs w:val="1"/>
          <w:color w:val="auto"/>
        </w:rPr>
        <w:t xml:space="preserve"> Payments Free of Withholding</w:t>
      </w:r>
      <w:r>
        <w:rPr>
          <w:rFonts w:ascii="Times New Roman" w:cs="Times New Roman" w:eastAsia="Times New Roman" w:hAnsi="Times New Roman"/>
          <w:sz w:val="21"/>
          <w:szCs w:val="21"/>
          <w:color w:val="auto"/>
        </w:rPr>
        <w:t>. Except as otherwise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required by law and subject to Section 12.1(b) hereof, each payment by the Borrower and the Guarantors under this Agreement or the other Loan Documents shall be made without withholding for or on account of any present or future Indemnified Taxes. If any such withholding is so required, the Borrower or 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and the Administrative Agent free and clear of such taxes (including such taxes on such additional amount) is equal to the amount which that Lender or the Administrative Agent (as the case may be) would have received had such withholding not been made. If the Administrative Agent or any Lender pays any amount in respect of any such taxes, penalties or interest, the Borrower or such Guarantor shall reimburse the Administrative Agent or such Lender for that payment on demand in the currency in which such payment was made.</w:t>
      </w:r>
    </w:p>
    <w:p>
      <w:pPr>
        <w:spacing w:after="0" w:line="170" w:lineRule="exact"/>
        <w:rPr>
          <w:sz w:val="20"/>
          <w:szCs w:val="20"/>
          <w:color w:val="auto"/>
        </w:rPr>
      </w:pPr>
    </w:p>
    <w:p>
      <w:pPr>
        <w:jc w:val="both"/>
        <w:ind w:left="200" w:right="219" w:firstLine="1305"/>
        <w:spacing w:after="0" w:line="247" w:lineRule="auto"/>
        <w:tabs>
          <w:tab w:leader="none" w:pos="2144"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U.S. Withholding Tax Exemptions</w:t>
      </w:r>
      <w:r>
        <w:rPr>
          <w:rFonts w:ascii="Times New Roman" w:cs="Times New Roman" w:eastAsia="Times New Roman" w:hAnsi="Times New Roman"/>
          <w:sz w:val="21"/>
          <w:szCs w:val="21"/>
          <w:color w:val="auto"/>
        </w:rPr>
        <w:t>. Each Lender that is not a United States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person (as such term is defined in Section 7701(a)(30) of the Code) shall submit to the Borrower and the Administrative Agent on or before the date the initial Borrowing is made hereunder or, if later, the date such financial institution becomes a Lender hereunder, two duly completed and signed copies of (i) either Form W-8 BEN-E (relating to such Lender and entitling it to a complete exemption from withholding under the Code on all amounts to be received by such Lender, including fees, pursuant to the Loan Documents and the Obligations) or Form W-8 ECI (relating to all amounts to be received by such Lender, including fees, pursuant to the Loan Documents and the Obligations) of the United States Internal Revenue Service or (ii) solely if such Lender is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7" w:name="page148"/>
    <w:bookmarkEnd w:id="147"/>
    <w:p>
      <w:pPr>
        <w:jc w:val="both"/>
        <w:ind w:left="200" w:right="219"/>
        <w:spacing w:after="0" w:line="245" w:lineRule="auto"/>
        <w:rPr>
          <w:sz w:val="20"/>
          <w:szCs w:val="20"/>
          <w:color w:val="auto"/>
        </w:rPr>
      </w:pPr>
      <w:r>
        <w:rPr>
          <w:rFonts w:ascii="Times New Roman" w:cs="Times New Roman" w:eastAsia="Times New Roman" w:hAnsi="Times New Roman"/>
          <w:sz w:val="21"/>
          <w:szCs w:val="21"/>
          <w:color w:val="auto"/>
        </w:rPr>
        <w:t>claiming exemption from United States withholding tax under Section 871(h) or 881(c) of the Code with respect to payments of “portfolio interest”, a Form W-8 BEN-E, or any successor form prescribed by the Internal Revenue Service, and a certificate representing that such Lender is not a bank for purposes of Section 881(c) of the Code, is not a ten (10)-percent shareholder (within the meaning of Section 871(h)(3)(B) of the Code) of the Borrower and is not a controlled foreign corporation related to the Borrower (within the meaning of Section 864(d)(4) of the Code).</w:t>
      </w:r>
    </w:p>
    <w:p>
      <w:pPr>
        <w:spacing w:after="0" w:line="3" w:lineRule="exact"/>
        <w:rPr>
          <w:sz w:val="20"/>
          <w:szCs w:val="20"/>
          <w:color w:val="auto"/>
        </w:rPr>
      </w:pPr>
    </w:p>
    <w:p>
      <w:pPr>
        <w:jc w:val="both"/>
        <w:ind w:left="200" w:right="219" w:firstLine="138"/>
        <w:spacing w:after="0" w:line="231" w:lineRule="auto"/>
        <w:rPr>
          <w:sz w:val="20"/>
          <w:szCs w:val="20"/>
          <w:color w:val="auto"/>
        </w:rPr>
      </w:pPr>
      <w:r>
        <w:rPr>
          <w:rFonts w:ascii="Times New Roman" w:cs="Times New Roman" w:eastAsia="Times New Roman" w:hAnsi="Times New Roman"/>
          <w:sz w:val="22"/>
          <w:szCs w:val="22"/>
          <w:color w:val="auto"/>
        </w:rPr>
        <w:t>Thereafter and from time to time, each Lender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and (ii) required under then-current United States law or regulations to avoid or reduce United States withholding taxes on payments in respect of all amounts to be received by such Lender, including fees, pursuant to the Loan Documents or the Obligations. Upon the request of the Borrower or the Administrative Agent, each Lender that is a United States person (as such term is defined in Section 7701(a)(30) of the Code) shall submit to the Borrower and the Administrative Agent a certificate to the effect that it is such a United States person.</w:t>
      </w:r>
    </w:p>
    <w:p>
      <w:pPr>
        <w:spacing w:after="0" w:line="183" w:lineRule="exact"/>
        <w:rPr>
          <w:sz w:val="20"/>
          <w:szCs w:val="20"/>
          <w:color w:val="auto"/>
        </w:rPr>
      </w:pPr>
    </w:p>
    <w:p>
      <w:pPr>
        <w:jc w:val="both"/>
        <w:ind w:left="200" w:right="219" w:firstLine="1305"/>
        <w:spacing w:after="0" w:line="235" w:lineRule="auto"/>
        <w:tabs>
          <w:tab w:leader="none" w:pos="21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Inability of Lender to Submit Forms</w:t>
      </w:r>
      <w:r>
        <w:rPr>
          <w:rFonts w:ascii="Times New Roman" w:cs="Times New Roman" w:eastAsia="Times New Roman" w:hAnsi="Times New Roman"/>
          <w:sz w:val="22"/>
          <w:szCs w:val="22"/>
          <w:color w:val="auto"/>
        </w:rPr>
        <w:t>. If any Lender determines, as a result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change in applicable law, regulation or treaty, or in any official application or interpretation thereof, that it is unable to submit to the Borrower or the Administrative Agent any form or certificate that such Lender is obligated to submit pursuant to subsection (b) of this Section 12.1 or that such Lender is required to withdraw or cancel any such form or certificate previously submitted or any such form or certificate otherwise becomes ineffective or inaccurate, such Lender shall promptly notify the Borrower and Administrative Agent of such fact and the Lender shall to that extent not be obligated to provide any such form or certificate and will be entitled to withdraw or cancel any affected form or certificate, as applicable.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FATCA</w:t>
      </w:r>
      <w:r>
        <w:rPr>
          <w:rFonts w:ascii="Times New Roman" w:cs="Times New Roman" w:eastAsia="Times New Roman" w:hAnsi="Times New Roman"/>
          <w:sz w:val="22"/>
          <w:szCs w:val="22"/>
          <w:color w:val="auto"/>
        </w:rPr>
        <w:t>. If a payment made to a Lender under any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Indemnification by the Lenders</w:t>
      </w:r>
      <w:r>
        <w:rPr>
          <w:rFonts w:ascii="Times New Roman" w:cs="Times New Roman" w:eastAsia="Times New Roman" w:hAnsi="Times New Roman"/>
          <w:sz w:val="21"/>
          <w:szCs w:val="21"/>
          <w:color w:val="auto"/>
        </w:rPr>
        <w:t>. Each Lender shall severally indemnify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within ten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8" w:name="page149"/>
    <w:bookmarkEnd w:id="148"/>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175" w:lineRule="exact"/>
        <w:rPr>
          <w:sz w:val="20"/>
          <w:szCs w:val="20"/>
          <w:color w:val="auto"/>
        </w:rPr>
      </w:pPr>
    </w:p>
    <w:p>
      <w:pPr>
        <w:jc w:val="both"/>
        <w:ind w:left="200" w:right="219" w:firstLine="1305"/>
        <w:spacing w:after="0" w:line="232" w:lineRule="auto"/>
        <w:tabs>
          <w:tab w:leader="none" w:pos="214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Treatment of Certain Refunds</w:t>
      </w:r>
      <w:r>
        <w:rPr>
          <w:rFonts w:ascii="Times New Roman" w:cs="Times New Roman" w:eastAsia="Times New Roman" w:hAnsi="Times New Roman"/>
          <w:sz w:val="22"/>
          <w:szCs w:val="22"/>
          <w:color w:val="auto"/>
        </w:rPr>
        <w:t>. If any Lender determines, in its sole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discretion exercised in good faith, that it has received a refund in respect of any taxes as to which indemnification or additional amounts have been paid to it by the Borrower or a Guarantor pursuant to this Section 12.1, it shall pay to the indemnifying party an amount equal to such refund (but only to the extent of indemnity payments made under this Section with respect to the taxes giving rise to such refund), net of all out-of-pocket expenses of such Lender and without interest (other than any interest paid by the relevant Governmental Authority with respect to such refund); provided that the Borrower or such Guarantor, upon the request of such Lender, agrees to promptly repay the amount paid over with respect to such refund (plus any penalties, interest or other charges imposed by the relevant Governmental Authority) to such Lender in the event such Lender is required to repay such refund to the relevant Governmental Authority. Nothing herein contained shall interfere with the right of a Lender arrange its tax affairs in whatever manner it thinks fit nor oblige any Lender to claim any tax refund or to make available its tax returns or disclose any information relating to its tax affairs or any computations in respect thereof or any other confidential information or require any Lender to do anything that would prejudice its ability to benefit from any other refunds, credits, reliefs, remissions or repayments to which it may be entitled.</w:t>
      </w:r>
    </w:p>
    <w:p>
      <w:pPr>
        <w:spacing w:after="0" w:line="189" w:lineRule="exact"/>
        <w:rPr>
          <w:rFonts w:ascii="Times New Roman" w:cs="Times New Roman" w:eastAsia="Times New Roman" w:hAnsi="Times New Roman"/>
          <w:sz w:val="22"/>
          <w:szCs w:val="22"/>
          <w:color w:val="auto"/>
        </w:rPr>
      </w:pPr>
    </w:p>
    <w:p>
      <w:pPr>
        <w:jc w:val="both"/>
        <w:ind w:left="200" w:right="219" w:firstLine="1305"/>
        <w:spacing w:after="0" w:line="237" w:lineRule="auto"/>
        <w:tabs>
          <w:tab w:leader="none" w:pos="214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Evidence of Payments</w:t>
      </w:r>
      <w:r>
        <w:rPr>
          <w:rFonts w:ascii="Times New Roman" w:cs="Times New Roman" w:eastAsia="Times New Roman" w:hAnsi="Times New Roman"/>
          <w:sz w:val="22"/>
          <w:szCs w:val="22"/>
          <w:color w:val="auto"/>
        </w:rPr>
        <w:t>. As soon as practicable after any payment of Taxes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Borrower or a Guarantor to a Governmental Authority pursuant to this Section, the Borrower or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5"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12.2. No Waiver, Cumulative Remedies. </w:t>
      </w:r>
      <w:r>
        <w:rPr>
          <w:rFonts w:ascii="Times New Roman" w:cs="Times New Roman" w:eastAsia="Times New Roman" w:hAnsi="Times New Roman"/>
          <w:sz w:val="22"/>
          <w:szCs w:val="22"/>
          <w:color w:val="auto"/>
        </w:rPr>
        <w:t>No delay or failure on the part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spacing w:after="0" w:line="178"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12.3. Non-Business Days. </w:t>
      </w:r>
      <w:r>
        <w:rPr>
          <w:rFonts w:ascii="Times New Roman" w:cs="Times New Roman" w:eastAsia="Times New Roman" w:hAnsi="Times New Roman"/>
          <w:sz w:val="22"/>
          <w:szCs w:val="22"/>
          <w:color w:val="auto"/>
        </w:rPr>
        <w:t>If any payment hereunder becomes due and payable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day which is not a Business Day, the due date of such payment shall be extended to the next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9" w:name="page150"/>
    <w:bookmarkEnd w:id="149"/>
    <w:p>
      <w:pPr>
        <w:ind w:left="200" w:right="239"/>
        <w:spacing w:after="0" w:line="255" w:lineRule="auto"/>
        <w:rPr>
          <w:sz w:val="20"/>
          <w:szCs w:val="20"/>
          <w:color w:val="auto"/>
        </w:rPr>
      </w:pPr>
      <w:r>
        <w:rPr>
          <w:rFonts w:ascii="Times New Roman" w:cs="Times New Roman" w:eastAsia="Times New Roman" w:hAnsi="Times New Roman"/>
          <w:sz w:val="21"/>
          <w:szCs w:val="21"/>
          <w:color w:val="auto"/>
        </w:rPr>
        <w:t>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58"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Section 12.4. Documentary Taxes. </w:t>
      </w:r>
      <w:r>
        <w:rPr>
          <w:rFonts w:ascii="Times New Roman" w:cs="Times New Roman" w:eastAsia="Times New Roman" w:hAnsi="Times New Roman"/>
          <w:sz w:val="21"/>
          <w:szCs w:val="21"/>
          <w:color w:val="auto"/>
        </w:rPr>
        <w:t>The Borrower agrees to pay on demand any U.S.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158"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12.5. Survival of Representations. </w:t>
      </w:r>
      <w:r>
        <w:rPr>
          <w:rFonts w:ascii="Times New Roman" w:cs="Times New Roman" w:eastAsia="Times New Roman" w:hAnsi="Times New Roman"/>
          <w:sz w:val="22"/>
          <w:szCs w:val="22"/>
          <w:color w:val="auto"/>
        </w:rPr>
        <w:t>All representations and warranties made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17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12.6. Survival of Indemnities. </w:t>
      </w:r>
      <w:r>
        <w:rPr>
          <w:rFonts w:ascii="Times New Roman" w:cs="Times New Roman" w:eastAsia="Times New Roman" w:hAnsi="Times New Roman"/>
          <w:sz w:val="22"/>
          <w:szCs w:val="22"/>
          <w:color w:val="auto"/>
        </w:rPr>
        <w:t>All indemnities and other provisions relative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to the Lenders of amounts sufficient to protect the yield of the Lenders with respect to the Loans, including, but not limited to, Sections 1.11, 10.3, and 12.15 hereof, shall (subject to Section 10.3(c) hereof) survive the termination of this Agreement and the other Loan Documents and the payment of the Obligations.</w:t>
      </w:r>
    </w:p>
    <w:p>
      <w:pPr>
        <w:spacing w:after="0" w:line="17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12.7. Sharing of Set-Off. </w:t>
      </w:r>
      <w:r>
        <w:rPr>
          <w:rFonts w:ascii="Times New Roman" w:cs="Times New Roman" w:eastAsia="Times New Roman" w:hAnsi="Times New Roman"/>
          <w:sz w:val="22"/>
          <w:szCs w:val="22"/>
          <w:color w:val="auto"/>
        </w:rPr>
        <w:t>Each Lender agrees with each other Lender a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hereto that if such Lender shall receive and retain any payment, whether by set-off or application of deposit balances or otherwise, on any of the Loans in excess of its ratable share of payments on all such Obligations then outstanding to the Lenders, then such Lender shall purchase for cash at face value, but without recourse, ratably from each of the other Lenders such amount of the Loans held by each such other Lenders (or interest therein) as shall be necessary to cause such Lender to share such excess payment ratably with all the other Lenders;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w:t>
      </w:r>
    </w:p>
    <w:p>
      <w:pPr>
        <w:spacing w:after="0" w:line="176"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12.8. Notices. </w:t>
      </w:r>
      <w:r>
        <w:rPr>
          <w:rFonts w:ascii="Times New Roman" w:cs="Times New Roman" w:eastAsia="Times New Roman" w:hAnsi="Times New Roman"/>
          <w:sz w:val="22"/>
          <w:szCs w:val="22"/>
          <w:color w:val="auto"/>
        </w:rPr>
        <w:t>Except as otherwise specified herein, all notices hereunder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shall be addressed to its respective address or telecopier number set forth below:</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0" w:name="page151"/>
    <w:bookmarkEnd w:id="150"/>
    <w:tbl>
      <w:tblPr>
        <w:tblLayout w:type="fixed"/>
        <w:tblInd w:w="1060" w:type="dxa"/>
        <w:tblCellMar>
          <w:top w:w="0" w:type="dxa"/>
          <w:left w:w="0" w:type="dxa"/>
          <w:bottom w:w="0" w:type="dxa"/>
          <w:right w:w="0" w:type="dxa"/>
        </w:tblCellMar>
      </w:tblPr>
      <w:tr>
        <w:trPr>
          <w:trHeight w:val="282"/>
        </w:trPr>
        <w:tc>
          <w:tcPr>
            <w:tcW w:w="3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 the Borrower:</w:t>
            </w:r>
          </w:p>
        </w:tc>
        <w:tc>
          <w:tcPr>
            <w:tcW w:w="3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 the Administrative Agent:</w:t>
            </w:r>
          </w:p>
        </w:tc>
        <w:tc>
          <w:tcPr>
            <w:tcW w:w="0" w:type="dxa"/>
            <w:vAlign w:val="bottom"/>
          </w:tcPr>
          <w:p>
            <w:pPr>
              <w:spacing w:after="0"/>
              <w:rPr>
                <w:sz w:val="1"/>
                <w:szCs w:val="1"/>
                <w:color w:val="auto"/>
              </w:rPr>
            </w:pPr>
          </w:p>
        </w:tc>
      </w:tr>
      <w:tr>
        <w:trPr>
          <w:trHeight w:val="447"/>
        </w:trPr>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KeyBank National Association</w:t>
            </w:r>
          </w:p>
        </w:tc>
        <w:tc>
          <w:tcPr>
            <w:tcW w:w="0" w:type="dxa"/>
            <w:vAlign w:val="bottom"/>
          </w:tcPr>
          <w:p>
            <w:pPr>
              <w:spacing w:after="0"/>
              <w:rPr>
                <w:sz w:val="1"/>
                <w:szCs w:val="1"/>
                <w:color w:val="auto"/>
              </w:rPr>
            </w:pPr>
          </w:p>
        </w:tc>
      </w:tr>
      <w:tr>
        <w:trPr>
          <w:trHeight w:val="243"/>
        </w:trPr>
        <w:tc>
          <w:tcPr>
            <w:tcW w:w="3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CTO Realty Growth, Inc.</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4910 Tiedeman Rd., 3rd Floor</w:t>
            </w:r>
          </w:p>
        </w:tc>
        <w:tc>
          <w:tcPr>
            <w:tcW w:w="0" w:type="dxa"/>
            <w:vAlign w:val="bottom"/>
          </w:tcPr>
          <w:p>
            <w:pPr>
              <w:spacing w:after="0"/>
              <w:rPr>
                <w:sz w:val="1"/>
                <w:szCs w:val="1"/>
                <w:color w:val="auto"/>
              </w:rPr>
            </w:pPr>
          </w:p>
        </w:tc>
      </w:tr>
      <w:tr>
        <w:trPr>
          <w:trHeight w:val="243"/>
        </w:trPr>
        <w:tc>
          <w:tcPr>
            <w:tcW w:w="3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369 N. New York Ave., Suite 201</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Mail Code OH-01-51-0311</w:t>
            </w:r>
          </w:p>
        </w:tc>
        <w:tc>
          <w:tcPr>
            <w:tcW w:w="0" w:type="dxa"/>
            <w:vAlign w:val="bottom"/>
          </w:tcPr>
          <w:p>
            <w:pPr>
              <w:spacing w:after="0"/>
              <w:rPr>
                <w:sz w:val="1"/>
                <w:szCs w:val="1"/>
                <w:color w:val="auto"/>
              </w:rPr>
            </w:pPr>
          </w:p>
        </w:tc>
      </w:tr>
      <w:tr>
        <w:trPr>
          <w:trHeight w:val="243"/>
        </w:trPr>
        <w:tc>
          <w:tcPr>
            <w:tcW w:w="3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Winter Park, Florida 32789</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Brooklyn, Ohio 44144</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Attention:</w:t>
            </w:r>
          </w:p>
        </w:tc>
        <w:tc>
          <w:tcPr>
            <w:tcW w:w="22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Philip Mays</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8"/>
              </w:rPr>
              <w:t>Attn: Real Estate Capital Servicing</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Telephone:</w:t>
            </w:r>
          </w:p>
        </w:tc>
        <w:tc>
          <w:tcPr>
            <w:tcW w:w="22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407-904-3324</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Reference: CTO Realty Growth,</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Email:</w:t>
            </w:r>
          </w:p>
        </w:tc>
        <w:tc>
          <w:tcPr>
            <w:tcW w:w="2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pmays@ctoreit.com</w:t>
            </w:r>
          </w:p>
        </w:tc>
        <w:tc>
          <w:tcPr>
            <w:tcW w:w="3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Inc. &amp; Loan No. 10257243</w:t>
            </w:r>
          </w:p>
        </w:tc>
        <w:tc>
          <w:tcPr>
            <w:tcW w:w="0" w:type="dxa"/>
            <w:vAlign w:val="bottom"/>
          </w:tcPr>
          <w:p>
            <w:pPr>
              <w:spacing w:after="0"/>
              <w:rPr>
                <w:sz w:val="1"/>
                <w:szCs w:val="1"/>
                <w:color w:val="auto"/>
              </w:rPr>
            </w:pPr>
          </w:p>
        </w:tc>
      </w:tr>
      <w:tr>
        <w:trPr>
          <w:trHeight w:val="460"/>
        </w:trPr>
        <w:tc>
          <w:tcPr>
            <w:tcW w:w="3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CTO Realty Growth, Inc.</w:t>
            </w:r>
          </w:p>
        </w:tc>
        <w:tc>
          <w:tcPr>
            <w:tcW w:w="3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And</w:t>
            </w:r>
          </w:p>
        </w:tc>
        <w:tc>
          <w:tcPr>
            <w:tcW w:w="0" w:type="dxa"/>
            <w:vAlign w:val="bottom"/>
          </w:tcPr>
          <w:p>
            <w:pPr>
              <w:spacing w:after="0"/>
              <w:rPr>
                <w:sz w:val="1"/>
                <w:szCs w:val="1"/>
                <w:color w:val="auto"/>
              </w:rPr>
            </w:pPr>
          </w:p>
        </w:tc>
      </w:tr>
      <w:tr>
        <w:trPr>
          <w:trHeight w:val="243"/>
        </w:trPr>
        <w:tc>
          <w:tcPr>
            <w:tcW w:w="3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1140 Williamson Boulevard</w:t>
            </w:r>
          </w:p>
        </w:tc>
        <w:tc>
          <w:tcPr>
            <w:tcW w:w="3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KeyBank National Association</w:t>
            </w:r>
          </w:p>
        </w:tc>
        <w:tc>
          <w:tcPr>
            <w:tcW w:w="0" w:type="dxa"/>
            <w:vAlign w:val="bottom"/>
          </w:tcPr>
          <w:p>
            <w:pPr>
              <w:spacing w:after="0"/>
              <w:rPr>
                <w:sz w:val="1"/>
                <w:szCs w:val="1"/>
                <w:color w:val="auto"/>
              </w:rPr>
            </w:pPr>
          </w:p>
        </w:tc>
      </w:tr>
      <w:tr>
        <w:trPr>
          <w:trHeight w:val="230"/>
        </w:trPr>
        <w:tc>
          <w:tcPr>
            <w:tcW w:w="10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Suite 140</w:t>
            </w:r>
          </w:p>
        </w:tc>
        <w:tc>
          <w:tcPr>
            <w:tcW w:w="224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Daytona Beach, Florida 32114</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1200 Abernathy Road NE, Suite</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Attention:</w:t>
            </w:r>
          </w:p>
        </w:tc>
        <w:tc>
          <w:tcPr>
            <w:tcW w:w="22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Lisa M. Vorakoun</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1550</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Telephone:</w:t>
            </w:r>
          </w:p>
        </w:tc>
        <w:tc>
          <w:tcPr>
            <w:tcW w:w="22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386-944-5641</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Atlanta, GA 30328</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Email:</w:t>
            </w:r>
          </w:p>
        </w:tc>
        <w:tc>
          <w:tcPr>
            <w:tcW w:w="22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lvorakoun@ctoreit.com</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Attention: Tom Schmitt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Telephone:  770-510-2109</w:t>
            </w:r>
          </w:p>
        </w:tc>
        <w:tc>
          <w:tcPr>
            <w:tcW w:w="0" w:type="dxa"/>
            <w:vAlign w:val="bottom"/>
          </w:tcPr>
          <w:p>
            <w:pPr>
              <w:spacing w:after="0"/>
              <w:rPr>
                <w:sz w:val="1"/>
                <w:szCs w:val="1"/>
                <w:color w:val="auto"/>
              </w:rPr>
            </w:pPr>
          </w:p>
        </w:tc>
      </w:tr>
      <w:tr>
        <w:trPr>
          <w:trHeight w:val="282"/>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With copy to:</w:t>
            </w:r>
          </w:p>
        </w:tc>
        <w:tc>
          <w:tcPr>
            <w:tcW w:w="32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Email: tom_schmitt@keybank.com</w:t>
            </w:r>
          </w:p>
        </w:tc>
        <w:tc>
          <w:tcPr>
            <w:tcW w:w="0" w:type="dxa"/>
            <w:vAlign w:val="bottom"/>
          </w:tcPr>
          <w:p>
            <w:pPr>
              <w:spacing w:after="0"/>
              <w:rPr>
                <w:sz w:val="1"/>
                <w:szCs w:val="1"/>
                <w:color w:val="auto"/>
              </w:rPr>
            </w:pPr>
          </w:p>
        </w:tc>
      </w:tr>
      <w:tr>
        <w:trPr>
          <w:trHeight w:val="257"/>
        </w:trPr>
        <w:tc>
          <w:tcPr>
            <w:tcW w:w="3280" w:type="dxa"/>
            <w:vAlign w:val="bottom"/>
            <w:gridSpan w:val="2"/>
            <w:vMerge w:val="continue"/>
          </w:tcPr>
          <w:p>
            <w:pPr>
              <w:spacing w:after="0"/>
              <w:rPr>
                <w:sz w:val="22"/>
                <w:szCs w:val="22"/>
                <w:color w:val="auto"/>
              </w:rPr>
            </w:pPr>
          </w:p>
        </w:tc>
        <w:tc>
          <w:tcPr>
            <w:tcW w:w="3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With a copy to:</w:t>
            </w:r>
          </w:p>
        </w:tc>
        <w:tc>
          <w:tcPr>
            <w:tcW w:w="0" w:type="dxa"/>
            <w:vAlign w:val="bottom"/>
          </w:tcPr>
          <w:p>
            <w:pPr>
              <w:spacing w:after="0"/>
              <w:rPr>
                <w:sz w:val="1"/>
                <w:szCs w:val="1"/>
                <w:color w:val="auto"/>
              </w:rPr>
            </w:pPr>
          </w:p>
        </w:tc>
      </w:tr>
      <w:tr>
        <w:trPr>
          <w:trHeight w:val="230"/>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Vinson &amp; Elkins LLP</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80" w:type="dxa"/>
            <w:vAlign w:val="bottom"/>
            <w:gridSpan w:val="2"/>
            <w:vMerge w:val="continue"/>
          </w:tcPr>
          <w:p>
            <w:pPr>
              <w:spacing w:after="0"/>
              <w:rPr>
                <w:sz w:val="18"/>
                <w:szCs w:val="18"/>
                <w:color w:val="auto"/>
              </w:rPr>
            </w:pPr>
          </w:p>
        </w:tc>
        <w:tc>
          <w:tcPr>
            <w:tcW w:w="3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Riemer &amp; Braunstein LP</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rPr>
              <w:t>845 Texas Ave., Suite 4700</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Houston, TX 77002</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100 Cambridge Street</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Attention:</w:t>
            </w:r>
          </w:p>
        </w:tc>
        <w:tc>
          <w:tcPr>
            <w:tcW w:w="22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Noelle Alix</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Boston, MA 02114</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Telephone:</w:t>
            </w:r>
          </w:p>
        </w:tc>
        <w:tc>
          <w:tcPr>
            <w:tcW w:w="22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713-758-1124</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Attention: Saúl De La Guardia</w:t>
            </w:r>
          </w:p>
        </w:tc>
        <w:tc>
          <w:tcPr>
            <w:tcW w:w="0" w:type="dxa"/>
            <w:vAlign w:val="bottom"/>
          </w:tcPr>
          <w:p>
            <w:pPr>
              <w:spacing w:after="0"/>
              <w:rPr>
                <w:sz w:val="1"/>
                <w:szCs w:val="1"/>
                <w:color w:val="auto"/>
              </w:rPr>
            </w:pPr>
          </w:p>
        </w:tc>
      </w:tr>
      <w:tr>
        <w:trPr>
          <w:trHeight w:val="243"/>
        </w:trPr>
        <w:tc>
          <w:tcPr>
            <w:tcW w:w="3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Email: nalix@velaw.com</w:t>
            </w: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Email:</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sdelaguardia@riemerlaw.com</w:t>
            </w: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3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Telephone: 617-880-3533</w:t>
            </w:r>
          </w:p>
        </w:tc>
        <w:tc>
          <w:tcPr>
            <w:tcW w:w="0" w:type="dxa"/>
            <w:vAlign w:val="bottom"/>
          </w:tcPr>
          <w:p>
            <w:pPr>
              <w:spacing w:after="0"/>
              <w:rPr>
                <w:sz w:val="1"/>
                <w:szCs w:val="1"/>
                <w:color w:val="auto"/>
              </w:rPr>
            </w:pPr>
          </w:p>
        </w:tc>
      </w:tr>
    </w:tbl>
    <w:p>
      <w:pPr>
        <w:jc w:val="both"/>
        <w:ind w:left="200" w:right="219"/>
        <w:spacing w:after="0" w:line="241" w:lineRule="auto"/>
        <w:rPr>
          <w:sz w:val="20"/>
          <w:szCs w:val="20"/>
          <w:color w:val="auto"/>
        </w:rPr>
      </w:pPr>
      <w:r>
        <w:rPr>
          <w:rFonts w:ascii="Times New Roman" w:cs="Times New Roman" w:eastAsia="Times New Roman" w:hAnsi="Times New Roman"/>
          <w:sz w:val="21"/>
          <w:szCs w:val="21"/>
          <w:color w:val="auto"/>
        </w:rPr>
        <w:t>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w:t>
      </w:r>
    </w:p>
    <w:p>
      <w:pPr>
        <w:spacing w:after="0" w:line="2" w:lineRule="exact"/>
        <w:rPr>
          <w:sz w:val="20"/>
          <w:szCs w:val="20"/>
          <w:color w:val="auto"/>
        </w:rPr>
      </w:pPr>
    </w:p>
    <w:p>
      <w:pPr>
        <w:jc w:val="both"/>
        <w:ind w:left="200" w:right="219" w:firstLine="9"/>
        <w:spacing w:after="0" w:line="234" w:lineRule="auto"/>
        <w:tabs>
          <w:tab w:leader="none" w:pos="53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given by mail, upon receipt or first refusal of delivery or (iii) if given by any other means, when delivered at the addresses specified in this Section 12.8 or in the relevant Administrative Questionnaire; provided that any notice given pursuant to Section 1 hereof shall be effective only upon receipt.</w:t>
      </w:r>
    </w:p>
    <w:p>
      <w:pPr>
        <w:spacing w:after="0" w:line="173"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Section 12.9. Counterparts</w:t>
      </w:r>
      <w:r>
        <w:rPr>
          <w:rFonts w:ascii="Times New Roman" w:cs="Times New Roman" w:eastAsia="Times New Roman" w:hAnsi="Times New Roman"/>
          <w:sz w:val="22"/>
          <w:szCs w:val="22"/>
          <w:color w:val="auto"/>
        </w:rPr>
        <w:t>. This Agreement may be executed in any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counterparts, and by the different parties hereto on separate counterpart signature pages, and all such counterparts taken together shall be deemed to constitute one and the same instrument. The words “execution”, “executed”, “signed”, “signature” and words of similar import in or related to this Agreement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1" w:right="1440" w:bottom="1440" w:gutter="0" w:footer="0" w:header="0"/>
        </w:sectPr>
      </w:pPr>
    </w:p>
    <w:bookmarkStart w:id="151" w:name="page152"/>
    <w:bookmarkEnd w:id="151"/>
    <w:p>
      <w:pPr>
        <w:ind w:left="200" w:right="419"/>
        <w:spacing w:after="0" w:line="258" w:lineRule="auto"/>
        <w:rPr>
          <w:sz w:val="20"/>
          <w:szCs w:val="20"/>
          <w:color w:val="auto"/>
        </w:rPr>
      </w:pPr>
      <w:r>
        <w:rPr>
          <w:rFonts w:ascii="Times New Roman" w:cs="Times New Roman" w:eastAsia="Times New Roman" w:hAnsi="Times New Roman"/>
          <w:sz w:val="22"/>
          <w:szCs w:val="22"/>
          <w:color w:val="auto"/>
        </w:rPr>
        <w:t>Commerce Act, the New York State Electronic Signatures and Records Act and any other similar applicable state laws based on the Uniform Electronic Transactions Act.</w:t>
      </w:r>
    </w:p>
    <w:p>
      <w:pPr>
        <w:spacing w:after="0" w:line="154"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Section 12.10. Successors and Assigns</w:t>
      </w:r>
      <w:r>
        <w:rPr>
          <w:rFonts w:ascii="Times New Roman" w:cs="Times New Roman" w:eastAsia="Times New Roman" w:hAnsi="Times New Roman"/>
          <w:sz w:val="22"/>
          <w:szCs w:val="22"/>
          <w:color w:val="auto"/>
        </w:rPr>
        <w:t>. This Agreement shall be binding upon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the Guarantors and their respective successors and permitted assigns, and shall inure to the benefit of the Administrative Agent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w:t>
      </w:r>
    </w:p>
    <w:p>
      <w:pPr>
        <w:spacing w:after="0" w:line="175"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i w:val="1"/>
          <w:iCs w:val="1"/>
          <w:color w:val="auto"/>
        </w:rPr>
        <w:t>Section 12.11. Participants</w:t>
      </w:r>
      <w:r>
        <w:rPr>
          <w:rFonts w:ascii="Times New Roman" w:cs="Times New Roman" w:eastAsia="Times New Roman" w:hAnsi="Times New Roman"/>
          <w:sz w:val="21"/>
          <w:szCs w:val="21"/>
          <w:color w:val="auto"/>
        </w:rPr>
        <w:t>. Each Lender shall have the right at its own cost to grant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participations (to be evidenced by one or more agreements or certificates of participation) in the Loans made and/or Commitments held by such Lender at any time and from time to time to one or more other Persons; provided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prior to any such disclosure any such participant or prospective participant shall agree in writing to be subject to the confidentiality provisions contained herein. No participation may be granted or sold to the Borrower, any Guarantor, any Affiliate or Subsidiary of the Borrower or Guarantor, any Defaulting Lender or any natural person.</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Section 12.12. Assignments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200" w:right="219" w:firstLine="1305"/>
        <w:spacing w:after="0" w:line="239" w:lineRule="auto"/>
        <w:tabs>
          <w:tab w:leader="none" w:pos="21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at any time assign to one or more Eligible Assignees all or a portion of such Lender’s rights and obligations under this Agreement (including all or a portion of its Commitment and the Loans at the time owing to it); provided that any such assignment shall be subject to the following conditions:</w:t>
      </w:r>
    </w:p>
    <w:p>
      <w:pPr>
        <w:spacing w:after="0" w:line="176" w:lineRule="exact"/>
        <w:rPr>
          <w:rFonts w:ascii="Times New Roman" w:cs="Times New Roman" w:eastAsia="Times New Roman" w:hAnsi="Times New Roman"/>
          <w:sz w:val="22"/>
          <w:szCs w:val="22"/>
          <w:color w:val="auto"/>
        </w:rPr>
      </w:pPr>
    </w:p>
    <w:p>
      <w:pPr>
        <w:jc w:val="both"/>
        <w:ind w:left="860" w:right="219" w:firstLine="1293"/>
        <w:spacing w:after="0" w:line="247" w:lineRule="auto"/>
        <w:tabs>
          <w:tab w:leader="none" w:pos="2804"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Minimum Amounts</w:t>
      </w:r>
      <w:r>
        <w:rPr>
          <w:rFonts w:ascii="Times New Roman" w:cs="Times New Roman" w:eastAsia="Times New Roman" w:hAnsi="Times New Roman"/>
          <w:sz w:val="21"/>
          <w:szCs w:val="21"/>
          <w:color w:val="auto"/>
        </w:rPr>
        <w:t>. (A) In the case of an assignment of the entire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remaining amount of the assigning Lender’s Commitment and the Loans at the time owing to it or in the case of an assignment to a Lender, an Affiliate of a Lender or an Approved Fund, no minimum amount need be assigned; and (B) in any case not described in subsection (a)(i)(A) of this Section 12.12, the aggregate amount of the Commitment or, if the Commitment is not then in effect, the principal outstanding balance of the Loans (determined as of the date the Assignment and Acceptance with respect to such assignment is delivered to the Administrative Agent or, if “Effective Date” is specified in the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2" w:name="page153"/>
    <w:bookmarkEnd w:id="152"/>
    <w:p>
      <w:pPr>
        <w:jc w:val="both"/>
        <w:ind w:left="860" w:right="219"/>
        <w:spacing w:after="0" w:line="239" w:lineRule="auto"/>
        <w:rPr>
          <w:sz w:val="20"/>
          <w:szCs w:val="20"/>
          <w:color w:val="auto"/>
        </w:rPr>
      </w:pPr>
      <w:r>
        <w:rPr>
          <w:rFonts w:ascii="Times New Roman" w:cs="Times New Roman" w:eastAsia="Times New Roman" w:hAnsi="Times New Roman"/>
          <w:sz w:val="22"/>
          <w:szCs w:val="22"/>
          <w:color w:val="auto"/>
        </w:rPr>
        <w:t>Assignment and Acceptance, as of the Effective Date specified in such Assignment and Acceptance) shall not be less than $5,000,000 unless each of the Administrative Agent and, so long as no Event of Default has occurred and is continuing, the Borrower otherwise consents (each such consent not to be unreasonably withheld or delayed);</w:t>
      </w:r>
    </w:p>
    <w:p>
      <w:pPr>
        <w:spacing w:after="0" w:line="176" w:lineRule="exact"/>
        <w:rPr>
          <w:sz w:val="20"/>
          <w:szCs w:val="20"/>
          <w:color w:val="auto"/>
        </w:rPr>
      </w:pPr>
    </w:p>
    <w:p>
      <w:pPr>
        <w:jc w:val="both"/>
        <w:ind w:left="860" w:right="219" w:firstLine="1293"/>
        <w:spacing w:after="0" w:line="238" w:lineRule="auto"/>
        <w:tabs>
          <w:tab w:leader="none" w:pos="280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Proportionate Amounts</w:t>
      </w:r>
      <w:r>
        <w:rPr>
          <w:rFonts w:ascii="Times New Roman" w:cs="Times New Roman" w:eastAsia="Times New Roman" w:hAnsi="Times New Roman"/>
          <w:sz w:val="22"/>
          <w:szCs w:val="22"/>
          <w:color w:val="auto"/>
        </w:rPr>
        <w:t>. Each partial assignment shall be made as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assignment of a proportionate part of all the assigning Lender’s rights and obligations under this Agreement with respect to the applicable Facility; except that this clause (ii) shall not prohibit any Lender from assigning all or a portion of its rights and obligations among separate Facilities on a non-pro rata basis.</w:t>
      </w:r>
    </w:p>
    <w:p>
      <w:pPr>
        <w:spacing w:after="0" w:line="176" w:lineRule="exact"/>
        <w:rPr>
          <w:rFonts w:ascii="Times New Roman" w:cs="Times New Roman" w:eastAsia="Times New Roman" w:hAnsi="Times New Roman"/>
          <w:sz w:val="22"/>
          <w:szCs w:val="22"/>
          <w:color w:val="auto"/>
        </w:rPr>
      </w:pPr>
    </w:p>
    <w:p>
      <w:pPr>
        <w:ind w:left="860" w:right="239" w:firstLine="1293"/>
        <w:spacing w:after="0" w:line="262" w:lineRule="auto"/>
        <w:tabs>
          <w:tab w:leader="none" w:pos="280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Required Consents</w:t>
      </w:r>
      <w:r>
        <w:rPr>
          <w:rFonts w:ascii="Times New Roman" w:cs="Times New Roman" w:eastAsia="Times New Roman" w:hAnsi="Times New Roman"/>
          <w:sz w:val="22"/>
          <w:szCs w:val="22"/>
          <w:color w:val="auto"/>
        </w:rPr>
        <w:t>. No consent shall be required for any assignment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except to the extent required by Section 12.12(a)(i)(B) and, in addition:</w:t>
      </w:r>
    </w:p>
    <w:p>
      <w:pPr>
        <w:spacing w:after="0" w:line="153" w:lineRule="exact"/>
        <w:rPr>
          <w:rFonts w:ascii="Times New Roman" w:cs="Times New Roman" w:eastAsia="Times New Roman" w:hAnsi="Times New Roman"/>
          <w:sz w:val="22"/>
          <w:szCs w:val="22"/>
          <w:color w:val="auto"/>
        </w:rPr>
      </w:pPr>
    </w:p>
    <w:p>
      <w:pPr>
        <w:jc w:val="both"/>
        <w:ind w:left="1500" w:right="219" w:firstLine="1301"/>
        <w:spacing w:after="0" w:line="238" w:lineRule="auto"/>
        <w:tabs>
          <w:tab w:leader="none" w:pos="34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 and</w:t>
      </w:r>
    </w:p>
    <w:p>
      <w:pPr>
        <w:spacing w:after="0" w:line="176" w:lineRule="exact"/>
        <w:rPr>
          <w:rFonts w:ascii="Times New Roman" w:cs="Times New Roman" w:eastAsia="Times New Roman" w:hAnsi="Times New Roman"/>
          <w:sz w:val="22"/>
          <w:szCs w:val="22"/>
          <w:color w:val="auto"/>
        </w:rPr>
      </w:pPr>
    </w:p>
    <w:p>
      <w:pPr>
        <w:jc w:val="both"/>
        <w:ind w:left="1500" w:right="219" w:firstLine="1301"/>
        <w:spacing w:after="0" w:line="251" w:lineRule="auto"/>
        <w:tabs>
          <w:tab w:leader="none" w:pos="344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the Administrative Agent (such consent not to be unreasonably withheld or delayed and to be given or denied within five (5) Business Days of written request therefor) shall be required if such assignment is to a Person that is not a Lender with 2029 Term Loans or Incremental Loans (if any), an Affiliate of such Lender or an Approved Fund with respect to such Lender.</w:t>
      </w:r>
    </w:p>
    <w:p>
      <w:pPr>
        <w:spacing w:after="0" w:line="164" w:lineRule="exact"/>
        <w:rPr>
          <w:rFonts w:ascii="Times New Roman" w:cs="Times New Roman" w:eastAsia="Times New Roman" w:hAnsi="Times New Roman"/>
          <w:sz w:val="21"/>
          <w:szCs w:val="21"/>
          <w:color w:val="auto"/>
        </w:rPr>
      </w:pPr>
    </w:p>
    <w:p>
      <w:pPr>
        <w:jc w:val="both"/>
        <w:ind w:left="860" w:right="219" w:firstLine="1293"/>
        <w:spacing w:after="0" w:line="241" w:lineRule="auto"/>
        <w:tabs>
          <w:tab w:leader="none" w:pos="280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The parties to each assignment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 and deliver to the Administrative Agent an Assignment and Acceptance, together with a processing and recordation fee of $3,500, and the assignee, if it is not a Lender, shall deliver to the Administrative Agent an Administrative Questionnaire.</w:t>
      </w:r>
    </w:p>
    <w:p>
      <w:pPr>
        <w:spacing w:after="0" w:line="171" w:lineRule="exact"/>
        <w:rPr>
          <w:rFonts w:ascii="Times New Roman" w:cs="Times New Roman" w:eastAsia="Times New Roman" w:hAnsi="Times New Roman"/>
          <w:sz w:val="22"/>
          <w:szCs w:val="22"/>
          <w:color w:val="auto"/>
        </w:rPr>
      </w:pPr>
    </w:p>
    <w:p>
      <w:pPr>
        <w:jc w:val="both"/>
        <w:ind w:left="860" w:right="219" w:firstLine="1293"/>
        <w:spacing w:after="0" w:line="246" w:lineRule="auto"/>
        <w:tabs>
          <w:tab w:leader="none" w:pos="280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Assignment to the Borrower, Guarantors, Affiliates or Subsidiaries</w:t>
      </w:r>
      <w:r>
        <w:rPr>
          <w:rFonts w:ascii="Times New Roman" w:cs="Times New Roman" w:eastAsia="Times New Roman" w:hAnsi="Times New Roman"/>
          <w:sz w:val="22"/>
          <w:szCs w:val="22"/>
          <w:color w:val="auto"/>
        </w:rPr>
        <w:t>. No such assignment shall be made to the Borrower, any Guarantor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 or Subsidiary of the Borrower or any Guarantor.</w:t>
      </w:r>
    </w:p>
    <w:p>
      <w:pPr>
        <w:spacing w:after="0" w:line="167" w:lineRule="exact"/>
        <w:rPr>
          <w:rFonts w:ascii="Times New Roman" w:cs="Times New Roman" w:eastAsia="Times New Roman" w:hAnsi="Times New Roman"/>
          <w:sz w:val="22"/>
          <w:szCs w:val="22"/>
          <w:color w:val="auto"/>
        </w:rPr>
      </w:pPr>
    </w:p>
    <w:p>
      <w:pPr>
        <w:jc w:val="both"/>
        <w:ind w:left="860" w:right="239" w:firstLine="1293"/>
        <w:spacing w:after="0" w:line="246" w:lineRule="auto"/>
        <w:tabs>
          <w:tab w:leader="none" w:pos="280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Assignment to Natural Persons</w:t>
      </w:r>
      <w:r>
        <w:rPr>
          <w:rFonts w:ascii="Times New Roman" w:cs="Times New Roman" w:eastAsia="Times New Roman" w:hAnsi="Times New Roman"/>
          <w:sz w:val="22"/>
          <w:szCs w:val="22"/>
          <w:color w:val="auto"/>
        </w:rPr>
        <w:t>. No such assignment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to a natural person (or holding company, investment vehicle or trust for, or owned and operated for the primary benefit of a natural person).</w:t>
      </w:r>
    </w:p>
    <w:p>
      <w:pPr>
        <w:spacing w:after="0" w:line="167" w:lineRule="exact"/>
        <w:rPr>
          <w:rFonts w:ascii="Times New Roman" w:cs="Times New Roman" w:eastAsia="Times New Roman" w:hAnsi="Times New Roman"/>
          <w:sz w:val="22"/>
          <w:szCs w:val="22"/>
          <w:color w:val="auto"/>
        </w:rPr>
      </w:pPr>
    </w:p>
    <w:p>
      <w:pPr>
        <w:ind w:left="860" w:right="219" w:firstLine="1293"/>
        <w:spacing w:after="0" w:line="262" w:lineRule="auto"/>
        <w:tabs>
          <w:tab w:leader="none" w:pos="280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Assignment to Defaulting Lender. </w:t>
      </w:r>
      <w:r>
        <w:rPr>
          <w:rFonts w:ascii="Times New Roman" w:cs="Times New Roman" w:eastAsia="Times New Roman" w:hAnsi="Times New Roman"/>
          <w:sz w:val="22"/>
          <w:szCs w:val="22"/>
          <w:color w:val="auto"/>
        </w:rPr>
        <w:t>No such assignment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to a Defaulting Lender.</w:t>
      </w:r>
    </w:p>
    <w:p>
      <w:pPr>
        <w:spacing w:after="0" w:line="154"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1"/>
          <w:szCs w:val="21"/>
          <w:color w:val="auto"/>
        </w:rPr>
        <w:t>Subject to acceptance and recording thereof by the Administrative Agent pursuant to Section 12.12(b)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3" w:name="page154"/>
    <w:bookmarkEnd w:id="153"/>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12.11 hereof.</w:t>
      </w:r>
    </w:p>
    <w:p>
      <w:pPr>
        <w:spacing w:after="0" w:line="183" w:lineRule="exact"/>
        <w:rPr>
          <w:sz w:val="20"/>
          <w:szCs w:val="20"/>
          <w:color w:val="auto"/>
        </w:rPr>
      </w:pPr>
    </w:p>
    <w:p>
      <w:pPr>
        <w:jc w:val="both"/>
        <w:ind w:left="200" w:right="219" w:firstLine="1305"/>
        <w:spacing w:after="0" w:line="243" w:lineRule="auto"/>
        <w:tabs>
          <w:tab w:leader="none" w:pos="214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Register. The Administrative Agent, acting solely for this purpose as an agent of the Borrower, shall maintain at one of its offices in New York, New York, a copy of each Assignment and Acceptance delivered to it and a register for the recordation of the names and addresses of the Lenders, and the Commitments of, and principal amounts of the Loans owing to, each Lender pursuant to the terms hereof from time to time (the “Register”).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shall, acting solely for this purpose as an agent of the Borrower, maintain a register on which it enters the name and address of each participant and the principal amounts (and stated interest) of each participant's interest in the Loans and/or commitments or other obligations under this Agreement (the “Participant Register”); provided that no Lender shall have any obligation to disclose all or any portion of the Participant Register to any Person (including the identity of any participant or any information relating to a participant's interest in any Loans and/or Commitments or other obligations under this Agreement) except to the extent that such disclosure is necessary to establish that such Obligation or Commitment is in registered form under Section 5f.103-1(c) of the Treasury Regulations or is otherwise required by this Agreement.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82" w:lineRule="exact"/>
        <w:rPr>
          <w:rFonts w:ascii="Times New Roman" w:cs="Times New Roman" w:eastAsia="Times New Roman" w:hAnsi="Times New Roman"/>
          <w:sz w:val="21"/>
          <w:szCs w:val="21"/>
          <w:color w:val="auto"/>
        </w:rPr>
      </w:pPr>
    </w:p>
    <w:p>
      <w:pPr>
        <w:jc w:val="both"/>
        <w:ind w:left="200" w:right="219" w:firstLine="1305"/>
        <w:spacing w:after="0" w:line="234"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provided that no such pledge or grant of a security interest shall release a Lender from any of its obligations hereunder or substitute any such pledgee or secured party for such Lender as a party hereto; provided further, however, the right of any such pledgee or grantee (other than any Federal Reserve Bank) to further transfer all or any portion of the rights pledged or granted to it, whether by means of foreclosure or otherwise, shall be at all times subject to the terms of this Agreement.</w:t>
      </w:r>
    </w:p>
    <w:p>
      <w:pPr>
        <w:spacing w:after="0" w:line="179"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12.13. Amendments. </w:t>
      </w:r>
      <w:r>
        <w:rPr>
          <w:rFonts w:ascii="Times New Roman" w:cs="Times New Roman" w:eastAsia="Times New Roman" w:hAnsi="Times New Roman"/>
          <w:sz w:val="22"/>
          <w:szCs w:val="22"/>
          <w:color w:val="auto"/>
        </w:rPr>
        <w:t>Any provision of this Agreement or the 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Documents may be amended or waived if, but only if, such amendment or waiver is in writing and is signed by (a) the Borrower, (b) the Required Lenders (or Administrative Agent acting at the direction of the Required Lenders) and (c) if the rights or duties of the Administrative Agent or Sustainability Structuring Agent are affected thereby, the Administrative Agent or Sustainability Structuring Agent,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4" w:name="page155"/>
    <w:bookmarkEnd w:id="154"/>
    <w:p>
      <w:pPr>
        <w:jc w:val="both"/>
        <w:ind w:left="860" w:right="219" w:firstLine="1293"/>
        <w:spacing w:after="0" w:line="233" w:lineRule="auto"/>
        <w:tabs>
          <w:tab w:leader="none" w:pos="280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amendment or waiver pursuant to this Section 12.13 shall (A) increase any Commitment of any Lender without the consent of such Lender, (B) reduce the amount of or postpone the date for any scheduled payment of any principal of or interest on any Loan or of any fee payable hereunder (including by way of a waiver of a Default or Event of Default under Section 9.1(a)) without the consent of the Lender to which such payment is owing or which has committed to make such Loan hereunder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only the written consent of the Required Lenders shall be required for (x)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waiver or retraction of an imposition of interest payable under Section 1.9, or (y) any modification or waiver of the covenants set forth in Section 8.20, or (C) extend the Maturity Date for the 2029 Term Loans or any Incremental Loan without the consent of each affected 2029 Term Loan Lender or Incremental Lender, as applicable;</w:t>
      </w:r>
    </w:p>
    <w:p>
      <w:pPr>
        <w:spacing w:after="0" w:line="187" w:lineRule="exact"/>
        <w:rPr>
          <w:rFonts w:ascii="Times New Roman" w:cs="Times New Roman" w:eastAsia="Times New Roman" w:hAnsi="Times New Roman"/>
          <w:sz w:val="22"/>
          <w:szCs w:val="22"/>
          <w:color w:val="auto"/>
        </w:rPr>
      </w:pPr>
    </w:p>
    <w:p>
      <w:pPr>
        <w:jc w:val="both"/>
        <w:ind w:left="860" w:right="219" w:firstLine="1293"/>
        <w:spacing w:after="0" w:line="234" w:lineRule="auto"/>
        <w:tabs>
          <w:tab w:leader="none" w:pos="280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amendment or waiver pursuant to this Section 12.13 shall, unless signed by each Lender, change the definitions of Required Lenders, Borrowing Base, Borrowing Base NOI, Borrowing Base Requirements, Borrowing Base Value, change the provisions of Section 8.21, change the provisions of this Section 12.13, affect the number of Lenders required to take any action hereunder or under any other Loan Document, change the pro rata application of payments or order of application of payments and collections set forth in Section 3.1 or Section 12.7 or change any other provision of this Agreement or add any provision to this Agreement, in each case, in a manner that would alter, or would have the effect of altering the pro rata sharing of payments required thereby, or release any Guarantor </w:t>
      </w:r>
      <w:r>
        <w:rPr>
          <w:rFonts w:ascii="Times New Roman" w:cs="Times New Roman" w:eastAsia="Times New Roman" w:hAnsi="Times New Roman"/>
          <w:sz w:val="19"/>
          <w:szCs w:val="19"/>
          <w:color w:val="auto"/>
        </w:rPr>
        <w:t>or in the event that a Collateral Trigger Event has occurred, a release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subordination of all or substantially all of the Collateral </w:t>
      </w:r>
      <w:r>
        <w:rPr>
          <w:rFonts w:ascii="Times New Roman" w:cs="Times New Roman" w:eastAsia="Times New Roman" w:hAnsi="Times New Roman"/>
          <w:sz w:val="21"/>
          <w:szCs w:val="21"/>
          <w:color w:val="auto"/>
        </w:rPr>
        <w:t>(except as expressly contemplated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this Agreement); and</w:t>
      </w:r>
    </w:p>
    <w:p>
      <w:pPr>
        <w:spacing w:after="0" w:line="183" w:lineRule="exact"/>
        <w:rPr>
          <w:rFonts w:ascii="Times New Roman" w:cs="Times New Roman" w:eastAsia="Times New Roman" w:hAnsi="Times New Roman"/>
          <w:sz w:val="22"/>
          <w:szCs w:val="22"/>
          <w:color w:val="auto"/>
        </w:rPr>
      </w:pPr>
    </w:p>
    <w:p>
      <w:pPr>
        <w:ind w:left="860" w:right="219" w:firstLine="1293"/>
        <w:spacing w:after="0" w:line="258" w:lineRule="auto"/>
        <w:tabs>
          <w:tab w:leader="none" w:pos="280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Section 13 hereof shall be made without the consent of the Guarantors affected thereby.</w:t>
      </w:r>
    </w:p>
    <w:p>
      <w:pPr>
        <w:spacing w:after="0" w:line="15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12.14. Headings. </w:t>
      </w:r>
      <w:r>
        <w:rPr>
          <w:rFonts w:ascii="Times New Roman" w:cs="Times New Roman" w:eastAsia="Times New Roman" w:hAnsi="Times New Roman"/>
          <w:sz w:val="22"/>
          <w:szCs w:val="22"/>
          <w:color w:val="auto"/>
        </w:rPr>
        <w:t>Section headings used in this Agreement are for reference only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shall not affect the construction of this Agreement.</w:t>
      </w:r>
    </w:p>
    <w:p>
      <w:pPr>
        <w:spacing w:after="0" w:line="15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i w:val="1"/>
          <w:iCs w:val="1"/>
          <w:color w:val="auto"/>
        </w:rPr>
        <w:t>Section 12.15. Costs and Expenses; Indemnification</w:t>
      </w:r>
      <w:r>
        <w:rPr>
          <w:rFonts w:ascii="Times New Roman" w:cs="Times New Roman" w:eastAsia="Times New Roman" w:hAnsi="Times New Roman"/>
          <w:sz w:val="21"/>
          <w:szCs w:val="21"/>
          <w:color w:val="auto"/>
        </w:rPr>
        <w:t>. (a) The Borrower agrees to pay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reasonable costs and expenses of the Administrative Agent and the Sustainability Structuring Agent in connection with the preparation, negotiation, syndication, and administration of the Loan Documents, including, without limitation, the reasonable fees and disbursements of counsel to the Administrative Agent and the Sustainability Structuring Agent, in connection with the preparation and execution of the Loan Documents, and any amendment, waiver or consent related thereto, whether or not the transactions contemplated herein are consummated. The Borrower agrees to pay to the Administrative Agent, the Sustainability Structuring Agent and each Lender all costs and expenses reasonably incurred or paid by the Administrative Agent,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 a debtor thereunder). The Borrower further agrees to indemnify the Administrative Agent, each Lender, and any security trustee therefor, and their respective directors, officers, employees, agents, financial advisors, and consultants (each such Person being called an </w:t>
      </w:r>
      <w:r>
        <w:rPr>
          <w:rFonts w:ascii="Times New Roman" w:cs="Times New Roman" w:eastAsia="Times New Roman" w:hAnsi="Times New Roman"/>
          <w:sz w:val="21"/>
          <w:szCs w:val="21"/>
          <w:i w:val="1"/>
          <w:iCs w:val="1"/>
          <w:color w:val="auto"/>
        </w:rPr>
        <w:t>“Indemnitee”</w:t>
      </w:r>
      <w:r>
        <w:rPr>
          <w:rFonts w:ascii="Times New Roman" w:cs="Times New Roman" w:eastAsia="Times New Roman" w:hAnsi="Times New Roman"/>
          <w:sz w:val="21"/>
          <w:szCs w:val="21"/>
          <w:color w:val="auto"/>
        </w:rPr>
        <w:t>)</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5" w:name="page156"/>
    <w:bookmarkEnd w:id="155"/>
    <w:p>
      <w:pPr>
        <w:ind w:left="200" w:right="239"/>
        <w:spacing w:after="0" w:line="232" w:lineRule="auto"/>
        <w:rPr>
          <w:sz w:val="20"/>
          <w:szCs w:val="20"/>
          <w:color w:val="auto"/>
        </w:rPr>
      </w:pPr>
      <w:r>
        <w:rPr>
          <w:rFonts w:ascii="Times New Roman" w:cs="Times New Roman" w:eastAsia="Times New Roman" w:hAnsi="Times New Roman"/>
          <w:sz w:val="22"/>
          <w:szCs w:val="22"/>
          <w:color w:val="auto"/>
        </w:rPr>
        <w:t>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Loan, other than those which arise from the gross negligence or willful misconduct of the party claiming indemnification. The Borrower, upon demand by the Administrative Agent, or a Lender at any time, shall reimburse the Administrative Agent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the use of the proceeds thereof. The obligations of the parties under this Section 12.15 shall survive the termination of this Agreement.</w:t>
      </w:r>
    </w:p>
    <w:p>
      <w:pPr>
        <w:spacing w:after="0" w:line="185" w:lineRule="exact"/>
        <w:rPr>
          <w:sz w:val="20"/>
          <w:szCs w:val="20"/>
          <w:color w:val="auto"/>
        </w:rPr>
      </w:pPr>
    </w:p>
    <w:p>
      <w:pPr>
        <w:jc w:val="both"/>
        <w:ind w:left="200" w:right="219" w:firstLine="1305"/>
        <w:spacing w:after="0" w:line="232"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 following: (i) any presence, release, threatened release or disposal of any hazardous or toxic substance or petroleum by the Borrower or any Subsidiary or otherwise occurring on or with respect to its Property (whether owned or leased), (ii) the operation or violation of any environmental law, whether federal, state, or local, and any regulations promulgated thereunder, by the Borrower or any Subsidiary or otherwise occurring on or with respect to its Property (whether owned or leased), (iii) any claim for personal injury or property damage in connection with the Borrower or any Subsidiary or otherwise occurring on or with respect to its Property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This indemnification 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spacing w:after="0" w:line="180"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12.16. Set-off</w:t>
      </w:r>
      <w:r>
        <w:rPr>
          <w:rFonts w:ascii="Times New Roman" w:cs="Times New Roman" w:eastAsia="Times New Roman" w:hAnsi="Times New Roman"/>
          <w:sz w:val="22"/>
          <w:szCs w:val="22"/>
          <w:color w:val="auto"/>
        </w:rPr>
        <w:t>. In addition to any rights now or hereafter granted under the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or applicable law and not by way of limitation of any such rights, during the continuance of any Event of Default, with the prior written consent of the Administrative Agent, each Lender, each subsequent holder of any Obligation, and each of their respective affiliates, is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6" w:name="page157"/>
    <w:bookmarkEnd w:id="156"/>
    <w:p>
      <w:pPr>
        <w:ind w:left="200" w:right="339"/>
        <w:spacing w:after="0" w:line="233" w:lineRule="auto"/>
        <w:rPr>
          <w:sz w:val="20"/>
          <w:szCs w:val="20"/>
          <w:color w:val="auto"/>
        </w:rPr>
      </w:pPr>
      <w:r>
        <w:rPr>
          <w:rFonts w:ascii="Times New Roman" w:cs="Times New Roman" w:eastAsia="Times New Roman" w:hAnsi="Times New Roman"/>
          <w:sz w:val="22"/>
          <w:szCs w:val="22"/>
          <w:color w:val="auto"/>
        </w:rPr>
        <w:t>hereby authorized by the Borrower and each Guarantor at any time or from time to time, without notice to the Borrower or such Guarantor or to any other Person, any such notice being hereby expressly waived, to set-off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subsequent holder, or affiliate, to or for the credit or the account of the Borrower or such Guarantor, whether or not matured, against and on account of the Obligations then due of the Borrower or such Guarantor to that Lender, or subsequent holder under the Loan Documents, including, but not limited to, all claims of any nature or description arising out of or connected with the Loan Documents, irrespective of whether or not that Lender, or subsequent holder shall have made any demand hereunder.</w:t>
      </w:r>
    </w:p>
    <w:p>
      <w:pPr>
        <w:spacing w:after="0" w:line="18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12.17. Entire Agreement</w:t>
      </w:r>
      <w:r>
        <w:rPr>
          <w:rFonts w:ascii="Times New Roman" w:cs="Times New Roman" w:eastAsia="Times New Roman" w:hAnsi="Times New Roman"/>
          <w:sz w:val="22"/>
          <w:szCs w:val="22"/>
          <w:color w:val="auto"/>
        </w:rPr>
        <w:t>. The Loan Documents constitute the entire understanding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parties thereto with respect to the subject matter thereof and any prior agreements, whether written or oral, with respect thereto are superseded hereby.</w:t>
      </w:r>
    </w:p>
    <w:p>
      <w:pPr>
        <w:spacing w:after="0" w:line="16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12.18. Governing Law</w:t>
      </w:r>
      <w:r>
        <w:rPr>
          <w:rFonts w:ascii="Times New Roman" w:cs="Times New Roman" w:eastAsia="Times New Roman" w:hAnsi="Times New Roman"/>
          <w:sz w:val="22"/>
          <w:szCs w:val="22"/>
          <w:color w:val="auto"/>
        </w:rPr>
        <w:t>. This Agreement and the other Loan Documents (except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specified therein), and the rights and duties of the parties hereto, shall be construed and determined in accordance with the internal laws of the State of New York.</w:t>
      </w:r>
    </w:p>
    <w:p>
      <w:pPr>
        <w:spacing w:after="0" w:line="16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12.19. Severability of Provisions. </w:t>
      </w:r>
      <w:r>
        <w:rPr>
          <w:rFonts w:ascii="Times New Roman" w:cs="Times New Roman" w:eastAsia="Times New Roman" w:hAnsi="Times New Roman"/>
          <w:sz w:val="22"/>
          <w:szCs w:val="22"/>
          <w:color w:val="auto"/>
        </w:rPr>
        <w:t>Any provision of any Loan Document which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17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i w:val="1"/>
          <w:iCs w:val="1"/>
          <w:color w:val="auto"/>
        </w:rPr>
        <w:t>Section 12.20. Excess Interest</w:t>
      </w:r>
      <w:r>
        <w:rPr>
          <w:rFonts w:ascii="Times New Roman" w:cs="Times New Roman" w:eastAsia="Times New Roman" w:hAnsi="Times New Roman"/>
          <w:sz w:val="21"/>
          <w:szCs w:val="21"/>
          <w:color w:val="auto"/>
        </w:rPr>
        <w:t>. Notwithstanding any provision to the contrary contained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Times New Roman" w:cs="Times New Roman" w:eastAsia="Times New Roman" w:hAnsi="Times New Roman"/>
          <w:sz w:val="21"/>
          <w:szCs w:val="21"/>
          <w:i w:val="1"/>
          <w:iCs w:val="1"/>
          <w:color w:val="auto"/>
        </w:rPr>
        <w:t>“Excess Interest”</w:t>
      </w:r>
      <w:r>
        <w:rPr>
          <w:rFonts w:ascii="Times New Roman" w:cs="Times New Roman" w:eastAsia="Times New Roman" w:hAnsi="Times New Roman"/>
          <w:sz w:val="21"/>
          <w:szCs w:val="21"/>
          <w:color w:val="auto"/>
        </w:rPr>
        <w:t xml:space="preserve">). If any Excess Interest is provided for, or is adjudicated to be provided for, 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Times New Roman" w:cs="Times New Roman" w:eastAsia="Times New Roman" w:hAnsi="Times New Roman"/>
          <w:sz w:val="21"/>
          <w:szCs w:val="21"/>
          <w:i w:val="1"/>
          <w:iCs w:val="1"/>
          <w:color w:val="auto"/>
        </w:rPr>
        <w:t>“Maximum Rate”</w:t>
      </w:r>
      <w:r>
        <w:rPr>
          <w:rFonts w:ascii="Times New Roman" w:cs="Times New Roman" w:eastAsia="Times New Roman" w:hAnsi="Times New Roman"/>
          <w:sz w:val="21"/>
          <w:szCs w:val="21"/>
          <w:color w:val="auto"/>
        </w:rPr>
        <w:t>), and this Agreement and the other Loan Documents shall be deemed to have been, and shall be, reformed and modified to reflect such reduction in the relevant interest rate, and (e) neither the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7" w:name="page158"/>
    <w:bookmarkEnd w:id="157"/>
    <w:p>
      <w:pPr>
        <w:ind w:left="200" w:right="239"/>
        <w:spacing w:after="0" w:line="234" w:lineRule="auto"/>
        <w:rPr>
          <w:sz w:val="20"/>
          <w:szCs w:val="20"/>
          <w:color w:val="auto"/>
        </w:rPr>
      </w:pPr>
      <w:r>
        <w:rPr>
          <w:rFonts w:ascii="Times New Roman" w:cs="Times New Roman" w:eastAsia="Times New Roman" w:hAnsi="Times New Roman"/>
          <w:sz w:val="22"/>
          <w:szCs w:val="22"/>
          <w:color w:val="auto"/>
        </w:rPr>
        <w:t>Borrower nor any guarantor or endorser shall have any action against the Administrative Agent or any Lender for any damages whatsoever arising out of the payment or collection of any Excess Interest. Notwithstanding the foregoing, if for any period of time interest on any of the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spacing w:after="0" w:line="179"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12.21. Construction</w:t>
      </w:r>
      <w:r>
        <w:rPr>
          <w:rFonts w:ascii="Times New Roman" w:cs="Times New Roman" w:eastAsia="Times New Roman" w:hAnsi="Times New Roman"/>
          <w:sz w:val="22"/>
          <w:szCs w:val="22"/>
          <w:color w:val="auto"/>
        </w:rPr>
        <w:t>. The parties acknowledge and agree that the Loan Documents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w:t>
      </w:r>
    </w:p>
    <w:p>
      <w:pPr>
        <w:spacing w:after="0" w:line="177" w:lineRule="exact"/>
        <w:rPr>
          <w:sz w:val="20"/>
          <w:szCs w:val="20"/>
          <w:color w:val="auto"/>
        </w:rPr>
      </w:pPr>
    </w:p>
    <w:p>
      <w:pPr>
        <w:jc w:val="both"/>
        <w:ind w:left="200" w:right="23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12.22. Lender’s Obligations Several</w:t>
      </w:r>
      <w:r>
        <w:rPr>
          <w:rFonts w:ascii="Times New Roman" w:cs="Times New Roman" w:eastAsia="Times New Roman" w:hAnsi="Times New Roman"/>
          <w:sz w:val="22"/>
          <w:szCs w:val="22"/>
          <w:color w:val="auto"/>
        </w:rPr>
        <w:t>. The obligations of the Lenders hereunder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several and not joint. Nothing contained in this Agreement and no action taken by the Lenders pursuant hereto shall be deemed to constitute the Lenders a partnership, association, joint venture or other entity.</w:t>
      </w:r>
    </w:p>
    <w:p>
      <w:pPr>
        <w:spacing w:after="0" w:line="17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Section 12.23. Submission to Jurisdiction; Waiver of Jury Trial</w:t>
      </w:r>
      <w:r>
        <w:rPr>
          <w:rFonts w:ascii="Times New Roman" w:cs="Times New Roman" w:eastAsia="Times New Roman" w:hAnsi="Times New Roman"/>
          <w:sz w:val="22"/>
          <w:szCs w:val="22"/>
          <w:color w:val="auto"/>
        </w:rPr>
        <w:t>. The Borrower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 hereby submits to the nonexclusive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w:t>
      </w:r>
    </w:p>
    <w:p>
      <w:pPr>
        <w:spacing w:after="0" w:line="7"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inconvenient forum. 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each</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the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 and the</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enders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 xml:space="preserve">hereby irrevocably waive any and all right to trial by jury in any legal proceeding arising out of or relating to any </w:t>
      </w:r>
      <w:r>
        <w:rPr>
          <w:rFonts w:ascii="Times New Roman" w:cs="Times New Roman" w:eastAsia="Times New Roman" w:hAnsi="Times New Roman"/>
          <w:sz w:val="21"/>
          <w:szCs w:val="21"/>
          <w:color w:val="auto"/>
        </w:rPr>
        <w:t>L</w:t>
      </w:r>
      <w:r>
        <w:rPr>
          <w:rFonts w:ascii="Times New Roman" w:cs="Times New Roman" w:eastAsia="Times New Roman" w:hAnsi="Times New Roman"/>
          <w:sz w:val="14"/>
          <w:szCs w:val="14"/>
          <w:color w:val="auto"/>
        </w:rPr>
        <w:t xml:space="preserve">oan </w:t>
      </w:r>
      <w:r>
        <w:rPr>
          <w:rFonts w:ascii="Times New Roman" w:cs="Times New Roman" w:eastAsia="Times New Roman" w:hAnsi="Times New Roman"/>
          <w:sz w:val="21"/>
          <w:szCs w:val="21"/>
          <w:color w:val="auto"/>
        </w:rPr>
        <w:t>D</w:t>
      </w:r>
      <w:r>
        <w:rPr>
          <w:rFonts w:ascii="Times New Roman" w:cs="Times New Roman" w:eastAsia="Times New Roman" w:hAnsi="Times New Roman"/>
          <w:sz w:val="14"/>
          <w:szCs w:val="14"/>
          <w:color w:val="auto"/>
        </w:rPr>
        <w:t>ocument or the transactions contemplated thereby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12.24. USA Patriot Act</w:t>
      </w:r>
      <w:r>
        <w:rPr>
          <w:rFonts w:ascii="Times New Roman" w:cs="Times New Roman" w:eastAsia="Times New Roman" w:hAnsi="Times New Roman"/>
          <w:sz w:val="22"/>
          <w:szCs w:val="22"/>
          <w:color w:val="auto"/>
        </w:rPr>
        <w:t>. Each Lender that is subject to the requirements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Patriot Act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77"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Section 12.25. Confidentiality</w:t>
      </w:r>
      <w:r>
        <w:rPr>
          <w:rFonts w:ascii="Times New Roman" w:cs="Times New Roman" w:eastAsia="Times New Roman" w:hAnsi="Times New Roman"/>
          <w:sz w:val="22"/>
          <w:szCs w:val="22"/>
          <w:color w:val="auto"/>
        </w:rPr>
        <w:t>. Each of the Administrative Agent and the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severally agrees to maintain the confidentiality of the Information (as defined below), except that Information may be disclosed in compliance with applicable law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8" w:name="page159"/>
    <w:bookmarkEnd w:id="158"/>
    <w:p>
      <w:pPr>
        <w:ind w:left="200" w:right="239"/>
        <w:spacing w:after="0" w:line="242" w:lineRule="auto"/>
        <w:rPr>
          <w:sz w:val="20"/>
          <w:szCs w:val="20"/>
          <w:color w:val="auto"/>
        </w:rPr>
      </w:pPr>
      <w:r>
        <w:rPr>
          <w:rFonts w:ascii="Times New Roman" w:cs="Times New Roman" w:eastAsia="Times New Roman" w:hAnsi="Times New Roman"/>
          <w:sz w:val="21"/>
          <w:szCs w:val="21"/>
          <w:color w:val="auto"/>
        </w:rPr>
        <w:t xml:space="preserve">any regulatory authority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practicable and permitted by applicable law, the party requested to disclose 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 (d) 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reasonably practicable, the party requested to disclose any such information will provide prompt written notice of such 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on a non-confidential basis from a source other than the Borrower or any Subsidiary or any of their directors, officers, employees or agents, including accountants, legal counsel and other advisors;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any Lender may use such Information as permitted by clause (a) above, but the Administrative Agent, any Lender shall not otherwise disclose such Information except as permitted by clauses (b) - (g), (i), (j) or (k) of this Section</w:t>
      </w:r>
    </w:p>
    <w:p>
      <w:pPr>
        <w:spacing w:after="0" w:line="12" w:lineRule="exact"/>
        <w:rPr>
          <w:sz w:val="20"/>
          <w:szCs w:val="20"/>
          <w:color w:val="auto"/>
        </w:rPr>
      </w:pPr>
    </w:p>
    <w:p>
      <w:pPr>
        <w:ind w:left="200" w:right="239"/>
        <w:spacing w:after="0" w:line="231" w:lineRule="auto"/>
        <w:rPr>
          <w:sz w:val="20"/>
          <w:szCs w:val="20"/>
          <w:color w:val="auto"/>
        </w:rPr>
      </w:pPr>
      <w:r>
        <w:rPr>
          <w:rFonts w:ascii="Times New Roman" w:cs="Times New Roman" w:eastAsia="Times New Roman" w:hAnsi="Times New Roman"/>
          <w:sz w:val="22"/>
          <w:szCs w:val="22"/>
          <w:color w:val="auto"/>
        </w:rPr>
        <w:t xml:space="preserve">12.25, (i) to rating agencies if requested or required by such agencies in connection with a rating relating to the Loans or the Commitments hereunder, (j) 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only basic information about the pricing and structure of the transaction evidenced hereby may be disclosed pursuant to this subsection (j). For purposes of this Section 12.25, </w:t>
      </w: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xml:space="preserve">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on a non-confidential basis prior to disclosure by the Borrower or any of its Subsidiaries or from any other Person on behalf of the Borrower or any of the Subsidiaries. Each of the Administrative Agent, the Lenders specifically acknowledges that the common stock of the Borrower is traded on the NYSE American Exchange under the trading symbol “CTO.” Each of the Administrative Agent, the Lenders further expressly acknowledges that it is aware that the securities laws of the United States prohibit any person who has received from an issuer material, non-public information, including information concerning the matters that are the subject of this Agreement, from purchasing or selling securities of such issuer on the basis of material, non-public information concerning the issuer of such securities or, subject to certain limited exceptions, from communicating such information to any other Person.</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9" w:name="page160"/>
    <w:bookmarkEnd w:id="159"/>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12.26. Limitation of Recourse. </w:t>
      </w:r>
      <w:r>
        <w:rPr>
          <w:rFonts w:ascii="Times New Roman" w:cs="Times New Roman" w:eastAsia="Times New Roman" w:hAnsi="Times New Roman"/>
          <w:sz w:val="22"/>
          <w:szCs w:val="22"/>
          <w:color w:val="auto"/>
        </w:rPr>
        <w:t>There shall be full recourse to the Borrower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Guarantors and all of their assets and properties for the Obligations and any other liability under 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spacing w:after="0" w:line="174"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12.27. Other Taxes. </w:t>
      </w:r>
      <w:r>
        <w:rPr>
          <w:rFonts w:ascii="Times New Roman" w:cs="Times New Roman" w:eastAsia="Times New Roman" w:hAnsi="Times New Roman"/>
          <w:sz w:val="22"/>
          <w:szCs w:val="22"/>
          <w:color w:val="auto"/>
        </w:rPr>
        <w:t>The Borrower agrees to pay on demand, and indemnify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 the Administrative Agent and the Lenders harmless from, any Other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177"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12.28. Acknowledgement and Consent to Bail-In of Affected Financial Institutions. </w:t>
      </w:r>
      <w:r>
        <w:rPr>
          <w:rFonts w:ascii="Times New Roman" w:cs="Times New Roman" w:eastAsia="Times New Roman" w:hAnsi="Times New Roman"/>
          <w:sz w:val="22"/>
          <w:szCs w:val="22"/>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9" w:lineRule="exact"/>
        <w:rPr>
          <w:sz w:val="20"/>
          <w:szCs w:val="20"/>
          <w:color w:val="auto"/>
        </w:rPr>
      </w:pPr>
    </w:p>
    <w:p>
      <w:pPr>
        <w:jc w:val="both"/>
        <w:ind w:left="200" w:right="219" w:firstLine="1305"/>
        <w:spacing w:after="0" w:line="244" w:lineRule="auto"/>
        <w:tabs>
          <w:tab w:leader="none" w:pos="21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182"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left="860" w:right="219" w:firstLine="1293"/>
        <w:spacing w:after="0" w:line="238" w:lineRule="auto"/>
        <w:tabs>
          <w:tab w:leader="none" w:pos="280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left="860" w:right="219" w:firstLine="1293"/>
        <w:spacing w:after="0" w:line="258" w:lineRule="auto"/>
        <w:tabs>
          <w:tab w:leader="none" w:pos="280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EEA Resolution Authority.</w:t>
      </w:r>
    </w:p>
    <w:p>
      <w:pPr>
        <w:spacing w:after="0" w:line="154"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12.29. Acknowledgement Regarding Any Supported QFCs. </w:t>
      </w:r>
      <w:r>
        <w:rPr>
          <w:rFonts w:ascii="Times New Roman" w:cs="Times New Roman" w:eastAsia="Times New Roman" w:hAnsi="Times New Roman"/>
          <w:sz w:val="22"/>
          <w:szCs w:val="22"/>
          <w:color w:val="auto"/>
        </w:rPr>
        <w:t>To the extent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Documents provide support, through a guarantee or otherwise, for Hedging Agreements or any other agreement or instrument that is a QFC (such support, “</w:t>
      </w:r>
      <w:r>
        <w:rPr>
          <w:rFonts w:ascii="Times New Roman" w:cs="Times New Roman" w:eastAsia="Times New Roman" w:hAnsi="Times New Roman"/>
          <w:sz w:val="22"/>
          <w:szCs w:val="22"/>
          <w:i w:val="1"/>
          <w:iCs w:val="1"/>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i w:val="1"/>
          <w:iCs w:val="1"/>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i w:val="1"/>
          <w:iCs w:val="1"/>
          <w:color w:val="auto"/>
        </w:rPr>
        <w:t>U.S. Special Resolution Regimes</w:t>
      </w:r>
      <w:r>
        <w:rPr>
          <w:rFonts w:ascii="Times New Roman" w:cs="Times New Roman" w:eastAsia="Times New Roman" w:hAnsi="Times New Roman"/>
          <w:sz w:val="22"/>
          <w:szCs w:val="22"/>
          <w:color w:val="auto"/>
        </w:rPr>
        <w:t>”) in</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60" w:name="page161"/>
    <w:bookmarkEnd w:id="160"/>
    <w:p>
      <w:pPr>
        <w:ind w:left="200" w:right="299"/>
        <w:spacing w:after="0" w:line="239" w:lineRule="auto"/>
        <w:rPr>
          <w:sz w:val="20"/>
          <w:szCs w:val="20"/>
          <w:color w:val="auto"/>
        </w:rPr>
      </w:pPr>
      <w:r>
        <w:rPr>
          <w:rFonts w:ascii="Times New Roman" w:cs="Times New Roman" w:eastAsia="Times New Roman" w:hAnsi="Times New Roman"/>
          <w:sz w:val="22"/>
          <w:szCs w:val="22"/>
          <w:color w:val="auto"/>
        </w:rPr>
        <w:t>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0" w:lineRule="exact"/>
        <w:rPr>
          <w:sz w:val="20"/>
          <w:szCs w:val="20"/>
          <w:color w:val="auto"/>
        </w:rPr>
      </w:pPr>
    </w:p>
    <w:p>
      <w:pPr>
        <w:jc w:val="both"/>
        <w:ind w:left="200" w:right="219" w:firstLine="1305"/>
        <w:spacing w:after="0" w:line="232" w:lineRule="auto"/>
        <w:tabs>
          <w:tab w:leader="none" w:pos="21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the following terms have the following meanings:</w:t>
      </w:r>
    </w:p>
    <w:p>
      <w:pPr>
        <w:spacing w:after="0" w:line="247" w:lineRule="exact"/>
        <w:rPr>
          <w:sz w:val="20"/>
          <w:szCs w:val="20"/>
          <w:color w:val="auto"/>
        </w:rPr>
      </w:pPr>
    </w:p>
    <w:p>
      <w:pPr>
        <w:ind w:left="860" w:right="219"/>
        <w:spacing w:after="0" w:line="258" w:lineRule="auto"/>
        <w:rPr>
          <w:sz w:val="20"/>
          <w:szCs w:val="20"/>
          <w:color w:val="auto"/>
        </w:rPr>
      </w:pPr>
      <w:r>
        <w:rPr>
          <w:rFonts w:ascii="Times New Roman" w:cs="Times New Roman" w:eastAsia="Times New Roman" w:hAnsi="Times New Roman"/>
          <w:sz w:val="22"/>
          <w:szCs w:val="22"/>
          <w:color w:val="auto"/>
        </w:rPr>
        <w:t>“BHC Act Affiliate” of a party means an “affiliate” (as such term is defined under, and interpreted in accordance with, 12 U.S.C. 1841(k)) of such party.</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“Covered Entity” means any of the following:</w:t>
      </w:r>
    </w:p>
    <w:p>
      <w:pPr>
        <w:spacing w:after="0" w:line="206" w:lineRule="exact"/>
        <w:rPr>
          <w:sz w:val="20"/>
          <w:szCs w:val="20"/>
          <w:color w:val="auto"/>
        </w:rPr>
      </w:pPr>
    </w:p>
    <w:p>
      <w:pPr>
        <w:ind w:left="860" w:right="219" w:firstLine="1293"/>
        <w:spacing w:after="0" w:line="258" w:lineRule="auto"/>
        <w:tabs>
          <w:tab w:leader="none" w:pos="280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§252.82(b);</w:t>
      </w:r>
    </w:p>
    <w:p>
      <w:pPr>
        <w:spacing w:after="0" w:line="158" w:lineRule="exact"/>
        <w:rPr>
          <w:rFonts w:ascii="Times New Roman" w:cs="Times New Roman" w:eastAsia="Times New Roman" w:hAnsi="Times New Roman"/>
          <w:sz w:val="22"/>
          <w:szCs w:val="22"/>
          <w:color w:val="auto"/>
        </w:rPr>
      </w:pPr>
    </w:p>
    <w:p>
      <w:pPr>
        <w:ind w:left="860" w:right="239" w:firstLine="1293"/>
        <w:spacing w:after="0" w:line="258" w:lineRule="auto"/>
        <w:tabs>
          <w:tab w:leader="none" w:pos="280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§47.3(b); or</w:t>
      </w:r>
    </w:p>
    <w:p>
      <w:pPr>
        <w:spacing w:after="0" w:line="158" w:lineRule="exact"/>
        <w:rPr>
          <w:rFonts w:ascii="Times New Roman" w:cs="Times New Roman" w:eastAsia="Times New Roman" w:hAnsi="Times New Roman"/>
          <w:sz w:val="22"/>
          <w:szCs w:val="22"/>
          <w:color w:val="auto"/>
        </w:rPr>
      </w:pPr>
    </w:p>
    <w:p>
      <w:pPr>
        <w:ind w:left="860" w:right="239" w:firstLine="1293"/>
        <w:spacing w:after="0" w:line="258" w:lineRule="auto"/>
        <w:tabs>
          <w:tab w:leader="none" w:pos="280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§382.2(b).</w:t>
      </w:r>
    </w:p>
    <w:p>
      <w:pPr>
        <w:spacing w:after="0" w:line="154" w:lineRule="exact"/>
        <w:rPr>
          <w:sz w:val="20"/>
          <w:szCs w:val="20"/>
          <w:color w:val="auto"/>
        </w:rPr>
      </w:pPr>
    </w:p>
    <w:p>
      <w:pPr>
        <w:ind w:left="860" w:right="219"/>
        <w:spacing w:after="0" w:line="262"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Default Rights” has the meaning assigned to that term in, and shall be interpreted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12 C.F.R. §§252.81, 47.2 or 382.1, as applicable.</w:t>
      </w:r>
    </w:p>
    <w:p>
      <w:pPr>
        <w:spacing w:after="0" w:line="154" w:lineRule="exact"/>
        <w:rPr>
          <w:sz w:val="20"/>
          <w:szCs w:val="20"/>
          <w:color w:val="auto"/>
        </w:rPr>
      </w:pPr>
    </w:p>
    <w:p>
      <w:pPr>
        <w:ind w:left="860" w:right="219"/>
        <w:spacing w:after="0" w:line="258" w:lineRule="auto"/>
        <w:rPr>
          <w:sz w:val="20"/>
          <w:szCs w:val="20"/>
          <w:color w:val="auto"/>
        </w:rPr>
      </w:pPr>
      <w:r>
        <w:rPr>
          <w:rFonts w:ascii="Times New Roman" w:cs="Times New Roman" w:eastAsia="Times New Roman" w:hAnsi="Times New Roman"/>
          <w:sz w:val="22"/>
          <w:szCs w:val="22"/>
          <w:color w:val="auto"/>
        </w:rPr>
        <w:t>“QFC” has the meaning assigned to the term “qualified financial contract” in, and shall be interpreted in accordance with, 12 U.S.C. 5390(c)(8)(D).</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1" w:name="page162"/>
    <w:bookmarkEnd w:id="161"/>
    <w:p>
      <w:pPr>
        <w:ind w:left="860"/>
        <w:spacing w:after="0"/>
        <w:rPr>
          <w:sz w:val="20"/>
          <w:szCs w:val="20"/>
          <w:color w:val="auto"/>
        </w:rPr>
      </w:pPr>
      <w:r>
        <w:rPr>
          <w:rFonts w:ascii="Times New Roman" w:cs="Times New Roman" w:eastAsia="Times New Roman" w:hAnsi="Times New Roman"/>
          <w:sz w:val="22"/>
          <w:szCs w:val="22"/>
          <w:i w:val="1"/>
          <w:iCs w:val="1"/>
          <w:color w:val="auto"/>
        </w:rPr>
        <w:t>Section 12.30. Erroneous Payment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200" w:right="219" w:firstLine="1305"/>
        <w:spacing w:after="0" w:line="243" w:lineRule="auto"/>
        <w:tabs>
          <w:tab w:leader="none" w:pos="214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Administrative Agent notifies a Lender, or any Person who has received funds on behalf of a Lender or Secured Party (any such Lender or other recipient, a “Payment Recipient”) that Administrative Agent has determined in its sole discretion (whether or not after receipt of any notice under Section 12.30(b)) that any funds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Administrative Agent and shall be segregated by the Payment Recipient and held in trust for the benefit of Administrative Agent, and such Lender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Administrative Agent in same day funds at the greater of the Federal Funds Effective Rate and a rate determined by Administrative Agent in accordance with banking industry rules on interbank compensation from time to time in effect. A notice of Administrative Agent to any Payment Recipient under this Section 12.30(a) shall be conclusive, absent manifest error.</w:t>
      </w:r>
    </w:p>
    <w:p>
      <w:pPr>
        <w:spacing w:after="0" w:line="181" w:lineRule="exact"/>
        <w:rPr>
          <w:rFonts w:ascii="Times New Roman" w:cs="Times New Roman" w:eastAsia="Times New Roman" w:hAnsi="Times New Roman"/>
          <w:sz w:val="21"/>
          <w:szCs w:val="21"/>
          <w:color w:val="auto"/>
        </w:rPr>
      </w:pPr>
    </w:p>
    <w:p>
      <w:pPr>
        <w:jc w:val="both"/>
        <w:ind w:left="200" w:right="219" w:firstLine="1305"/>
        <w:spacing w:after="0" w:line="234" w:lineRule="auto"/>
        <w:tabs>
          <w:tab w:leader="none" w:pos="214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12.30(a), each Payment Recipient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spacing w:after="0" w:line="179" w:lineRule="exact"/>
        <w:rPr>
          <w:rFonts w:ascii="Times New Roman" w:cs="Times New Roman" w:eastAsia="Times New Roman" w:hAnsi="Times New Roman"/>
          <w:sz w:val="22"/>
          <w:szCs w:val="22"/>
          <w:color w:val="auto"/>
        </w:rPr>
      </w:pPr>
    </w:p>
    <w:p>
      <w:pPr>
        <w:jc w:val="both"/>
        <w:ind w:left="860" w:right="219" w:firstLine="1293"/>
        <w:spacing w:after="0" w:line="238" w:lineRule="auto"/>
        <w:tabs>
          <w:tab w:leader="none" w:pos="280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spacing w:after="0" w:line="176" w:lineRule="exact"/>
        <w:rPr>
          <w:rFonts w:ascii="Times New Roman" w:cs="Times New Roman" w:eastAsia="Times New Roman" w:hAnsi="Times New Roman"/>
          <w:sz w:val="22"/>
          <w:szCs w:val="22"/>
          <w:color w:val="auto"/>
        </w:rPr>
      </w:pPr>
    </w:p>
    <w:p>
      <w:pPr>
        <w:jc w:val="both"/>
        <w:ind w:left="860" w:right="239" w:firstLine="1293"/>
        <w:spacing w:after="0" w:line="244" w:lineRule="auto"/>
        <w:tabs>
          <w:tab w:leader="none" w:pos="280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shall (and shall cause any other recipient that receives funds on its respective behalf to) promptly (and, in all events, within one Business Day of its knowledge of such error) notify Administrative Agent of its receipt of such payment,</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62" w:name="page163"/>
    <w:bookmarkEnd w:id="162"/>
    <w:p>
      <w:pPr>
        <w:ind w:left="860" w:right="219"/>
        <w:spacing w:after="0" w:line="258" w:lineRule="auto"/>
        <w:rPr>
          <w:sz w:val="20"/>
          <w:szCs w:val="20"/>
          <w:color w:val="auto"/>
        </w:rPr>
      </w:pPr>
      <w:r>
        <w:rPr>
          <w:rFonts w:ascii="Times New Roman" w:cs="Times New Roman" w:eastAsia="Times New Roman" w:hAnsi="Times New Roman"/>
          <w:sz w:val="22"/>
          <w:szCs w:val="22"/>
          <w:color w:val="auto"/>
        </w:rPr>
        <w:t>prepayment or repayment, the details thereof (in reasonable detail) and that it is so notifying Administrative Agent pursuant to this Section 12.30(b).</w:t>
      </w:r>
    </w:p>
    <w:p>
      <w:pPr>
        <w:spacing w:after="0" w:line="158" w:lineRule="exact"/>
        <w:rPr>
          <w:sz w:val="20"/>
          <w:szCs w:val="20"/>
          <w:color w:val="auto"/>
        </w:rPr>
      </w:pPr>
    </w:p>
    <w:p>
      <w:pPr>
        <w:jc w:val="both"/>
        <w:ind w:left="200" w:right="239"/>
        <w:spacing w:after="0" w:line="244" w:lineRule="auto"/>
        <w:rPr>
          <w:sz w:val="20"/>
          <w:szCs w:val="20"/>
          <w:color w:val="auto"/>
        </w:rPr>
      </w:pPr>
      <w:r>
        <w:rPr>
          <w:rFonts w:ascii="Times New Roman" w:cs="Times New Roman" w:eastAsia="Times New Roman" w:hAnsi="Times New Roman"/>
          <w:sz w:val="22"/>
          <w:szCs w:val="22"/>
          <w:color w:val="auto"/>
        </w:rPr>
        <w:t>For the avoidance of doubt, the failure to deliver a notice to the Administrative Agent pursuant to this Section 12.30(b) shall not have any effect on a Payment Recipient’s obligations pursuant to Section 12.30(b) or on whether or not an Erroneous Payment has been made.</w:t>
      </w:r>
    </w:p>
    <w:p>
      <w:pPr>
        <w:spacing w:after="0" w:line="173" w:lineRule="exact"/>
        <w:rPr>
          <w:sz w:val="20"/>
          <w:szCs w:val="20"/>
          <w:color w:val="auto"/>
        </w:rPr>
      </w:pPr>
    </w:p>
    <w:p>
      <w:pPr>
        <w:jc w:val="both"/>
        <w:ind w:left="200" w:right="219" w:firstLine="1305"/>
        <w:spacing w:after="0" w:line="238"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authorizes Administrative Agent to set off, net and apply any and all amounts at any time owing to such Lender under any Loan Document, or otherwise payable or distributable by Administrative Agent to such Lender from any source, against any amount due to Administrative Agent under Section 12.30(a) or under the indemnification provisions of this Agreement.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1"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Notwithstanding anything contained in Section 12.30, in the event that an Erroneous Payment (or portion thereof) is not recovered by Administrative Agent for any reason, after demand therefor by Administrative Agent in accordance with Section 12.30(a), from any Lender that has received such Erroneous Payment (or portion thereof) (and/or from any Payment Recipient who received such Erroneous Payment (or portion thereof) on its respective behalf) (such unrecovered amount, an “Erroneous Payment Return Deficiency”), upon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“Erroneous Payment Impacted Class”) in an amount equal to the Erroneous Payment Return Deficiency (or such lesser amount as Administrative Agent may specify) (such assignment of the Loans (but not Commitments) of the Erroneous Payment Impacted Class, the “Erroneous Payment Deficiency Assignment”) (on a cashless basis and such amount calculated at par plus any accrued and unpaid interest (with the assignment fee to be waived by Administrative Agent in such instance)), and is hereby (together with the Borrower) deemed to execute and deliver an Assignment and Acceptance with respect to such Erroneous Payment Deficiency Assignment, and such Lender shall deliver any Notes evidencing such Loans to Borrower Representative or Administrative Agent (but the failure of such Person to deliver any such Notes shall not affect the effectiveness of the foregoing assignment), (B) Administrative Agent as the assignee Lender shall be deemed to acquire the Erroneous Payment Deficiency Assignment, (C)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3" w:name="page164"/>
    <w:bookmarkEnd w:id="163"/>
    <w:p>
      <w:pPr>
        <w:jc w:val="both"/>
        <w:ind w:left="860" w:right="219" w:firstLine="1293"/>
        <w:spacing w:after="0" w:line="244" w:lineRule="auto"/>
        <w:tabs>
          <w:tab w:leader="none" w:pos="2804"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this Section 12.30,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80" w:lineRule="exact"/>
        <w:rPr>
          <w:rFonts w:ascii="Times New Roman" w:cs="Times New Roman" w:eastAsia="Times New Roman" w:hAnsi="Times New Roman"/>
          <w:sz w:val="21"/>
          <w:szCs w:val="21"/>
          <w:color w:val="auto"/>
        </w:rPr>
      </w:pPr>
    </w:p>
    <w:p>
      <w:pPr>
        <w:jc w:val="both"/>
        <w:ind w:left="200" w:right="219" w:firstLine="1305"/>
        <w:spacing w:after="0" w:line="243" w:lineRule="auto"/>
        <w:tabs>
          <w:tab w:leader="none" w:pos="2144"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“Erroneous Payment Subrogation Rights”) (provided that the Borrower’s Obligations under the Loan Documents in respect of the Erroneous Payment Subrogation Rights shall not be duplicative of such Obligations in respect of Loans that have been assigned to the Administrative Agent under an Erroneous Payment Deficiency Assignment) and</w:t>
      </w:r>
    </w:p>
    <w:p>
      <w:pPr>
        <w:spacing w:after="0" w:line="8" w:lineRule="exact"/>
        <w:rPr>
          <w:rFonts w:ascii="Times New Roman" w:cs="Times New Roman" w:eastAsia="Times New Roman" w:hAnsi="Times New Roman"/>
          <w:sz w:val="21"/>
          <w:szCs w:val="21"/>
          <w:color w:val="auto"/>
        </w:rPr>
      </w:pPr>
    </w:p>
    <w:p>
      <w:pPr>
        <w:jc w:val="both"/>
        <w:ind w:left="200" w:right="219" w:firstLine="9"/>
        <w:spacing w:after="0" w:line="232" w:lineRule="auto"/>
        <w:tabs>
          <w:tab w:leader="none" w:pos="57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Erroneous Payment shall not pay, prepay, repay, discharge or otherwise satisfy any Obligations owed by the Borrower; provided that this Section 12.30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waiver of any defense based on “discharge for value” or any similar doctrine.</w:t>
      </w:r>
    </w:p>
    <w:p>
      <w:pPr>
        <w:spacing w:after="0" w:line="168" w:lineRule="exact"/>
        <w:rPr>
          <w:rFonts w:ascii="Times New Roman" w:cs="Times New Roman" w:eastAsia="Times New Roman" w:hAnsi="Times New Roman"/>
          <w:sz w:val="21"/>
          <w:szCs w:val="21"/>
          <w:color w:val="auto"/>
        </w:rPr>
      </w:pPr>
    </w:p>
    <w:p>
      <w:pPr>
        <w:jc w:val="both"/>
        <w:ind w:left="200" w:right="219" w:firstLine="1305"/>
        <w:spacing w:after="0" w:line="239" w:lineRule="auto"/>
        <w:tabs>
          <w:tab w:leader="none" w:pos="2144"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agreements and waivers under this Section 12.30 shall survive the resignation or replacement of Administrative Agent, any transfer of rights or obligations by, or the replacement of, a Lender, the termination of the Commitments and/or the repayment, satisfaction or discharge of all Obligations (or any portion thereof).</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4" w:name="page165"/>
    <w:bookmarkEnd w:id="164"/>
    <w:p>
      <w:pPr>
        <w:ind w:left="200"/>
        <w:spacing w:after="0"/>
        <w:rPr>
          <w:sz w:val="20"/>
          <w:szCs w:val="20"/>
          <w:color w:val="auto"/>
        </w:rPr>
      </w:pPr>
      <w:r>
        <w:rPr>
          <w:rFonts w:ascii="Times New Roman" w:cs="Times New Roman" w:eastAsia="Times New Roman" w:hAnsi="Times New Roman"/>
          <w:sz w:val="22"/>
          <w:szCs w:val="22"/>
          <w:color w:val="auto"/>
        </w:rPr>
        <w:t>SECTION 13. THE GUARANTEES</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i w:val="1"/>
          <w:iCs w:val="1"/>
          <w:color w:val="auto"/>
        </w:rPr>
        <w:t>Section 13.1. The Guarantees</w:t>
      </w:r>
      <w:r>
        <w:rPr>
          <w:rFonts w:ascii="Times New Roman" w:cs="Times New Roman" w:eastAsia="Times New Roman" w:hAnsi="Times New Roman"/>
          <w:sz w:val="22"/>
          <w:szCs w:val="22"/>
          <w:color w:val="auto"/>
        </w:rPr>
        <w:t>. To induce the Lenders to provide the credits described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and in consideration of benefits expected to accrue to the Borrower by reason of the Loans and Commitments and for other good and valuable consideration, receipt of which is hereby acknowledged, each Material Subsidiary party hereto (including any Material Subsidiary formed or acquired after the Closing Date executing an Additional Guarantor Supplement in the form attached hereto as Exhibit G or such other form acceptable to the Administrative Agent) hereby unconditionally and irrevocably guarantees jointly and severally to the Administrative Agent, the Lenders and each Hedging Counterparty (even if such Hedging Counterparty or any Person affiliated with such Hedging Counterparty shall cease to be a Lender hereunder), the due and punctual payment of all present and future Obligations, including, but not limited to, the due and punctual payment of principal of and interest on the Loans, Hedging Liability, Funds Transfer and Deposit Account Liability,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185"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Section 13.2. Guarantee Unconditional</w:t>
      </w:r>
      <w:r>
        <w:rPr>
          <w:rFonts w:ascii="Times New Roman" w:cs="Times New Roman" w:eastAsia="Times New Roman" w:hAnsi="Times New Roman"/>
          <w:sz w:val="22"/>
          <w:szCs w:val="22"/>
          <w:color w:val="auto"/>
        </w:rPr>
        <w:t>. The obligations of each Guarantor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13 shall be unconditional and absolute and, without limiting the generality of the foregoing, shall not be released, discharged, or otherwise affected by:</w:t>
      </w:r>
    </w:p>
    <w:p>
      <w:pPr>
        <w:spacing w:after="0" w:line="171" w:lineRule="exact"/>
        <w:rPr>
          <w:sz w:val="20"/>
          <w:szCs w:val="20"/>
          <w:color w:val="auto"/>
        </w:rPr>
      </w:pPr>
    </w:p>
    <w:p>
      <w:pPr>
        <w:jc w:val="both"/>
        <w:ind w:left="200" w:right="219" w:firstLine="1305"/>
        <w:spacing w:after="0" w:line="244"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extension, renewal, settlement, compromise, waiver, or release in respect of any obligation of the Borrower or other obligor or of any other guarantor under this Agreement or any other Loan Document or by operation of law or otherwise;</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or amendment of or supplement to this Agreement or any other Loan Document;</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spacing w:after="0" w:line="176" w:lineRule="exact"/>
        <w:rPr>
          <w:rFonts w:ascii="Times New Roman" w:cs="Times New Roman" w:eastAsia="Times New Roman" w:hAnsi="Times New Roman"/>
          <w:sz w:val="22"/>
          <w:szCs w:val="22"/>
          <w:color w:val="auto"/>
        </w:rPr>
      </w:pPr>
    </w:p>
    <w:p>
      <w:pPr>
        <w:jc w:val="both"/>
        <w:ind w:left="200" w:right="239" w:firstLine="1305"/>
        <w:spacing w:after="0" w:line="244"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or other rights which the Borrower or other obligor or any other guarantor may have at any time against the Administrative Agent, any Lender, or any other Person, whether or not arising in connection herewith;</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to assert, or any assertion of, any claim or demand or any exercise of, or failure to exercise, any rights or remedies against the Borrower or other obligor, any other guarantor, or any other Person or Property;</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65" w:name="page166"/>
    <w:bookmarkEnd w:id="165"/>
    <w:p>
      <w:pPr>
        <w:jc w:val="both"/>
        <w:ind w:left="200" w:right="219" w:firstLine="1305"/>
        <w:spacing w:after="0" w:line="244"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application of any sums by whomsoever paid or howsoever realized to any obligation of the Borrower or other obligor, regardless of what obligations of the Borrower or other obligor remain unpaid;</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Loan or any other amount payable under the Loan Documents; or</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spacing w:after="0" w:line="17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i w:val="1"/>
          <w:iCs w:val="1"/>
          <w:color w:val="auto"/>
        </w:rPr>
        <w:t>Section 13.3. Discharge Only upon Payment in Full; Reinstatement in Certain Circumstances</w:t>
      </w:r>
      <w:r>
        <w:rPr>
          <w:rFonts w:ascii="Times New Roman" w:cs="Times New Roman" w:eastAsia="Times New Roman" w:hAnsi="Times New Roman"/>
          <w:sz w:val="21"/>
          <w:szCs w:val="21"/>
          <w:color w:val="auto"/>
        </w:rPr>
        <w:t>. Each Guarantor’s obligations under this Section 13 shall remain in full force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effect until the Commitments are terminated, and the principal of and interest on the Loans and all other amounts payable by the Borrower and the Guarantors under this Agreement and all other Loan Documents have been paid in full. If at any time any payment of the principal of or interest on any Loan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spacing w:after="0" w:line="171"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Section 13.4. Subrogation</w:t>
      </w:r>
      <w:r>
        <w:rPr>
          <w:rFonts w:ascii="Times New Roman" w:cs="Times New Roman" w:eastAsia="Times New Roman" w:hAnsi="Times New Roman"/>
          <w:sz w:val="22"/>
          <w:szCs w:val="22"/>
          <w:color w:val="auto"/>
        </w:rPr>
        <w:t>. Each Guarantor agrees it will not exercise any rights which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acquire by way of subrogation by any payment made hereunder, or otherwise, until all the obligations guaranteed hereby shall have been paid in full subsequent to the termination of all the Commitments. If any amount shall be paid to a Guarantor on account of such subrogation rights at any time prior to the later of (x) the payment in full of the Obligations, Funds Transfer and Deposit Account Liability and Hedging Liability and all other amounts payable by the Borrower hereunder and the other Loan Documents and (y) the termination of the Commitments, such amount shall be held in trust for the benefit of the Administrative Agent and the Lenders (and their Affiliates) and shall forthwith be paid to the Administrative Agent for the benefit of the Lenders (and their Affiliates) or be credited and applied upon the Obligations, Funds Transfer and Deposit Account Liability and Hedging Liability, whether matured or unmatured, in accordance with the terms of this Agreement.</w:t>
      </w:r>
    </w:p>
    <w:p>
      <w:pPr>
        <w:spacing w:after="0" w:line="185"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1"/>
          <w:szCs w:val="21"/>
          <w:i w:val="1"/>
          <w:iCs w:val="1"/>
          <w:color w:val="auto"/>
        </w:rPr>
        <w:t>Section 13.5. Waivers</w:t>
      </w:r>
      <w:r>
        <w:rPr>
          <w:rFonts w:ascii="Times New Roman" w:cs="Times New Roman" w:eastAsia="Times New Roman" w:hAnsi="Times New Roman"/>
          <w:sz w:val="21"/>
          <w:szCs w:val="21"/>
          <w:color w:val="auto"/>
        </w:rPr>
        <w:t>. Each Guarantor irrevocably waives acceptance hereof,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presentment, demand, 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spacing w:after="0" w:line="158"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Section 13.6. Limit on Recovery</w:t>
      </w:r>
      <w:r>
        <w:rPr>
          <w:rFonts w:ascii="Times New Roman" w:cs="Times New Roman" w:eastAsia="Times New Roman" w:hAnsi="Times New Roman"/>
          <w:sz w:val="22"/>
          <w:szCs w:val="22"/>
          <w:color w:val="auto"/>
        </w:rPr>
        <w:t>. Notwithstanding any other provision hereof, the right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recovery against each Guarantor under this Section 13 shall not exceed $1.00 less than the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6" w:name="page167"/>
    <w:bookmarkEnd w:id="166"/>
    <w:p>
      <w:pPr>
        <w:ind w:left="200" w:right="659"/>
        <w:spacing w:after="0" w:line="258" w:lineRule="auto"/>
        <w:rPr>
          <w:sz w:val="20"/>
          <w:szCs w:val="20"/>
          <w:color w:val="auto"/>
        </w:rPr>
      </w:pPr>
      <w:r>
        <w:rPr>
          <w:rFonts w:ascii="Times New Roman" w:cs="Times New Roman" w:eastAsia="Times New Roman" w:hAnsi="Times New Roman"/>
          <w:sz w:val="22"/>
          <w:szCs w:val="22"/>
          <w:color w:val="auto"/>
        </w:rPr>
        <w:t>lowest amount which would render such Guarantor’s obligations under this Section 13 void or voidable under applicable law, including, without limitation, fraudulent conveyance law.</w:t>
      </w:r>
    </w:p>
    <w:p>
      <w:pPr>
        <w:spacing w:after="0" w:line="154"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Section 13.7. Stay of Acceleration</w:t>
      </w:r>
      <w:r>
        <w:rPr>
          <w:rFonts w:ascii="Times New Roman" w:cs="Times New Roman" w:eastAsia="Times New Roman" w:hAnsi="Times New Roman"/>
          <w:sz w:val="22"/>
          <w:szCs w:val="22"/>
          <w:color w:val="auto"/>
        </w:rPr>
        <w:t>. If acceleration of the time for payment of any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spacing w:after="0" w:line="175"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13.8. Benefit to Guarantors</w:t>
      </w:r>
      <w:r>
        <w:rPr>
          <w:rFonts w:ascii="Times New Roman" w:cs="Times New Roman" w:eastAsia="Times New Roman" w:hAnsi="Times New Roman"/>
          <w:sz w:val="22"/>
          <w:szCs w:val="22"/>
          <w:color w:val="auto"/>
        </w:rPr>
        <w:t>. The Borrower and the Guarantors are engaged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spacing w:after="0" w:line="17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13.9. Guarantor Covenants. </w:t>
      </w:r>
      <w:r>
        <w:rPr>
          <w:rFonts w:ascii="Times New Roman" w:cs="Times New Roman" w:eastAsia="Times New Roman" w:hAnsi="Times New Roman"/>
          <w:sz w:val="22"/>
          <w:szCs w:val="22"/>
          <w:color w:val="auto"/>
        </w:rPr>
        <w:t>Each Guarantor shall take such action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is required by this Agreement to cause such Guarantor to take, and shall refrain from taking such action as the Borrower is required by this Agreement to prohibit such Guarantor from taking.</w:t>
      </w:r>
    </w:p>
    <w:p>
      <w:pPr>
        <w:spacing w:after="0" w:line="17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Section 13.10. Keepwell</w:t>
      </w:r>
      <w:r>
        <w:rPr>
          <w:rFonts w:ascii="Times New Roman" w:cs="Times New Roman" w:eastAsia="Times New Roman" w:hAnsi="Times New Roman"/>
          <w:sz w:val="22"/>
          <w:szCs w:val="22"/>
          <w:color w:val="auto"/>
        </w:rPr>
        <w:t>. Each Qualified ECP Guarantor hereby jointly and severally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1a(18)(A)(v)(II) of the Commodity Exchange Act.</w:t>
      </w:r>
    </w:p>
    <w:p>
      <w:pPr>
        <w:spacing w:after="0" w:line="22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ages to</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ollow</w:t>
      </w:r>
      <w:r>
        <w:rPr>
          <w:rFonts w:ascii="Times New Roman" w:cs="Times New Roman" w:eastAsia="Times New Roman" w:hAnsi="Times New Roman"/>
          <w:sz w:val="22"/>
          <w:szCs w:val="22"/>
          <w:color w:val="auto"/>
        </w:rPr>
        <w: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7" w:name="page168"/>
    <w:bookmarkEnd w:id="167"/>
    <w:p>
      <w:pPr>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This Credit Agreement is entered into between us for the uses and purposes hereinabove set forth as of the date first above written.</w:t>
      </w:r>
    </w:p>
    <w:p>
      <w:pPr>
        <w:spacing w:after="0" w:line="17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B</w:t>
      </w:r>
      <w:r>
        <w:rPr>
          <w:rFonts w:ascii="Times New Roman" w:cs="Times New Roman" w:eastAsia="Times New Roman" w:hAnsi="Times New Roman"/>
          <w:sz w:val="14"/>
          <w:szCs w:val="14"/>
          <w:b w:val="1"/>
          <w:bCs w:val="1"/>
          <w:i w:val="1"/>
          <w:iCs w:val="1"/>
          <w:color w:val="auto"/>
        </w:rPr>
        <w:t>orrower</w:t>
      </w:r>
      <w:r>
        <w:rPr>
          <w:rFonts w:ascii="Times New Roman" w:cs="Times New Roman" w:eastAsia="Times New Roman" w:hAnsi="Times New Roman"/>
          <w:sz w:val="22"/>
          <w:szCs w:val="22"/>
          <w:i w:val="1"/>
          <w:iCs w:val="1"/>
          <w:color w:val="auto"/>
        </w:rPr>
        <w:t>”</w:t>
      </w:r>
    </w:p>
    <w:p>
      <w:pPr>
        <w:spacing w:after="0" w:line="26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w:t>
      </w:r>
      <w:r>
        <w:rPr>
          <w:rFonts w:ascii="Times New Roman" w:cs="Times New Roman" w:eastAsia="Times New Roman" w:hAnsi="Times New Roman"/>
          <w:sz w:val="14"/>
          <w:szCs w:val="14"/>
          <w:color w:val="auto"/>
        </w:rPr>
        <w:t>ealty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a Maryland</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corporation</w:t>
      </w:r>
    </w:p>
    <w:p>
      <w:pPr>
        <w:spacing w:after="0" w:line="200" w:lineRule="exact"/>
        <w:rPr>
          <w:sz w:val="20"/>
          <w:szCs w:val="20"/>
          <w:color w:val="auto"/>
        </w:rPr>
      </w:pPr>
    </w:p>
    <w:p>
      <w:pPr>
        <w:spacing w:after="0" w:line="310"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 w:type="dxa"/>
            <w:vAlign w:val="bottom"/>
          </w:tcPr>
          <w:p>
            <w:pPr>
              <w:spacing w:after="0"/>
              <w:rPr>
                <w:sz w:val="22"/>
                <w:szCs w:val="22"/>
                <w:color w:val="auto"/>
              </w:rPr>
            </w:pPr>
          </w:p>
        </w:tc>
        <w:tc>
          <w:tcPr>
            <w:tcW w:w="390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50"/>
        </w:trPr>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c>
          <w:tcPr>
            <w:tcW w:w="86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3940" w:type="dxa"/>
            <w:vAlign w:val="bottom"/>
            <w:gridSpan w:val="5"/>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280" w:type="dxa"/>
            <w:vAlign w:val="bottom"/>
          </w:tcPr>
          <w:p>
            <w:pPr>
              <w:spacing w:after="0"/>
              <w:rPr>
                <w:sz w:val="24"/>
                <w:szCs w:val="24"/>
                <w:color w:val="auto"/>
              </w:rPr>
            </w:pPr>
          </w:p>
        </w:tc>
        <w:tc>
          <w:tcPr>
            <w:tcW w:w="394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68" w:name="page169"/>
    <w:bookmarkEnd w:id="168"/>
    <w:p>
      <w:pPr>
        <w:ind w:left="442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w:t>
      </w:r>
      <w:r>
        <w:rPr>
          <w:rFonts w:ascii="Times New Roman" w:cs="Times New Roman" w:eastAsia="Times New Roman" w:hAnsi="Times New Roman"/>
          <w:sz w:val="14"/>
          <w:szCs w:val="14"/>
          <w:b w:val="1"/>
          <w:bCs w:val="1"/>
          <w:i w:val="1"/>
          <w:iCs w:val="1"/>
          <w:color w:val="auto"/>
        </w:rPr>
        <w:t>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w:t>
      </w:r>
      <w:r>
        <w:rPr>
          <w:rFonts w:ascii="Times New Roman" w:cs="Times New Roman" w:eastAsia="Times New Roman" w:hAnsi="Times New Roman"/>
          <w:sz w:val="14"/>
          <w:szCs w:val="14"/>
          <w:b w:val="1"/>
          <w:bCs w:val="1"/>
          <w:i w:val="1"/>
          <w:iCs w:val="1"/>
          <w:color w:val="auto"/>
        </w:rPr>
        <w:t>gent</w:t>
      </w:r>
      <w:r>
        <w:rPr>
          <w:rFonts w:ascii="Times New Roman" w:cs="Times New Roman" w:eastAsia="Times New Roman" w:hAnsi="Times New Roman"/>
          <w:sz w:val="22"/>
          <w:szCs w:val="22"/>
          <w:i w:val="1"/>
          <w:iCs w:val="1"/>
          <w:color w:val="auto"/>
        </w:rPr>
        <w:t>”</w:t>
      </w:r>
    </w:p>
    <w:p>
      <w:pPr>
        <w:spacing w:after="0" w:line="2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 as</w:t>
      </w:r>
    </w:p>
    <w:p>
      <w:pPr>
        <w:spacing w:after="0" w:line="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00" w:lineRule="exact"/>
        <w:rPr>
          <w:sz w:val="20"/>
          <w:szCs w:val="20"/>
          <w:color w:val="auto"/>
        </w:rPr>
      </w:pPr>
    </w:p>
    <w:p>
      <w:pPr>
        <w:spacing w:after="0" w:line="323"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 Tom Schmitt</w:t>
            </w:r>
          </w:p>
        </w:tc>
      </w:tr>
      <w:tr>
        <w:trPr>
          <w:trHeight w:val="250"/>
        </w:trPr>
        <w:tc>
          <w:tcPr>
            <w:tcW w:w="320" w:type="dxa"/>
            <w:vAlign w:val="bottom"/>
          </w:tcPr>
          <w:p>
            <w:pPr>
              <w:spacing w:after="0"/>
              <w:rPr>
                <w:sz w:val="21"/>
                <w:szCs w:val="21"/>
                <w:color w:val="auto"/>
              </w:rPr>
            </w:pPr>
          </w:p>
        </w:tc>
        <w:tc>
          <w:tcPr>
            <w:tcW w:w="198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Name: Tom Schmitt</w:t>
            </w:r>
          </w:p>
        </w:tc>
        <w:tc>
          <w:tcPr>
            <w:tcW w:w="580" w:type="dxa"/>
            <w:vAlign w:val="bottom"/>
          </w:tcPr>
          <w:p>
            <w:pPr>
              <w:spacing w:after="0"/>
              <w:rPr>
                <w:sz w:val="21"/>
                <w:szCs w:val="21"/>
                <w:color w:val="auto"/>
              </w:rPr>
            </w:pPr>
          </w:p>
        </w:tc>
      </w:tr>
      <w:tr>
        <w:trPr>
          <w:trHeight w:val="282"/>
        </w:trPr>
        <w:tc>
          <w:tcPr>
            <w:tcW w:w="8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Title:</w:t>
            </w: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6"/>
              </w:rPr>
              <w:t>Senior Vice President</w:t>
            </w:r>
          </w:p>
        </w:tc>
      </w:tr>
    </w:tbl>
    <w:p>
      <w:pPr>
        <w:spacing w:after="0" w:line="3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L</w:t>
      </w:r>
      <w:r>
        <w:rPr>
          <w:rFonts w:ascii="Times New Roman" w:cs="Times New Roman" w:eastAsia="Times New Roman" w:hAnsi="Times New Roman"/>
          <w:sz w:val="14"/>
          <w:szCs w:val="14"/>
          <w:b w:val="1"/>
          <w:bCs w:val="1"/>
          <w:i w:val="1"/>
          <w:iCs w:val="1"/>
          <w:color w:val="auto"/>
        </w:rPr>
        <w:t>enders</w:t>
      </w:r>
      <w:r>
        <w:rPr>
          <w:rFonts w:ascii="Times New Roman" w:cs="Times New Roman" w:eastAsia="Times New Roman" w:hAnsi="Times New Roman"/>
          <w:sz w:val="22"/>
          <w:szCs w:val="22"/>
          <w:i w:val="1"/>
          <w:iCs w:val="1"/>
          <w:color w:val="auto"/>
        </w:rPr>
        <w:t>”</w:t>
      </w:r>
    </w:p>
    <w:p>
      <w:pPr>
        <w:spacing w:after="0" w:line="266"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 as a Lender</w:t>
      </w:r>
    </w:p>
    <w:p>
      <w:pPr>
        <w:spacing w:after="0" w:line="200" w:lineRule="exact"/>
        <w:rPr>
          <w:sz w:val="20"/>
          <w:szCs w:val="20"/>
          <w:color w:val="auto"/>
        </w:rPr>
      </w:pPr>
    </w:p>
    <w:p>
      <w:pPr>
        <w:spacing w:after="0" w:line="347"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 Tom Schmitt</w:t>
            </w:r>
          </w:p>
        </w:tc>
      </w:tr>
      <w:tr>
        <w:trPr>
          <w:trHeight w:val="250"/>
        </w:trPr>
        <w:tc>
          <w:tcPr>
            <w:tcW w:w="320" w:type="dxa"/>
            <w:vAlign w:val="bottom"/>
          </w:tcPr>
          <w:p>
            <w:pPr>
              <w:spacing w:after="0"/>
              <w:rPr>
                <w:sz w:val="21"/>
                <w:szCs w:val="21"/>
                <w:color w:val="auto"/>
              </w:rPr>
            </w:pPr>
          </w:p>
        </w:tc>
        <w:tc>
          <w:tcPr>
            <w:tcW w:w="192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Name: Tom Schmitt</w:t>
            </w:r>
          </w:p>
        </w:tc>
        <w:tc>
          <w:tcPr>
            <w:tcW w:w="640" w:type="dxa"/>
            <w:vAlign w:val="bottom"/>
          </w:tcPr>
          <w:p>
            <w:pPr>
              <w:spacing w:after="0"/>
              <w:rPr>
                <w:sz w:val="21"/>
                <w:szCs w:val="21"/>
                <w:color w:val="auto"/>
              </w:rPr>
            </w:pPr>
          </w:p>
        </w:tc>
      </w:tr>
      <w:tr>
        <w:trPr>
          <w:trHeight w:val="282"/>
        </w:trPr>
        <w:tc>
          <w:tcPr>
            <w:tcW w:w="8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Title:</w:t>
            </w: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6"/>
              </w:rPr>
              <w:t>Senior Vice President</w:t>
            </w:r>
          </w:p>
        </w:tc>
      </w:tr>
    </w:tbl>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169" w:name="page170"/>
    <w:bookmarkEnd w:id="169"/>
    <w:p>
      <w:pPr>
        <w:jc w:val="right"/>
        <w:ind w:right="579"/>
        <w:spacing w:after="0"/>
        <w:rPr>
          <w:sz w:val="20"/>
          <w:szCs w:val="20"/>
          <w:color w:val="auto"/>
        </w:rPr>
      </w:pPr>
      <w:r>
        <w:rPr>
          <w:rFonts w:ascii="Times New Roman" w:cs="Times New Roman" w:eastAsia="Times New Roman" w:hAnsi="Times New Roman"/>
          <w:sz w:val="22"/>
          <w:szCs w:val="22"/>
          <w:color w:val="auto"/>
        </w:rPr>
        <w:t>PNC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 as a Lender</w:t>
      </w:r>
    </w:p>
    <w:p>
      <w:pPr>
        <w:spacing w:after="0" w:line="200" w:lineRule="exact"/>
        <w:rPr>
          <w:sz w:val="20"/>
          <w:szCs w:val="20"/>
          <w:color w:val="auto"/>
        </w:rPr>
      </w:pPr>
    </w:p>
    <w:p>
      <w:pPr>
        <w:spacing w:after="0" w:line="347"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6"/>
              </w:rPr>
              <w:t>/s/ Andrew T. White</w:t>
            </w:r>
          </w:p>
        </w:tc>
        <w:tc>
          <w:tcPr>
            <w:tcW w:w="140" w:type="dxa"/>
            <w:vAlign w:val="bottom"/>
          </w:tcPr>
          <w:p>
            <w:pPr>
              <w:spacing w:after="0"/>
              <w:rPr>
                <w:sz w:val="22"/>
                <w:szCs w:val="22"/>
                <w:color w:val="auto"/>
              </w:rPr>
            </w:pPr>
          </w:p>
        </w:tc>
      </w:tr>
      <w:tr>
        <w:trPr>
          <w:trHeight w:val="250"/>
        </w:trPr>
        <w:tc>
          <w:tcPr>
            <w:tcW w:w="2880" w:type="dxa"/>
            <w:vAlign w:val="bottom"/>
            <w:gridSpan w:val="4"/>
          </w:tcPr>
          <w:p>
            <w:pPr>
              <w:ind w:left="320"/>
              <w:spacing w:after="0" w:line="249" w:lineRule="exact"/>
              <w:rPr>
                <w:sz w:val="20"/>
                <w:szCs w:val="20"/>
                <w:color w:val="auto"/>
              </w:rPr>
            </w:pPr>
            <w:r>
              <w:rPr>
                <w:rFonts w:ascii="Times New Roman" w:cs="Times New Roman" w:eastAsia="Times New Roman" w:hAnsi="Times New Roman"/>
                <w:sz w:val="22"/>
                <w:szCs w:val="22"/>
                <w:color w:val="auto"/>
              </w:rPr>
              <w:t>Name: Andrew T. White</w:t>
            </w:r>
          </w:p>
        </w:tc>
      </w:tr>
      <w:tr>
        <w:trPr>
          <w:trHeight w:val="282"/>
        </w:trPr>
        <w:tc>
          <w:tcPr>
            <w:tcW w:w="8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Title:</w:t>
            </w: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6"/>
              </w:rPr>
              <w:t>Senior Vice President</w:t>
            </w: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0" w:name="page171"/>
    <w:bookmarkEnd w:id="170"/>
    <w:p>
      <w:pPr>
        <w:jc w:val="right"/>
        <w:ind w:right="16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aymond</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as a Lender</w:t>
      </w:r>
    </w:p>
    <w:p>
      <w:pPr>
        <w:spacing w:after="0" w:line="200" w:lineRule="exact"/>
        <w:rPr>
          <w:sz w:val="20"/>
          <w:szCs w:val="20"/>
          <w:color w:val="auto"/>
        </w:rPr>
      </w:pPr>
    </w:p>
    <w:p>
      <w:pPr>
        <w:spacing w:after="0" w:line="347"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w w:val="97"/>
              </w:rPr>
              <w:t>/s/ Alexander Sierra</w:t>
            </w:r>
          </w:p>
        </w:tc>
      </w:tr>
      <w:tr>
        <w:trPr>
          <w:trHeight w:val="250"/>
        </w:trPr>
        <w:tc>
          <w:tcPr>
            <w:tcW w:w="2760" w:type="dxa"/>
            <w:vAlign w:val="bottom"/>
            <w:gridSpan w:val="3"/>
          </w:tcPr>
          <w:p>
            <w:pPr>
              <w:ind w:left="320"/>
              <w:spacing w:after="0" w:line="249" w:lineRule="exact"/>
              <w:rPr>
                <w:sz w:val="20"/>
                <w:szCs w:val="20"/>
                <w:color w:val="auto"/>
              </w:rPr>
            </w:pPr>
            <w:r>
              <w:rPr>
                <w:rFonts w:ascii="Times New Roman" w:cs="Times New Roman" w:eastAsia="Times New Roman" w:hAnsi="Times New Roman"/>
                <w:sz w:val="22"/>
                <w:szCs w:val="22"/>
                <w:color w:val="auto"/>
              </w:rPr>
              <w:t>Name: Alexander Sierra</w:t>
            </w:r>
          </w:p>
        </w:tc>
      </w:tr>
      <w:tr>
        <w:trPr>
          <w:trHeight w:val="282"/>
        </w:trPr>
        <w:tc>
          <w:tcPr>
            <w:tcW w:w="9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Title:</w:t>
            </w:r>
          </w:p>
        </w:tc>
        <w:tc>
          <w:tcPr>
            <w:tcW w:w="1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SVP</w:t>
            </w: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1" w:name="page172"/>
    <w:bookmarkEnd w:id="171"/>
    <w:p>
      <w:pPr>
        <w:ind w:left="44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egions</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as a Lender</w:t>
      </w:r>
    </w:p>
    <w:p>
      <w:pPr>
        <w:spacing w:after="0" w:line="200" w:lineRule="exact"/>
        <w:rPr>
          <w:sz w:val="20"/>
          <w:szCs w:val="20"/>
          <w:color w:val="auto"/>
        </w:rPr>
      </w:pPr>
    </w:p>
    <w:p>
      <w:pPr>
        <w:spacing w:after="0" w:line="347"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0" w:type="dxa"/>
            <w:vAlign w:val="bottom"/>
          </w:tcPr>
          <w:p>
            <w:pPr>
              <w:spacing w:after="0"/>
              <w:rPr>
                <w:sz w:val="22"/>
                <w:szCs w:val="22"/>
                <w:color w:val="auto"/>
              </w:rPr>
            </w:pP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 Ghi Gavin</w:t>
            </w:r>
          </w:p>
        </w:tc>
      </w:tr>
      <w:tr>
        <w:trPr>
          <w:trHeight w:val="250"/>
        </w:trPr>
        <w:tc>
          <w:tcPr>
            <w:tcW w:w="320" w:type="dxa"/>
            <w:vAlign w:val="bottom"/>
          </w:tcPr>
          <w:p>
            <w:pPr>
              <w:spacing w:after="0"/>
              <w:rPr>
                <w:sz w:val="21"/>
                <w:szCs w:val="21"/>
                <w:color w:val="auto"/>
              </w:rPr>
            </w:pPr>
          </w:p>
        </w:tc>
        <w:tc>
          <w:tcPr>
            <w:tcW w:w="170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Name: Ghi Gavin</w:t>
            </w:r>
          </w:p>
        </w:tc>
        <w:tc>
          <w:tcPr>
            <w:tcW w:w="860" w:type="dxa"/>
            <w:vAlign w:val="bottom"/>
          </w:tcPr>
          <w:p>
            <w:pPr>
              <w:spacing w:after="0"/>
              <w:rPr>
                <w:sz w:val="21"/>
                <w:szCs w:val="21"/>
                <w:color w:val="auto"/>
              </w:rPr>
            </w:pPr>
          </w:p>
        </w:tc>
      </w:tr>
      <w:tr>
        <w:trPr>
          <w:trHeight w:val="282"/>
        </w:trPr>
        <w:tc>
          <w:tcPr>
            <w:tcW w:w="8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Title:</w:t>
            </w: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6"/>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2" w:name="page173"/>
    <w:bookmarkEnd w:id="172"/>
    <w:p>
      <w:pPr>
        <w:ind w:left="442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G</w:t>
      </w:r>
      <w:r>
        <w:rPr>
          <w:rFonts w:ascii="Times New Roman" w:cs="Times New Roman" w:eastAsia="Times New Roman" w:hAnsi="Times New Roman"/>
          <w:sz w:val="14"/>
          <w:szCs w:val="14"/>
          <w:b w:val="1"/>
          <w:bCs w:val="1"/>
          <w:i w:val="1"/>
          <w:iCs w:val="1"/>
          <w:color w:val="auto"/>
        </w:rPr>
        <w:t>uarantors</w:t>
      </w:r>
      <w:r>
        <w:rPr>
          <w:rFonts w:ascii="Times New Roman" w:cs="Times New Roman" w:eastAsia="Times New Roman" w:hAnsi="Times New Roman"/>
          <w:sz w:val="22"/>
          <w:szCs w:val="22"/>
          <w:i w:val="1"/>
          <w:iCs w:val="1"/>
          <w:color w:val="auto"/>
        </w:rPr>
        <w:t>”</w:t>
      </w:r>
    </w:p>
    <w:p>
      <w:pPr>
        <w:spacing w:after="0" w:line="200" w:lineRule="exact"/>
        <w:rPr>
          <w:sz w:val="20"/>
          <w:szCs w:val="20"/>
          <w:color w:val="auto"/>
        </w:rPr>
      </w:pPr>
    </w:p>
    <w:p>
      <w:pPr>
        <w:spacing w:after="0" w:line="3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ndigo</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a Florida corporation</w:t>
      </w:r>
    </w:p>
    <w:p>
      <w:pPr>
        <w:spacing w:after="0" w:line="200" w:lineRule="exact"/>
        <w:rPr>
          <w:sz w:val="20"/>
          <w:szCs w:val="20"/>
          <w:color w:val="auto"/>
        </w:rPr>
      </w:pPr>
    </w:p>
    <w:p>
      <w:pPr>
        <w:spacing w:after="0" w:line="347"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0" w:type="dxa"/>
            <w:vAlign w:val="bottom"/>
          </w:tcPr>
          <w:p>
            <w:pPr>
              <w:spacing w:after="0"/>
              <w:rPr>
                <w:sz w:val="22"/>
                <w:szCs w:val="22"/>
                <w:color w:val="auto"/>
              </w:rPr>
            </w:pPr>
          </w:p>
        </w:tc>
        <w:tc>
          <w:tcPr>
            <w:tcW w:w="386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20" w:type="dxa"/>
            <w:vAlign w:val="bottom"/>
          </w:tcPr>
          <w:p>
            <w:pPr>
              <w:spacing w:after="0"/>
              <w:rPr>
                <w:sz w:val="21"/>
                <w:szCs w:val="21"/>
                <w:color w:val="auto"/>
              </w:rPr>
            </w:pPr>
          </w:p>
        </w:tc>
        <w:tc>
          <w:tcPr>
            <w:tcW w:w="390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CTO18 A</w:t>
      </w:r>
      <w:r>
        <w:rPr>
          <w:rFonts w:ascii="Times New Roman" w:cs="Times New Roman" w:eastAsia="Times New Roman" w:hAnsi="Times New Roman"/>
          <w:sz w:val="14"/>
          <w:szCs w:val="14"/>
          <w:color w:val="auto"/>
        </w:rPr>
        <w:t>lbuquerque</w:t>
      </w:r>
      <w:r>
        <w:rPr>
          <w:rFonts w:ascii="Times New Roman" w:cs="Times New Roman" w:eastAsia="Times New Roman" w:hAnsi="Times New Roman"/>
          <w:sz w:val="22"/>
          <w:szCs w:val="22"/>
          <w:color w:val="auto"/>
        </w:rPr>
        <w:t xml:space="preserve"> NM LLC, a Delaware</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limited liability company</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CTO Realty Growth, Inc., a Maryland</w:t>
      </w:r>
    </w:p>
    <w:p>
      <w:pPr>
        <w:spacing w:after="0" w:line="14" w:lineRule="exact"/>
        <w:rPr>
          <w:sz w:val="20"/>
          <w:szCs w:val="20"/>
          <w:color w:val="auto"/>
        </w:rPr>
      </w:pPr>
    </w:p>
    <w:tbl>
      <w:tblPr>
        <w:tblLayout w:type="fixed"/>
        <w:tblInd w:w="442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corporation, its sole member</w:t>
            </w:r>
          </w:p>
        </w:tc>
      </w:tr>
      <w:tr>
        <w:trPr>
          <w:trHeight w:val="74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0" w:type="dxa"/>
            <w:vAlign w:val="bottom"/>
          </w:tcPr>
          <w:p>
            <w:pPr>
              <w:spacing w:after="0"/>
              <w:rPr>
                <w:sz w:val="24"/>
                <w:szCs w:val="24"/>
                <w:color w:val="auto"/>
              </w:rPr>
            </w:pPr>
          </w:p>
        </w:tc>
        <w:tc>
          <w:tcPr>
            <w:tcW w:w="386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50"/>
        </w:trPr>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c>
          <w:tcPr>
            <w:tcW w:w="86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390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ndigo</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td</w:t>
      </w:r>
      <w:r>
        <w:rPr>
          <w:rFonts w:ascii="Times New Roman" w:cs="Times New Roman" w:eastAsia="Times New Roman" w:hAnsi="Times New Roman"/>
          <w:sz w:val="22"/>
          <w:szCs w:val="22"/>
          <w:color w:val="auto"/>
        </w:rPr>
        <w:t>., a Florida limited partnership</w:t>
      </w:r>
    </w:p>
    <w:p>
      <w:pPr>
        <w:spacing w:after="0" w:line="247"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Indigo Group, Inc., a Florida corporation, its</w:t>
      </w:r>
    </w:p>
    <w:p>
      <w:pPr>
        <w:spacing w:after="0" w:line="28" w:lineRule="exact"/>
        <w:rPr>
          <w:sz w:val="20"/>
          <w:szCs w:val="20"/>
          <w:color w:val="auto"/>
        </w:rPr>
      </w:pPr>
    </w:p>
    <w:tbl>
      <w:tblPr>
        <w:tblLayout w:type="fixed"/>
        <w:tblInd w:w="4380" w:type="dxa"/>
        <w:tblCellMar>
          <w:top w:w="0" w:type="dxa"/>
          <w:left w:w="0" w:type="dxa"/>
          <w:bottom w:w="0" w:type="dxa"/>
          <w:right w:w="0" w:type="dxa"/>
        </w:tblCellMar>
      </w:tblPr>
      <w:tr>
        <w:trPr>
          <w:trHeight w:val="282"/>
        </w:trPr>
        <w:tc>
          <w:tcPr>
            <w:tcW w:w="360" w:type="dxa"/>
            <w:vAlign w:val="bottom"/>
          </w:tcPr>
          <w:p>
            <w:pPr>
              <w:spacing w:after="0"/>
              <w:rPr>
                <w:sz w:val="24"/>
                <w:szCs w:val="24"/>
                <w:color w:val="auto"/>
              </w:rPr>
            </w:pPr>
          </w:p>
        </w:tc>
        <w:tc>
          <w:tcPr>
            <w:tcW w:w="390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General Partner</w:t>
            </w:r>
          </w:p>
        </w:tc>
      </w:tr>
      <w:tr>
        <w:trPr>
          <w:trHeight w:val="74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w w:val="96"/>
              </w:rPr>
              <w:t>/s/ Daniel E. Smith</w:t>
            </w:r>
          </w:p>
        </w:tc>
        <w:tc>
          <w:tcPr>
            <w:tcW w:w="8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50"/>
        </w:trPr>
        <w:tc>
          <w:tcPr>
            <w:tcW w:w="360" w:type="dxa"/>
            <w:vAlign w:val="bottom"/>
          </w:tcPr>
          <w:p>
            <w:pPr>
              <w:spacing w:after="0"/>
              <w:rPr>
                <w:sz w:val="21"/>
                <w:szCs w:val="21"/>
                <w:color w:val="auto"/>
              </w:rPr>
            </w:pPr>
          </w:p>
        </w:tc>
        <w:tc>
          <w:tcPr>
            <w:tcW w:w="3900" w:type="dxa"/>
            <w:vAlign w:val="bottom"/>
            <w:gridSpan w:val="4"/>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173" w:name="page174"/>
    <w:bookmarkEnd w:id="173"/>
    <w:p>
      <w:pPr>
        <w:ind w:left="4420"/>
        <w:spacing w:after="0"/>
        <w:rPr>
          <w:sz w:val="20"/>
          <w:szCs w:val="20"/>
          <w:color w:val="auto"/>
        </w:rPr>
      </w:pPr>
      <w:r>
        <w:rPr>
          <w:rFonts w:ascii="Times New Roman" w:cs="Times New Roman" w:eastAsia="Times New Roman" w:hAnsi="Times New Roman"/>
          <w:sz w:val="21"/>
          <w:szCs w:val="21"/>
          <w:color w:val="auto"/>
        </w:rPr>
        <w:t>CTO19 STRAND JAX LLC, a Delaware limited</w:t>
      </w:r>
    </w:p>
    <w:p>
      <w:pPr>
        <w:spacing w:after="0" w:line="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23"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CTO Realty Growth, Inc., a Maryland</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corporation, its sole member</w:t>
      </w:r>
    </w:p>
    <w:p>
      <w:pPr>
        <w:spacing w:after="0" w:line="200" w:lineRule="exact"/>
        <w:rPr>
          <w:sz w:val="20"/>
          <w:szCs w:val="20"/>
          <w:color w:val="auto"/>
        </w:rPr>
      </w:pPr>
    </w:p>
    <w:p>
      <w:pPr>
        <w:spacing w:after="0" w:line="323"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w w:val="96"/>
              </w:rPr>
              <w:t>/s/ Daniel E. Smith</w:t>
            </w:r>
          </w:p>
        </w:tc>
        <w:tc>
          <w:tcPr>
            <w:tcW w:w="86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50"/>
        </w:trPr>
        <w:tc>
          <w:tcPr>
            <w:tcW w:w="360" w:type="dxa"/>
            <w:vAlign w:val="bottom"/>
          </w:tcPr>
          <w:p>
            <w:pPr>
              <w:spacing w:after="0"/>
              <w:rPr>
                <w:sz w:val="21"/>
                <w:szCs w:val="21"/>
                <w:color w:val="auto"/>
              </w:rPr>
            </w:pPr>
          </w:p>
        </w:tc>
        <w:tc>
          <w:tcPr>
            <w:tcW w:w="3900" w:type="dxa"/>
            <w:vAlign w:val="bottom"/>
            <w:gridSpan w:val="4"/>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aytona</w:t>
      </w:r>
      <w:r>
        <w:rPr>
          <w:rFonts w:ascii="Times New Roman" w:cs="Times New Roman" w:eastAsia="Times New Roman" w:hAnsi="Times New Roman"/>
          <w:sz w:val="22"/>
          <w:szCs w:val="22"/>
          <w:color w:val="auto"/>
        </w:rPr>
        <w:t xml:space="preserve"> JV LLC, a Florida limited liability</w:t>
      </w:r>
    </w:p>
    <w:p>
      <w:pPr>
        <w:spacing w:after="0" w:line="2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company</w:t>
      </w:r>
    </w:p>
    <w:p>
      <w:pPr>
        <w:spacing w:after="0" w:line="223"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LHC15 Atlantic DB JV LLC, a Delaware</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limited liability company, its sole manager</w:t>
      </w:r>
    </w:p>
    <w:p>
      <w:pPr>
        <w:spacing w:after="0" w:line="223"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CTO Realty Growth, Inc., a Maryland</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corporation, its sole member</w:t>
      </w:r>
    </w:p>
    <w:p>
      <w:pPr>
        <w:spacing w:after="0" w:line="200" w:lineRule="exact"/>
        <w:rPr>
          <w:sz w:val="20"/>
          <w:szCs w:val="20"/>
          <w:color w:val="auto"/>
        </w:rPr>
      </w:pPr>
    </w:p>
    <w:p>
      <w:pPr>
        <w:spacing w:after="0" w:line="323"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90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50"/>
        </w:trPr>
        <w:tc>
          <w:tcPr>
            <w:tcW w:w="360" w:type="dxa"/>
            <w:vAlign w:val="bottom"/>
          </w:tcPr>
          <w:p>
            <w:pPr>
              <w:spacing w:after="0"/>
              <w:rPr>
                <w:sz w:val="21"/>
                <w:szCs w:val="21"/>
                <w:color w:val="auto"/>
              </w:rPr>
            </w:pPr>
          </w:p>
        </w:tc>
        <w:tc>
          <w:tcPr>
            <w:tcW w:w="208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c>
          <w:tcPr>
            <w:tcW w:w="8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CTO20 C</w:t>
      </w:r>
      <w:r>
        <w:rPr>
          <w:rFonts w:ascii="Times New Roman" w:cs="Times New Roman" w:eastAsia="Times New Roman" w:hAnsi="Times New Roman"/>
          <w:sz w:val="14"/>
          <w:szCs w:val="14"/>
          <w:color w:val="auto"/>
        </w:rPr>
        <w:t>rossroads</w:t>
      </w:r>
      <w:r>
        <w:rPr>
          <w:rFonts w:ascii="Times New Roman" w:cs="Times New Roman" w:eastAsia="Times New Roman" w:hAnsi="Times New Roman"/>
          <w:sz w:val="22"/>
          <w:szCs w:val="22"/>
          <w:color w:val="auto"/>
        </w:rPr>
        <w:t xml:space="preserve"> AZ LLC, a Delaware limited</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36"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CTO Realty Growth, Inc., a Maryland</w:t>
      </w:r>
    </w:p>
    <w:p>
      <w:pPr>
        <w:spacing w:after="0" w:line="14" w:lineRule="exact"/>
        <w:rPr>
          <w:sz w:val="20"/>
          <w:szCs w:val="20"/>
          <w:color w:val="auto"/>
        </w:rPr>
      </w:pPr>
    </w:p>
    <w:tbl>
      <w:tblPr>
        <w:tblLayout w:type="fixed"/>
        <w:tblInd w:w="4380" w:type="dxa"/>
        <w:tblCellMar>
          <w:top w:w="0" w:type="dxa"/>
          <w:left w:w="0" w:type="dxa"/>
          <w:bottom w:w="0" w:type="dxa"/>
          <w:right w:w="0" w:type="dxa"/>
        </w:tblCellMar>
      </w:tblPr>
      <w:tr>
        <w:trPr>
          <w:trHeight w:val="282"/>
        </w:trPr>
        <w:tc>
          <w:tcPr>
            <w:tcW w:w="360" w:type="dxa"/>
            <w:vAlign w:val="bottom"/>
          </w:tcPr>
          <w:p>
            <w:pPr>
              <w:spacing w:after="0"/>
              <w:rPr>
                <w:sz w:val="24"/>
                <w:szCs w:val="24"/>
                <w:color w:val="auto"/>
              </w:rPr>
            </w:pPr>
          </w:p>
        </w:tc>
        <w:tc>
          <w:tcPr>
            <w:tcW w:w="390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corporation, its sole member</w:t>
            </w:r>
          </w:p>
        </w:tc>
      </w:tr>
      <w:tr>
        <w:trPr>
          <w:trHeight w:val="74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w w:val="96"/>
              </w:rPr>
              <w:t>/s/ Daniel E. Smith</w:t>
            </w:r>
          </w:p>
        </w:tc>
        <w:tc>
          <w:tcPr>
            <w:tcW w:w="8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63"/>
        </w:trPr>
        <w:tc>
          <w:tcPr>
            <w:tcW w:w="360" w:type="dxa"/>
            <w:vAlign w:val="bottom"/>
          </w:tcPr>
          <w:p>
            <w:pPr>
              <w:spacing w:after="0"/>
              <w:rPr>
                <w:sz w:val="22"/>
                <w:szCs w:val="22"/>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4" w:name="page175"/>
    <w:bookmarkEnd w:id="174"/>
    <w:p>
      <w:pPr>
        <w:ind w:left="4300"/>
        <w:spacing w:after="0"/>
        <w:rPr>
          <w:sz w:val="20"/>
          <w:szCs w:val="20"/>
          <w:color w:val="auto"/>
        </w:rPr>
      </w:pPr>
      <w:r>
        <w:rPr>
          <w:rFonts w:ascii="Times New Roman" w:cs="Times New Roman" w:eastAsia="Times New Roman" w:hAnsi="Times New Roman"/>
          <w:sz w:val="22"/>
          <w:szCs w:val="22"/>
          <w:color w:val="auto"/>
        </w:rPr>
        <w:t>IGI20 C</w:t>
      </w:r>
      <w:r>
        <w:rPr>
          <w:rFonts w:ascii="Times New Roman" w:cs="Times New Roman" w:eastAsia="Times New Roman" w:hAnsi="Times New Roman"/>
          <w:sz w:val="14"/>
          <w:szCs w:val="14"/>
          <w:color w:val="auto"/>
        </w:rPr>
        <w:t>rossroads</w:t>
      </w:r>
      <w:r>
        <w:rPr>
          <w:rFonts w:ascii="Times New Roman" w:cs="Times New Roman" w:eastAsia="Times New Roman" w:hAnsi="Times New Roman"/>
          <w:sz w:val="22"/>
          <w:szCs w:val="22"/>
          <w:color w:val="auto"/>
        </w:rPr>
        <w:t xml:space="preserve"> AZ LLC, a Delaware limited</w:t>
      </w:r>
    </w:p>
    <w:p>
      <w:pPr>
        <w:spacing w:after="0" w:line="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23"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Indigo Group Inc., a Florida corporation, its</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sole member</w:t>
      </w:r>
    </w:p>
    <w:p>
      <w:pPr>
        <w:spacing w:after="0" w:line="200" w:lineRule="exact"/>
        <w:rPr>
          <w:sz w:val="20"/>
          <w:szCs w:val="20"/>
          <w:color w:val="auto"/>
        </w:rPr>
      </w:pPr>
    </w:p>
    <w:p>
      <w:pPr>
        <w:spacing w:after="0" w:line="323"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90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50"/>
        </w:trPr>
        <w:tc>
          <w:tcPr>
            <w:tcW w:w="360" w:type="dxa"/>
            <w:vAlign w:val="bottom"/>
          </w:tcPr>
          <w:p>
            <w:pPr>
              <w:spacing w:after="0"/>
              <w:rPr>
                <w:sz w:val="21"/>
                <w:szCs w:val="21"/>
                <w:color w:val="auto"/>
              </w:rPr>
            </w:pPr>
          </w:p>
        </w:tc>
        <w:tc>
          <w:tcPr>
            <w:tcW w:w="208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c>
          <w:tcPr>
            <w:tcW w:w="8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CTO20 P</w:t>
      </w:r>
      <w:r>
        <w:rPr>
          <w:rFonts w:ascii="Times New Roman" w:cs="Times New Roman" w:eastAsia="Times New Roman" w:hAnsi="Times New Roman"/>
          <w:sz w:val="14"/>
          <w:szCs w:val="14"/>
          <w:color w:val="auto"/>
        </w:rPr>
        <w:t>erimeter</w:t>
      </w:r>
      <w:r>
        <w:rPr>
          <w:rFonts w:ascii="Times New Roman" w:cs="Times New Roman" w:eastAsia="Times New Roman" w:hAnsi="Times New Roman"/>
          <w:sz w:val="22"/>
          <w:szCs w:val="22"/>
          <w:color w:val="auto"/>
        </w:rPr>
        <w:t xml:space="preserve"> LLC, a Delaware limited liability</w:t>
      </w:r>
    </w:p>
    <w:p>
      <w:pPr>
        <w:spacing w:after="0" w:line="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company</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CTO Realty Growth, Inc., a Maryland</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corporation, its sole member</w:t>
      </w:r>
    </w:p>
    <w:p>
      <w:pPr>
        <w:spacing w:after="0" w:line="200" w:lineRule="exact"/>
        <w:rPr>
          <w:sz w:val="20"/>
          <w:szCs w:val="20"/>
          <w:color w:val="auto"/>
        </w:rPr>
      </w:pPr>
    </w:p>
    <w:p>
      <w:pPr>
        <w:spacing w:after="0" w:line="323"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90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50"/>
        </w:trPr>
        <w:tc>
          <w:tcPr>
            <w:tcW w:w="360" w:type="dxa"/>
            <w:vAlign w:val="bottom"/>
          </w:tcPr>
          <w:p>
            <w:pPr>
              <w:spacing w:after="0"/>
              <w:rPr>
                <w:sz w:val="21"/>
                <w:szCs w:val="21"/>
                <w:color w:val="auto"/>
              </w:rPr>
            </w:pPr>
          </w:p>
        </w:tc>
        <w:tc>
          <w:tcPr>
            <w:tcW w:w="208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c>
          <w:tcPr>
            <w:tcW w:w="8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CTO20 P</w:t>
      </w:r>
      <w:r>
        <w:rPr>
          <w:rFonts w:ascii="Times New Roman" w:cs="Times New Roman" w:eastAsia="Times New Roman" w:hAnsi="Times New Roman"/>
          <w:sz w:val="14"/>
          <w:szCs w:val="14"/>
          <w:color w:val="auto"/>
        </w:rPr>
        <w:t>erimeter</w:t>
      </w:r>
      <w:r>
        <w:rPr>
          <w:rFonts w:ascii="Times New Roman" w:cs="Times New Roman" w:eastAsia="Times New Roman" w:hAnsi="Times New Roman"/>
          <w:sz w:val="22"/>
          <w:szCs w:val="22"/>
          <w:color w:val="auto"/>
        </w:rPr>
        <w:t xml:space="preserve"> II LLC, a Delaware limited</w:t>
      </w:r>
    </w:p>
    <w:p>
      <w:pPr>
        <w:spacing w:after="0" w:line="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CTO Realty Growth, Inc., a Maryland</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corporation, its sole member</w:t>
      </w:r>
    </w:p>
    <w:p>
      <w:pPr>
        <w:spacing w:after="0" w:line="200" w:lineRule="exact"/>
        <w:rPr>
          <w:sz w:val="20"/>
          <w:szCs w:val="20"/>
          <w:color w:val="auto"/>
        </w:rPr>
      </w:pPr>
    </w:p>
    <w:p>
      <w:pPr>
        <w:spacing w:after="0" w:line="324"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90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50"/>
        </w:trPr>
        <w:tc>
          <w:tcPr>
            <w:tcW w:w="360" w:type="dxa"/>
            <w:vAlign w:val="bottom"/>
          </w:tcPr>
          <w:p>
            <w:pPr>
              <w:spacing w:after="0"/>
              <w:rPr>
                <w:sz w:val="21"/>
                <w:szCs w:val="21"/>
                <w:color w:val="auto"/>
              </w:rPr>
            </w:pPr>
          </w:p>
        </w:tc>
        <w:tc>
          <w:tcPr>
            <w:tcW w:w="208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c>
          <w:tcPr>
            <w:tcW w:w="8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5" w:name="page176"/>
    <w:bookmarkEnd w:id="175"/>
    <w:p>
      <w:pPr>
        <w:ind w:left="4420"/>
        <w:spacing w:after="0"/>
        <w:rPr>
          <w:sz w:val="20"/>
          <w:szCs w:val="20"/>
          <w:color w:val="auto"/>
        </w:rPr>
      </w:pPr>
      <w:r>
        <w:rPr>
          <w:rFonts w:ascii="Times New Roman" w:cs="Times New Roman" w:eastAsia="Times New Roman" w:hAnsi="Times New Roman"/>
          <w:sz w:val="22"/>
          <w:szCs w:val="22"/>
          <w:color w:val="auto"/>
        </w:rPr>
        <w:t>CTO21 A</w:t>
      </w:r>
      <w:r>
        <w:rPr>
          <w:rFonts w:ascii="Times New Roman" w:cs="Times New Roman" w:eastAsia="Times New Roman" w:hAnsi="Times New Roman"/>
          <w:sz w:val="14"/>
          <w:szCs w:val="14"/>
          <w:color w:val="auto"/>
        </w:rPr>
        <w:t>cquisitions</w:t>
      </w:r>
      <w:r>
        <w:rPr>
          <w:rFonts w:ascii="Times New Roman" w:cs="Times New Roman" w:eastAsia="Times New Roman" w:hAnsi="Times New Roman"/>
          <w:sz w:val="22"/>
          <w:szCs w:val="22"/>
          <w:color w:val="auto"/>
        </w:rPr>
        <w:t xml:space="preserve"> II LLC, a Delaware limited</w:t>
      </w:r>
    </w:p>
    <w:p>
      <w:pPr>
        <w:spacing w:after="0" w:line="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CTO Realty Growth, Inc., a Maryland</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corporation, its sole member</w:t>
      </w:r>
    </w:p>
    <w:p>
      <w:pPr>
        <w:spacing w:after="0" w:line="200" w:lineRule="exact"/>
        <w:rPr>
          <w:sz w:val="20"/>
          <w:szCs w:val="20"/>
          <w:color w:val="auto"/>
        </w:rPr>
      </w:pPr>
    </w:p>
    <w:p>
      <w:pPr>
        <w:spacing w:after="0" w:line="310"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w w:val="96"/>
              </w:rPr>
              <w:t>/s/ Daniel E. Smith</w:t>
            </w:r>
          </w:p>
        </w:tc>
        <w:tc>
          <w:tcPr>
            <w:tcW w:w="86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CTO21 AL O</w:t>
      </w:r>
      <w:r>
        <w:rPr>
          <w:rFonts w:ascii="Times New Roman" w:cs="Times New Roman" w:eastAsia="Times New Roman" w:hAnsi="Times New Roman"/>
          <w:sz w:val="14"/>
          <w:szCs w:val="14"/>
          <w:color w:val="auto"/>
        </w:rPr>
        <w:t>utparcel</w:t>
      </w:r>
      <w:r>
        <w:rPr>
          <w:rFonts w:ascii="Times New Roman" w:cs="Times New Roman" w:eastAsia="Times New Roman" w:hAnsi="Times New Roman"/>
          <w:sz w:val="22"/>
          <w:szCs w:val="22"/>
          <w:color w:val="auto"/>
        </w:rPr>
        <w:t xml:space="preserve"> LLC, a Delaware limited</w:t>
      </w:r>
    </w:p>
    <w:p>
      <w:pPr>
        <w:spacing w:after="0" w:line="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CTO Realty Growth, Inc., a Maryland</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corporation, its sole member</w:t>
      </w:r>
    </w:p>
    <w:p>
      <w:pPr>
        <w:spacing w:after="0" w:line="200" w:lineRule="exact"/>
        <w:rPr>
          <w:sz w:val="20"/>
          <w:szCs w:val="20"/>
          <w:color w:val="auto"/>
        </w:rPr>
      </w:pPr>
    </w:p>
    <w:p>
      <w:pPr>
        <w:spacing w:after="0" w:line="310"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w w:val="96"/>
              </w:rPr>
              <w:t>/s/ Daniel E. Smith</w:t>
            </w:r>
          </w:p>
        </w:tc>
        <w:tc>
          <w:tcPr>
            <w:tcW w:w="86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3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CTO21 A</w:t>
      </w:r>
      <w:r>
        <w:rPr>
          <w:rFonts w:ascii="Times New Roman" w:cs="Times New Roman" w:eastAsia="Times New Roman" w:hAnsi="Times New Roman"/>
          <w:sz w:val="14"/>
          <w:szCs w:val="14"/>
          <w:color w:val="auto"/>
        </w:rPr>
        <w:t>pex</w:t>
      </w:r>
      <w:r>
        <w:rPr>
          <w:rFonts w:ascii="Times New Roman" w:cs="Times New Roman" w:eastAsia="Times New Roman" w:hAnsi="Times New Roman"/>
          <w:sz w:val="22"/>
          <w:szCs w:val="22"/>
          <w:color w:val="auto"/>
        </w:rPr>
        <w:t xml:space="preserve"> LLC, a Delaware limited liability</w:t>
      </w:r>
    </w:p>
    <w:p>
      <w:pPr>
        <w:spacing w:after="0" w:line="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company</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CTO Realty Growth, Inc., a Maryland</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corporation, its sole member</w:t>
      </w:r>
    </w:p>
    <w:p>
      <w:pPr>
        <w:spacing w:after="0" w:line="200" w:lineRule="exact"/>
        <w:rPr>
          <w:sz w:val="20"/>
          <w:szCs w:val="20"/>
          <w:color w:val="auto"/>
        </w:rPr>
      </w:pPr>
    </w:p>
    <w:p>
      <w:pPr>
        <w:spacing w:after="0" w:line="323"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w w:val="96"/>
              </w:rPr>
              <w:t>/s/ Daniel E. Smith</w:t>
            </w:r>
          </w:p>
        </w:tc>
        <w:tc>
          <w:tcPr>
            <w:tcW w:w="8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3900" w:type="dxa"/>
            <w:vAlign w:val="bottom"/>
            <w:gridSpan w:val="4"/>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6" w:name="page177"/>
    <w:bookmarkEnd w:id="176"/>
    <w:p>
      <w:pPr>
        <w:ind w:left="4420"/>
        <w:spacing w:after="0"/>
        <w:rPr>
          <w:sz w:val="20"/>
          <w:szCs w:val="20"/>
          <w:color w:val="auto"/>
        </w:rPr>
      </w:pPr>
      <w:r>
        <w:rPr>
          <w:rFonts w:ascii="Times New Roman" w:cs="Times New Roman" w:eastAsia="Times New Roman" w:hAnsi="Times New Roman"/>
          <w:sz w:val="22"/>
          <w:szCs w:val="22"/>
          <w:color w:val="auto"/>
        </w:rPr>
        <w:t>CTO21 B</w:t>
      </w:r>
      <w:r>
        <w:rPr>
          <w:rFonts w:ascii="Times New Roman" w:cs="Times New Roman" w:eastAsia="Times New Roman" w:hAnsi="Times New Roman"/>
          <w:sz w:val="14"/>
          <w:szCs w:val="14"/>
          <w:color w:val="auto"/>
        </w:rPr>
        <w:t>uford</w:t>
      </w:r>
      <w:r>
        <w:rPr>
          <w:rFonts w:ascii="Times New Roman" w:cs="Times New Roman" w:eastAsia="Times New Roman" w:hAnsi="Times New Roman"/>
          <w:sz w:val="22"/>
          <w:szCs w:val="22"/>
          <w:color w:val="auto"/>
        </w:rPr>
        <w:t xml:space="preserve"> 1 LLC, a Delaware limited</w:t>
      </w:r>
    </w:p>
    <w:p>
      <w:pPr>
        <w:spacing w:after="0" w:line="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CTO Realty Growth, Inc., a Maryland</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corporation, its sole member</w:t>
      </w:r>
    </w:p>
    <w:p>
      <w:pPr>
        <w:spacing w:after="0" w:line="200" w:lineRule="exact"/>
        <w:rPr>
          <w:sz w:val="20"/>
          <w:szCs w:val="20"/>
          <w:color w:val="auto"/>
        </w:rPr>
      </w:pPr>
    </w:p>
    <w:p>
      <w:pPr>
        <w:spacing w:after="0" w:line="323"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w w:val="96"/>
              </w:rPr>
              <w:t>/s/ Daniel E. Smith</w:t>
            </w:r>
          </w:p>
        </w:tc>
        <w:tc>
          <w:tcPr>
            <w:tcW w:w="86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50"/>
        </w:trPr>
        <w:tc>
          <w:tcPr>
            <w:tcW w:w="360" w:type="dxa"/>
            <w:vAlign w:val="bottom"/>
          </w:tcPr>
          <w:p>
            <w:pPr>
              <w:spacing w:after="0"/>
              <w:rPr>
                <w:sz w:val="21"/>
                <w:szCs w:val="21"/>
                <w:color w:val="auto"/>
              </w:rPr>
            </w:pPr>
          </w:p>
        </w:tc>
        <w:tc>
          <w:tcPr>
            <w:tcW w:w="3900" w:type="dxa"/>
            <w:vAlign w:val="bottom"/>
            <w:gridSpan w:val="4"/>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3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CTO22 M</w:t>
      </w:r>
      <w:r>
        <w:rPr>
          <w:rFonts w:ascii="Times New Roman" w:cs="Times New Roman" w:eastAsia="Times New Roman" w:hAnsi="Times New Roman"/>
          <w:sz w:val="14"/>
          <w:szCs w:val="14"/>
          <w:color w:val="auto"/>
        </w:rPr>
        <w:t>adison</w:t>
      </w:r>
      <w:r>
        <w:rPr>
          <w:rFonts w:ascii="Times New Roman" w:cs="Times New Roman" w:eastAsia="Times New Roman" w:hAnsi="Times New Roman"/>
          <w:sz w:val="22"/>
          <w:szCs w:val="22"/>
          <w:color w:val="auto"/>
        </w:rPr>
        <w:t xml:space="preserve"> Y</w:t>
      </w:r>
      <w:r>
        <w:rPr>
          <w:rFonts w:ascii="Times New Roman" w:cs="Times New Roman" w:eastAsia="Times New Roman" w:hAnsi="Times New Roman"/>
          <w:sz w:val="14"/>
          <w:szCs w:val="14"/>
          <w:color w:val="auto"/>
        </w:rPr>
        <w:t>ards</w:t>
      </w:r>
      <w:r>
        <w:rPr>
          <w:rFonts w:ascii="Times New Roman" w:cs="Times New Roman" w:eastAsia="Times New Roman" w:hAnsi="Times New Roman"/>
          <w:sz w:val="22"/>
          <w:szCs w:val="22"/>
          <w:color w:val="auto"/>
        </w:rPr>
        <w:t xml:space="preserve"> LLC, a Delaware limited</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CTO Realty Growth, Inc., a Maryland</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corporation, its sole member</w:t>
      </w:r>
    </w:p>
    <w:p>
      <w:pPr>
        <w:spacing w:after="0" w:line="200" w:lineRule="exact"/>
        <w:rPr>
          <w:sz w:val="20"/>
          <w:szCs w:val="20"/>
          <w:color w:val="auto"/>
        </w:rPr>
      </w:pPr>
    </w:p>
    <w:p>
      <w:pPr>
        <w:spacing w:after="0" w:line="323"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w w:val="96"/>
              </w:rPr>
              <w:t>/s/ Daniel E. Smith</w:t>
            </w:r>
          </w:p>
        </w:tc>
        <w:tc>
          <w:tcPr>
            <w:tcW w:w="86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50"/>
        </w:trPr>
        <w:tc>
          <w:tcPr>
            <w:tcW w:w="360" w:type="dxa"/>
            <w:vAlign w:val="bottom"/>
          </w:tcPr>
          <w:p>
            <w:pPr>
              <w:spacing w:after="0"/>
              <w:rPr>
                <w:sz w:val="21"/>
                <w:szCs w:val="21"/>
                <w:color w:val="auto"/>
              </w:rPr>
            </w:pPr>
          </w:p>
        </w:tc>
        <w:tc>
          <w:tcPr>
            <w:tcW w:w="3900" w:type="dxa"/>
            <w:vAlign w:val="bottom"/>
            <w:gridSpan w:val="4"/>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CTO23 R</w:t>
      </w:r>
      <w:r>
        <w:rPr>
          <w:rFonts w:ascii="Times New Roman" w:cs="Times New Roman" w:eastAsia="Times New Roman" w:hAnsi="Times New Roman"/>
          <w:sz w:val="14"/>
          <w:szCs w:val="14"/>
          <w:color w:val="auto"/>
        </w:rPr>
        <w:t>ockwall</w:t>
      </w:r>
      <w:r>
        <w:rPr>
          <w:rFonts w:ascii="Times New Roman" w:cs="Times New Roman" w:eastAsia="Times New Roman" w:hAnsi="Times New Roman"/>
          <w:sz w:val="22"/>
          <w:szCs w:val="22"/>
          <w:color w:val="auto"/>
        </w:rPr>
        <w:t xml:space="preserve"> LLC, a Delaware limited</w:t>
      </w:r>
    </w:p>
    <w:p>
      <w:pPr>
        <w:spacing w:after="0" w:line="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23"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CTO Realty Growth, Inc., a Maryland</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corporation, its sole member</w:t>
      </w:r>
    </w:p>
    <w:p>
      <w:pPr>
        <w:spacing w:after="0" w:line="200" w:lineRule="exact"/>
        <w:rPr>
          <w:sz w:val="20"/>
          <w:szCs w:val="20"/>
          <w:color w:val="auto"/>
        </w:rPr>
      </w:pPr>
    </w:p>
    <w:p>
      <w:pPr>
        <w:spacing w:after="0" w:line="323"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w w:val="96"/>
              </w:rPr>
              <w:t>/s/ Daniel E. Smith</w:t>
            </w:r>
          </w:p>
        </w:tc>
        <w:tc>
          <w:tcPr>
            <w:tcW w:w="8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3900" w:type="dxa"/>
            <w:vAlign w:val="bottom"/>
            <w:gridSpan w:val="4"/>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60" w:type="dxa"/>
            <w:vAlign w:val="bottom"/>
          </w:tcPr>
          <w:p>
            <w:pPr>
              <w:spacing w:after="0"/>
              <w:rPr>
                <w:sz w:val="21"/>
                <w:szCs w:val="21"/>
                <w:color w:val="auto"/>
              </w:rPr>
            </w:pPr>
          </w:p>
        </w:tc>
        <w:tc>
          <w:tcPr>
            <w:tcW w:w="39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7" w:name="page178"/>
    <w:bookmarkEnd w:id="177"/>
    <w:p>
      <w:pPr>
        <w:ind w:left="4420"/>
        <w:spacing w:after="0"/>
        <w:rPr>
          <w:sz w:val="20"/>
          <w:szCs w:val="20"/>
          <w:color w:val="auto"/>
        </w:rPr>
      </w:pPr>
      <w:r>
        <w:rPr>
          <w:rFonts w:ascii="Times New Roman" w:cs="Times New Roman" w:eastAsia="Times New Roman" w:hAnsi="Times New Roman"/>
          <w:sz w:val="22"/>
          <w:szCs w:val="22"/>
          <w:color w:val="auto"/>
        </w:rPr>
        <w:t>CTO22 S</w:t>
      </w:r>
      <w:r>
        <w:rPr>
          <w:rFonts w:ascii="Times New Roman" w:cs="Times New Roman" w:eastAsia="Times New Roman" w:hAnsi="Times New Roman"/>
          <w:sz w:val="14"/>
          <w:szCs w:val="14"/>
          <w:color w:val="auto"/>
        </w:rPr>
        <w:t>hort</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ump</w:t>
      </w:r>
      <w:r>
        <w:rPr>
          <w:rFonts w:ascii="Times New Roman" w:cs="Times New Roman" w:eastAsia="Times New Roman" w:hAnsi="Times New Roman"/>
          <w:sz w:val="22"/>
          <w:szCs w:val="22"/>
          <w:color w:val="auto"/>
        </w:rPr>
        <w:t xml:space="preserve"> LLC, a Delaware limited</w:t>
      </w:r>
    </w:p>
    <w:p>
      <w:pPr>
        <w:spacing w:after="0" w:line="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23"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CTO Realty Growth, Inc., a Maryland</w:t>
      </w:r>
    </w:p>
    <w:p>
      <w:pPr>
        <w:spacing w:after="0" w:line="28" w:lineRule="exact"/>
        <w:rPr>
          <w:sz w:val="20"/>
          <w:szCs w:val="20"/>
          <w:color w:val="auto"/>
        </w:rPr>
      </w:pPr>
    </w:p>
    <w:tbl>
      <w:tblPr>
        <w:tblLayout w:type="fixed"/>
        <w:tblInd w:w="442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corporation, its sole member</w:t>
            </w:r>
          </w:p>
        </w:tc>
      </w:tr>
      <w:tr>
        <w:trPr>
          <w:trHeight w:val="74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0" w:type="dxa"/>
            <w:vAlign w:val="bottom"/>
          </w:tcPr>
          <w:p>
            <w:pPr>
              <w:spacing w:after="0"/>
              <w:rPr>
                <w:sz w:val="24"/>
                <w:szCs w:val="24"/>
                <w:color w:val="auto"/>
              </w:rPr>
            </w:pPr>
          </w:p>
        </w:tc>
        <w:tc>
          <w:tcPr>
            <w:tcW w:w="386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3900" w:type="dxa"/>
            <w:vAlign w:val="bottom"/>
            <w:gridSpan w:val="5"/>
          </w:tcPr>
          <w:p>
            <w:pPr>
              <w:spacing w:after="0" w:line="249" w:lineRule="exact"/>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20" w:type="dxa"/>
            <w:vAlign w:val="bottom"/>
          </w:tcPr>
          <w:p>
            <w:pPr>
              <w:spacing w:after="0"/>
              <w:rPr>
                <w:sz w:val="21"/>
                <w:szCs w:val="21"/>
                <w:color w:val="auto"/>
              </w:rPr>
            </w:pPr>
          </w:p>
        </w:tc>
        <w:tc>
          <w:tcPr>
            <w:tcW w:w="390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CTO22 F</w:t>
      </w:r>
      <w:r>
        <w:rPr>
          <w:rFonts w:ascii="Times New Roman" w:cs="Times New Roman" w:eastAsia="Times New Roman" w:hAnsi="Times New Roman"/>
          <w:sz w:val="14"/>
          <w:szCs w:val="14"/>
          <w:color w:val="auto"/>
        </w:rPr>
        <w:t>orsyth</w:t>
      </w:r>
      <w:r>
        <w:rPr>
          <w:rFonts w:ascii="Times New Roman" w:cs="Times New Roman" w:eastAsia="Times New Roman" w:hAnsi="Times New Roman"/>
          <w:sz w:val="22"/>
          <w:szCs w:val="22"/>
          <w:color w:val="auto"/>
        </w:rPr>
        <w:t xml:space="preserve"> LLC, a Delaware limited liability</w:t>
      </w:r>
    </w:p>
    <w:p>
      <w:pPr>
        <w:spacing w:after="0" w:line="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company</w:t>
      </w:r>
    </w:p>
    <w:p>
      <w:pPr>
        <w:spacing w:after="0" w:line="223"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CTO Realty Growth, Inc., a Maryland</w:t>
      </w:r>
    </w:p>
    <w:p>
      <w:pPr>
        <w:spacing w:after="0" w:line="28" w:lineRule="exact"/>
        <w:rPr>
          <w:sz w:val="20"/>
          <w:szCs w:val="20"/>
          <w:color w:val="auto"/>
        </w:rPr>
      </w:pPr>
    </w:p>
    <w:tbl>
      <w:tblPr>
        <w:tblLayout w:type="fixed"/>
        <w:tblInd w:w="442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corporation, its sole member</w:t>
            </w:r>
          </w:p>
        </w:tc>
      </w:tr>
      <w:tr>
        <w:trPr>
          <w:trHeight w:val="74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0" w:type="dxa"/>
            <w:vAlign w:val="bottom"/>
          </w:tcPr>
          <w:p>
            <w:pPr>
              <w:spacing w:after="0"/>
              <w:rPr>
                <w:sz w:val="24"/>
                <w:szCs w:val="24"/>
                <w:color w:val="auto"/>
              </w:rPr>
            </w:pPr>
          </w:p>
        </w:tc>
        <w:tc>
          <w:tcPr>
            <w:tcW w:w="386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20" w:type="dxa"/>
            <w:vAlign w:val="bottom"/>
          </w:tcPr>
          <w:p>
            <w:pPr>
              <w:spacing w:after="0"/>
              <w:rPr>
                <w:sz w:val="21"/>
                <w:szCs w:val="21"/>
                <w:color w:val="auto"/>
              </w:rPr>
            </w:pPr>
          </w:p>
        </w:tc>
        <w:tc>
          <w:tcPr>
            <w:tcW w:w="390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DB M</w:t>
      </w:r>
      <w:r>
        <w:rPr>
          <w:rFonts w:ascii="Times New Roman" w:cs="Times New Roman" w:eastAsia="Times New Roman" w:hAnsi="Times New Roman"/>
          <w:sz w:val="14"/>
          <w:szCs w:val="14"/>
          <w:color w:val="auto"/>
        </w:rPr>
        <w:t>ain</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treet</w:t>
      </w:r>
      <w:r>
        <w:rPr>
          <w:rFonts w:ascii="Times New Roman" w:cs="Times New Roman" w:eastAsia="Times New Roman" w:hAnsi="Times New Roman"/>
          <w:sz w:val="22"/>
          <w:szCs w:val="22"/>
          <w:color w:val="auto"/>
        </w:rPr>
        <w:t xml:space="preserve"> LLC, a Delaware limited</w:t>
      </w:r>
    </w:p>
    <w:p>
      <w:pPr>
        <w:spacing w:after="0" w:line="1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23"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CTO Realty Growth, Inc., a Maryland</w:t>
      </w:r>
    </w:p>
    <w:p>
      <w:pPr>
        <w:spacing w:after="0" w:line="28" w:lineRule="exact"/>
        <w:rPr>
          <w:sz w:val="20"/>
          <w:szCs w:val="20"/>
          <w:color w:val="auto"/>
        </w:rPr>
      </w:pPr>
    </w:p>
    <w:tbl>
      <w:tblPr>
        <w:tblLayout w:type="fixed"/>
        <w:tblInd w:w="442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corporation, its sole member</w:t>
            </w:r>
          </w:p>
        </w:tc>
      </w:tr>
      <w:tr>
        <w:trPr>
          <w:trHeight w:val="74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0" w:type="dxa"/>
            <w:vAlign w:val="bottom"/>
          </w:tcPr>
          <w:p>
            <w:pPr>
              <w:spacing w:after="0"/>
              <w:rPr>
                <w:sz w:val="24"/>
                <w:szCs w:val="24"/>
                <w:color w:val="auto"/>
              </w:rPr>
            </w:pPr>
          </w:p>
        </w:tc>
        <w:tc>
          <w:tcPr>
            <w:tcW w:w="386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20" w:type="dxa"/>
            <w:vAlign w:val="bottom"/>
          </w:tcPr>
          <w:p>
            <w:pPr>
              <w:spacing w:after="0"/>
              <w:rPr>
                <w:sz w:val="21"/>
                <w:szCs w:val="21"/>
                <w:color w:val="auto"/>
              </w:rPr>
            </w:pPr>
          </w:p>
        </w:tc>
        <w:tc>
          <w:tcPr>
            <w:tcW w:w="390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8" w:name="page179"/>
    <w:bookmarkEnd w:id="178"/>
    <w:p>
      <w:pPr>
        <w:jc w:val="right"/>
        <w:ind w:right="379"/>
        <w:spacing w:after="0"/>
        <w:rPr>
          <w:sz w:val="20"/>
          <w:szCs w:val="20"/>
          <w:color w:val="auto"/>
        </w:rPr>
      </w:pPr>
      <w:r>
        <w:rPr>
          <w:rFonts w:ascii="Times New Roman" w:cs="Times New Roman" w:eastAsia="Times New Roman" w:hAnsi="Times New Roman"/>
          <w:sz w:val="22"/>
          <w:szCs w:val="22"/>
          <w:color w:val="auto"/>
        </w:rPr>
        <w:t>CTO24 MSTC LLC, a Delaware limited liability</w:t>
      </w:r>
    </w:p>
    <w:p>
      <w:pPr>
        <w:spacing w:after="0" w:line="14" w:lineRule="exact"/>
        <w:rPr>
          <w:sz w:val="20"/>
          <w:szCs w:val="20"/>
          <w:color w:val="auto"/>
        </w:rPr>
      </w:pPr>
    </w:p>
    <w:tbl>
      <w:tblPr>
        <w:tblLayout w:type="fixed"/>
        <w:tblInd w:w="442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company</w:t>
            </w:r>
          </w:p>
        </w:tc>
      </w:tr>
      <w:tr>
        <w:trPr>
          <w:trHeight w:val="693"/>
        </w:trPr>
        <w:tc>
          <w:tcPr>
            <w:tcW w:w="42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CTO Realty Growth, Inc., a Maryland</w:t>
            </w:r>
          </w:p>
        </w:tc>
      </w:tr>
      <w:tr>
        <w:trPr>
          <w:trHeight w:val="282"/>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corporation, its sole member</w:t>
            </w:r>
          </w:p>
        </w:tc>
      </w:tr>
      <w:tr>
        <w:trPr>
          <w:trHeight w:val="771"/>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0" w:type="dxa"/>
            <w:vAlign w:val="bottom"/>
          </w:tcPr>
          <w:p>
            <w:pPr>
              <w:spacing w:after="0"/>
              <w:rPr>
                <w:sz w:val="24"/>
                <w:szCs w:val="24"/>
                <w:color w:val="auto"/>
              </w:rPr>
            </w:pPr>
          </w:p>
        </w:tc>
        <w:tc>
          <w:tcPr>
            <w:tcW w:w="386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/s/ Daniel E. Smith</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Name: Daniel E. Smith</w:t>
            </w:r>
          </w:p>
        </w:tc>
      </w:tr>
      <w:tr>
        <w:trPr>
          <w:trHeight w:val="243"/>
        </w:trPr>
        <w:tc>
          <w:tcPr>
            <w:tcW w:w="320" w:type="dxa"/>
            <w:vAlign w:val="bottom"/>
          </w:tcPr>
          <w:p>
            <w:pPr>
              <w:spacing w:after="0"/>
              <w:rPr>
                <w:sz w:val="21"/>
                <w:szCs w:val="21"/>
                <w:color w:val="auto"/>
              </w:rPr>
            </w:pPr>
          </w:p>
        </w:tc>
        <w:tc>
          <w:tcPr>
            <w:tcW w:w="390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w w:val="99"/>
              </w:rPr>
              <w:t>Title:  SVP, General Counsel and Corporate</w:t>
            </w:r>
          </w:p>
        </w:tc>
      </w:tr>
      <w:tr>
        <w:trPr>
          <w:trHeight w:val="282"/>
        </w:trPr>
        <w:tc>
          <w:tcPr>
            <w:tcW w:w="3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Secretary; Director</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518795</wp:posOffset>
            </wp:positionV>
            <wp:extent cx="545211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ectPr>
          <w:pgSz w:w="11900" w:h="16838" w:orient="portrait"/>
          <w:cols w:equalWidth="0" w:num="1">
            <w:col w:w="9019"/>
          </w:cols>
          <w:pgMar w:left="1440" w:top="891" w:right="1440"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669925</wp:posOffset>
            </wp:positionV>
            <wp:extent cx="545211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orrowing</w:t>
      </w:r>
    </w:p>
    <w:p>
      <w:pPr>
        <w:ind w:left="760"/>
        <w:spacing w:after="0"/>
        <w:tabs>
          <w:tab w:leader="none" w:pos="6300" w:val="left"/>
          <w:tab w:leader="none" w:pos="8240" w:val="left"/>
        </w:tabs>
        <w:rPr>
          <w:sz w:val="20"/>
          <w:szCs w:val="20"/>
          <w:color w:val="auto"/>
        </w:rPr>
      </w:pPr>
      <w:r>
        <w:rPr>
          <w:rFonts w:ascii="Times New Roman" w:cs="Times New Roman" w:eastAsia="Times New Roman" w:hAnsi="Times New Roman"/>
          <w:sz w:val="43"/>
          <w:szCs w:val="43"/>
          <w:i w:val="1"/>
          <w:iCs w:val="1"/>
          <w:color w:val="auto"/>
          <w:vertAlign w:val="superscript"/>
        </w:rPr>
        <w:t>‌</w:t>
      </w:r>
      <w:r>
        <w:rPr>
          <w:sz w:val="20"/>
          <w:szCs w:val="20"/>
          <w:color w:val="auto"/>
        </w:rPr>
        <w:tab/>
      </w: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-132080</wp:posOffset>
            </wp:positionV>
            <wp:extent cx="510032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5100320" cy="154305"/>
                    </a:xfrm>
                    <a:prstGeom prst="rect">
                      <a:avLst/>
                    </a:prstGeom>
                    <a:noFill/>
                  </pic:spPr>
                </pic:pic>
              </a:graphicData>
            </a:graphic>
          </wp:anchor>
        </w:drawing>
      </w:r>
    </w:p>
    <w:p>
      <w:pPr>
        <w:spacing w:after="0" w:line="208" w:lineRule="exact"/>
        <w:rPr>
          <w:sz w:val="20"/>
          <w:szCs w:val="20"/>
          <w:color w:val="auto"/>
        </w:rPr>
      </w:pPr>
    </w:p>
    <w:p>
      <w:pPr>
        <w:jc w:val="both"/>
        <w:ind w:left="760" w:right="219" w:hanging="559"/>
        <w:spacing w:after="0"/>
        <w:tabs>
          <w:tab w:leader="none" w:pos="740" w:val="left"/>
        </w:tabs>
        <w:rPr>
          <w:sz w:val="20"/>
          <w:szCs w:val="20"/>
          <w:color w:val="auto"/>
        </w:rPr>
      </w:pPr>
      <w:r>
        <w:rPr>
          <w:rFonts w:ascii="Times New Roman" w:cs="Times New Roman" w:eastAsia="Times New Roman" w:hAnsi="Times New Roman"/>
          <w:sz w:val="22"/>
          <w:szCs w:val="22"/>
          <w:color w:val="auto"/>
        </w:rPr>
        <w:t>To:</w:t>
        <w:tab/>
        <w:t>KeyBank National Association, as Administrative Agent for the Lenders from time to time parties to the Credit Agreement dated as of September 30, 2024 (as extended, renewed, amended or restated from time to time, the “Credit Agreement”), among CTO R</w:t>
      </w:r>
      <w:r>
        <w:rPr>
          <w:rFonts w:ascii="Times New Roman" w:cs="Times New Roman" w:eastAsia="Times New Roman" w:hAnsi="Times New Roman"/>
          <w:sz w:val="14"/>
          <w:szCs w:val="14"/>
          <w:color w:val="auto"/>
        </w:rPr>
        <w:t>ealty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certain Guarantors which are signatories thereto, certain Lenders which are from time to time parties thereto, and KeyBank National Association, as Administrative Agent</w:t>
      </w: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The undersigned, CTO Realty Growth, Inc. (the “Borrower”), refers to the Credit Agreement, the terms defined therein being used herein as therein defined, and hereby gives you notice irrevocably, pursuant to Section 1.6 of the Credit Agreement, of the Borrowing specified below:</w:t>
      </w:r>
    </w:p>
    <w:p>
      <w:pPr>
        <w:spacing w:after="0" w:line="180" w:lineRule="exact"/>
        <w:rPr>
          <w:sz w:val="20"/>
          <w:szCs w:val="20"/>
          <w:color w:val="auto"/>
        </w:rPr>
      </w:pPr>
    </w:p>
    <w:p>
      <w:pPr>
        <w:ind w:left="2160" w:hanging="493"/>
        <w:spacing w:after="0"/>
        <w:tabs>
          <w:tab w:leader="none" w:pos="21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Day of the proposed Borrowing is ___________, ____.</w:t>
      </w:r>
    </w:p>
    <w:p>
      <w:pPr>
        <w:spacing w:after="0" w:line="206"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proposed Borrowing is $______________.</w:t>
      </w:r>
    </w:p>
    <w:p>
      <w:pPr>
        <w:spacing w:after="0" w:line="202" w:lineRule="exact"/>
        <w:rPr>
          <w:rFonts w:ascii="Times New Roman" w:cs="Times New Roman" w:eastAsia="Times New Roman" w:hAnsi="Times New Roman"/>
          <w:sz w:val="22"/>
          <w:szCs w:val="22"/>
          <w:color w:val="auto"/>
        </w:rPr>
      </w:pPr>
    </w:p>
    <w:p>
      <w:pPr>
        <w:ind w:left="860" w:right="219" w:firstLine="807"/>
        <w:spacing w:after="0" w:line="262" w:lineRule="auto"/>
        <w:tabs>
          <w:tab w:leader="none" w:pos="215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is being advanced as a</w:t>
      </w:r>
      <w:r>
        <w:rPr>
          <w:rFonts w:ascii="Times New Roman" w:cs="Times New Roman" w:eastAsia="Times New Roman" w:hAnsi="Times New Roman"/>
          <w:sz w:val="22"/>
          <w:szCs w:val="22"/>
          <w:b w:val="1"/>
          <w:bCs w:val="1"/>
          <w:color w:val="auto"/>
        </w:rPr>
        <w:t>[n] [2029][Incremental]</w:t>
      </w:r>
      <w:r>
        <w:rPr>
          <w:rFonts w:ascii="Times New Roman" w:cs="Times New Roman" w:eastAsia="Times New Roman" w:hAnsi="Times New Roman"/>
          <w:sz w:val="22"/>
          <w:szCs w:val="22"/>
          <w:color w:val="auto"/>
        </w:rPr>
        <w:t xml:space="preserve"> Term Loan [</w:t>
      </w:r>
      <w:r>
        <w:rPr>
          <w:rFonts w:ascii="Times New Roman" w:cs="Times New Roman" w:eastAsia="Times New Roman" w:hAnsi="Times New Roman"/>
          <w:sz w:val="22"/>
          <w:szCs w:val="22"/>
          <w:b w:val="1"/>
          <w:bCs w:val="1"/>
          <w:color w:val="auto"/>
        </w:rPr>
        <w:t>Incremental Revolving Loan</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860" w:right="219" w:firstLine="807"/>
        <w:spacing w:after="0" w:line="262" w:lineRule="auto"/>
        <w:tabs>
          <w:tab w:leader="none" w:pos="215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Borrowing is to be comprised of $___________ of </w:t>
      </w:r>
      <w:r>
        <w:rPr>
          <w:rFonts w:ascii="Times New Roman" w:cs="Times New Roman" w:eastAsia="Times New Roman" w:hAnsi="Times New Roman"/>
          <w:sz w:val="22"/>
          <w:szCs w:val="22"/>
          <w:b w:val="1"/>
          <w:bCs w:val="1"/>
          <w:color w:val="auto"/>
        </w:rPr>
        <w:t>[Base Rate] [Daily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Simple SOFR][Term SOFR] </w:t>
      </w:r>
      <w:r>
        <w:rPr>
          <w:rFonts w:ascii="Times New Roman" w:cs="Times New Roman" w:eastAsia="Times New Roman" w:hAnsi="Times New Roman"/>
          <w:sz w:val="22"/>
          <w:szCs w:val="22"/>
          <w:color w:val="auto"/>
        </w:rPr>
        <w:t>Loans.</w:t>
      </w:r>
    </w:p>
    <w:p>
      <w:pPr>
        <w:spacing w:after="0" w:line="150" w:lineRule="exact"/>
        <w:rPr>
          <w:sz w:val="20"/>
          <w:szCs w:val="20"/>
          <w:color w:val="auto"/>
        </w:rPr>
      </w:pPr>
    </w:p>
    <w:p>
      <w:pPr>
        <w:ind w:left="860" w:right="219" w:firstLine="738"/>
        <w:spacing w:after="0" w:line="262" w:lineRule="auto"/>
        <w:rPr>
          <w:sz w:val="20"/>
          <w:szCs w:val="20"/>
          <w:color w:val="auto"/>
        </w:rPr>
      </w:pPr>
      <w:r>
        <w:rPr>
          <w:rFonts w:ascii="Times New Roman" w:cs="Times New Roman" w:eastAsia="Times New Roman" w:hAnsi="Times New Roman"/>
          <w:sz w:val="22"/>
          <w:szCs w:val="22"/>
          <w:b w:val="1"/>
          <w:bCs w:val="1"/>
          <w:color w:val="auto"/>
        </w:rPr>
        <w:t>[5. The duration of the Interest Period for the Term SOFR Rate Loans included in the Borrowing shall be ____________ months.]</w:t>
      </w:r>
    </w:p>
    <w:p>
      <w:pPr>
        <w:spacing w:after="0" w:line="15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undersigned hereby certifies that the following statements are true on the date hereof, and will be true on the date of the proposed Borrowing, before and after giving effect thereto and to the application of the proceeds therefrom:</w:t>
      </w:r>
    </w:p>
    <w:p>
      <w:pPr>
        <w:spacing w:after="0" w:line="173" w:lineRule="exact"/>
        <w:rPr>
          <w:sz w:val="20"/>
          <w:szCs w:val="20"/>
          <w:color w:val="auto"/>
        </w:rPr>
      </w:pPr>
    </w:p>
    <w:p>
      <w:pPr>
        <w:jc w:val="both"/>
        <w:ind w:left="860" w:right="219" w:firstLine="729"/>
        <w:spacing w:after="0" w:line="239" w:lineRule="auto"/>
        <w:tabs>
          <w:tab w:leader="none" w:pos="215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and</w:t>
      </w:r>
    </w:p>
    <w:p>
      <w:pPr>
        <w:spacing w:after="0" w:line="180" w:lineRule="exact"/>
        <w:rPr>
          <w:rFonts w:ascii="Times New Roman" w:cs="Times New Roman" w:eastAsia="Times New Roman" w:hAnsi="Times New Roman"/>
          <w:sz w:val="22"/>
          <w:szCs w:val="22"/>
          <w:color w:val="auto"/>
        </w:rPr>
      </w:pPr>
    </w:p>
    <w:p>
      <w:pPr>
        <w:ind w:left="860" w:right="219" w:firstLine="717"/>
        <w:spacing w:after="0" w:line="258" w:lineRule="auto"/>
        <w:tabs>
          <w:tab w:leader="none" w:pos="215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 or would result from such proposed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1352550</wp:posOffset>
            </wp:positionV>
            <wp:extent cx="545211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1" w:name="page182"/>
    <w:bookmarkEnd w:id="181"/>
    <w:p>
      <w:pPr>
        <w:jc w:val="right"/>
        <w:ind w:right="2399"/>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-31115</wp:posOffset>
            </wp:positionV>
            <wp:extent cx="20402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-31115</wp:posOffset>
            </wp:positionV>
            <wp:extent cx="2100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2"/>
          <w:szCs w:val="12"/>
          <w:i w:val="1"/>
          <w:iCs w:val="1"/>
          <w:color w:val="auto"/>
        </w:rPr>
        <w:t>otice of</w:t>
      </w:r>
      <w:r>
        <w:rPr>
          <w:rFonts w:ascii="Times New Roman" w:cs="Times New Roman" w:eastAsia="Times New Roman" w:hAnsi="Times New Roman"/>
          <w:sz w:val="18"/>
          <w:szCs w:val="18"/>
          <w:i w:val="1"/>
          <w:iCs w:val="1"/>
          <w:color w:val="auto"/>
        </w:rPr>
        <w:t xml:space="preserve"> B</w:t>
      </w:r>
      <w:r>
        <w:rPr>
          <w:rFonts w:ascii="Times New Roman" w:cs="Times New Roman" w:eastAsia="Times New Roman" w:hAnsi="Times New Roman"/>
          <w:sz w:val="12"/>
          <w:szCs w:val="12"/>
          <w:i w:val="1"/>
          <w:iCs w:val="1"/>
          <w:color w:val="auto"/>
        </w:rPr>
        <w:t>orrowing</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501650</wp:posOffset>
            </wp:positionV>
            <wp:extent cx="5452110"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ontinuation</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onversion</w:t>
      </w:r>
    </w:p>
    <w:p>
      <w:pPr>
        <w:spacing w:after="0" w:line="21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color w:val="auto"/>
        </w:rPr>
        <w:t>Date: ____________, ____</w:t>
      </w:r>
    </w:p>
    <w:p>
      <w:pPr>
        <w:spacing w:after="0" w:line="206" w:lineRule="exact"/>
        <w:rPr>
          <w:sz w:val="20"/>
          <w:szCs w:val="20"/>
          <w:color w:val="auto"/>
        </w:rPr>
      </w:pPr>
    </w:p>
    <w:p>
      <w:pPr>
        <w:jc w:val="both"/>
        <w:ind w:left="700" w:right="219" w:hanging="491"/>
        <w:spacing w:after="0" w:line="236" w:lineRule="auto"/>
        <w:tabs>
          <w:tab w:leader="none" w:pos="680" w:val="left"/>
        </w:tabs>
        <w:rPr>
          <w:sz w:val="20"/>
          <w:szCs w:val="20"/>
          <w:color w:val="auto"/>
        </w:rPr>
      </w:pPr>
      <w:r>
        <w:rPr>
          <w:rFonts w:ascii="Times New Roman" w:cs="Times New Roman" w:eastAsia="Times New Roman" w:hAnsi="Times New Roman"/>
          <w:sz w:val="22"/>
          <w:szCs w:val="22"/>
          <w:color w:val="auto"/>
        </w:rPr>
        <w:t>To:</w:t>
        <w:tab/>
        <w:t>KeyBank National Association, as Administrative Agent for the Lenders from time to time parties to the Credit Agreement dated as of September 30, 2024 (as extended, renewed, amended or restated from time to time, the “Credit Agreement”) among CTO Realty Growth, Inc., certain Guarantors which are from time to time signatories thereto, certain Lenders which are from time to time parties thereto, and KeyBank National Association, as Administrative Agent</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The undersigned, CTO Realty Growth, Inc. (the “Borrower”), refers to the Credit Agreement, the terms defined therein being used herein as therein defined, and hereby gives you notice irrevocably, pursuant to Section 1.6 of the Credit Agreement, of the </w:t>
      </w:r>
      <w:r>
        <w:rPr>
          <w:rFonts w:ascii="Times New Roman" w:cs="Times New Roman" w:eastAsia="Times New Roman" w:hAnsi="Times New Roman"/>
          <w:sz w:val="22"/>
          <w:szCs w:val="22"/>
          <w:b w:val="1"/>
          <w:bCs w:val="1"/>
          <w:color w:val="auto"/>
        </w:rPr>
        <w:t>[conversion]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[continuation] </w:t>
      </w:r>
      <w:r>
        <w:rPr>
          <w:rFonts w:ascii="Times New Roman" w:cs="Times New Roman" w:eastAsia="Times New Roman" w:hAnsi="Times New Roman"/>
          <w:sz w:val="22"/>
          <w:szCs w:val="22"/>
          <w:color w:val="auto"/>
        </w:rPr>
        <w:t>of the Loans specified herein, that:</w:t>
      </w:r>
    </w:p>
    <w:p>
      <w:pPr>
        <w:spacing w:after="0" w:line="153" w:lineRule="exact"/>
        <w:rPr>
          <w:sz w:val="20"/>
          <w:szCs w:val="20"/>
          <w:color w:val="auto"/>
        </w:rPr>
      </w:pPr>
    </w:p>
    <w:p>
      <w:pPr>
        <w:ind w:left="2160" w:hanging="493"/>
        <w:spacing w:after="0"/>
        <w:tabs>
          <w:tab w:leader="none" w:pos="21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conversion/continuation Date is __________, ____.</w:t>
      </w:r>
    </w:p>
    <w:p>
      <w:pPr>
        <w:spacing w:after="0" w:line="188" w:lineRule="exact"/>
        <w:rPr>
          <w:rFonts w:ascii="Times New Roman" w:cs="Times New Roman" w:eastAsia="Times New Roman" w:hAnsi="Times New Roman"/>
          <w:sz w:val="22"/>
          <w:szCs w:val="22"/>
          <w:color w:val="auto"/>
        </w:rPr>
      </w:pPr>
    </w:p>
    <w:p>
      <w:pPr>
        <w:ind w:left="860" w:right="219" w:firstLine="807"/>
        <w:spacing w:after="0" w:line="262" w:lineRule="auto"/>
        <w:tabs>
          <w:tab w:leader="none" w:pos="215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the </w:t>
      </w:r>
      <w:r>
        <w:rPr>
          <w:rFonts w:ascii="Times New Roman" w:cs="Times New Roman" w:eastAsia="Times New Roman" w:hAnsi="Times New Roman"/>
          <w:sz w:val="22"/>
          <w:szCs w:val="22"/>
          <w:b w:val="1"/>
          <w:bCs w:val="1"/>
          <w:color w:val="auto"/>
        </w:rPr>
        <w:t>[2029][Incremental]</w:t>
      </w:r>
      <w:r>
        <w:rPr>
          <w:rFonts w:ascii="Times New Roman" w:cs="Times New Roman" w:eastAsia="Times New Roman" w:hAnsi="Times New Roman"/>
          <w:sz w:val="22"/>
          <w:szCs w:val="22"/>
          <w:color w:val="auto"/>
        </w:rPr>
        <w:t xml:space="preserve"> Term Loans [</w:t>
      </w:r>
      <w:r>
        <w:rPr>
          <w:rFonts w:ascii="Times New Roman" w:cs="Times New Roman" w:eastAsia="Times New Roman" w:hAnsi="Times New Roman"/>
          <w:sz w:val="22"/>
          <w:szCs w:val="22"/>
          <w:b w:val="1"/>
          <w:bCs w:val="1"/>
          <w:color w:val="auto"/>
        </w:rPr>
        <w:t>Incremental Revolving Loans</w:t>
      </w:r>
      <w:r>
        <w:rPr>
          <w:rFonts w:ascii="Times New Roman" w:cs="Times New Roman" w:eastAsia="Times New Roman" w:hAnsi="Times New Roman"/>
          <w:sz w:val="22"/>
          <w:szCs w:val="22"/>
          <w:color w:val="auto"/>
        </w:rPr>
        <w:t xml:space="preserve">] to be </w:t>
      </w:r>
      <w:r>
        <w:rPr>
          <w:rFonts w:ascii="Times New Roman" w:cs="Times New Roman" w:eastAsia="Times New Roman" w:hAnsi="Times New Roman"/>
          <w:sz w:val="22"/>
          <w:szCs w:val="22"/>
          <w:b w:val="1"/>
          <w:bCs w:val="1"/>
          <w:color w:val="auto"/>
        </w:rPr>
        <w:t>[converted] [continued]</w:t>
      </w:r>
      <w:r>
        <w:rPr>
          <w:rFonts w:ascii="Times New Roman" w:cs="Times New Roman" w:eastAsia="Times New Roman" w:hAnsi="Times New Roman"/>
          <w:sz w:val="22"/>
          <w:szCs w:val="22"/>
          <w:color w:val="auto"/>
        </w:rPr>
        <w:t xml:space="preserve"> is $______________.</w:t>
      </w:r>
    </w:p>
    <w:p>
      <w:pPr>
        <w:spacing w:after="0" w:line="136" w:lineRule="exact"/>
        <w:rPr>
          <w:rFonts w:ascii="Times New Roman" w:cs="Times New Roman" w:eastAsia="Times New Roman" w:hAnsi="Times New Roman"/>
          <w:sz w:val="22"/>
          <w:szCs w:val="22"/>
          <w:color w:val="auto"/>
        </w:rPr>
      </w:pPr>
    </w:p>
    <w:p>
      <w:pPr>
        <w:ind w:left="860" w:right="219" w:firstLine="807"/>
        <w:spacing w:after="0" w:line="262" w:lineRule="auto"/>
        <w:tabs>
          <w:tab w:leader="none" w:pos="215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 Loans are to be </w:t>
      </w:r>
      <w:r>
        <w:rPr>
          <w:rFonts w:ascii="Times New Roman" w:cs="Times New Roman" w:eastAsia="Times New Roman" w:hAnsi="Times New Roman"/>
          <w:sz w:val="22"/>
          <w:szCs w:val="22"/>
          <w:b w:val="1"/>
          <w:bCs w:val="1"/>
          <w:color w:val="auto"/>
        </w:rPr>
        <w:t>[converted into] [continued as] [Daily Simple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SOFR] [Term SOFR]] [Base] </w:t>
      </w:r>
      <w:r>
        <w:rPr>
          <w:rFonts w:ascii="Times New Roman" w:cs="Times New Roman" w:eastAsia="Times New Roman" w:hAnsi="Times New Roman"/>
          <w:sz w:val="22"/>
          <w:szCs w:val="22"/>
          <w:color w:val="auto"/>
        </w:rPr>
        <w:t>Loans.</w:t>
      </w:r>
    </w:p>
    <w:p>
      <w:pPr>
        <w:spacing w:after="0" w:line="122" w:lineRule="exact"/>
        <w:rPr>
          <w:rFonts w:ascii="Times New Roman" w:cs="Times New Roman" w:eastAsia="Times New Roman" w:hAnsi="Times New Roman"/>
          <w:sz w:val="22"/>
          <w:szCs w:val="22"/>
          <w:color w:val="auto"/>
        </w:rPr>
      </w:pPr>
    </w:p>
    <w:p>
      <w:pPr>
        <w:ind w:left="860" w:right="219" w:firstLine="807"/>
        <w:spacing w:after="0" w:line="262" w:lineRule="auto"/>
        <w:tabs>
          <w:tab w:leader="none" w:pos="215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[If applicable:] </w:t>
      </w:r>
      <w:r>
        <w:rPr>
          <w:rFonts w:ascii="Times New Roman" w:cs="Times New Roman" w:eastAsia="Times New Roman" w:hAnsi="Times New Roman"/>
          <w:sz w:val="22"/>
          <w:szCs w:val="22"/>
          <w:color w:val="auto"/>
        </w:rPr>
        <w:t>The duration of the Interest Period for the Term Loans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included in the </w:t>
      </w:r>
      <w:r>
        <w:rPr>
          <w:rFonts w:ascii="Times New Roman" w:cs="Times New Roman" w:eastAsia="Times New Roman" w:hAnsi="Times New Roman"/>
          <w:sz w:val="22"/>
          <w:szCs w:val="22"/>
          <w:b w:val="1"/>
          <w:bCs w:val="1"/>
          <w:color w:val="auto"/>
        </w:rPr>
        <w:t>[conversion] [continuation]</w:t>
      </w:r>
      <w:r>
        <w:rPr>
          <w:rFonts w:ascii="Times New Roman" w:cs="Times New Roman" w:eastAsia="Times New Roman" w:hAnsi="Times New Roman"/>
          <w:sz w:val="22"/>
          <w:szCs w:val="22"/>
          <w:color w:val="auto"/>
        </w:rPr>
        <w:t xml:space="preserve"> shall be _________ months.</w:t>
      </w:r>
    </w:p>
    <w:p>
      <w:pPr>
        <w:spacing w:after="0" w:line="12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undersigned hereby certifies that the following statements are true on the date hereof, and will be true on the proposed conversion/continuation date, before and after giving effect thereto and to the application of the proceeds therefrom:</w:t>
      </w:r>
    </w:p>
    <w:p>
      <w:pPr>
        <w:spacing w:after="0" w:line="146" w:lineRule="exact"/>
        <w:rPr>
          <w:sz w:val="20"/>
          <w:szCs w:val="20"/>
          <w:color w:val="auto"/>
        </w:rPr>
      </w:pPr>
    </w:p>
    <w:p>
      <w:pPr>
        <w:jc w:val="both"/>
        <w:ind w:left="860" w:right="219" w:firstLine="729"/>
        <w:spacing w:after="0" w:line="236" w:lineRule="auto"/>
        <w:tabs>
          <w:tab w:leader="none" w:pos="215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provided, however, that this condition shall not apply to the conversion of an outstanding Term SOFR Rate Loan to a Base Rate Loan or a Daily Simple SOFR Rate Loan to a Base Rate Loan; and</w:t>
      </w:r>
    </w:p>
    <w:p>
      <w:pPr>
        <w:spacing w:after="0" w:line="167" w:lineRule="exact"/>
        <w:rPr>
          <w:rFonts w:ascii="Times New Roman" w:cs="Times New Roman" w:eastAsia="Times New Roman" w:hAnsi="Times New Roman"/>
          <w:sz w:val="22"/>
          <w:szCs w:val="22"/>
          <w:color w:val="auto"/>
        </w:rPr>
      </w:pPr>
    </w:p>
    <w:p>
      <w:pPr>
        <w:ind w:left="860" w:right="219" w:firstLine="717"/>
        <w:spacing w:after="0" w:line="258" w:lineRule="auto"/>
        <w:tabs>
          <w:tab w:leader="none" w:pos="215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Default or Event of Default has occurred and is continuing, or would result from such proposed </w:t>
      </w:r>
      <w:r>
        <w:rPr>
          <w:rFonts w:ascii="Times New Roman" w:cs="Times New Roman" w:eastAsia="Times New Roman" w:hAnsi="Times New Roman"/>
          <w:sz w:val="22"/>
          <w:szCs w:val="22"/>
          <w:b w:val="1"/>
          <w:bCs w:val="1"/>
          <w:color w:val="auto"/>
        </w:rPr>
        <w:t>[conversion] [continuation]</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1061085</wp:posOffset>
            </wp:positionV>
            <wp:extent cx="545211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3" w:name="page184"/>
    <w:bookmarkEnd w:id="183"/>
    <w:p>
      <w:pPr>
        <w:jc w:val="right"/>
        <w:ind w:right="2399"/>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-31115</wp:posOffset>
            </wp:positionV>
            <wp:extent cx="2040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-31115</wp:posOffset>
            </wp:positionV>
            <wp:extent cx="2100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14"/>
          <w:szCs w:val="14"/>
          <w:i w:val="1"/>
          <w:iCs w:val="1"/>
          <w:color w:val="auto"/>
        </w:rPr>
        <w:t>otice of</w:t>
      </w:r>
      <w:r>
        <w:rPr>
          <w:rFonts w:ascii="Times New Roman" w:cs="Times New Roman" w:eastAsia="Times New Roman" w:hAnsi="Times New Roman"/>
          <w:sz w:val="22"/>
          <w:szCs w:val="22"/>
          <w:i w:val="1"/>
          <w:iCs w:val="1"/>
          <w:color w:val="auto"/>
        </w:rPr>
        <w:t xml:space="preserve"> C</w:t>
      </w:r>
      <w:r>
        <w:rPr>
          <w:rFonts w:ascii="Times New Roman" w:cs="Times New Roman" w:eastAsia="Times New Roman" w:hAnsi="Times New Roman"/>
          <w:sz w:val="14"/>
          <w:szCs w:val="14"/>
          <w:i w:val="1"/>
          <w:iCs w:val="1"/>
          <w:color w:val="auto"/>
        </w:rPr>
        <w:t>ontinuation</w:t>
      </w:r>
      <w:r>
        <w:rPr>
          <w:rFonts w:ascii="Times New Roman" w:cs="Times New Roman" w:eastAsia="Times New Roman" w:hAnsi="Times New Roman"/>
          <w:sz w:val="22"/>
          <w:szCs w:val="22"/>
          <w:i w:val="1"/>
          <w:iCs w:val="1"/>
          <w:color w:val="auto"/>
        </w:rPr>
        <w:t>/C</w:t>
      </w:r>
      <w:r>
        <w:rPr>
          <w:rFonts w:ascii="Times New Roman" w:cs="Times New Roman" w:eastAsia="Times New Roman" w:hAnsi="Times New Roman"/>
          <w:sz w:val="14"/>
          <w:szCs w:val="14"/>
          <w:i w:val="1"/>
          <w:iCs w:val="1"/>
          <w:color w:val="auto"/>
        </w:rPr>
        <w:t>onversion</w:t>
      </w:r>
      <w:r>
        <w:rPr>
          <w:rFonts w:ascii="Times New Roman" w:cs="Times New Roman" w:eastAsia="Times New Roman" w:hAnsi="Times New Roman"/>
          <w:sz w:val="22"/>
          <w:szCs w:val="2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[2029][I</w:t>
      </w:r>
      <w:r>
        <w:rPr>
          <w:rFonts w:ascii="Times New Roman" w:cs="Times New Roman" w:eastAsia="Times New Roman" w:hAnsi="Times New Roman"/>
          <w:sz w:val="14"/>
          <w:szCs w:val="14"/>
          <w:b w:val="1"/>
          <w:bCs w:val="1"/>
          <w:color w:val="auto"/>
        </w:rPr>
        <w:t>ncremental</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w:t>
      </w:r>
    </w:p>
    <w:p>
      <w:pPr>
        <w:sectPr>
          <w:pgSz w:w="11900" w:h="16838" w:orient="portrait"/>
          <w:cols w:equalWidth="0" w:num="1">
            <w:col w:w="9019"/>
          </w:cols>
          <w:pgMar w:left="1440" w:top="891" w:right="1440" w:bottom="1440" w:gutter="0" w:footer="0" w:header="0"/>
        </w:sect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U.S. $_______________</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 20__</w:t>
      </w:r>
    </w:p>
    <w:p>
      <w:pPr>
        <w:spacing w:after="0" w:line="200" w:lineRule="exact"/>
        <w:rPr>
          <w:sz w:val="20"/>
          <w:szCs w:val="20"/>
          <w:color w:val="auto"/>
        </w:rPr>
      </w:pPr>
    </w:p>
    <w:p>
      <w:pPr>
        <w:sectPr>
          <w:pgSz w:w="11900" w:h="16838" w:orient="portrait"/>
          <w:cols w:equalWidth="0" w:num="2">
            <w:col w:w="6020" w:space="720"/>
            <w:col w:w="2279"/>
          </w:cols>
          <w:pgMar w:left="1440" w:top="891" w:right="1440" w:bottom="1440" w:gutter="0" w:footer="0" w:header="0"/>
          <w:type w:val="continuous"/>
        </w:sectPr>
      </w:pPr>
    </w:p>
    <w:p>
      <w:pPr>
        <w:spacing w:after="0" w:line="45"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or</w:t>
      </w:r>
      <w:r>
        <w:rPr>
          <w:rFonts w:ascii="Times New Roman" w:cs="Times New Roman" w:eastAsia="Times New Roman" w:hAnsi="Times New Roman"/>
          <w:sz w:val="22"/>
          <w:szCs w:val="22"/>
          <w:color w:val="auto"/>
        </w:rPr>
        <w:t xml:space="preserve"> V</w:t>
      </w:r>
      <w:r>
        <w:rPr>
          <w:rFonts w:ascii="Times New Roman" w:cs="Times New Roman" w:eastAsia="Times New Roman" w:hAnsi="Times New Roman"/>
          <w:sz w:val="14"/>
          <w:szCs w:val="14"/>
          <w:color w:val="auto"/>
        </w:rPr>
        <w:t>alue</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eceived</w:t>
      </w:r>
      <w:r>
        <w:rPr>
          <w:rFonts w:ascii="Times New Roman" w:cs="Times New Roman" w:eastAsia="Times New Roman" w:hAnsi="Times New Roman"/>
          <w:sz w:val="22"/>
          <w:szCs w:val="22"/>
          <w:color w:val="auto"/>
        </w:rPr>
        <w:t>, the undersigned, CTO Realty Growth, Inc., a Maryland corporation (the “Borrower”), hereby promises to pay to ____________________ (the “Lender”) or its</w:t>
      </w:r>
    </w:p>
    <w:p>
      <w:pPr>
        <w:spacing w:after="0" w:line="2" w:lineRule="exact"/>
        <w:rPr>
          <w:sz w:val="20"/>
          <w:szCs w:val="20"/>
          <w:color w:val="auto"/>
        </w:rPr>
      </w:pPr>
    </w:p>
    <w:p>
      <w:pPr>
        <w:jc w:val="both"/>
        <w:ind w:left="200" w:right="219"/>
        <w:spacing w:after="0" w:line="230" w:lineRule="auto"/>
        <w:rPr>
          <w:sz w:val="20"/>
          <w:szCs w:val="20"/>
          <w:color w:val="auto"/>
        </w:rPr>
      </w:pPr>
      <w:r>
        <w:rPr>
          <w:rFonts w:ascii="Times New Roman" w:cs="Times New Roman" w:eastAsia="Times New Roman" w:hAnsi="Times New Roman"/>
          <w:sz w:val="22"/>
          <w:szCs w:val="22"/>
          <w:color w:val="auto"/>
        </w:rPr>
        <w:t>permitted assigns on the Maturity Date of the hereinafter defined Credit Agreement, at the principal office of the Administrative Agent in New York, New York (or such other location as the Administrative Agent may designate to the Borrower), in immediately available funds, the principal sum of ___________________ Dollars ($__________) or, if less, the aggregate unpaid</w:t>
      </w:r>
    </w:p>
    <w:p>
      <w:pPr>
        <w:spacing w:after="0" w:line="2"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principal amount of all </w:t>
      </w:r>
      <w:r>
        <w:rPr>
          <w:rFonts w:ascii="Times New Roman" w:cs="Times New Roman" w:eastAsia="Times New Roman" w:hAnsi="Times New Roman"/>
          <w:sz w:val="22"/>
          <w:szCs w:val="22"/>
          <w:b w:val="1"/>
          <w:bCs w:val="1"/>
          <w:color w:val="auto"/>
        </w:rPr>
        <w:t>[2029][Incremental]</w:t>
      </w:r>
      <w:r>
        <w:rPr>
          <w:rFonts w:ascii="Times New Roman" w:cs="Times New Roman" w:eastAsia="Times New Roman" w:hAnsi="Times New Roman"/>
          <w:sz w:val="22"/>
          <w:szCs w:val="22"/>
          <w:color w:val="auto"/>
        </w:rPr>
        <w:t xml:space="preserve"> Term Loans made by the Lender to the Borrower pursuant to the Credit Agreement, together with interest on the principal amount of each </w:t>
      </w:r>
      <w:r>
        <w:rPr>
          <w:rFonts w:ascii="Times New Roman" w:cs="Times New Roman" w:eastAsia="Times New Roman" w:hAnsi="Times New Roman"/>
          <w:sz w:val="22"/>
          <w:szCs w:val="22"/>
          <w:b w:val="1"/>
          <w:bCs w:val="1"/>
          <w:color w:val="auto"/>
        </w:rPr>
        <w:t>[2029]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[Incremental] </w:t>
      </w:r>
      <w:r>
        <w:rPr>
          <w:rFonts w:ascii="Times New Roman" w:cs="Times New Roman" w:eastAsia="Times New Roman" w:hAnsi="Times New Roman"/>
          <w:sz w:val="22"/>
          <w:szCs w:val="22"/>
          <w:color w:val="auto"/>
        </w:rPr>
        <w:t>Term Loan from time to time outstanding hereunder at the rates, and payable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manner and on the dates, specified in the Credit Agreement.</w:t>
      </w:r>
    </w:p>
    <w:p>
      <w:pPr>
        <w:spacing w:after="0" w:line="214"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This Note is one of the </w:t>
      </w:r>
      <w:r>
        <w:rPr>
          <w:rFonts w:ascii="Times New Roman" w:cs="Times New Roman" w:eastAsia="Times New Roman" w:hAnsi="Times New Roman"/>
          <w:sz w:val="22"/>
          <w:szCs w:val="22"/>
          <w:b w:val="1"/>
          <w:bCs w:val="1"/>
          <w:color w:val="auto"/>
        </w:rPr>
        <w:t>[2029][Incremental]</w:t>
      </w:r>
      <w:r>
        <w:rPr>
          <w:rFonts w:ascii="Times New Roman" w:cs="Times New Roman" w:eastAsia="Times New Roman" w:hAnsi="Times New Roman"/>
          <w:sz w:val="22"/>
          <w:szCs w:val="22"/>
          <w:color w:val="auto"/>
        </w:rPr>
        <w:t xml:space="preserve"> Term Notes referred to in the Credit Agreement dated as of September 30, 2024, among the Borrower, the Guarantors party thereto, the Lenders parties thereto, and KeyBank National Association, as Administrative Agent (as extended, renewed, amended or restated from time to time, the “Credit Agreement”),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spacing w:after="0" w:line="21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Voluntary prepayments may be made hereon, certain prepayments are required to be made hereon, and this Note may be declared due prior to the expressed maturity hereof, all in the events, on the terms and in the manner as provided for in the Credit Agreement.</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The Borrower hereby waives demand, presentment, protest or notice of any kind hereunder.</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200" w:lineRule="exact"/>
        <w:rPr>
          <w:sz w:val="20"/>
          <w:szCs w:val="20"/>
          <w:color w:val="auto"/>
        </w:rPr>
      </w:pPr>
    </w:p>
    <w:p>
      <w:pPr>
        <w:spacing w:after="0" w:line="2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-31115</wp:posOffset>
            </wp:positionV>
            <wp:extent cx="2040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-31115</wp:posOffset>
            </wp:positionV>
            <wp:extent cx="2100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ertificate</w:t>
      </w:r>
    </w:p>
    <w:p>
      <w:pPr>
        <w:spacing w:after="0" w:line="200" w:lineRule="exact"/>
        <w:rPr>
          <w:sz w:val="20"/>
          <w:szCs w:val="20"/>
          <w:color w:val="auto"/>
        </w:rPr>
      </w:pPr>
    </w:p>
    <w:p>
      <w:pPr>
        <w:spacing w:after="0" w:line="294" w:lineRule="exact"/>
        <w:rPr>
          <w:sz w:val="20"/>
          <w:szCs w:val="20"/>
          <w:color w:val="auto"/>
        </w:rPr>
      </w:pPr>
    </w:p>
    <w:p>
      <w:pPr>
        <w:jc w:val="both"/>
        <w:ind w:left="860" w:right="219" w:hanging="659"/>
        <w:spacing w:after="0" w:line="258" w:lineRule="auto"/>
        <w:tabs>
          <w:tab w:leader="none" w:pos="8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KeyBank National Association, as Administrative Agent under, and the Lenders party to, the Credit Agreement described below</w:t>
      </w:r>
    </w:p>
    <w:p>
      <w:pPr>
        <w:spacing w:after="0" w:line="199"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This Compliance Certificate is furnished to the Administrative Agent and the Lenders pursuant to that certain Credit Agreement dated as of September 30, 2024, as amended, among CTO Realty Growth, Inc. (the “Borrower”), the Guarantors signatory thereto, the Administrative Agent and the Lenders party thereto (the “Credit Agreement”). Unless otherwise defined herein, the terms used in this Compliance Certificate have the meanings ascribed thereto in the Credit Agreement.</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Undersigned hereby certifies that:</w:t>
      </w:r>
    </w:p>
    <w:p>
      <w:pPr>
        <w:spacing w:after="0" w:line="233" w:lineRule="exact"/>
        <w:rPr>
          <w:sz w:val="20"/>
          <w:szCs w:val="20"/>
          <w:color w:val="auto"/>
        </w:rPr>
      </w:pPr>
    </w:p>
    <w:p>
      <w:pPr>
        <w:ind w:left="1320" w:hanging="431"/>
        <w:spacing w:after="0"/>
        <w:tabs>
          <w:tab w:leader="none" w:pos="13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the duly elected ____________ of CTO Realty Growth, Inc.;</w:t>
      </w:r>
    </w:p>
    <w:p>
      <w:pPr>
        <w:spacing w:after="0" w:line="246" w:lineRule="exact"/>
        <w:rPr>
          <w:rFonts w:ascii="Times New Roman" w:cs="Times New Roman" w:eastAsia="Times New Roman" w:hAnsi="Times New Roman"/>
          <w:sz w:val="22"/>
          <w:szCs w:val="22"/>
          <w:color w:val="auto"/>
        </w:rPr>
      </w:pPr>
    </w:p>
    <w:p>
      <w:pPr>
        <w:jc w:val="both"/>
        <w:ind w:left="200" w:right="219" w:firstLine="689"/>
        <w:spacing w:after="0" w:line="239" w:lineRule="auto"/>
        <w:tabs>
          <w:tab w:leader="none" w:pos="131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spacing w:after="0" w:line="220" w:lineRule="exact"/>
        <w:rPr>
          <w:rFonts w:ascii="Times New Roman" w:cs="Times New Roman" w:eastAsia="Times New Roman" w:hAnsi="Times New Roman"/>
          <w:sz w:val="22"/>
          <w:szCs w:val="22"/>
          <w:color w:val="auto"/>
        </w:rPr>
      </w:pPr>
    </w:p>
    <w:p>
      <w:pPr>
        <w:jc w:val="both"/>
        <w:ind w:left="200" w:right="219" w:firstLine="689"/>
        <w:spacing w:after="0" w:line="239" w:lineRule="auto"/>
        <w:tabs>
          <w:tab w:leader="none" w:pos="131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spacing w:after="0" w:line="207" w:lineRule="exact"/>
        <w:rPr>
          <w:rFonts w:ascii="Times New Roman" w:cs="Times New Roman" w:eastAsia="Times New Roman" w:hAnsi="Times New Roman"/>
          <w:sz w:val="22"/>
          <w:szCs w:val="22"/>
          <w:color w:val="auto"/>
        </w:rPr>
      </w:pPr>
    </w:p>
    <w:p>
      <w:pPr>
        <w:jc w:val="both"/>
        <w:ind w:left="200" w:right="219" w:firstLine="689"/>
        <w:spacing w:after="0" w:line="244" w:lineRule="auto"/>
        <w:tabs>
          <w:tab w:leader="none" w:pos="131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required by Section 8.5 of the Credit Agreement and being furnished to you concurrently with this Compliance Certificate are true, correct and complete as of the date and for the periods covered thereby; and</w:t>
      </w:r>
    </w:p>
    <w:p>
      <w:pPr>
        <w:spacing w:after="0" w:line="213" w:lineRule="exact"/>
        <w:rPr>
          <w:rFonts w:ascii="Times New Roman" w:cs="Times New Roman" w:eastAsia="Times New Roman" w:hAnsi="Times New Roman"/>
          <w:sz w:val="22"/>
          <w:szCs w:val="22"/>
          <w:color w:val="auto"/>
        </w:rPr>
      </w:pPr>
    </w:p>
    <w:p>
      <w:pPr>
        <w:jc w:val="both"/>
        <w:ind w:left="200" w:right="219" w:firstLine="689"/>
        <w:spacing w:after="0" w:line="239" w:lineRule="auto"/>
        <w:tabs>
          <w:tab w:leader="none" w:pos="131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spacing w:after="0" w:line="221"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487680</wp:posOffset>
            </wp:positionV>
            <wp:extent cx="545211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1459865</wp:posOffset>
            </wp:positionH>
            <wp:positionV relativeFrom="page">
              <wp:posOffset>723265</wp:posOffset>
            </wp:positionV>
            <wp:extent cx="44234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page">
              <wp:posOffset>1459865</wp:posOffset>
            </wp:positionH>
            <wp:positionV relativeFrom="page">
              <wp:posOffset>903605</wp:posOffset>
            </wp:positionV>
            <wp:extent cx="44234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page">
              <wp:posOffset>1459865</wp:posOffset>
            </wp:positionH>
            <wp:positionV relativeFrom="page">
              <wp:posOffset>1083310</wp:posOffset>
            </wp:positionV>
            <wp:extent cx="44234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page">
              <wp:posOffset>1459865</wp:posOffset>
            </wp:positionH>
            <wp:positionV relativeFrom="page">
              <wp:posOffset>1263650</wp:posOffset>
            </wp:positionV>
            <wp:extent cx="442341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foregoing certifications, together with the computations set forth in Schedule I hereto and the financial statements delivered with this Certificate in support hereof, are made and delivered this ______ day of __________________ 20___.</w:t>
      </w:r>
    </w:p>
    <w:p>
      <w:pPr>
        <w:spacing w:after="0" w:line="20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-31115</wp:posOffset>
            </wp:positionV>
            <wp:extent cx="2040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-31115</wp:posOffset>
            </wp:positionV>
            <wp:extent cx="2100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 xml:space="preserve">to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5"/>
          <w:szCs w:val="15"/>
          <w:b w:val="1"/>
          <w:bCs w:val="1"/>
          <w:color w:val="auto"/>
        </w:rPr>
        <w:t xml:space="preserve">ompliance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5"/>
          <w:szCs w:val="15"/>
          <w:b w:val="1"/>
          <w:bCs w:val="1"/>
          <w:color w:val="auto"/>
        </w:rPr>
        <w:t>ertificate</w:t>
      </w:r>
    </w:p>
    <w:p>
      <w:pPr>
        <w:spacing w:after="0" w:line="29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Compliance Calculations</w:t>
      </w: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 xml:space="preserve">for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5"/>
          <w:szCs w:val="15"/>
          <w:b w:val="1"/>
          <w:bCs w:val="1"/>
          <w:color w:val="auto"/>
        </w:rPr>
        <w:t xml:space="preserve">redit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5"/>
          <w:szCs w:val="15"/>
          <w:b w:val="1"/>
          <w:bCs w:val="1"/>
          <w:color w:val="auto"/>
        </w:rPr>
        <w:t>greement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 xml:space="preserve">dated as of </w:t>
      </w: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5"/>
          <w:szCs w:val="15"/>
          <w:b w:val="1"/>
          <w:bCs w:val="1"/>
          <w:color w:val="auto"/>
        </w:rPr>
        <w:t xml:space="preserve">eptember </w:t>
      </w:r>
      <w:r>
        <w:rPr>
          <w:rFonts w:ascii="Times New Roman" w:cs="Times New Roman" w:eastAsia="Times New Roman" w:hAnsi="Times New Roman"/>
          <w:sz w:val="21"/>
          <w:szCs w:val="21"/>
          <w:b w:val="1"/>
          <w:bCs w:val="1"/>
          <w:color w:val="auto"/>
        </w:rPr>
        <w:t>30, 2024,</w:t>
      </w:r>
      <w:r>
        <w:rPr>
          <w:rFonts w:ascii="Times New Roman" w:cs="Times New Roman" w:eastAsia="Times New Roman" w:hAnsi="Times New Roman"/>
          <w:sz w:val="15"/>
          <w:szCs w:val="15"/>
          <w:b w:val="1"/>
          <w:bCs w:val="1"/>
          <w:color w:val="auto"/>
        </w:rPr>
        <w:t xml:space="preserve"> as amended</w:t>
      </w:r>
    </w:p>
    <w:p>
      <w:pPr>
        <w:spacing w:after="0" w:line="19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Calculations as of _____________,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176530</wp:posOffset>
            </wp:positionV>
            <wp:extent cx="545211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193675</wp:posOffset>
            </wp:positionV>
            <wp:extent cx="545211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920" w:right="3719" w:hanging="648"/>
        <w:spacing w:after="0" w:line="258" w:lineRule="auto"/>
        <w:tabs>
          <w:tab w:leader="none" w:pos="9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Total Indebtedness to Total Asset Value Ratio (Section 8.20(a))</w:t>
      </w:r>
    </w:p>
    <w:p>
      <w:pPr>
        <w:spacing w:after="0" w:line="64" w:lineRule="exact"/>
        <w:rPr>
          <w:sz w:val="20"/>
          <w:szCs w:val="20"/>
          <w:color w:val="auto"/>
        </w:rPr>
      </w:pPr>
    </w:p>
    <w:tbl>
      <w:tblPr>
        <w:tblLayout w:type="fixed"/>
        <w:tblInd w:w="920" w:type="dxa"/>
        <w:tblCellMar>
          <w:top w:w="0" w:type="dxa"/>
          <w:left w:w="0" w:type="dxa"/>
          <w:bottom w:w="0" w:type="dxa"/>
          <w:right w:w="0" w:type="dxa"/>
        </w:tblCellMar>
      </w:tblPr>
      <w:tr>
        <w:trPr>
          <w:trHeight w:val="282"/>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1.</w:t>
            </w: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Indebtedness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w:t>
            </w:r>
          </w:p>
        </w:tc>
      </w:tr>
      <w:tr>
        <w:trPr>
          <w:trHeight w:val="325"/>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2.</w:t>
            </w: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Asset Value as calculated on Exhibit A</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w:t>
            </w:r>
          </w:p>
        </w:tc>
      </w:tr>
      <w:tr>
        <w:trPr>
          <w:trHeight w:val="282"/>
        </w:trPr>
        <w:tc>
          <w:tcPr>
            <w:tcW w:w="40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hereto</w:t>
            </w:r>
          </w:p>
        </w:tc>
        <w:tc>
          <w:tcPr>
            <w:tcW w:w="1900" w:type="dxa"/>
            <w:vAlign w:val="bottom"/>
          </w:tcPr>
          <w:p>
            <w:pPr>
              <w:spacing w:after="0"/>
              <w:rPr>
                <w:sz w:val="24"/>
                <w:szCs w:val="24"/>
                <w:color w:val="auto"/>
              </w:rPr>
            </w:pPr>
          </w:p>
        </w:tc>
      </w:tr>
    </w:tbl>
    <w:p>
      <w:pPr>
        <w:spacing w:after="0" w:line="82" w:lineRule="exact"/>
        <w:rPr>
          <w:sz w:val="20"/>
          <w:szCs w:val="20"/>
          <w:color w:val="auto"/>
        </w:rPr>
      </w:pPr>
    </w:p>
    <w:p>
      <w:pPr>
        <w:sectPr>
          <w:pgSz w:w="11900" w:h="16838" w:orient="portrait"/>
          <w:cols w:equalWidth="0" w:num="1">
            <w:col w:w="9019"/>
          </w:cols>
          <w:pgMar w:left="1440" w:top="1134" w:right="1440" w:bottom="1440" w:gutter="0" w:footer="0" w:header="0"/>
        </w:sectPr>
      </w:pPr>
    </w:p>
    <w:p>
      <w:pPr>
        <w:ind w:left="1560" w:hanging="640"/>
        <w:spacing w:after="0"/>
        <w:tabs>
          <w:tab w:leader="none" w:pos="156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Ratio of Line A1 to A2</w:t>
      </w:r>
    </w:p>
    <w:p>
      <w:pPr>
        <w:spacing w:after="0" w:line="111"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A3 must not exceed</w:t>
      </w:r>
    </w:p>
    <w:p>
      <w:pPr>
        <w:spacing w:after="0" w:line="152" w:lineRule="exact"/>
        <w:rPr>
          <w:rFonts w:ascii="Times New Roman" w:cs="Times New Roman" w:eastAsia="Times New Roman" w:hAnsi="Times New Roman"/>
          <w:sz w:val="22"/>
          <w:szCs w:val="22"/>
          <w:color w:val="auto"/>
        </w:rPr>
      </w:pPr>
    </w:p>
    <w:p>
      <w:pPr>
        <w:ind w:left="1560" w:right="220" w:hanging="640"/>
        <w:spacing w:after="0" w:line="241" w:lineRule="auto"/>
        <w:tabs>
          <w:tab w:leader="none" w:pos="156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in compliance (circle yes or no)</w:t>
      </w:r>
    </w:p>
    <w:p>
      <w:pPr>
        <w:spacing w:after="0" w:line="1" w:lineRule="exact"/>
        <w:rPr>
          <w:rFonts w:ascii="Times New Roman" w:cs="Times New Roman" w:eastAsia="Times New Roman" w:hAnsi="Times New Roman"/>
          <w:sz w:val="22"/>
          <w:szCs w:val="22"/>
          <w:color w:val="auto"/>
        </w:rPr>
      </w:pPr>
    </w:p>
    <w:p>
      <w:pPr>
        <w:ind w:left="920" w:right="460" w:hanging="648"/>
        <w:spacing w:after="0" w:line="237" w:lineRule="auto"/>
        <w:tabs>
          <w:tab w:leader="none" w:pos="9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Unsecured Indebtedness to Borrowing Base Value Ratio (Section 8.20(b))</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Times New Roman" w:cs="Times New Roman" w:eastAsia="Times New Roman" w:hAnsi="Times New Roman"/>
          <w:sz w:val="22"/>
          <w:szCs w:val="22"/>
          <w:color w:val="auto"/>
        </w:rPr>
        <w:t>____:1.0</w:t>
      </w:r>
    </w:p>
    <w:p>
      <w:pPr>
        <w:spacing w:after="0" w:line="12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1"/>
          <w:szCs w:val="21"/>
          <w:color w:val="auto"/>
        </w:rPr>
        <w:t>[0.60:1.0] [0.65:1.0]</w:t>
      </w:r>
      <w:r>
        <w:rPr>
          <w:rFonts w:ascii="Times New Roman" w:cs="Times New Roman" w:eastAsia="Times New Roman" w:hAnsi="Times New Roman"/>
          <w:sz w:val="34"/>
          <w:szCs w:val="34"/>
          <w:u w:val="single" w:color="auto"/>
          <w:color w:val="0000EE"/>
          <w:vertAlign w:val="superscript"/>
        </w:rPr>
        <w:t>1</w:t>
      </w:r>
    </w:p>
    <w:p>
      <w:pPr>
        <w:spacing w:after="0" w:line="2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2"/>
          <w:szCs w:val="22"/>
          <w:color w:val="auto"/>
        </w:rPr>
        <w:t>yes/no</w:t>
      </w:r>
    </w:p>
    <w:p>
      <w:pPr>
        <w:spacing w:after="0" w:line="816" w:lineRule="exact"/>
        <w:rPr>
          <w:sz w:val="20"/>
          <w:szCs w:val="20"/>
          <w:color w:val="auto"/>
        </w:rPr>
      </w:pPr>
    </w:p>
    <w:p>
      <w:pPr>
        <w:sectPr>
          <w:pgSz w:w="11900" w:h="16838" w:orient="portrait"/>
          <w:cols w:equalWidth="0" w:num="2">
            <w:col w:w="5660" w:space="720"/>
            <w:col w:w="2639"/>
          </w:cols>
          <w:pgMar w:left="1440" w:top="1134" w:right="1440" w:bottom="1440" w:gutter="0" w:footer="0" w:header="0"/>
          <w:type w:val="continuous"/>
        </w:sectPr>
      </w:pPr>
    </w:p>
    <w:tbl>
      <w:tblPr>
        <w:tblLayout w:type="fixed"/>
        <w:tblInd w:w="920" w:type="dxa"/>
        <w:tblCellMar>
          <w:top w:w="0" w:type="dxa"/>
          <w:left w:w="0" w:type="dxa"/>
          <w:bottom w:w="0" w:type="dxa"/>
          <w:right w:w="0" w:type="dxa"/>
        </w:tblCellMar>
      </w:tblPr>
      <w:tr>
        <w:trPr>
          <w:trHeight w:val="282"/>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1.</w:t>
            </w:r>
          </w:p>
        </w:tc>
        <w:tc>
          <w:tcPr>
            <w:tcW w:w="44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Unsecured Indebtedness</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w:t>
            </w:r>
          </w:p>
        </w:tc>
      </w:tr>
      <w:tr>
        <w:trPr>
          <w:trHeight w:val="325"/>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2.</w:t>
            </w:r>
          </w:p>
        </w:tc>
        <w:tc>
          <w:tcPr>
            <w:tcW w:w="44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Borrowing Base Value as calculated on</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w:t>
            </w:r>
          </w:p>
        </w:tc>
      </w:tr>
      <w:tr>
        <w:trPr>
          <w:trHeight w:val="282"/>
        </w:trPr>
        <w:tc>
          <w:tcPr>
            <w:tcW w:w="400" w:type="dxa"/>
            <w:vAlign w:val="bottom"/>
          </w:tcPr>
          <w:p>
            <w:pPr>
              <w:spacing w:after="0"/>
              <w:rPr>
                <w:sz w:val="24"/>
                <w:szCs w:val="24"/>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Exhibit B hereto</w:t>
            </w:r>
          </w:p>
        </w:tc>
        <w:tc>
          <w:tcPr>
            <w:tcW w:w="2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1890395</wp:posOffset>
            </wp:positionH>
            <wp:positionV relativeFrom="paragraph">
              <wp:posOffset>-186690</wp:posOffset>
            </wp:positionV>
            <wp:extent cx="342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type w:val="continuous"/>
        </w:sectPr>
      </w:pPr>
    </w:p>
    <w:p>
      <w:pPr>
        <w:spacing w:after="0" w:line="82" w:lineRule="exact"/>
        <w:rPr>
          <w:sz w:val="20"/>
          <w:szCs w:val="20"/>
          <w:color w:val="auto"/>
        </w:rPr>
      </w:pPr>
    </w:p>
    <w:p>
      <w:pPr>
        <w:ind w:left="1560" w:hanging="640"/>
        <w:spacing w:after="0"/>
        <w:tabs>
          <w:tab w:leader="none" w:pos="156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Ratio of Line B1 to B2</w:t>
      </w:r>
    </w:p>
    <w:p>
      <w:pPr>
        <w:spacing w:after="0" w:line="111"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B3 must not exceed</w:t>
      </w:r>
    </w:p>
    <w:p>
      <w:pPr>
        <w:spacing w:after="0" w:line="152" w:lineRule="exact"/>
        <w:rPr>
          <w:rFonts w:ascii="Times New Roman" w:cs="Times New Roman" w:eastAsia="Times New Roman" w:hAnsi="Times New Roman"/>
          <w:sz w:val="22"/>
          <w:szCs w:val="22"/>
          <w:color w:val="auto"/>
        </w:rPr>
      </w:pPr>
    </w:p>
    <w:p>
      <w:pPr>
        <w:ind w:left="1560" w:right="220" w:hanging="640"/>
        <w:spacing w:after="0" w:line="258" w:lineRule="auto"/>
        <w:tabs>
          <w:tab w:leader="none" w:pos="156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in compliance (circle yes or no)</w:t>
      </w:r>
    </w:p>
    <w:p>
      <w:pPr>
        <w:spacing w:after="0" w:line="185" w:lineRule="exact"/>
        <w:rPr>
          <w:rFonts w:ascii="Times New Roman" w:cs="Times New Roman" w:eastAsia="Times New Roman" w:hAnsi="Times New Roman"/>
          <w:sz w:val="22"/>
          <w:szCs w:val="22"/>
          <w:color w:val="auto"/>
        </w:rPr>
      </w:pPr>
    </w:p>
    <w:p>
      <w:pPr>
        <w:ind w:left="920" w:right="660" w:hanging="648"/>
        <w:spacing w:after="0" w:line="258" w:lineRule="auto"/>
        <w:tabs>
          <w:tab w:leader="none" w:pos="9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Secured Indebtedness to Total Asset Value Ratio (Section 8.20(c))</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____:1.0</w:t>
      </w:r>
    </w:p>
    <w:p>
      <w:pPr>
        <w:spacing w:after="0" w:line="12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1"/>
          <w:szCs w:val="21"/>
          <w:color w:val="auto"/>
        </w:rPr>
        <w:t>[0.60:1.0] [0.65:1.0]</w:t>
      </w:r>
      <w:r>
        <w:rPr>
          <w:rFonts w:ascii="Times New Roman" w:cs="Times New Roman" w:eastAsia="Times New Roman" w:hAnsi="Times New Roman"/>
          <w:sz w:val="34"/>
          <w:szCs w:val="34"/>
          <w:u w:val="single" w:color="auto"/>
          <w:color w:val="0000EE"/>
          <w:vertAlign w:val="superscript"/>
        </w:rPr>
        <w:t>2</w:t>
      </w:r>
    </w:p>
    <w:p>
      <w:pPr>
        <w:spacing w:after="0" w:line="2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2"/>
          <w:szCs w:val="22"/>
          <w:color w:val="auto"/>
        </w:rPr>
        <w:t>yes/no</w:t>
      </w:r>
    </w:p>
    <w:p>
      <w:pPr>
        <w:spacing w:after="0" w:line="1059" w:lineRule="exact"/>
        <w:rPr>
          <w:sz w:val="20"/>
          <w:szCs w:val="20"/>
          <w:color w:val="auto"/>
        </w:rPr>
      </w:pPr>
    </w:p>
    <w:p>
      <w:pPr>
        <w:sectPr>
          <w:pgSz w:w="11900" w:h="16838" w:orient="portrait"/>
          <w:cols w:equalWidth="0" w:num="2">
            <w:col w:w="5660" w:space="720"/>
            <w:col w:w="2639"/>
          </w:cols>
          <w:pgMar w:left="1440" w:top="1134" w:right="1440" w:bottom="1440" w:gutter="0" w:footer="0" w:header="0"/>
          <w:type w:val="continuous"/>
        </w:sectPr>
      </w:pPr>
    </w:p>
    <w:tbl>
      <w:tblPr>
        <w:tblLayout w:type="fixed"/>
        <w:tblInd w:w="920" w:type="dxa"/>
        <w:tblCellMar>
          <w:top w:w="0" w:type="dxa"/>
          <w:left w:w="0" w:type="dxa"/>
          <w:bottom w:w="0" w:type="dxa"/>
          <w:right w:w="0" w:type="dxa"/>
        </w:tblCellMar>
      </w:tblPr>
      <w:tr>
        <w:trPr>
          <w:trHeight w:val="282"/>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1.</w:t>
            </w: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Secured Indebtedness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w:t>
            </w:r>
          </w:p>
        </w:tc>
      </w:tr>
      <w:tr>
        <w:trPr>
          <w:trHeight w:val="325"/>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2.</w:t>
            </w: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Asset Value as calculated on Exhibit B</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w:t>
            </w:r>
          </w:p>
        </w:tc>
      </w:tr>
      <w:tr>
        <w:trPr>
          <w:trHeight w:val="282"/>
        </w:trPr>
        <w:tc>
          <w:tcPr>
            <w:tcW w:w="40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hereto</w:t>
            </w:r>
          </w:p>
        </w:tc>
        <w:tc>
          <w:tcPr>
            <w:tcW w:w="1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163830</wp:posOffset>
            </wp:positionV>
            <wp:extent cx="136271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1 Leverage Ratio Increase Period.</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2 Leverage Ratio Increase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659130</wp:posOffset>
            </wp:positionV>
            <wp:extent cx="545211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type w:val="continuous"/>
        </w:sectPr>
      </w:pPr>
    </w:p>
    <w:bookmarkStart w:id="188" w:name="page189"/>
    <w:bookmarkEnd w:id="188"/>
    <w:tbl>
      <w:tblPr>
        <w:tblLayout w:type="fixed"/>
        <w:tblInd w:w="920" w:type="dxa"/>
        <w:tblCellMar>
          <w:top w:w="0" w:type="dxa"/>
          <w:left w:w="0" w:type="dxa"/>
          <w:bottom w:w="0" w:type="dxa"/>
          <w:right w:w="0" w:type="dxa"/>
        </w:tblCellMar>
      </w:tblPr>
      <w:tr>
        <w:trPr>
          <w:trHeight w:val="282"/>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3.</w:t>
            </w:r>
          </w:p>
        </w:tc>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Ratio of Line C1 to C2</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____:1.0</w:t>
            </w:r>
          </w:p>
        </w:tc>
      </w:tr>
      <w:tr>
        <w:trPr>
          <w:trHeight w:val="365"/>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4.</w:t>
            </w:r>
          </w:p>
        </w:tc>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Line C3 must not exceed</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0.40:1.0</w:t>
            </w:r>
          </w:p>
        </w:tc>
      </w:tr>
      <w:tr>
        <w:trPr>
          <w:trHeight w:val="325"/>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5.</w:t>
            </w:r>
          </w:p>
        </w:tc>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The Borrower is in compliance (circle yes or</w:t>
            </w:r>
          </w:p>
        </w:tc>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yes/no</w:t>
            </w:r>
          </w:p>
        </w:tc>
      </w:tr>
      <w:tr>
        <w:trPr>
          <w:trHeight w:val="282"/>
        </w:trPr>
        <w:tc>
          <w:tcPr>
            <w:tcW w:w="40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w:t>
            </w:r>
          </w:p>
        </w:tc>
        <w:tc>
          <w:tcPr>
            <w:tcW w:w="1500" w:type="dxa"/>
            <w:vAlign w:val="bottom"/>
          </w:tcPr>
          <w:p>
            <w:pPr>
              <w:spacing w:after="0"/>
              <w:rPr>
                <w:sz w:val="24"/>
                <w:szCs w:val="24"/>
                <w:color w:val="auto"/>
              </w:rPr>
            </w:pPr>
          </w:p>
        </w:tc>
      </w:tr>
    </w:tbl>
    <w:p>
      <w:pPr>
        <w:spacing w:after="0" w:line="217" w:lineRule="exact"/>
        <w:rPr>
          <w:sz w:val="20"/>
          <w:szCs w:val="20"/>
          <w:color w:val="auto"/>
        </w:rPr>
      </w:pPr>
    </w:p>
    <w:p>
      <w:pPr>
        <w:ind w:left="920" w:right="4039" w:hanging="648"/>
        <w:spacing w:after="0" w:line="258" w:lineRule="auto"/>
        <w:tabs>
          <w:tab w:leader="none" w:pos="92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Adjusted EBITDA to Fixed Charges Ratio (Section 8.20(d))</w:t>
      </w:r>
    </w:p>
    <w:p>
      <w:pPr>
        <w:spacing w:after="0" w:line="64" w:lineRule="exact"/>
        <w:rPr>
          <w:sz w:val="20"/>
          <w:szCs w:val="20"/>
          <w:color w:val="auto"/>
        </w:rPr>
      </w:pPr>
    </w:p>
    <w:tbl>
      <w:tblPr>
        <w:tblLayout w:type="fixed"/>
        <w:tblInd w:w="220" w:type="dxa"/>
        <w:tblCellMar>
          <w:top w:w="0" w:type="dxa"/>
          <w:left w:w="0" w:type="dxa"/>
          <w:bottom w:w="0" w:type="dxa"/>
          <w:right w:w="0" w:type="dxa"/>
        </w:tblCellMar>
      </w:tblPr>
      <w:tr>
        <w:trPr>
          <w:trHeight w:val="282"/>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Net Income</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6"/>
              </w:rPr>
              <w:t>$___________</w:t>
            </w:r>
          </w:p>
        </w:tc>
      </w:tr>
      <w:tr>
        <w:trPr>
          <w:trHeight w:val="364"/>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2.</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Depreciation and amortization expense</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6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3.</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Interest Expense</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64"/>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4.</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Income tax expense</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2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5.</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Extraordinary, unrealized or non-recurring</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282"/>
        </w:trPr>
        <w:tc>
          <w:tcPr>
            <w:tcW w:w="1160" w:type="dxa"/>
            <w:vAlign w:val="bottom"/>
          </w:tcPr>
          <w:p>
            <w:pPr>
              <w:spacing w:after="0"/>
              <w:rPr>
                <w:sz w:val="24"/>
                <w:szCs w:val="24"/>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losses</w:t>
            </w:r>
          </w:p>
        </w:tc>
        <w:tc>
          <w:tcPr>
            <w:tcW w:w="2860" w:type="dxa"/>
            <w:vAlign w:val="bottom"/>
          </w:tcPr>
          <w:p>
            <w:pPr>
              <w:spacing w:after="0"/>
              <w:rPr>
                <w:sz w:val="24"/>
                <w:szCs w:val="24"/>
                <w:color w:val="auto"/>
              </w:rPr>
            </w:pPr>
          </w:p>
        </w:tc>
      </w:tr>
      <w:tr>
        <w:trPr>
          <w:trHeight w:val="32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Non-cash compensation paid in equity</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282"/>
        </w:trPr>
        <w:tc>
          <w:tcPr>
            <w:tcW w:w="1160" w:type="dxa"/>
            <w:vAlign w:val="bottom"/>
          </w:tcPr>
          <w:p>
            <w:pPr>
              <w:spacing w:after="0"/>
              <w:rPr>
                <w:sz w:val="24"/>
                <w:szCs w:val="24"/>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securities</w:t>
            </w:r>
          </w:p>
        </w:tc>
        <w:tc>
          <w:tcPr>
            <w:tcW w:w="2860" w:type="dxa"/>
            <w:vAlign w:val="bottom"/>
          </w:tcPr>
          <w:p>
            <w:pPr>
              <w:spacing w:after="0"/>
              <w:rPr>
                <w:sz w:val="24"/>
                <w:szCs w:val="24"/>
                <w:color w:val="auto"/>
              </w:rPr>
            </w:pPr>
          </w:p>
        </w:tc>
      </w:tr>
      <w:tr>
        <w:trPr>
          <w:trHeight w:val="32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7.</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Extraordinary, unrealized or non-recurring</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282"/>
        </w:trPr>
        <w:tc>
          <w:tcPr>
            <w:tcW w:w="1160" w:type="dxa"/>
            <w:vAlign w:val="bottom"/>
          </w:tcPr>
          <w:p>
            <w:pPr>
              <w:spacing w:after="0"/>
              <w:rPr>
                <w:sz w:val="24"/>
                <w:szCs w:val="24"/>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gains</w:t>
            </w:r>
          </w:p>
        </w:tc>
        <w:tc>
          <w:tcPr>
            <w:tcW w:w="2860" w:type="dxa"/>
            <w:vAlign w:val="bottom"/>
          </w:tcPr>
          <w:p>
            <w:pPr>
              <w:spacing w:after="0"/>
              <w:rPr>
                <w:sz w:val="24"/>
                <w:szCs w:val="24"/>
                <w:color w:val="auto"/>
              </w:rPr>
            </w:pPr>
          </w:p>
        </w:tc>
      </w:tr>
      <w:tr>
        <w:trPr>
          <w:trHeight w:val="364"/>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8.</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Income tax benefits</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6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9.</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Stock-based compensation</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6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10.</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Other non-cash items as mutually agreed</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6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11.</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Sum of Lines D2, D3, D4, D5 and D6</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64"/>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12.</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Sum of Lines D7, D8, D9 and D10</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2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13.</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Line D1 plus Line D11 minus Line D12</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282"/>
        </w:trPr>
        <w:tc>
          <w:tcPr>
            <w:tcW w:w="1160" w:type="dxa"/>
            <w:vAlign w:val="bottom"/>
          </w:tcPr>
          <w:p>
            <w:pPr>
              <w:spacing w:after="0"/>
              <w:rPr>
                <w:sz w:val="24"/>
                <w:szCs w:val="24"/>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(“EBITDA”)</w:t>
            </w:r>
          </w:p>
        </w:tc>
        <w:tc>
          <w:tcPr>
            <w:tcW w:w="2860" w:type="dxa"/>
            <w:vAlign w:val="bottom"/>
          </w:tcPr>
          <w:p>
            <w:pPr>
              <w:spacing w:after="0"/>
              <w:rPr>
                <w:sz w:val="24"/>
                <w:szCs w:val="24"/>
                <w:color w:val="auto"/>
              </w:rPr>
            </w:pPr>
          </w:p>
        </w:tc>
      </w:tr>
      <w:tr>
        <w:trPr>
          <w:trHeight w:val="473"/>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14.</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Annual Capital Expenditure Reserve</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2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15.</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Line D13 minus Line D14 (“Adjusted</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282"/>
        </w:trPr>
        <w:tc>
          <w:tcPr>
            <w:tcW w:w="1160" w:type="dxa"/>
            <w:vAlign w:val="bottom"/>
          </w:tcPr>
          <w:p>
            <w:pPr>
              <w:spacing w:after="0"/>
              <w:rPr>
                <w:sz w:val="24"/>
                <w:szCs w:val="24"/>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EBITDA”)</w:t>
            </w:r>
          </w:p>
        </w:tc>
        <w:tc>
          <w:tcPr>
            <w:tcW w:w="2860" w:type="dxa"/>
            <w:vAlign w:val="bottom"/>
          </w:tcPr>
          <w:p>
            <w:pPr>
              <w:spacing w:after="0"/>
              <w:rPr>
                <w:sz w:val="24"/>
                <w:szCs w:val="24"/>
                <w:color w:val="auto"/>
              </w:rPr>
            </w:pPr>
          </w:p>
        </w:tc>
      </w:tr>
      <w:tr>
        <w:trPr>
          <w:trHeight w:val="36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16.</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Interest Expense</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64"/>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17.</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Principal amortization payments</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6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18.</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Dividends</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65"/>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19.</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Income taxes paid</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352"/>
        </w:trPr>
        <w:tc>
          <w:tcPr>
            <w:tcW w:w="11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20.</w:t>
            </w: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Cash payments of base rent under Eligible</w:t>
            </w:r>
          </w:p>
        </w:tc>
        <w:tc>
          <w:tcPr>
            <w:tcW w:w="28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282"/>
        </w:trPr>
        <w:tc>
          <w:tcPr>
            <w:tcW w:w="1160" w:type="dxa"/>
            <w:vAlign w:val="bottom"/>
          </w:tcPr>
          <w:p>
            <w:pPr>
              <w:spacing w:after="0"/>
              <w:rPr>
                <w:sz w:val="24"/>
                <w:szCs w:val="24"/>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Leasehold Interests</w:t>
            </w:r>
          </w:p>
        </w:tc>
        <w:tc>
          <w:tcPr>
            <w:tcW w:w="2860" w:type="dxa"/>
            <w:vAlign w:val="bottom"/>
          </w:tcPr>
          <w:p>
            <w:pPr>
              <w:spacing w:after="0"/>
              <w:rPr>
                <w:sz w:val="24"/>
                <w:szCs w:val="24"/>
                <w:color w:val="auto"/>
              </w:rPr>
            </w:pPr>
          </w:p>
        </w:tc>
      </w:tr>
      <w:tr>
        <w:trPr>
          <w:trHeight w:val="648"/>
        </w:trPr>
        <w:tc>
          <w:tcPr>
            <w:tcW w:w="1160" w:type="dxa"/>
            <w:vAlign w:val="bottom"/>
          </w:tcPr>
          <w:p>
            <w:pPr>
              <w:spacing w:after="0"/>
              <w:rPr>
                <w:sz w:val="24"/>
                <w:szCs w:val="24"/>
                <w:color w:val="auto"/>
              </w:rPr>
            </w:pPr>
          </w:p>
        </w:tc>
        <w:tc>
          <w:tcPr>
            <w:tcW w:w="4560" w:type="dxa"/>
            <w:vAlign w:val="bottom"/>
          </w:tcPr>
          <w:p>
            <w:pPr>
              <w:ind w:left="3000"/>
              <w:spacing w:after="0"/>
              <w:rPr>
                <w:sz w:val="20"/>
                <w:szCs w:val="20"/>
                <w:color w:val="auto"/>
              </w:rPr>
            </w:pPr>
            <w:r>
              <w:rPr>
                <w:rFonts w:ascii="Times New Roman" w:cs="Times New Roman" w:eastAsia="Times New Roman" w:hAnsi="Times New Roman"/>
                <w:sz w:val="22"/>
                <w:szCs w:val="22"/>
                <w:i w:val="1"/>
                <w:iCs w:val="1"/>
                <w:color w:val="auto"/>
              </w:rPr>
              <w:t>-2-</w:t>
            </w:r>
          </w:p>
        </w:tc>
        <w:tc>
          <w:tcPr>
            <w:tcW w:w="2860" w:type="dxa"/>
            <w:vAlign w:val="bottom"/>
          </w:tcPr>
          <w:p>
            <w:pPr>
              <w:spacing w:after="0"/>
              <w:rPr>
                <w:sz w:val="24"/>
                <w:szCs w:val="24"/>
                <w:color w:val="auto"/>
              </w:rPr>
            </w:pPr>
          </w:p>
        </w:tc>
      </w:tr>
      <w:tr>
        <w:trPr>
          <w:trHeight w:val="549"/>
        </w:trPr>
        <w:tc>
          <w:tcPr>
            <w:tcW w:w="11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17" w:right="1440" w:bottom="1440" w:gutter="0" w:footer="0" w:header="0"/>
        </w:sectPr>
      </w:pPr>
    </w:p>
    <w:bookmarkStart w:id="189" w:name="page190"/>
    <w:bookmarkEnd w:id="189"/>
    <w:p>
      <w:pPr>
        <w:ind w:left="1560" w:right="560" w:hanging="640"/>
        <w:spacing w:after="0" w:line="258" w:lineRule="auto"/>
        <w:tabs>
          <w:tab w:leader="none" w:pos="15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 of Lines D16, D17, D18, D19 and D20 (“Fixed Charges”)</w:t>
      </w:r>
    </w:p>
    <w:p>
      <w:pPr>
        <w:spacing w:after="0" w:line="63"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Ratio of Line D15 to Line D21</w:t>
      </w:r>
    </w:p>
    <w:p>
      <w:pPr>
        <w:spacing w:after="0" w:line="111"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D22 shall not be less than</w:t>
      </w:r>
    </w:p>
    <w:p>
      <w:pPr>
        <w:spacing w:after="0" w:line="111" w:lineRule="exact"/>
        <w:rPr>
          <w:rFonts w:ascii="Times New Roman" w:cs="Times New Roman" w:eastAsia="Times New Roman" w:hAnsi="Times New Roman"/>
          <w:sz w:val="22"/>
          <w:szCs w:val="22"/>
          <w:color w:val="auto"/>
        </w:rPr>
      </w:pPr>
    </w:p>
    <w:p>
      <w:pPr>
        <w:ind w:left="1560" w:right="500" w:hanging="640"/>
        <w:spacing w:after="0" w:line="258" w:lineRule="auto"/>
        <w:tabs>
          <w:tab w:leader="none" w:pos="15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in compliance (circle yes or no)</w:t>
      </w:r>
    </w:p>
    <w:p>
      <w:pPr>
        <w:spacing w:after="0" w:line="198" w:lineRule="exact"/>
        <w:rPr>
          <w:rFonts w:ascii="Times New Roman" w:cs="Times New Roman" w:eastAsia="Times New Roman" w:hAnsi="Times New Roman"/>
          <w:sz w:val="22"/>
          <w:szCs w:val="22"/>
          <w:color w:val="auto"/>
        </w:rPr>
      </w:pPr>
    </w:p>
    <w:p>
      <w:pPr>
        <w:ind w:left="920" w:right="620" w:hanging="648"/>
        <w:spacing w:after="0" w:line="258" w:lineRule="auto"/>
        <w:tabs>
          <w:tab w:leader="none" w:pos="9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Secured Recourse Indebtedness to Total Asset Value Ratio (Section 8.20(e))</w:t>
      </w:r>
    </w:p>
    <w:p>
      <w:pPr>
        <w:spacing w:after="0" w:line="63"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Recourse Indebtedness</w:t>
      </w:r>
    </w:p>
    <w:p>
      <w:pPr>
        <w:spacing w:after="0" w:line="111" w:lineRule="exact"/>
        <w:rPr>
          <w:rFonts w:ascii="Times New Roman" w:cs="Times New Roman" w:eastAsia="Times New Roman" w:hAnsi="Times New Roman"/>
          <w:sz w:val="22"/>
          <w:szCs w:val="22"/>
          <w:color w:val="auto"/>
        </w:rPr>
      </w:pPr>
    </w:p>
    <w:p>
      <w:pPr>
        <w:ind w:left="1560" w:right="520" w:hanging="640"/>
        <w:spacing w:after="0" w:line="258" w:lineRule="auto"/>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Asset Value as calculated on Exhibit A hereto</w:t>
      </w:r>
    </w:p>
    <w:p>
      <w:pPr>
        <w:spacing w:after="0" w:line="63"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Ratio of Line E1 to Line E2</w:t>
      </w:r>
    </w:p>
    <w:p>
      <w:pPr>
        <w:spacing w:after="0" w:line="111"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E3 shall not exceed</w:t>
      </w:r>
    </w:p>
    <w:p>
      <w:pPr>
        <w:spacing w:after="0" w:line="111" w:lineRule="exact"/>
        <w:rPr>
          <w:rFonts w:ascii="Times New Roman" w:cs="Times New Roman" w:eastAsia="Times New Roman" w:hAnsi="Times New Roman"/>
          <w:sz w:val="22"/>
          <w:szCs w:val="22"/>
          <w:color w:val="auto"/>
        </w:rPr>
      </w:pPr>
    </w:p>
    <w:p>
      <w:pPr>
        <w:ind w:left="1560" w:right="500" w:hanging="640"/>
        <w:spacing w:after="0" w:line="258" w:lineRule="auto"/>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in compliance (circle yes or no)</w:t>
      </w:r>
    </w:p>
    <w:p>
      <w:pPr>
        <w:spacing w:after="0" w:line="198" w:lineRule="exact"/>
        <w:rPr>
          <w:rFonts w:ascii="Times New Roman" w:cs="Times New Roman" w:eastAsia="Times New Roman" w:hAnsi="Times New Roman"/>
          <w:sz w:val="22"/>
          <w:szCs w:val="22"/>
          <w:color w:val="auto"/>
        </w:rPr>
      </w:pPr>
    </w:p>
    <w:p>
      <w:pPr>
        <w:ind w:left="920" w:hanging="648"/>
        <w:spacing w:after="0"/>
        <w:tabs>
          <w:tab w:leader="none" w:pos="9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Tangible Net Worth (Section 8.20(f))</w:t>
      </w:r>
    </w:p>
    <w:p>
      <w:pPr>
        <w:spacing w:after="0" w:line="111"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Tangible Net Worth</w:t>
      </w:r>
    </w:p>
    <w:p>
      <w:pPr>
        <w:spacing w:after="0" w:line="111" w:lineRule="exact"/>
        <w:rPr>
          <w:rFonts w:ascii="Times New Roman" w:cs="Times New Roman" w:eastAsia="Times New Roman" w:hAnsi="Times New Roman"/>
          <w:sz w:val="22"/>
          <w:szCs w:val="22"/>
          <w:color w:val="auto"/>
        </w:rPr>
      </w:pPr>
    </w:p>
    <w:p>
      <w:pPr>
        <w:ind w:left="1560" w:right="640" w:hanging="640"/>
        <w:spacing w:after="0" w:line="244" w:lineRule="auto"/>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net proceeds of Stock and Stock Equivalent offerings after September 30, 2024</w:t>
      </w:r>
    </w:p>
    <w:p>
      <w:pPr>
        <w:spacing w:after="0" w:line="78"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 of Line F2</w:t>
      </w:r>
    </w:p>
    <w:p>
      <w:pPr>
        <w:spacing w:after="0" w:line="111"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$465,259,119 plus Line F3</w:t>
      </w:r>
    </w:p>
    <w:p>
      <w:pPr>
        <w:spacing w:after="0" w:line="111"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F1 shall not be less than Line F4</w:t>
      </w:r>
    </w:p>
    <w:p>
      <w:pPr>
        <w:spacing w:after="0" w:line="111" w:lineRule="exact"/>
        <w:rPr>
          <w:rFonts w:ascii="Times New Roman" w:cs="Times New Roman" w:eastAsia="Times New Roman" w:hAnsi="Times New Roman"/>
          <w:sz w:val="22"/>
          <w:szCs w:val="22"/>
          <w:color w:val="auto"/>
        </w:rPr>
      </w:pPr>
    </w:p>
    <w:p>
      <w:pPr>
        <w:ind w:left="1560" w:right="500" w:hanging="640"/>
        <w:spacing w:after="0" w:line="258" w:lineRule="auto"/>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in compliance (circle yes or no)</w:t>
      </w:r>
    </w:p>
    <w:p>
      <w:pPr>
        <w:spacing w:after="0" w:line="198" w:lineRule="exact"/>
        <w:rPr>
          <w:rFonts w:ascii="Times New Roman" w:cs="Times New Roman" w:eastAsia="Times New Roman" w:hAnsi="Times New Roman"/>
          <w:sz w:val="22"/>
          <w:szCs w:val="22"/>
          <w:color w:val="auto"/>
        </w:rPr>
      </w:pPr>
    </w:p>
    <w:p>
      <w:pPr>
        <w:ind w:left="920" w:right="1000" w:hanging="648"/>
        <w:spacing w:after="0" w:line="258" w:lineRule="auto"/>
        <w:tabs>
          <w:tab w:leader="none" w:pos="9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Unsecured Coverage Ratio (Section 8.20(g))</w:t>
      </w:r>
    </w:p>
    <w:p>
      <w:pPr>
        <w:spacing w:after="0" w:line="63" w:lineRule="exact"/>
        <w:rPr>
          <w:rFonts w:ascii="Times New Roman" w:cs="Times New Roman" w:eastAsia="Times New Roman" w:hAnsi="Times New Roman"/>
          <w:sz w:val="22"/>
          <w:szCs w:val="22"/>
          <w:color w:val="auto"/>
        </w:rPr>
      </w:pPr>
    </w:p>
    <w:p>
      <w:pPr>
        <w:ind w:left="1560" w:right="1100" w:hanging="640"/>
        <w:spacing w:after="0" w:line="258" w:lineRule="auto"/>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Base NOI as calculated on Exhibit C hereto</w:t>
      </w:r>
    </w:p>
    <w:p>
      <w:pPr>
        <w:spacing w:after="0" w:line="63"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Interest Expense</w:t>
      </w:r>
    </w:p>
    <w:p>
      <w:pPr>
        <w:spacing w:after="0" w:line="111"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Ratio of Line G1 to G2</w:t>
      </w:r>
    </w:p>
    <w:p>
      <w:pPr>
        <w:spacing w:after="0" w:line="111" w:lineRule="exact"/>
        <w:rPr>
          <w:rFonts w:ascii="Times New Roman" w:cs="Times New Roman" w:eastAsia="Times New Roman" w:hAnsi="Times New Roman"/>
          <w:sz w:val="22"/>
          <w:szCs w:val="22"/>
          <w:color w:val="auto"/>
        </w:rPr>
      </w:pPr>
    </w:p>
    <w:p>
      <w:pPr>
        <w:ind w:left="1560" w:hanging="640"/>
        <w:spacing w:after="0"/>
        <w:tabs>
          <w:tab w:leader="none" w:pos="15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G3 ratio shall not be less than</w:t>
      </w:r>
    </w:p>
    <w:p>
      <w:pPr>
        <w:spacing w:after="0" w:line="39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___________</w:t>
      </w:r>
    </w:p>
    <w:p>
      <w:pPr>
        <w:spacing w:after="0" w:line="355"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22"/>
          <w:szCs w:val="22"/>
          <w:color w:val="auto"/>
        </w:rPr>
        <w:t>__:1.0</w:t>
      </w:r>
    </w:p>
    <w:p>
      <w:pPr>
        <w:spacing w:after="0" w:line="112"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22"/>
          <w:szCs w:val="22"/>
          <w:color w:val="auto"/>
        </w:rPr>
        <w:t>1.50:1.0</w:t>
      </w:r>
    </w:p>
    <w:p>
      <w:pPr>
        <w:spacing w:after="0" w:line="112"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22"/>
          <w:szCs w:val="22"/>
          <w:color w:val="auto"/>
        </w:rPr>
        <w:t>yes/no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___________</w:t>
      </w:r>
    </w:p>
    <w:p>
      <w:pPr>
        <w:spacing w:after="0" w:line="3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____:1.0</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0.05:1.0</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yes/no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___________</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___________</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___________</w:t>
      </w:r>
    </w:p>
    <w:p>
      <w:pPr>
        <w:spacing w:after="0" w:line="200" w:lineRule="exact"/>
        <w:rPr>
          <w:sz w:val="20"/>
          <w:szCs w:val="20"/>
          <w:color w:val="auto"/>
        </w:rPr>
      </w:pPr>
    </w:p>
    <w:p>
      <w:pPr>
        <w:spacing w:after="0" w:line="276"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22"/>
          <w:szCs w:val="22"/>
          <w:color w:val="auto"/>
        </w:rPr>
        <w:t>yes/no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____:1.00</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1.50:1.00</w:t>
      </w:r>
    </w:p>
    <w:p>
      <w:pPr>
        <w:sectPr>
          <w:pgSz w:w="11900" w:h="16838" w:orient="portrait"/>
          <w:cols w:equalWidth="0" w:num="2">
            <w:col w:w="5940" w:space="720"/>
            <w:col w:w="2359"/>
          </w:cols>
          <w:pgMar w:left="1440" w:top="1017" w:right="1440" w:bottom="1440" w:gutter="0" w:footer="0" w:header="0"/>
        </w:sectPr>
      </w:pPr>
    </w:p>
    <w:bookmarkStart w:id="190" w:name="page191"/>
    <w:bookmarkEnd w:id="190"/>
    <w:tbl>
      <w:tblPr>
        <w:tblLayout w:type="fixed"/>
        <w:tblInd w:w="280" w:type="dxa"/>
        <w:tblCellMar>
          <w:top w:w="0" w:type="dxa"/>
          <w:left w:w="0" w:type="dxa"/>
          <w:bottom w:w="0" w:type="dxa"/>
          <w:right w:w="0" w:type="dxa"/>
        </w:tblCellMar>
      </w:tblPr>
      <w:tr>
        <w:trPr>
          <w:trHeight w:val="253"/>
        </w:trPr>
        <w:tc>
          <w:tcPr>
            <w:tcW w:w="420" w:type="dxa"/>
            <w:vAlign w:val="bottom"/>
          </w:tcPr>
          <w:p>
            <w:pPr>
              <w:spacing w:after="0"/>
              <w:rPr>
                <w:sz w:val="22"/>
                <w:szCs w:val="22"/>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5.</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The Borrower is in compliance (circle yes or</w:t>
            </w:r>
          </w:p>
        </w:tc>
        <w:tc>
          <w:tcPr>
            <w:tcW w:w="1900" w:type="dxa"/>
            <w:vAlign w:val="bottom"/>
          </w:tcPr>
          <w:p>
            <w:pPr>
              <w:jc w:val="center"/>
              <w:ind w:left="512"/>
              <w:spacing w:after="0"/>
              <w:rPr>
                <w:sz w:val="20"/>
                <w:szCs w:val="20"/>
                <w:color w:val="auto"/>
              </w:rPr>
            </w:pPr>
            <w:r>
              <w:rPr>
                <w:rFonts w:ascii="Times New Roman" w:cs="Times New Roman" w:eastAsia="Times New Roman" w:hAnsi="Times New Roman"/>
                <w:sz w:val="22"/>
                <w:szCs w:val="22"/>
                <w:color w:val="auto"/>
                <w:w w:val="97"/>
              </w:rPr>
              <w:t>yes/no</w:t>
            </w:r>
          </w:p>
        </w:tc>
      </w:tr>
      <w:tr>
        <w:trPr>
          <w:trHeight w:val="282"/>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no)</w:t>
            </w:r>
          </w:p>
        </w:tc>
        <w:tc>
          <w:tcPr>
            <w:tcW w:w="1900" w:type="dxa"/>
            <w:vAlign w:val="bottom"/>
          </w:tcPr>
          <w:p>
            <w:pPr>
              <w:spacing w:after="0"/>
              <w:rPr>
                <w:sz w:val="24"/>
                <w:szCs w:val="24"/>
                <w:color w:val="auto"/>
              </w:rPr>
            </w:pPr>
          </w:p>
        </w:tc>
      </w:tr>
      <w:tr>
        <w:trPr>
          <w:trHeight w:val="312"/>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H.</w:t>
            </w:r>
          </w:p>
        </w:tc>
        <w:tc>
          <w:tcPr>
            <w:tcW w:w="24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Restricted Payments (Section 8.29(a))</w:t>
            </w:r>
          </w:p>
        </w:tc>
        <w:tc>
          <w:tcPr>
            <w:tcW w:w="190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4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1.</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Aggregate amount of cash distributions</w:t>
            </w:r>
          </w:p>
        </w:tc>
        <w:tc>
          <w:tcPr>
            <w:tcW w:w="1900" w:type="dxa"/>
            <w:vAlign w:val="bottom"/>
          </w:tcPr>
          <w:p>
            <w:pPr>
              <w:jc w:val="center"/>
              <w:ind w:left="512"/>
              <w:spacing w:after="0"/>
              <w:rPr>
                <w:sz w:val="20"/>
                <w:szCs w:val="20"/>
                <w:color w:val="auto"/>
              </w:rPr>
            </w:pPr>
            <w:r>
              <w:rPr>
                <w:rFonts w:ascii="Times New Roman" w:cs="Times New Roman" w:eastAsia="Times New Roman" w:hAnsi="Times New Roman"/>
                <w:sz w:val="22"/>
                <w:szCs w:val="22"/>
                <w:color w:val="auto"/>
                <w:w w:val="96"/>
              </w:rPr>
              <w:t>$___________</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made by the Borrower to its equity holders</w:t>
            </w:r>
          </w:p>
        </w:tc>
        <w:tc>
          <w:tcPr>
            <w:tcW w:w="1900" w:type="dxa"/>
            <w:vAlign w:val="bottom"/>
          </w:tcPr>
          <w:p>
            <w:pPr>
              <w:spacing w:after="0"/>
              <w:rPr>
                <w:sz w:val="21"/>
                <w:szCs w:val="21"/>
                <w:color w:val="auto"/>
              </w:rPr>
            </w:pPr>
          </w:p>
        </w:tc>
      </w:tr>
      <w:tr>
        <w:trPr>
          <w:trHeight w:val="282"/>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during such period</w:t>
            </w:r>
          </w:p>
        </w:tc>
        <w:tc>
          <w:tcPr>
            <w:tcW w:w="1900" w:type="dxa"/>
            <w:vAlign w:val="bottom"/>
          </w:tcPr>
          <w:p>
            <w:pPr>
              <w:spacing w:after="0"/>
              <w:rPr>
                <w:sz w:val="24"/>
                <w:szCs w:val="24"/>
                <w:color w:val="auto"/>
              </w:rPr>
            </w:pPr>
          </w:p>
        </w:tc>
      </w:tr>
      <w:tr>
        <w:trPr>
          <w:trHeight w:val="325"/>
        </w:trPr>
        <w:tc>
          <w:tcPr>
            <w:tcW w:w="4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2.</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The Borrower’s Adjusted FFO for such</w:t>
            </w:r>
          </w:p>
        </w:tc>
        <w:tc>
          <w:tcPr>
            <w:tcW w:w="1900" w:type="dxa"/>
            <w:vAlign w:val="bottom"/>
          </w:tcPr>
          <w:p>
            <w:pPr>
              <w:jc w:val="center"/>
              <w:ind w:left="512"/>
              <w:spacing w:after="0"/>
              <w:rPr>
                <w:sz w:val="20"/>
                <w:szCs w:val="20"/>
                <w:color w:val="auto"/>
              </w:rPr>
            </w:pPr>
            <w:r>
              <w:rPr>
                <w:rFonts w:ascii="Times New Roman" w:cs="Times New Roman" w:eastAsia="Times New Roman" w:hAnsi="Times New Roman"/>
                <w:sz w:val="22"/>
                <w:szCs w:val="22"/>
                <w:color w:val="auto"/>
                <w:w w:val="96"/>
              </w:rPr>
              <w:t>____________</w:t>
            </w:r>
          </w:p>
        </w:tc>
      </w:tr>
      <w:tr>
        <w:trPr>
          <w:trHeight w:val="282"/>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period</w:t>
            </w:r>
          </w:p>
        </w:tc>
        <w:tc>
          <w:tcPr>
            <w:tcW w:w="1900" w:type="dxa"/>
            <w:vAlign w:val="bottom"/>
          </w:tcPr>
          <w:p>
            <w:pPr>
              <w:spacing w:after="0"/>
              <w:rPr>
                <w:sz w:val="24"/>
                <w:szCs w:val="24"/>
                <w:color w:val="auto"/>
              </w:rPr>
            </w:pPr>
          </w:p>
        </w:tc>
      </w:tr>
      <w:tr>
        <w:trPr>
          <w:trHeight w:val="364"/>
        </w:trPr>
        <w:tc>
          <w:tcPr>
            <w:tcW w:w="4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3.</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95% of Line H2</w:t>
            </w:r>
          </w:p>
        </w:tc>
        <w:tc>
          <w:tcPr>
            <w:tcW w:w="1900" w:type="dxa"/>
            <w:vAlign w:val="bottom"/>
          </w:tcPr>
          <w:p>
            <w:pPr>
              <w:jc w:val="center"/>
              <w:ind w:left="512"/>
              <w:spacing w:after="0"/>
              <w:rPr>
                <w:sz w:val="20"/>
                <w:szCs w:val="20"/>
                <w:color w:val="auto"/>
              </w:rPr>
            </w:pPr>
            <w:r>
              <w:rPr>
                <w:rFonts w:ascii="Times New Roman" w:cs="Times New Roman" w:eastAsia="Times New Roman" w:hAnsi="Times New Roman"/>
                <w:sz w:val="22"/>
                <w:szCs w:val="22"/>
                <w:color w:val="auto"/>
                <w:w w:val="96"/>
              </w:rPr>
              <w:t>____________</w:t>
            </w:r>
          </w:p>
        </w:tc>
      </w:tr>
    </w:tbl>
    <w:p>
      <w:pPr>
        <w:spacing w:after="0" w:line="82" w:lineRule="exact"/>
        <w:rPr>
          <w:sz w:val="20"/>
          <w:szCs w:val="20"/>
          <w:color w:val="auto"/>
        </w:rPr>
      </w:pPr>
    </w:p>
    <w:p>
      <w:pPr>
        <w:ind w:left="1560" w:right="3699" w:hanging="640"/>
        <w:spacing w:after="0" w:line="249" w:lineRule="auto"/>
        <w:tabs>
          <w:tab w:leader="none" w:pos="156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necessary for the Borrower to be able to make distributions required to maintain its status as a REIT (i.e., to satisfy</w:t>
      </w:r>
    </w:p>
    <w:tbl>
      <w:tblPr>
        <w:tblLayout w:type="fixed"/>
        <w:tblInd w:w="920" w:type="dxa"/>
        <w:tblCellMar>
          <w:top w:w="0" w:type="dxa"/>
          <w:left w:w="0" w:type="dxa"/>
          <w:bottom w:w="0" w:type="dxa"/>
          <w:right w:w="0" w:type="dxa"/>
        </w:tblCellMar>
      </w:tblPr>
      <w:tr>
        <w:trPr>
          <w:trHeight w:val="220"/>
        </w:trPr>
        <w:tc>
          <w:tcPr>
            <w:tcW w:w="400" w:type="dxa"/>
            <w:vAlign w:val="bottom"/>
          </w:tcPr>
          <w:p>
            <w:pPr>
              <w:spacing w:after="0"/>
              <w:rPr>
                <w:sz w:val="19"/>
                <w:szCs w:val="19"/>
                <w:color w:val="auto"/>
              </w:rPr>
            </w:pPr>
          </w:p>
        </w:tc>
        <w:tc>
          <w:tcPr>
            <w:tcW w:w="4720" w:type="dxa"/>
            <w:vAlign w:val="bottom"/>
          </w:tcPr>
          <w:p>
            <w:pPr>
              <w:ind w:left="240"/>
              <w:spacing w:after="0" w:line="221" w:lineRule="exact"/>
              <w:rPr>
                <w:sz w:val="20"/>
                <w:szCs w:val="20"/>
                <w:color w:val="auto"/>
              </w:rPr>
            </w:pPr>
            <w:r>
              <w:rPr>
                <w:rFonts w:ascii="Times New Roman" w:cs="Times New Roman" w:eastAsia="Times New Roman" w:hAnsi="Times New Roman"/>
                <w:sz w:val="22"/>
                <w:szCs w:val="22"/>
                <w:color w:val="auto"/>
              </w:rPr>
              <w:t>the distribution requirements set forth in</w:t>
            </w:r>
          </w:p>
        </w:tc>
        <w:tc>
          <w:tcPr>
            <w:tcW w:w="1900" w:type="dxa"/>
            <w:vAlign w:val="bottom"/>
          </w:tcPr>
          <w:p>
            <w:pPr>
              <w:jc w:val="center"/>
              <w:ind w:left="512"/>
              <w:spacing w:after="0" w:line="221" w:lineRule="exact"/>
              <w:rPr>
                <w:sz w:val="20"/>
                <w:szCs w:val="20"/>
                <w:color w:val="auto"/>
              </w:rPr>
            </w:pPr>
            <w:r>
              <w:rPr>
                <w:rFonts w:ascii="Times New Roman" w:cs="Times New Roman" w:eastAsia="Times New Roman" w:hAnsi="Times New Roman"/>
                <w:sz w:val="22"/>
                <w:szCs w:val="22"/>
                <w:color w:val="auto"/>
                <w:w w:val="96"/>
              </w:rPr>
              <w:t>____________</w:t>
            </w:r>
          </w:p>
        </w:tc>
      </w:tr>
      <w:tr>
        <w:trPr>
          <w:trHeight w:val="282"/>
        </w:trPr>
        <w:tc>
          <w:tcPr>
            <w:tcW w:w="40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4981 of the Code)</w:t>
            </w:r>
          </w:p>
        </w:tc>
        <w:tc>
          <w:tcPr>
            <w:tcW w:w="1900" w:type="dxa"/>
            <w:vAlign w:val="bottom"/>
          </w:tcPr>
          <w:p>
            <w:pPr>
              <w:spacing w:after="0"/>
              <w:rPr>
                <w:sz w:val="24"/>
                <w:szCs w:val="24"/>
                <w:color w:val="auto"/>
              </w:rPr>
            </w:pPr>
          </w:p>
        </w:tc>
      </w:tr>
      <w:tr>
        <w:trPr>
          <w:trHeight w:val="364"/>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5.</w:t>
            </w: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Greater of Line H3 and Line H4</w:t>
            </w:r>
          </w:p>
        </w:tc>
        <w:tc>
          <w:tcPr>
            <w:tcW w:w="1900" w:type="dxa"/>
            <w:vAlign w:val="bottom"/>
          </w:tcPr>
          <w:p>
            <w:pPr>
              <w:jc w:val="center"/>
              <w:ind w:left="512"/>
              <w:spacing w:after="0"/>
              <w:rPr>
                <w:sz w:val="20"/>
                <w:szCs w:val="20"/>
                <w:color w:val="auto"/>
              </w:rPr>
            </w:pPr>
            <w:r>
              <w:rPr>
                <w:rFonts w:ascii="Times New Roman" w:cs="Times New Roman" w:eastAsia="Times New Roman" w:hAnsi="Times New Roman"/>
                <w:sz w:val="22"/>
                <w:szCs w:val="22"/>
                <w:color w:val="auto"/>
                <w:w w:val="96"/>
              </w:rPr>
              <w:t>____________</w:t>
            </w:r>
          </w:p>
        </w:tc>
      </w:tr>
      <w:tr>
        <w:trPr>
          <w:trHeight w:val="365"/>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6.</w:t>
            </w: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Line H1 shall not exceed Line H5</w:t>
            </w:r>
          </w:p>
        </w:tc>
        <w:tc>
          <w:tcPr>
            <w:tcW w:w="1900" w:type="dxa"/>
            <w:vAlign w:val="bottom"/>
          </w:tcPr>
          <w:p>
            <w:pPr>
              <w:spacing w:after="0"/>
              <w:rPr>
                <w:sz w:val="24"/>
                <w:szCs w:val="24"/>
                <w:color w:val="auto"/>
              </w:rPr>
            </w:pPr>
          </w:p>
        </w:tc>
      </w:tr>
      <w:tr>
        <w:trPr>
          <w:trHeight w:val="325"/>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7.</w:t>
            </w: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The Borrower is in compliance (circle yes or</w:t>
            </w:r>
          </w:p>
        </w:tc>
        <w:tc>
          <w:tcPr>
            <w:tcW w:w="1900" w:type="dxa"/>
            <w:vAlign w:val="bottom"/>
          </w:tcPr>
          <w:p>
            <w:pPr>
              <w:jc w:val="center"/>
              <w:ind w:left="512"/>
              <w:spacing w:after="0"/>
              <w:rPr>
                <w:sz w:val="20"/>
                <w:szCs w:val="20"/>
                <w:color w:val="auto"/>
              </w:rPr>
            </w:pPr>
            <w:r>
              <w:rPr>
                <w:rFonts w:ascii="Times New Roman" w:cs="Times New Roman" w:eastAsia="Times New Roman" w:hAnsi="Times New Roman"/>
                <w:sz w:val="22"/>
                <w:szCs w:val="22"/>
                <w:color w:val="auto"/>
                <w:w w:val="97"/>
              </w:rPr>
              <w:t>yes/no</w:t>
            </w:r>
          </w:p>
        </w:tc>
      </w:tr>
      <w:tr>
        <w:trPr>
          <w:trHeight w:val="282"/>
        </w:trPr>
        <w:tc>
          <w:tcPr>
            <w:tcW w:w="40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w:t>
            </w:r>
          </w:p>
        </w:tc>
        <w:tc>
          <w:tcPr>
            <w:tcW w:w="1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07" w:right="1440"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 to Schedule I</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Compliance Certificate</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 xml:space="preserve">of </w:t>
      </w:r>
      <w:r>
        <w:rPr>
          <w:rFonts w:ascii="Times New Roman" w:cs="Times New Roman" w:eastAsia="Times New Roman" w:hAnsi="Times New Roman"/>
          <w:sz w:val="21"/>
          <w:szCs w:val="21"/>
          <w:b w:val="1"/>
          <w:bCs w:val="1"/>
          <w:color w:val="auto"/>
        </w:rPr>
        <w:t>CTO R</w:t>
      </w:r>
      <w:r>
        <w:rPr>
          <w:rFonts w:ascii="Times New Roman" w:cs="Times New Roman" w:eastAsia="Times New Roman" w:hAnsi="Times New Roman"/>
          <w:sz w:val="15"/>
          <w:szCs w:val="15"/>
          <w:b w:val="1"/>
          <w:bCs w:val="1"/>
          <w:color w:val="auto"/>
        </w:rPr>
        <w:t xml:space="preserve">ealty </w:t>
      </w:r>
      <w:r>
        <w:rPr>
          <w:rFonts w:ascii="Times New Roman" w:cs="Times New Roman" w:eastAsia="Times New Roman" w:hAnsi="Times New Roman"/>
          <w:sz w:val="21"/>
          <w:szCs w:val="21"/>
          <w:b w:val="1"/>
          <w:bCs w:val="1"/>
          <w:color w:val="auto"/>
        </w:rPr>
        <w:t>G</w:t>
      </w:r>
      <w:r>
        <w:rPr>
          <w:rFonts w:ascii="Times New Roman" w:cs="Times New Roman" w:eastAsia="Times New Roman" w:hAnsi="Times New Roman"/>
          <w:sz w:val="15"/>
          <w:szCs w:val="15"/>
          <w:b w:val="1"/>
          <w:bCs w:val="1"/>
          <w:color w:val="auto"/>
        </w:rPr>
        <w:t>rowth</w:t>
      </w:r>
      <w:r>
        <w:rPr>
          <w:rFonts w:ascii="Times New Roman" w:cs="Times New Roman" w:eastAsia="Times New Roman" w:hAnsi="Times New Roman"/>
          <w:sz w:val="21"/>
          <w:szCs w:val="21"/>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1"/>
          <w:szCs w:val="21"/>
          <w:b w:val="1"/>
          <w:bCs w:val="1"/>
          <w:color w:val="auto"/>
        </w:rPr>
        <w:t>.</w:t>
      </w:r>
    </w:p>
    <w:p>
      <w:pPr>
        <w:spacing w:after="0" w:line="2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This Exhibit A, with a calculation date of __________,______, is attached to Schedule I to</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Compliance Certificate of CTO Realty Growth, Inc. dated _______________, 20__ , as</w:t>
      </w: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amended, and delivered to KeyBank National Association, as Administrative Agent, and the Lenders party to the Credit Agreement, as amended, referred to therein. The undersigned hereby certifies that the following is a true, correct and complete calculation of Total Asset Value for the Rolling Period most recently ended:</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[Insert Calculation]</w:t>
      </w:r>
    </w:p>
    <w:p>
      <w:pPr>
        <w:spacing w:after="0" w:line="200" w:lineRule="exact"/>
        <w:rPr>
          <w:sz w:val="20"/>
          <w:szCs w:val="20"/>
          <w:color w:val="auto"/>
        </w:rPr>
      </w:pPr>
    </w:p>
    <w:p>
      <w:pPr>
        <w:spacing w:after="0" w:line="2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200" w:lineRule="exact"/>
        <w:rPr>
          <w:sz w:val="20"/>
          <w:szCs w:val="20"/>
          <w:color w:val="auto"/>
        </w:rPr>
      </w:pPr>
    </w:p>
    <w:p>
      <w:pPr>
        <w:spacing w:after="0" w:line="3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-31115</wp:posOffset>
            </wp:positionV>
            <wp:extent cx="20745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-31115</wp:posOffset>
            </wp:positionV>
            <wp:extent cx="21431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 to Schedule I</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Compliance Certificate</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 xml:space="preserve">of </w:t>
      </w:r>
      <w:r>
        <w:rPr>
          <w:rFonts w:ascii="Times New Roman" w:cs="Times New Roman" w:eastAsia="Times New Roman" w:hAnsi="Times New Roman"/>
          <w:sz w:val="21"/>
          <w:szCs w:val="21"/>
          <w:b w:val="1"/>
          <w:bCs w:val="1"/>
          <w:color w:val="auto"/>
        </w:rPr>
        <w:t>CTO R</w:t>
      </w:r>
      <w:r>
        <w:rPr>
          <w:rFonts w:ascii="Times New Roman" w:cs="Times New Roman" w:eastAsia="Times New Roman" w:hAnsi="Times New Roman"/>
          <w:sz w:val="15"/>
          <w:szCs w:val="15"/>
          <w:b w:val="1"/>
          <w:bCs w:val="1"/>
          <w:color w:val="auto"/>
        </w:rPr>
        <w:t xml:space="preserve">ealty </w:t>
      </w:r>
      <w:r>
        <w:rPr>
          <w:rFonts w:ascii="Times New Roman" w:cs="Times New Roman" w:eastAsia="Times New Roman" w:hAnsi="Times New Roman"/>
          <w:sz w:val="21"/>
          <w:szCs w:val="21"/>
          <w:b w:val="1"/>
          <w:bCs w:val="1"/>
          <w:color w:val="auto"/>
        </w:rPr>
        <w:t>G</w:t>
      </w:r>
      <w:r>
        <w:rPr>
          <w:rFonts w:ascii="Times New Roman" w:cs="Times New Roman" w:eastAsia="Times New Roman" w:hAnsi="Times New Roman"/>
          <w:sz w:val="15"/>
          <w:szCs w:val="15"/>
          <w:b w:val="1"/>
          <w:bCs w:val="1"/>
          <w:color w:val="auto"/>
        </w:rPr>
        <w:t>rowth</w:t>
      </w:r>
      <w:r>
        <w:rPr>
          <w:rFonts w:ascii="Times New Roman" w:cs="Times New Roman" w:eastAsia="Times New Roman" w:hAnsi="Times New Roman"/>
          <w:sz w:val="21"/>
          <w:szCs w:val="21"/>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This Exhibit B, with a calculation date of __________,______, is attached to Schedule I to</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Compliance Certificate of CTO Realty Growth, Inc. dated _______________, 20__ , as</w:t>
      </w: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amended, and delivered to KeyBank National Association, as Administrative Agent, and the Lenders party to the Credit Agreement, as amended, referred to therein. The undersigned hereby certifies that the following is a true, correct and complete calculation of Borrowing Base Value for the Rolling Period most recently ended:</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[Insert Calculation]</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200" w:lineRule="exact"/>
        <w:rPr>
          <w:sz w:val="20"/>
          <w:szCs w:val="20"/>
          <w:color w:val="auto"/>
        </w:rPr>
      </w:pPr>
    </w:p>
    <w:p>
      <w:pPr>
        <w:spacing w:after="0" w:line="2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-31115</wp:posOffset>
            </wp:positionV>
            <wp:extent cx="20745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-31115</wp:posOffset>
            </wp:positionV>
            <wp:extent cx="21431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93" w:name="page194"/>
    <w:bookmarkEnd w:id="193"/>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Exhibit C to Schedule I</w:t>
      </w:r>
    </w:p>
    <w:p>
      <w:pPr>
        <w:spacing w:after="0" w:line="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to Compliance Certificate</w:t>
      </w:r>
    </w:p>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 xml:space="preserve">of </w:t>
      </w:r>
      <w:r>
        <w:rPr>
          <w:rFonts w:ascii="Times New Roman" w:cs="Times New Roman" w:eastAsia="Times New Roman" w:hAnsi="Times New Roman"/>
          <w:sz w:val="21"/>
          <w:szCs w:val="21"/>
          <w:b w:val="1"/>
          <w:bCs w:val="1"/>
          <w:color w:val="auto"/>
        </w:rPr>
        <w:t>CTO R</w:t>
      </w:r>
      <w:r>
        <w:rPr>
          <w:rFonts w:ascii="Times New Roman" w:cs="Times New Roman" w:eastAsia="Times New Roman" w:hAnsi="Times New Roman"/>
          <w:sz w:val="15"/>
          <w:szCs w:val="15"/>
          <w:b w:val="1"/>
          <w:bCs w:val="1"/>
          <w:color w:val="auto"/>
        </w:rPr>
        <w:t xml:space="preserve">ealty </w:t>
      </w:r>
      <w:r>
        <w:rPr>
          <w:rFonts w:ascii="Times New Roman" w:cs="Times New Roman" w:eastAsia="Times New Roman" w:hAnsi="Times New Roman"/>
          <w:sz w:val="21"/>
          <w:szCs w:val="21"/>
          <w:b w:val="1"/>
          <w:bCs w:val="1"/>
          <w:color w:val="auto"/>
        </w:rPr>
        <w:t>G</w:t>
      </w:r>
      <w:r>
        <w:rPr>
          <w:rFonts w:ascii="Times New Roman" w:cs="Times New Roman" w:eastAsia="Times New Roman" w:hAnsi="Times New Roman"/>
          <w:sz w:val="15"/>
          <w:szCs w:val="15"/>
          <w:b w:val="1"/>
          <w:bCs w:val="1"/>
          <w:color w:val="auto"/>
        </w:rPr>
        <w:t>rowth</w:t>
      </w:r>
      <w:r>
        <w:rPr>
          <w:rFonts w:ascii="Times New Roman" w:cs="Times New Roman" w:eastAsia="Times New Roman" w:hAnsi="Times New Roman"/>
          <w:sz w:val="21"/>
          <w:szCs w:val="21"/>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This Exhibit B, with a calculation date of _______________, 20___, is attached to</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Schedule I to the Compliance Certificate of CTO Realty Growth, Inc. dated _______________,</w:t>
      </w:r>
    </w:p>
    <w:p>
      <w:pPr>
        <w:jc w:val="both"/>
        <w:ind w:left="200" w:right="520"/>
        <w:spacing w:after="0" w:line="234" w:lineRule="auto"/>
        <w:rPr>
          <w:sz w:val="20"/>
          <w:szCs w:val="20"/>
          <w:color w:val="auto"/>
        </w:rPr>
      </w:pPr>
      <w:r>
        <w:rPr>
          <w:rFonts w:ascii="Times New Roman" w:cs="Times New Roman" w:eastAsia="Times New Roman" w:hAnsi="Times New Roman"/>
          <w:sz w:val="22"/>
          <w:szCs w:val="22"/>
          <w:color w:val="auto"/>
        </w:rPr>
        <w:t>20__ , as amended, and delivered to KeyBank National Association, as Administrative Agent, and the Lenders party to the Credit Agreement, as amended, referred to therein. The undersigned hereby certifies that the following is a true, correct and complete calculation of Borrowing Base NOI for all Eligible Properties for the Rolling Period most recently ended:</w:t>
      </w:r>
    </w:p>
    <w:p>
      <w:pPr>
        <w:spacing w:after="0" w:line="212" w:lineRule="exact"/>
        <w:rPr>
          <w:sz w:val="20"/>
          <w:szCs w:val="20"/>
          <w:color w:val="auto"/>
        </w:rPr>
      </w:pPr>
    </w:p>
    <w:tbl>
      <w:tblPr>
        <w:tblLayout w:type="fixed"/>
        <w:tblInd w:w="230" w:type="dxa"/>
        <w:tblCellMar>
          <w:top w:w="0" w:type="dxa"/>
          <w:left w:w="0" w:type="dxa"/>
          <w:bottom w:w="0" w:type="dxa"/>
          <w:right w:w="0" w:type="dxa"/>
        </w:tblCellMar>
      </w:tblPr>
      <w:tr>
        <w:trPr>
          <w:trHeight w:val="148"/>
        </w:trPr>
        <w:tc>
          <w:tcPr>
            <w:tcW w:w="100" w:type="dxa"/>
            <w:vAlign w:val="bottom"/>
            <w:tcBorders>
              <w:top w:val="single" w:sz="8" w:color="auto"/>
              <w:left w:val="single" w:sz="8" w:color="auto"/>
            </w:tcBorders>
          </w:tcPr>
          <w:p>
            <w:pPr>
              <w:spacing w:after="0"/>
              <w:rPr>
                <w:sz w:val="12"/>
                <w:szCs w:val="12"/>
                <w:color w:val="auto"/>
              </w:rPr>
            </w:pPr>
          </w:p>
        </w:tc>
        <w:tc>
          <w:tcPr>
            <w:tcW w:w="46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9"/>
                <w:szCs w:val="9"/>
                <w:color w:val="auto"/>
              </w:rPr>
              <w:t>ligible</w:t>
            </w:r>
          </w:p>
        </w:tc>
        <w:tc>
          <w:tcPr>
            <w:tcW w:w="60" w:type="dxa"/>
            <w:vAlign w:val="bottom"/>
            <w:tcBorders>
              <w:top w:val="single" w:sz="8" w:color="auto"/>
            </w:tcBorders>
            <w:gridSpan w:val="2"/>
          </w:tcPr>
          <w:p>
            <w:pPr>
              <w:spacing w:after="0"/>
              <w:rPr>
                <w:sz w:val="12"/>
                <w:szCs w:val="12"/>
                <w:color w:val="auto"/>
              </w:rPr>
            </w:pPr>
          </w:p>
        </w:tc>
        <w:tc>
          <w:tcPr>
            <w:tcW w:w="30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9"/>
                <w:szCs w:val="9"/>
                <w:color w:val="auto"/>
              </w:rPr>
              <w:t>roperty</w:t>
            </w:r>
          </w:p>
        </w:tc>
        <w:tc>
          <w:tcPr>
            <w:tcW w:w="3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M</w:t>
            </w:r>
            <w:r>
              <w:rPr>
                <w:rFonts w:ascii="Times New Roman" w:cs="Times New Roman" w:eastAsia="Times New Roman" w:hAnsi="Times New Roman"/>
                <w:sz w:val="9"/>
                <w:szCs w:val="9"/>
                <w:color w:val="auto"/>
              </w:rPr>
              <w:t>inus</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9"/>
                <w:szCs w:val="9"/>
                <w:color w:val="auto"/>
              </w:rPr>
              <w:t>roperty</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M</w:t>
            </w:r>
            <w:r>
              <w:rPr>
                <w:rFonts w:ascii="Times New Roman" w:cs="Times New Roman" w:eastAsia="Times New Roman" w:hAnsi="Times New Roman"/>
                <w:sz w:val="9"/>
                <w:szCs w:val="9"/>
                <w:color w:val="auto"/>
              </w:rPr>
              <w:t>inus</w:t>
            </w:r>
          </w:p>
        </w:tc>
        <w:tc>
          <w:tcPr>
            <w:tcW w:w="1120" w:type="dxa"/>
            <w:vAlign w:val="bottom"/>
            <w:tcBorders>
              <w:top w:val="single" w:sz="8" w:color="auto"/>
              <w:right w:val="single" w:sz="8" w:color="auto"/>
            </w:tcBorders>
            <w:gridSpan w:val="5"/>
          </w:tcPr>
          <w:p>
            <w:pPr>
              <w:ind w:left="80"/>
              <w:spacing w:after="0" w:line="149" w:lineRule="exact"/>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9"/>
                <w:szCs w:val="9"/>
                <w:color w:val="auto"/>
              </w:rPr>
              <w:t>nnual</w:t>
            </w:r>
            <w:r>
              <w:rPr>
                <w:rFonts w:ascii="Times New Roman" w:cs="Times New Roman" w:eastAsia="Times New Roman" w:hAnsi="Times New Roman"/>
                <w:sz w:val="14"/>
                <w:szCs w:val="14"/>
                <w:color w:val="auto"/>
              </w:rPr>
              <w:t xml:space="preserve"> C</w:t>
            </w:r>
            <w:r>
              <w:rPr>
                <w:rFonts w:ascii="Times New Roman" w:cs="Times New Roman" w:eastAsia="Times New Roman" w:hAnsi="Times New Roman"/>
                <w:sz w:val="9"/>
                <w:szCs w:val="9"/>
                <w:color w:val="auto"/>
              </w:rPr>
              <w:t>apital</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M</w:t>
            </w:r>
            <w:r>
              <w:rPr>
                <w:rFonts w:ascii="Times New Roman" w:cs="Times New Roman" w:eastAsia="Times New Roman" w:hAnsi="Times New Roman"/>
                <w:sz w:val="9"/>
                <w:szCs w:val="9"/>
                <w:color w:val="auto"/>
              </w:rPr>
              <w:t>inus</w:t>
            </w:r>
          </w:p>
        </w:tc>
        <w:tc>
          <w:tcPr>
            <w:tcW w:w="1160" w:type="dxa"/>
            <w:vAlign w:val="bottom"/>
            <w:tcBorders>
              <w:top w:val="single" w:sz="8" w:color="auto"/>
              <w:right w:val="single" w:sz="8" w:color="auto"/>
            </w:tcBorders>
            <w:gridSpan w:val="6"/>
          </w:tcPr>
          <w:p>
            <w:pPr>
              <w:ind w:left="80"/>
              <w:spacing w:after="0" w:line="149" w:lineRule="exact"/>
              <w:rPr>
                <w:sz w:val="20"/>
                <w:szCs w:val="20"/>
                <w:color w:val="auto"/>
              </w:rPr>
            </w:pPr>
            <w:r>
              <w:rPr>
                <w:rFonts w:ascii="Times New Roman" w:cs="Times New Roman" w:eastAsia="Times New Roman" w:hAnsi="Times New Roman"/>
                <w:sz w:val="14"/>
                <w:szCs w:val="14"/>
                <w:color w:val="auto"/>
              </w:rPr>
              <w:t>G</w:t>
            </w:r>
            <w:r>
              <w:rPr>
                <w:rFonts w:ascii="Times New Roman" w:cs="Times New Roman" w:eastAsia="Times New Roman" w:hAnsi="Times New Roman"/>
                <w:sz w:val="9"/>
                <w:szCs w:val="9"/>
                <w:color w:val="auto"/>
              </w:rPr>
              <w:t>reater of</w:t>
            </w:r>
            <w:r>
              <w:rPr>
                <w:rFonts w:ascii="Times New Roman" w:cs="Times New Roman" w:eastAsia="Times New Roman" w:hAnsi="Times New Roman"/>
                <w:sz w:val="14"/>
                <w:szCs w:val="14"/>
                <w:color w:val="auto"/>
              </w:rPr>
              <w:t xml:space="preserve"> 3%</w:t>
            </w:r>
          </w:p>
        </w:tc>
        <w:tc>
          <w:tcPr>
            <w:tcW w:w="740" w:type="dxa"/>
            <w:vAlign w:val="bottom"/>
            <w:tcBorders>
              <w:top w:val="single" w:sz="8" w:color="auto"/>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9"/>
                <w:szCs w:val="9"/>
                <w:color w:val="auto"/>
              </w:rPr>
              <w:t>equals</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9"/>
                <w:szCs w:val="9"/>
                <w:color w:val="auto"/>
              </w:rPr>
              <w:t>roperty</w:t>
            </w:r>
          </w:p>
        </w:tc>
      </w:tr>
      <w:tr>
        <w:trPr>
          <w:trHeight w:val="128"/>
        </w:trPr>
        <w:tc>
          <w:tcPr>
            <w:tcW w:w="100" w:type="dxa"/>
            <w:vAlign w:val="bottom"/>
            <w:tcBorders>
              <w:left w:val="single" w:sz="8" w:color="auto"/>
            </w:tcBorders>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9"/>
                <w:szCs w:val="9"/>
                <w:color w:val="auto"/>
              </w:rPr>
              <w:t>roperty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9"/>
                <w:szCs w:val="9"/>
                <w:color w:val="auto"/>
              </w:rPr>
              <w:t>ncome</w:t>
            </w:r>
          </w:p>
        </w:tc>
        <w:tc>
          <w:tcPr>
            <w:tcW w:w="3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9"/>
                <w:szCs w:val="9"/>
                <w:color w:val="auto"/>
              </w:rPr>
              <w:t>xpenses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9"/>
                <w:szCs w:val="9"/>
                <w:color w:val="auto"/>
              </w:rPr>
              <w:t>xpenditure</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9"/>
                <w:szCs w:val="9"/>
                <w:color w:val="auto"/>
              </w:rPr>
              <w:t>of rents or</w:t>
            </w:r>
          </w:p>
        </w:tc>
        <w:tc>
          <w:tcPr>
            <w:tcW w:w="220" w:type="dxa"/>
            <w:vAlign w:val="bottom"/>
            <w:tcBorders>
              <w:right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NOI</w:t>
            </w:r>
          </w:p>
        </w:tc>
        <w:tc>
          <w:tcPr>
            <w:tcW w:w="340" w:type="dxa"/>
            <w:vAlign w:val="bottom"/>
            <w:tcBorders>
              <w:right w:val="single" w:sz="8" w:color="auto"/>
            </w:tcBorders>
          </w:tcPr>
          <w:p>
            <w:pPr>
              <w:spacing w:after="0"/>
              <w:rPr>
                <w:sz w:val="11"/>
                <w:szCs w:val="11"/>
                <w:color w:val="auto"/>
              </w:rPr>
            </w:pPr>
          </w:p>
        </w:tc>
      </w:tr>
      <w:tr>
        <w:trPr>
          <w:trHeight w:val="128"/>
        </w:trPr>
        <w:tc>
          <w:tcPr>
            <w:tcW w:w="100" w:type="dxa"/>
            <w:vAlign w:val="bottom"/>
            <w:tcBorders>
              <w:left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without</w:t>
            </w:r>
          </w:p>
        </w:tc>
        <w:tc>
          <w:tcPr>
            <w:tcW w:w="560" w:type="dxa"/>
            <w:vAlign w:val="bottom"/>
            <w:tcBorders>
              <w:right w:val="single" w:sz="8" w:color="auto"/>
            </w:tcBorders>
            <w:gridSpan w:val="4"/>
          </w:tcPr>
          <w:p>
            <w:pPr>
              <w:ind w:left="40"/>
              <w:spacing w:after="0" w:line="129" w:lineRule="exact"/>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9"/>
                <w:szCs w:val="9"/>
                <w:color w:val="auto"/>
              </w:rPr>
              <w:t>ap</w:t>
            </w: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R</w:t>
            </w:r>
            <w:r>
              <w:rPr>
                <w:rFonts w:ascii="Times New Roman" w:cs="Times New Roman" w:eastAsia="Times New Roman" w:hAnsi="Times New Roman"/>
                <w:sz w:val="9"/>
                <w:szCs w:val="9"/>
                <w:color w:val="auto"/>
              </w:rPr>
              <w:t>eserve</w:t>
            </w:r>
          </w:p>
        </w:tc>
        <w:tc>
          <w:tcPr>
            <w:tcW w:w="360" w:type="dxa"/>
            <w:vAlign w:val="bottom"/>
            <w:tcBorders>
              <w:right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9"/>
                <w:szCs w:val="9"/>
                <w:color w:val="auto"/>
              </w:rPr>
              <w:t>actual</w:t>
            </w:r>
          </w:p>
        </w:tc>
        <w:tc>
          <w:tcPr>
            <w:tcW w:w="460" w:type="dxa"/>
            <w:vAlign w:val="bottom"/>
            <w:tcBorders>
              <w:right w:val="single" w:sz="8" w:color="auto"/>
            </w:tcBorders>
            <w:gridSpan w:val="3"/>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r>
      <w:tr>
        <w:trPr>
          <w:trHeight w:val="128"/>
        </w:trPr>
        <w:tc>
          <w:tcPr>
            <w:tcW w:w="100" w:type="dxa"/>
            <w:vAlign w:val="bottom"/>
            <w:tcBorders>
              <w:lef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right w:val="single" w:sz="8" w:color="auto"/>
            </w:tcBorders>
            <w:gridSpan w:val="5"/>
          </w:tcPr>
          <w:p>
            <w:pPr>
              <w:spacing w:after="0" w:line="129"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9"/>
                <w:szCs w:val="9"/>
                <w:color w:val="auto"/>
              </w:rPr>
              <w:t>x</w:t>
            </w:r>
            <w:r>
              <w:rPr>
                <w:rFonts w:ascii="Times New Roman" w:cs="Times New Roman" w:eastAsia="Times New Roman" w:hAnsi="Times New Roman"/>
                <w:sz w:val="14"/>
                <w:szCs w:val="14"/>
                <w:color w:val="auto"/>
              </w:rPr>
              <w:t>. R</w:t>
            </w:r>
            <w:r>
              <w:rPr>
                <w:rFonts w:ascii="Times New Roman" w:cs="Times New Roman" w:eastAsia="Times New Roman" w:hAnsi="Times New Roman"/>
                <w:sz w:val="9"/>
                <w:szCs w:val="9"/>
                <w:color w:val="auto"/>
              </w:rPr>
              <w:t>eserve or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9"/>
                <w:szCs w:val="9"/>
                <w:color w:val="auto"/>
              </w:rPr>
              <w:t>management fees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r>
      <w:tr>
        <w:trPr>
          <w:trHeight w:val="129"/>
        </w:trPr>
        <w:tc>
          <w:tcPr>
            <w:tcW w:w="100" w:type="dxa"/>
            <w:vAlign w:val="bottom"/>
            <w:tcBorders>
              <w:lef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gridSpan w:val="4"/>
          </w:tcPr>
          <w:p>
            <w:pPr>
              <w:spacing w:after="0" w:line="129" w:lineRule="exact"/>
              <w:rPr>
                <w:sz w:val="20"/>
                <w:szCs w:val="20"/>
                <w:color w:val="auto"/>
              </w:rPr>
            </w:pPr>
            <w:r>
              <w:rPr>
                <w:rFonts w:ascii="Times New Roman" w:cs="Times New Roman" w:eastAsia="Times New Roman" w:hAnsi="Times New Roman"/>
                <w:sz w:val="14"/>
                <w:szCs w:val="14"/>
                <w:color w:val="auto"/>
              </w:rPr>
              <w:t>M</w:t>
            </w:r>
            <w:r>
              <w:rPr>
                <w:rFonts w:ascii="Times New Roman" w:cs="Times New Roman" w:eastAsia="Times New Roman" w:hAnsi="Times New Roman"/>
                <w:sz w:val="9"/>
                <w:szCs w:val="9"/>
                <w:color w:val="auto"/>
              </w:rPr>
              <w:t>anagement</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r>
      <w:tr>
        <w:trPr>
          <w:trHeight w:val="135"/>
        </w:trPr>
        <w:tc>
          <w:tcPr>
            <w:tcW w:w="100" w:type="dxa"/>
            <w:vAlign w:val="bottom"/>
            <w:tcBorders>
              <w:left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9"/>
                <w:szCs w:val="9"/>
                <w:color w:val="auto"/>
              </w:rPr>
              <w:t>ees</w:t>
            </w:r>
            <w:r>
              <w:rPr>
                <w:rFonts w:ascii="Times New Roman" w:cs="Times New Roman" w:eastAsia="Times New Roman" w:hAnsi="Times New Roman"/>
                <w:sz w:val="14"/>
                <w:szCs w:val="14"/>
                <w:color w:val="auto"/>
              </w:rPr>
              <w:t>)</w:t>
            </w:r>
          </w:p>
        </w:tc>
        <w:tc>
          <w:tcPr>
            <w:tcW w:w="280" w:type="dxa"/>
            <w:vAlign w:val="bottom"/>
            <w:tcBorders>
              <w:bottom w:val="single" w:sz="8" w:color="auto"/>
              <w:right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r>
      <w:tr>
        <w:trPr>
          <w:trHeight w:val="148"/>
        </w:trPr>
        <w:tc>
          <w:tcPr>
            <w:tcW w:w="100" w:type="dxa"/>
            <w:vAlign w:val="bottom"/>
            <w:tcBorders>
              <w:left w:val="single" w:sz="8" w:color="auto"/>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$________</w:t>
            </w:r>
          </w:p>
        </w:tc>
        <w:tc>
          <w:tcPr>
            <w:tcW w:w="42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gridSpan w:val="6"/>
          </w:tcPr>
          <w:p>
            <w:pPr>
              <w:ind w:left="80"/>
              <w:spacing w:after="0" w:line="149" w:lineRule="exact"/>
              <w:rPr>
                <w:sz w:val="20"/>
                <w:szCs w:val="20"/>
                <w:color w:val="auto"/>
              </w:rPr>
            </w:pPr>
            <w:r>
              <w:rPr>
                <w:rFonts w:ascii="Times New Roman" w:cs="Times New Roman" w:eastAsia="Times New Roman" w:hAnsi="Times New Roman"/>
                <w:sz w:val="14"/>
                <w:szCs w:val="14"/>
                <w:color w:val="auto"/>
              </w:rPr>
              <w:t>$___________</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$________</w:t>
            </w:r>
          </w:p>
        </w:tc>
      </w:tr>
      <w:tr>
        <w:trPr>
          <w:trHeight w:val="142"/>
        </w:trPr>
        <w:tc>
          <w:tcPr>
            <w:tcW w:w="100" w:type="dxa"/>
            <w:vAlign w:val="bottom"/>
            <w:tcBorders>
              <w:left w:val="single" w:sz="8" w:color="auto"/>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4"/>
          </w:tcPr>
          <w:p>
            <w:pPr>
              <w:ind w:left="100"/>
              <w:spacing w:after="0" w:line="142" w:lineRule="exact"/>
              <w:rPr>
                <w:sz w:val="20"/>
                <w:szCs w:val="20"/>
                <w:color w:val="auto"/>
              </w:rPr>
            </w:pPr>
            <w:r>
              <w:rPr>
                <w:rFonts w:ascii="Times New Roman" w:cs="Times New Roman" w:eastAsia="Times New Roman" w:hAnsi="Times New Roman"/>
                <w:sz w:val="14"/>
                <w:szCs w:val="14"/>
                <w:color w:val="auto"/>
              </w:rPr>
              <w:t>$________</w:t>
            </w:r>
          </w:p>
        </w:tc>
        <w:tc>
          <w:tcPr>
            <w:tcW w:w="42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gridSpan w:val="6"/>
          </w:tcPr>
          <w:p>
            <w:pPr>
              <w:ind w:left="80"/>
              <w:spacing w:after="0" w:line="142" w:lineRule="exact"/>
              <w:rPr>
                <w:sz w:val="20"/>
                <w:szCs w:val="20"/>
                <w:color w:val="auto"/>
              </w:rPr>
            </w:pPr>
            <w:r>
              <w:rPr>
                <w:rFonts w:ascii="Times New Roman" w:cs="Times New Roman" w:eastAsia="Times New Roman" w:hAnsi="Times New Roman"/>
                <w:sz w:val="14"/>
                <w:szCs w:val="14"/>
                <w:color w:val="auto"/>
              </w:rPr>
              <w:t>$___________</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rPr>
              <w:t>$________</w:t>
            </w:r>
          </w:p>
        </w:tc>
      </w:tr>
      <w:tr>
        <w:trPr>
          <w:trHeight w:val="142"/>
        </w:trPr>
        <w:tc>
          <w:tcPr>
            <w:tcW w:w="100" w:type="dxa"/>
            <w:vAlign w:val="bottom"/>
            <w:tcBorders>
              <w:left w:val="single" w:sz="8" w:color="auto"/>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4"/>
          </w:tcPr>
          <w:p>
            <w:pPr>
              <w:ind w:left="100"/>
              <w:spacing w:after="0" w:line="142" w:lineRule="exact"/>
              <w:rPr>
                <w:sz w:val="20"/>
                <w:szCs w:val="20"/>
                <w:color w:val="auto"/>
              </w:rPr>
            </w:pPr>
            <w:r>
              <w:rPr>
                <w:rFonts w:ascii="Times New Roman" w:cs="Times New Roman" w:eastAsia="Times New Roman" w:hAnsi="Times New Roman"/>
                <w:sz w:val="14"/>
                <w:szCs w:val="14"/>
                <w:color w:val="auto"/>
              </w:rPr>
              <w:t>$________</w:t>
            </w:r>
          </w:p>
        </w:tc>
        <w:tc>
          <w:tcPr>
            <w:tcW w:w="42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gridSpan w:val="6"/>
          </w:tcPr>
          <w:p>
            <w:pPr>
              <w:ind w:left="80"/>
              <w:spacing w:after="0" w:line="142" w:lineRule="exact"/>
              <w:rPr>
                <w:sz w:val="20"/>
                <w:szCs w:val="20"/>
                <w:color w:val="auto"/>
              </w:rPr>
            </w:pPr>
            <w:r>
              <w:rPr>
                <w:rFonts w:ascii="Times New Roman" w:cs="Times New Roman" w:eastAsia="Times New Roman" w:hAnsi="Times New Roman"/>
                <w:sz w:val="14"/>
                <w:szCs w:val="14"/>
                <w:color w:val="auto"/>
              </w:rPr>
              <w:t>$___________</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rPr>
              <w:t>$________</w:t>
            </w:r>
          </w:p>
        </w:tc>
      </w:tr>
      <w:tr>
        <w:trPr>
          <w:trHeight w:val="142"/>
        </w:trPr>
        <w:tc>
          <w:tcPr>
            <w:tcW w:w="100" w:type="dxa"/>
            <w:vAlign w:val="bottom"/>
            <w:tcBorders>
              <w:left w:val="single" w:sz="8" w:color="auto"/>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4"/>
          </w:tcPr>
          <w:p>
            <w:pPr>
              <w:ind w:left="100"/>
              <w:spacing w:after="0" w:line="142" w:lineRule="exact"/>
              <w:rPr>
                <w:sz w:val="20"/>
                <w:szCs w:val="20"/>
                <w:color w:val="auto"/>
              </w:rPr>
            </w:pPr>
            <w:r>
              <w:rPr>
                <w:rFonts w:ascii="Times New Roman" w:cs="Times New Roman" w:eastAsia="Times New Roman" w:hAnsi="Times New Roman"/>
                <w:sz w:val="14"/>
                <w:szCs w:val="14"/>
                <w:color w:val="auto"/>
              </w:rPr>
              <w:t>$_______</w:t>
            </w:r>
          </w:p>
        </w:tc>
        <w:tc>
          <w:tcPr>
            <w:tcW w:w="42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gridSpan w:val="6"/>
          </w:tcPr>
          <w:p>
            <w:pPr>
              <w:ind w:left="80"/>
              <w:spacing w:after="0" w:line="142" w:lineRule="exact"/>
              <w:rPr>
                <w:sz w:val="20"/>
                <w:szCs w:val="20"/>
                <w:color w:val="auto"/>
              </w:rPr>
            </w:pPr>
            <w:r>
              <w:rPr>
                <w:rFonts w:ascii="Times New Roman" w:cs="Times New Roman" w:eastAsia="Times New Roman" w:hAnsi="Times New Roman"/>
                <w:sz w:val="14"/>
                <w:szCs w:val="14"/>
                <w:color w:val="auto"/>
              </w:rPr>
              <w:t>$___________</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rPr>
              <w:t>$________</w:t>
            </w:r>
          </w:p>
        </w:tc>
      </w:tr>
      <w:tr>
        <w:trPr>
          <w:trHeight w:val="451"/>
        </w:trPr>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25"/>
          </w:tcPr>
          <w:p>
            <w:pPr>
              <w:spacing w:after="0"/>
              <w:rPr>
                <w:sz w:val="20"/>
                <w:szCs w:val="20"/>
                <w:color w:val="auto"/>
              </w:rPr>
            </w:pPr>
            <w:r>
              <w:rPr>
                <w:rFonts w:ascii="Times New Roman" w:cs="Times New Roman" w:eastAsia="Times New Roman" w:hAnsi="Times New Roman"/>
                <w:sz w:val="22"/>
                <w:szCs w:val="22"/>
                <w:b w:val="1"/>
                <w:bCs w:val="1"/>
                <w:color w:val="auto"/>
              </w:rPr>
              <w:t>Total Borrowing Base NOI for all Eligible Properties:</w:t>
            </w:r>
          </w:p>
        </w:tc>
        <w:tc>
          <w:tcPr>
            <w:tcW w:w="1900" w:type="dxa"/>
            <w:vAlign w:val="bottom"/>
            <w:gridSpan w:val="9"/>
          </w:tcPr>
          <w:p>
            <w:pPr>
              <w:jc w:val="right"/>
              <w:ind w:right="220"/>
              <w:spacing w:after="0"/>
              <w:rPr>
                <w:sz w:val="20"/>
                <w:szCs w:val="20"/>
                <w:color w:val="auto"/>
              </w:rPr>
            </w:pPr>
            <w:r>
              <w:rPr>
                <w:rFonts w:ascii="Times New Roman" w:cs="Times New Roman" w:eastAsia="Times New Roman" w:hAnsi="Times New Roman"/>
                <w:sz w:val="22"/>
                <w:szCs w:val="22"/>
                <w:b w:val="1"/>
                <w:bCs w:val="1"/>
                <w:color w:val="auto"/>
              </w:rPr>
              <w:t>$_____________</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-31115</wp:posOffset>
            </wp:positionV>
            <wp:extent cx="207454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816610</wp:posOffset>
            </wp:positionV>
            <wp:extent cx="545211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-31115</wp:posOffset>
            </wp:positionV>
            <wp:extent cx="21431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9320"/>
          </w:cols>
          <w:pgMar w:left="1440" w:top="1134" w:right="1139"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Assignment and Acceptance</w:t>
      </w:r>
    </w:p>
    <w:p>
      <w:pPr>
        <w:spacing w:after="0" w:line="31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Dated _____________, _______</w:t>
      </w:r>
    </w:p>
    <w:p>
      <w:pPr>
        <w:spacing w:after="0" w:line="16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Reference is made to the Credit Agreement dated as of September 30, 2024 (as extended, renewed, amended or restated from time to time, the “Credit Agreement”) among CTO Realty Growth, Inc., the Guarantors from time to time party thereto, the Lenders parties thereto, and KeyBank National Association, as Administrative Agent (the “Administrative Agent”). Terms defined in the Credit Agreement are used herein with the same meaning.</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______________________________________________________ (the “Assignor”) and</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 (the “Assignee”) agree as follows:</w:t>
      </w:r>
    </w:p>
    <w:p>
      <w:pPr>
        <w:spacing w:after="0" w:line="142" w:lineRule="exact"/>
        <w:rPr>
          <w:sz w:val="20"/>
          <w:szCs w:val="20"/>
          <w:color w:val="auto"/>
        </w:rPr>
      </w:pPr>
    </w:p>
    <w:p>
      <w:pPr>
        <w:jc w:val="both"/>
        <w:ind w:left="860" w:right="219" w:firstLine="807"/>
        <w:spacing w:after="0" w:line="236" w:lineRule="auto"/>
        <w:tabs>
          <w:tab w:leader="none" w:pos="2156"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without limitation, the Assignor’s </w:t>
      </w:r>
      <w:r>
        <w:rPr>
          <w:rFonts w:ascii="Times New Roman" w:cs="Times New Roman" w:eastAsia="Times New Roman" w:hAnsi="Times New Roman"/>
          <w:sz w:val="22"/>
          <w:szCs w:val="22"/>
          <w:b w:val="1"/>
          <w:bCs w:val="1"/>
          <w:color w:val="auto"/>
        </w:rPr>
        <w:t>[2029][Incremental]</w:t>
      </w:r>
      <w:r>
        <w:rPr>
          <w:rFonts w:ascii="Times New Roman" w:cs="Times New Roman" w:eastAsia="Times New Roman" w:hAnsi="Times New Roman"/>
          <w:sz w:val="22"/>
          <w:szCs w:val="22"/>
          <w:color w:val="auto"/>
        </w:rPr>
        <w:t xml:space="preserve"> Term Loan Commitments as in effect on the Effective Date and the Loans, if any, owing to the Assignor on the Effective Date.</w:t>
      </w:r>
    </w:p>
    <w:p>
      <w:pPr>
        <w:spacing w:after="0" w:line="140" w:lineRule="exact"/>
        <w:rPr>
          <w:rFonts w:ascii="Times New Roman" w:cs="Times New Roman" w:eastAsia="Times New Roman" w:hAnsi="Times New Roman"/>
          <w:sz w:val="22"/>
          <w:szCs w:val="22"/>
          <w:color w:val="auto"/>
        </w:rPr>
      </w:pPr>
    </w:p>
    <w:p>
      <w:pPr>
        <w:jc w:val="both"/>
        <w:ind w:left="860" w:right="219" w:firstLine="807"/>
        <w:spacing w:after="0" w:line="233" w:lineRule="auto"/>
        <w:tabs>
          <w:tab w:leader="none" w:pos="2156"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spacing w:after="0" w:line="160" w:lineRule="exact"/>
        <w:rPr>
          <w:rFonts w:ascii="Times New Roman" w:cs="Times New Roman" w:eastAsia="Times New Roman" w:hAnsi="Times New Roman"/>
          <w:sz w:val="22"/>
          <w:szCs w:val="22"/>
          <w:color w:val="auto"/>
        </w:rPr>
      </w:pPr>
    </w:p>
    <w:p>
      <w:pPr>
        <w:jc w:val="both"/>
        <w:ind w:left="860" w:right="219" w:firstLine="807"/>
        <w:spacing w:after="0" w:line="244" w:lineRule="auto"/>
        <w:tabs>
          <w:tab w:leader="none" w:pos="2156"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Assignee (i) confirms that it has received a copy of the Credit Agreement, together with copies of the most recent financial statements delivered to the Lenders pursuant to Section 8.5(b) and (c) thereof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Credit Agreement;</w:t>
      </w:r>
    </w:p>
    <w:p>
      <w:pPr>
        <w:spacing w:after="0" w:line="3" w:lineRule="exact"/>
        <w:rPr>
          <w:rFonts w:ascii="Times New Roman" w:cs="Times New Roman" w:eastAsia="Times New Roman" w:hAnsi="Times New Roman"/>
          <w:sz w:val="21"/>
          <w:szCs w:val="21"/>
          <w:color w:val="auto"/>
        </w:rPr>
      </w:pPr>
    </w:p>
    <w:p>
      <w:pPr>
        <w:jc w:val="both"/>
        <w:ind w:left="860" w:right="219" w:hanging="3"/>
        <w:spacing w:after="0" w:line="244" w:lineRule="auto"/>
        <w:tabs>
          <w:tab w:leader="none" w:pos="123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appoints and authorizes the Administrative Agent to take such action as Administrative Agent on its behalf and to exercise such powers under the Credit Agreement and the other Loan Documents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and (v) specifies as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489585</wp:posOffset>
            </wp:positionV>
            <wp:extent cx="545211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95" w:name="page196"/>
    <w:bookmarkEnd w:id="195"/>
    <w:p>
      <w:pPr>
        <w:ind w:left="860" w:right="239"/>
        <w:spacing w:after="0" w:line="258" w:lineRule="auto"/>
        <w:rPr>
          <w:sz w:val="20"/>
          <w:szCs w:val="20"/>
          <w:color w:val="auto"/>
        </w:rPr>
      </w:pPr>
      <w:r>
        <w:rPr>
          <w:rFonts w:ascii="Times New Roman" w:cs="Times New Roman" w:eastAsia="Times New Roman" w:hAnsi="Times New Roman"/>
          <w:sz w:val="22"/>
          <w:szCs w:val="22"/>
          <w:color w:val="auto"/>
        </w:rPr>
        <w:t>lending office (and address for notices) the offices set forth on its Administrative Questionnaire.</w:t>
      </w:r>
    </w:p>
    <w:p>
      <w:pPr>
        <w:spacing w:after="0" w:line="118" w:lineRule="exact"/>
        <w:rPr>
          <w:sz w:val="20"/>
          <w:szCs w:val="20"/>
          <w:color w:val="auto"/>
        </w:rPr>
      </w:pPr>
    </w:p>
    <w:p>
      <w:pPr>
        <w:jc w:val="both"/>
        <w:ind w:left="860" w:right="219" w:firstLine="807"/>
        <w:spacing w:after="0" w:line="249" w:lineRule="auto"/>
        <w:tabs>
          <w:tab w:leader="none" w:pos="215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consideration for the assignment and sale contemplated in Annex I hereof, the Assignee shall pay to the Assignor on the Effective Date in Federal funds the amount agreed upon between them.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spacing w:after="0" w:line="143" w:lineRule="exact"/>
        <w:rPr>
          <w:rFonts w:ascii="Times New Roman" w:cs="Times New Roman" w:eastAsia="Times New Roman" w:hAnsi="Times New Roman"/>
          <w:sz w:val="21"/>
          <w:szCs w:val="21"/>
          <w:color w:val="auto"/>
        </w:rPr>
      </w:pPr>
    </w:p>
    <w:p>
      <w:pPr>
        <w:ind w:left="2160" w:hanging="493"/>
        <w:spacing w:after="0"/>
        <w:tabs>
          <w:tab w:leader="none" w:pos="21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for  this  Assignment  and  Acceptance  shall  be</w:t>
      </w:r>
    </w:p>
    <w:p>
      <w:pPr>
        <w:spacing w:after="0" w:line="14" w:lineRule="exact"/>
        <w:rPr>
          <w:rFonts w:ascii="Times New Roman" w:cs="Times New Roman" w:eastAsia="Times New Roman" w:hAnsi="Times New Roman"/>
          <w:sz w:val="22"/>
          <w:szCs w:val="22"/>
          <w:color w:val="auto"/>
        </w:rPr>
      </w:pPr>
    </w:p>
    <w:p>
      <w:pPr>
        <w:jc w:val="both"/>
        <w:ind w:left="860" w:right="21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___________</w:t>
      </w:r>
      <w:r>
        <w:rPr>
          <w:rFonts w:ascii="Times New Roman" w:cs="Times New Roman" w:eastAsia="Times New Roman" w:hAnsi="Times New Roman"/>
          <w:sz w:val="22"/>
          <w:szCs w:val="22"/>
          <w:color w:val="auto"/>
        </w:rPr>
        <w:t xml:space="preserve"> (the “Effective Date”). Following the execution of this Assignment and Acceptance, it will be delivered to the Administrative Agent for acceptance and recording by the Administrative Agent and, if required, the Borrower.</w:t>
      </w:r>
    </w:p>
    <w:p>
      <w:pPr>
        <w:spacing w:after="0" w:line="137" w:lineRule="exact"/>
        <w:rPr>
          <w:rFonts w:ascii="Times New Roman" w:cs="Times New Roman" w:eastAsia="Times New Roman" w:hAnsi="Times New Roman"/>
          <w:sz w:val="22"/>
          <w:szCs w:val="22"/>
          <w:color w:val="auto"/>
        </w:rPr>
      </w:pPr>
    </w:p>
    <w:p>
      <w:pPr>
        <w:jc w:val="both"/>
        <w:ind w:left="860" w:right="219" w:firstLine="807"/>
        <w:spacing w:after="0" w:line="238" w:lineRule="auto"/>
        <w:tabs>
          <w:tab w:leader="none" w:pos="21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and recording,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36" w:lineRule="exact"/>
        <w:rPr>
          <w:rFonts w:ascii="Times New Roman" w:cs="Times New Roman" w:eastAsia="Times New Roman" w:hAnsi="Times New Roman"/>
          <w:sz w:val="22"/>
          <w:szCs w:val="22"/>
          <w:color w:val="auto"/>
        </w:rPr>
      </w:pPr>
    </w:p>
    <w:p>
      <w:pPr>
        <w:jc w:val="both"/>
        <w:ind w:left="860" w:right="219" w:firstLine="807"/>
        <w:spacing w:after="0" w:line="236" w:lineRule="auto"/>
        <w:tabs>
          <w:tab w:leader="none" w:pos="21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and recording, from and after the Effective Date, the Administrative Agent shall make all payments under the Credit Agreement in respect of the interest assigned hereby (including, without limitation, all payments of principal and interest with respect thereto) to the Assignee. The Assignor and Assignee shall make all appropriate adjustments in payments under the Credit Agreement for periods prior to the Effective Date directly between themselves.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6" w:name="page197"/>
    <w:bookmarkEnd w:id="196"/>
    <w:p>
      <w:pPr>
        <w:ind w:left="860" w:right="219" w:firstLine="807"/>
        <w:spacing w:after="0" w:line="258" w:lineRule="auto"/>
        <w:tabs>
          <w:tab w:leader="none" w:pos="215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and Acceptance shall be governed by, and construed in accordance with, the internal laws of the State of New York.</w:t>
      </w:r>
    </w:p>
    <w:p>
      <w:pPr>
        <w:spacing w:after="0" w:line="1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ssignor</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ender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___________________________</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 _____________________</w:t>
      </w:r>
    </w:p>
    <w:p>
      <w:pPr>
        <w:ind w:left="474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tab/>
        <w:t>_____________________</w:t>
      </w: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ssignee</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ender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_____________________________</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 ____________________________</w:t>
      </w:r>
    </w:p>
    <w:p>
      <w:pPr>
        <w:ind w:left="474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tab/>
        <w:t>____________________________</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Accepted and consented this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 day of _____________</w:t>
      </w: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CTO R</w:t>
      </w:r>
      <w:r>
        <w:rPr>
          <w:rFonts w:ascii="Times New Roman" w:cs="Times New Roman" w:eastAsia="Times New Roman" w:hAnsi="Times New Roman"/>
          <w:sz w:val="14"/>
          <w:szCs w:val="14"/>
          <w:color w:val="auto"/>
        </w:rPr>
        <w:t>ealty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_____________________________</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18345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22"/>
          <w:szCs w:val="22"/>
          <w:color w:val="auto"/>
        </w:rPr>
        <w:t>Title</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Accepted and consented to by the Administrative</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Agent this ___ day of _________</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 as Administrative</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Agent</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3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8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_____________________________</w:t>
            </w:r>
          </w:p>
        </w:tc>
      </w:tr>
      <w:tr>
        <w:trPr>
          <w:trHeight w:val="204"/>
        </w:trPr>
        <w:tc>
          <w:tcPr>
            <w:tcW w:w="300" w:type="dxa"/>
            <w:vAlign w:val="bottom"/>
          </w:tcPr>
          <w:p>
            <w:pPr>
              <w:spacing w:after="0"/>
              <w:rPr>
                <w:sz w:val="17"/>
                <w:szCs w:val="17"/>
                <w:color w:val="auto"/>
              </w:rPr>
            </w:pPr>
          </w:p>
        </w:tc>
        <w:tc>
          <w:tcPr>
            <w:tcW w:w="54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22"/>
                <w:szCs w:val="22"/>
                <w:color w:val="auto"/>
                <w:w w:val="91"/>
              </w:rPr>
              <w:t>Name</w:t>
            </w:r>
          </w:p>
        </w:tc>
        <w:tc>
          <w:tcPr>
            <w:tcW w:w="2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63"/>
        </w:trPr>
        <w:tc>
          <w:tcPr>
            <w:tcW w:w="300" w:type="dxa"/>
            <w:vAlign w:val="bottom"/>
          </w:tcPr>
          <w:p>
            <w:pPr>
              <w:spacing w:after="0"/>
              <w:rPr>
                <w:sz w:val="22"/>
                <w:szCs w:val="22"/>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1"/>
              </w:rPr>
              <w:t>Title</w:t>
            </w:r>
          </w:p>
        </w:tc>
        <w:tc>
          <w:tcPr>
            <w:tcW w:w="2980" w:type="dxa"/>
            <w:vAlign w:val="bottom"/>
            <w:tcBorders>
              <w:bottom w:val="single" w:sz="8" w:color="auto"/>
            </w:tcBorders>
            <w:gridSpan w:val="2"/>
          </w:tcPr>
          <w:p>
            <w:pPr>
              <w:spacing w:after="0"/>
              <w:rPr>
                <w:sz w:val="22"/>
                <w:szCs w:val="22"/>
                <w:color w:val="auto"/>
              </w:rPr>
            </w:pPr>
          </w:p>
        </w:tc>
        <w:tc>
          <w:tcPr>
            <w:tcW w:w="60" w:type="dxa"/>
            <w:vAlign w:val="bottom"/>
            <w:gridSpan w:val="2"/>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7" w:name="page198"/>
    <w:bookmarkEnd w:id="197"/>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Annex I</w:t>
      </w:r>
    </w:p>
    <w:p>
      <w:pPr>
        <w:spacing w:after="0" w:line="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to Assignment and Acceptance</w:t>
      </w:r>
    </w:p>
    <w:p>
      <w:pPr>
        <w:spacing w:after="0" w:line="223" w:lineRule="exact"/>
        <w:rPr>
          <w:sz w:val="20"/>
          <w:szCs w:val="20"/>
          <w:color w:val="auto"/>
        </w:rPr>
      </w:pPr>
    </w:p>
    <w:p>
      <w:pPr>
        <w:ind w:left="200" w:right="400" w:firstLine="648"/>
        <w:spacing w:after="0" w:line="282" w:lineRule="auto"/>
        <w:rPr>
          <w:sz w:val="20"/>
          <w:szCs w:val="20"/>
          <w:color w:val="auto"/>
        </w:rPr>
      </w:pPr>
      <w:r>
        <w:rPr>
          <w:rFonts w:ascii="Times New Roman" w:cs="Times New Roman" w:eastAsia="Times New Roman" w:hAnsi="Times New Roman"/>
          <w:sz w:val="21"/>
          <w:szCs w:val="21"/>
          <w:color w:val="auto"/>
        </w:rPr>
        <w:t>The assignee hereby purchases and assumes from the assignor the following interest in and to all of the Assignor’s rights and obligations under the Credit Agreement as of the effective date.</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40" w:type="dxa"/>
            <w:vAlign w:val="bottom"/>
          </w:tcPr>
          <w:p>
            <w:pPr>
              <w:jc w:val="center"/>
              <w:ind w:right="238"/>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ggregate</w:t>
            </w:r>
          </w:p>
        </w:tc>
        <w:tc>
          <w:tcPr>
            <w:tcW w:w="26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43"/>
        </w:trPr>
        <w:tc>
          <w:tcPr>
            <w:tcW w:w="1280" w:type="dxa"/>
            <w:vAlign w:val="bottom"/>
          </w:tcPr>
          <w:p>
            <w:pPr>
              <w:spacing w:after="0"/>
              <w:rPr>
                <w:sz w:val="21"/>
                <w:szCs w:val="21"/>
                <w:color w:val="auto"/>
              </w:rPr>
            </w:pPr>
          </w:p>
        </w:tc>
        <w:tc>
          <w:tcPr>
            <w:tcW w:w="2040" w:type="dxa"/>
            <w:vAlign w:val="bottom"/>
          </w:tcPr>
          <w:p>
            <w:pPr>
              <w:jc w:val="right"/>
              <w:ind w:right="798"/>
              <w:spacing w:after="0" w:line="243" w:lineRule="exact"/>
              <w:rPr>
                <w:sz w:val="20"/>
                <w:szCs w:val="20"/>
                <w:color w:val="auto"/>
              </w:rPr>
            </w:pPr>
            <w:r>
              <w:rPr>
                <w:rFonts w:ascii="Times New Roman" w:cs="Times New Roman" w:eastAsia="Times New Roman" w:hAnsi="Times New Roman"/>
                <w:sz w:val="22"/>
                <w:szCs w:val="22"/>
                <w:b w:val="1"/>
                <w:bCs w:val="1"/>
                <w:color w:val="auto"/>
              </w:rPr>
              <w:t>[2029]</w:t>
            </w:r>
          </w:p>
        </w:tc>
        <w:tc>
          <w:tcPr>
            <w:tcW w:w="26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mount of</w:t>
            </w:r>
          </w:p>
        </w:tc>
        <w:tc>
          <w:tcPr>
            <w:tcW w:w="26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280" w:type="dxa"/>
            <w:vAlign w:val="bottom"/>
          </w:tcPr>
          <w:p>
            <w:pPr>
              <w:spacing w:after="0"/>
              <w:rPr>
                <w:sz w:val="21"/>
                <w:szCs w:val="21"/>
                <w:color w:val="auto"/>
              </w:rPr>
            </w:pPr>
          </w:p>
        </w:tc>
        <w:tc>
          <w:tcPr>
            <w:tcW w:w="2040" w:type="dxa"/>
            <w:vAlign w:val="bottom"/>
          </w:tcPr>
          <w:p>
            <w:pPr>
              <w:jc w:val="center"/>
              <w:ind w:right="218"/>
              <w:spacing w:after="0" w:line="243" w:lineRule="exact"/>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ncremental</w:t>
            </w:r>
            <w:r>
              <w:rPr>
                <w:rFonts w:ascii="Times New Roman" w:cs="Times New Roman" w:eastAsia="Times New Roman" w:hAnsi="Times New Roman"/>
                <w:sz w:val="22"/>
                <w:szCs w:val="22"/>
                <w:b w:val="1"/>
                <w:bCs w:val="1"/>
                <w:color w:val="auto"/>
              </w:rPr>
              <w:t>]</w:t>
            </w:r>
          </w:p>
        </w:tc>
        <w:tc>
          <w:tcPr>
            <w:tcW w:w="2660" w:type="dxa"/>
            <w:vAlign w:val="bottom"/>
          </w:tcPr>
          <w:p>
            <w:pPr>
              <w:jc w:val="right"/>
              <w:ind w:right="1092"/>
              <w:spacing w:after="0" w:line="243" w:lineRule="exact"/>
              <w:rPr>
                <w:sz w:val="20"/>
                <w:szCs w:val="20"/>
                <w:color w:val="auto"/>
              </w:rPr>
            </w:pPr>
            <w:r>
              <w:rPr>
                <w:rFonts w:ascii="Times New Roman" w:cs="Times New Roman" w:eastAsia="Times New Roman" w:hAnsi="Times New Roman"/>
                <w:sz w:val="22"/>
                <w:szCs w:val="22"/>
                <w:b w:val="1"/>
                <w:bCs w:val="1"/>
                <w:color w:val="auto"/>
              </w:rPr>
              <w:t>[2029]</w:t>
            </w:r>
          </w:p>
        </w:tc>
        <w:tc>
          <w:tcPr>
            <w:tcW w:w="298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ercentage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ssigned</w:t>
            </w:r>
          </w:p>
        </w:tc>
      </w:tr>
      <w:tr>
        <w:trPr>
          <w:trHeight w:val="243"/>
        </w:trPr>
        <w:tc>
          <w:tcPr>
            <w:tcW w:w="12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acility</w:t>
            </w:r>
          </w:p>
        </w:tc>
        <w:tc>
          <w:tcPr>
            <w:tcW w:w="47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ommitment</w:t>
            </w: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oans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ncremental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ommitment</w:t>
            </w: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oans</w:t>
            </w: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 xml:space="preserve">of </w:t>
            </w:r>
            <w:r>
              <w:rPr>
                <w:rFonts w:ascii="Times New Roman" w:cs="Times New Roman" w:eastAsia="Times New Roman" w:hAnsi="Times New Roman"/>
                <w:sz w:val="21"/>
                <w:szCs w:val="21"/>
                <w:b w:val="1"/>
                <w:bCs w:val="1"/>
                <w:color w:val="auto"/>
              </w:rPr>
              <w:t>[2029]</w:t>
            </w:r>
          </w:p>
        </w:tc>
      </w:tr>
      <w:tr>
        <w:trPr>
          <w:trHeight w:val="286"/>
        </w:trPr>
        <w:tc>
          <w:tcPr>
            <w:tcW w:w="1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ssigned</w:t>
            </w:r>
          </w:p>
        </w:tc>
        <w:tc>
          <w:tcPr>
            <w:tcW w:w="2040" w:type="dxa"/>
            <w:vAlign w:val="bottom"/>
          </w:tcPr>
          <w:p>
            <w:pPr>
              <w:jc w:val="center"/>
              <w:ind w:right="218"/>
              <w:spacing w:after="0"/>
              <w:rPr>
                <w:sz w:val="20"/>
                <w:szCs w:val="20"/>
                <w:color w:val="auto"/>
              </w:rPr>
            </w:pPr>
            <w:r>
              <w:rPr>
                <w:rFonts w:ascii="Times New Roman" w:cs="Times New Roman" w:eastAsia="Times New Roman" w:hAnsi="Times New Roman"/>
                <w:sz w:val="15"/>
                <w:szCs w:val="15"/>
                <w:color w:val="auto"/>
              </w:rPr>
              <w:t xml:space="preserve">for </w:t>
            </w:r>
            <w:r>
              <w:rPr>
                <w:rFonts w:ascii="Times New Roman" w:cs="Times New Roman" w:eastAsia="Times New Roman" w:hAnsi="Times New Roman"/>
                <w:sz w:val="21"/>
                <w:szCs w:val="21"/>
                <w:color w:val="auto"/>
              </w:rPr>
              <w:t>A</w:t>
            </w:r>
            <w:r>
              <w:rPr>
                <w:rFonts w:ascii="Times New Roman" w:cs="Times New Roman" w:eastAsia="Times New Roman" w:hAnsi="Times New Roman"/>
                <w:sz w:val="15"/>
                <w:szCs w:val="15"/>
                <w:color w:val="auto"/>
              </w:rPr>
              <w:t xml:space="preserve">ll </w:t>
            </w:r>
            <w:r>
              <w:rPr>
                <w:rFonts w:ascii="Times New Roman" w:cs="Times New Roman" w:eastAsia="Times New Roman" w:hAnsi="Times New Roman"/>
                <w:sz w:val="21"/>
                <w:szCs w:val="21"/>
                <w:color w:val="auto"/>
              </w:rPr>
              <w:t>L</w:t>
            </w:r>
            <w:r>
              <w:rPr>
                <w:rFonts w:ascii="Times New Roman" w:cs="Times New Roman" w:eastAsia="Times New Roman" w:hAnsi="Times New Roman"/>
                <w:sz w:val="15"/>
                <w:szCs w:val="15"/>
                <w:color w:val="auto"/>
              </w:rPr>
              <w:t>enders</w:t>
            </w:r>
          </w:p>
        </w:tc>
        <w:tc>
          <w:tcPr>
            <w:tcW w:w="26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ssigned</w:t>
            </w: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ncremental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ommitment</w:t>
            </w: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oans</w:t>
            </w:r>
          </w:p>
        </w:tc>
      </w:tr>
      <w:tr>
        <w:trPr>
          <w:trHeight w:val="456"/>
        </w:trPr>
        <w:tc>
          <w:tcPr>
            <w:tcW w:w="1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[2029]</w:t>
            </w:r>
          </w:p>
        </w:tc>
        <w:tc>
          <w:tcPr>
            <w:tcW w:w="2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7"/>
        </w:trPr>
        <w:tc>
          <w:tcPr>
            <w:tcW w:w="128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w w:val="97"/>
              </w:rPr>
              <w:t>[Incremental]</w:t>
            </w:r>
          </w:p>
        </w:tc>
        <w:tc>
          <w:tcPr>
            <w:tcW w:w="20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Term Loan</w:t>
            </w:r>
          </w:p>
        </w:tc>
        <w:tc>
          <w:tcPr>
            <w:tcW w:w="20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[Incremental</w:t>
            </w:r>
          </w:p>
        </w:tc>
        <w:tc>
          <w:tcPr>
            <w:tcW w:w="20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Revolving</w:t>
            </w:r>
          </w:p>
        </w:tc>
        <w:tc>
          <w:tcPr>
            <w:tcW w:w="20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Loan]</w:t>
            </w:r>
          </w:p>
        </w:tc>
        <w:tc>
          <w:tcPr>
            <w:tcW w:w="2040" w:type="dxa"/>
            <w:vAlign w:val="bottom"/>
          </w:tcPr>
          <w:p>
            <w:pPr>
              <w:jc w:val="right"/>
              <w:ind w:right="378"/>
              <w:spacing w:after="0"/>
              <w:rPr>
                <w:sz w:val="20"/>
                <w:szCs w:val="20"/>
                <w:color w:val="auto"/>
              </w:rPr>
            </w:pPr>
            <w:r>
              <w:rPr>
                <w:rFonts w:ascii="Times New Roman" w:cs="Times New Roman" w:eastAsia="Times New Roman" w:hAnsi="Times New Roman"/>
                <w:sz w:val="22"/>
                <w:szCs w:val="22"/>
                <w:color w:val="auto"/>
              </w:rPr>
              <w:t>$____________</w:t>
            </w:r>
          </w:p>
        </w:tc>
        <w:tc>
          <w:tcPr>
            <w:tcW w:w="26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$____________</w:t>
            </w:r>
          </w:p>
        </w:tc>
        <w:tc>
          <w:tcPr>
            <w:tcW w:w="2600" w:type="dxa"/>
            <w:vAlign w:val="bottom"/>
          </w:tcPr>
          <w:p>
            <w:pPr>
              <w:jc w:val="center"/>
              <w:ind w:left="300"/>
              <w:spacing w:after="0"/>
              <w:rPr>
                <w:sz w:val="20"/>
                <w:szCs w:val="20"/>
                <w:color w:val="auto"/>
              </w:rPr>
            </w:pPr>
            <w:r>
              <w:rPr>
                <w:rFonts w:ascii="Times New Roman" w:cs="Times New Roman" w:eastAsia="Times New Roman" w:hAnsi="Times New Roman"/>
                <w:sz w:val="22"/>
                <w:szCs w:val="22"/>
                <w:color w:val="auto"/>
                <w:w w:val="97"/>
              </w:rPr>
              <w:t>$____________</w:t>
            </w:r>
          </w:p>
        </w:tc>
        <w:tc>
          <w:tcPr>
            <w:tcW w:w="380" w:type="dxa"/>
            <w:vAlign w:val="bottom"/>
          </w:tcPr>
          <w:p>
            <w:pPr>
              <w:spacing w:after="0"/>
              <w:rPr>
                <w:sz w:val="24"/>
                <w:szCs w:val="24"/>
                <w:color w:val="auto"/>
              </w:rPr>
            </w:pPr>
          </w:p>
        </w:tc>
      </w:tr>
      <w:tr>
        <w:trPr>
          <w:trHeight w:val="904"/>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60" w:type="dxa"/>
            <w:vAlign w:val="bottom"/>
          </w:tcPr>
          <w:p>
            <w:pPr>
              <w:jc w:val="right"/>
              <w:ind w:right="1472"/>
              <w:spacing w:after="0"/>
              <w:rPr>
                <w:sz w:val="20"/>
                <w:szCs w:val="20"/>
                <w:color w:val="auto"/>
              </w:rPr>
            </w:pPr>
            <w:r>
              <w:rPr>
                <w:rFonts w:ascii="Times New Roman" w:cs="Times New Roman" w:eastAsia="Times New Roman" w:hAnsi="Times New Roman"/>
                <w:sz w:val="22"/>
                <w:szCs w:val="22"/>
                <w:i w:val="1"/>
                <w:iCs w:val="1"/>
                <w:color w:val="auto"/>
              </w:rPr>
              <w:t>-4-</w:t>
            </w:r>
          </w:p>
        </w:tc>
        <w:tc>
          <w:tcPr>
            <w:tcW w:w="26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35"/>
        </w:trPr>
        <w:tc>
          <w:tcPr>
            <w:tcW w:w="1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9180"/>
          </w:cols>
          <w:pgMar w:left="1440" w:top="891" w:right="127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uarantor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upplement</w:t>
      </w:r>
    </w:p>
    <w:p>
      <w:pPr>
        <w:spacing w:after="0" w:line="2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1"/>
          <w:szCs w:val="21"/>
          <w:color w:val="auto"/>
        </w:rPr>
        <w:t>______________, ___</w:t>
      </w:r>
    </w:p>
    <w:p>
      <w:pPr>
        <w:spacing w:after="0" w:line="137" w:lineRule="exact"/>
        <w:rPr>
          <w:sz w:val="20"/>
          <w:szCs w:val="20"/>
          <w:color w:val="auto"/>
        </w:rPr>
      </w:pPr>
    </w:p>
    <w:p>
      <w:pPr>
        <w:jc w:val="both"/>
        <w:ind w:left="200" w:right="4099"/>
        <w:spacing w:after="0" w:line="235" w:lineRule="auto"/>
        <w:rPr>
          <w:sz w:val="20"/>
          <w:szCs w:val="20"/>
          <w:color w:val="auto"/>
        </w:rPr>
      </w:pPr>
      <w:r>
        <w:rPr>
          <w:rFonts w:ascii="Times New Roman" w:cs="Times New Roman" w:eastAsia="Times New Roman" w:hAnsi="Times New Roman"/>
          <w:sz w:val="22"/>
          <w:szCs w:val="22"/>
          <w:color w:val="auto"/>
        </w:rPr>
        <w:t>KeyBank National Association, as Administrative Agent for the Lenders named in the Credit Agreement dated as of September 30, 2024, among CTO Realty Growth, Inc., as the Borrower, the Guarantors signatories thereto, the Lenders from time to time party thereto, and the Administrative Agent (the “Credit Agreement”)</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Reference is made to the Credit Agreement described above. Terms not defined herein which are defined in the Credit Agreement shall have for the purposes hereof the meaning provided therein.</w:t>
      </w:r>
    </w:p>
    <w:p>
      <w:pPr>
        <w:spacing w:after="0" w:line="210"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 xml:space="preserve">The undersigned, </w:t>
      </w:r>
      <w:r>
        <w:rPr>
          <w:rFonts w:ascii="Times New Roman" w:cs="Times New Roman" w:eastAsia="Times New Roman" w:hAnsi="Times New Roman"/>
          <w:sz w:val="22"/>
          <w:szCs w:val="22"/>
          <w:b w:val="1"/>
          <w:bCs w:val="1"/>
          <w:color w:val="auto"/>
        </w:rPr>
        <w:t>[name of Subsidiary Guarantor]</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[jurisdiction of incorporation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organization] </w:t>
      </w:r>
      <w:r>
        <w:rPr>
          <w:rFonts w:ascii="Times New Roman" w:cs="Times New Roman" w:eastAsia="Times New Roman" w:hAnsi="Times New Roman"/>
          <w:sz w:val="22"/>
          <w:szCs w:val="22"/>
          <w:color w:val="auto"/>
        </w:rPr>
        <w:t>hereby elects to be a “Guarantor” for all purposes of the Credit Agreement,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date hereof. The undersigned confirms that the representations and warranties set forth in Section 6 of the Credit Agreement are true and correct as to the undersigned as of the date hereof and the undersigned shall comply with each of the covenants set forth in Section 8 of the Credit Agreement applicable to it.</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Without limiting the generality of the foregoing, the undersigned hereby agrees to perform all the obligations of a Guarantor under, and to be bound in all respects by the terms of, the Credit Agreement, including, without limitation, Section 13 thereof, to the same extent and with the same force and effect as if the undersigned were a signatory party thereto.</w:t>
      </w:r>
    </w:p>
    <w:p>
      <w:pPr>
        <w:spacing w:after="0" w:line="221"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undersigned acknowledges that this Agreement shall be effective upon its execution and delivery by the undersigned to the Administrative Agent, and it shall not be necessary for the Administrative Agent or any Lender, or any of their Affiliates entitled to the benefits hereof, to execute this Agreement or any other acceptance hereof. This Agreement shall be construed in accordance with and governed by the internal laws of the State of New York.</w:t>
      </w:r>
    </w:p>
    <w:p>
      <w:pPr>
        <w:spacing w:after="0" w:line="17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3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ame of</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ubsidiary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uarantor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740"/>
        <w:spacing w:after="0"/>
        <w:tabs>
          <w:tab w:leader="none" w:pos="53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___________________________</w:t>
      </w:r>
    </w:p>
    <w:p>
      <w:pPr>
        <w:spacing w:after="0" w:line="31" w:lineRule="exact"/>
        <w:rPr>
          <w:sz w:val="20"/>
          <w:szCs w:val="20"/>
          <w:color w:val="auto"/>
        </w:rPr>
      </w:pPr>
    </w:p>
    <w:p>
      <w:pPr>
        <w:ind w:left="4740"/>
        <w:spacing w:after="0"/>
        <w:tabs>
          <w:tab w:leader="none" w:pos="57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-31115</wp:posOffset>
            </wp:positionV>
            <wp:extent cx="2914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1" w:lineRule="exact"/>
        <w:rPr>
          <w:sz w:val="20"/>
          <w:szCs w:val="20"/>
          <w:color w:val="auto"/>
        </w:rPr>
      </w:pPr>
    </w:p>
    <w:p>
      <w:pPr>
        <w:ind w:left="4740"/>
        <w:spacing w:after="0"/>
        <w:tabs>
          <w:tab w:leader="none" w:pos="56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-31115</wp:posOffset>
            </wp:positionV>
            <wp:extent cx="3600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Commitment Increase Request</w:t>
      </w:r>
    </w:p>
    <w:p>
      <w:pPr>
        <w:spacing w:after="0" w:line="31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_______________, 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860" w:right="219" w:hanging="659"/>
        <w:spacing w:after="0" w:line="238" w:lineRule="auto"/>
        <w:tabs>
          <w:tab w:leader="none" w:pos="8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KeyBank National Association, as Administrative Agent for the Lenders parties to the Credit Agreement dated as of September 30, 2024 (as extended, renewed, amended or restated from time to time, the “Credit Agreement”), among CTO Realty Growth, Inc., the Guarantors which are signatories thereto, certain Lenders parties thereto, and KeyBank National Association, as Administrative Agent</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The undersigned, CTO Realty Growth, Inc. (the “Borrower”) hereby refers to the Credit Agreement and requests that the Administrative Agent consent to an increase in the aggregate Commitments (the “Commitment Increase”), in accordance with Section 1.15 of the Credit Agreement, to be effected by </w:t>
      </w:r>
      <w:r>
        <w:rPr>
          <w:rFonts w:ascii="Times New Roman" w:cs="Times New Roman" w:eastAsia="Times New Roman" w:hAnsi="Times New Roman"/>
          <w:sz w:val="22"/>
          <w:szCs w:val="22"/>
          <w:b w:val="1"/>
          <w:bCs w:val="1"/>
          <w:color w:val="auto"/>
        </w:rPr>
        <w:t>[an increase in the Commitment of [name of existing 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addition of [name of new Lender] (the “New Lender”) as a Lender under the terms of the Credit Agreement]</w:t>
      </w:r>
      <w:r>
        <w:rPr>
          <w:rFonts w:ascii="Times New Roman" w:cs="Times New Roman" w:eastAsia="Times New Roman" w:hAnsi="Times New Roman"/>
          <w:sz w:val="22"/>
          <w:szCs w:val="22"/>
          <w:color w:val="auto"/>
        </w:rPr>
        <w:t>. Capitalized terms used herein without definition shall have the same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meanings herein as such terms have in the Credit Agreement.</w:t>
      </w:r>
    </w:p>
    <w:p>
      <w:pPr>
        <w:spacing w:after="0" w:line="22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 xml:space="preserve">After giving effect to such Commitment Increase, the Commitment of the </w:t>
      </w:r>
      <w:r>
        <w:rPr>
          <w:rFonts w:ascii="Times New Roman" w:cs="Times New Roman" w:eastAsia="Times New Roman" w:hAnsi="Times New Roman"/>
          <w:sz w:val="22"/>
          <w:szCs w:val="22"/>
          <w:b w:val="1"/>
          <w:bCs w:val="1"/>
          <w:color w:val="auto"/>
        </w:rPr>
        <w:t>[Lender] [New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Lender] </w:t>
      </w:r>
      <w:r>
        <w:rPr>
          <w:rFonts w:ascii="Times New Roman" w:cs="Times New Roman" w:eastAsia="Times New Roman" w:hAnsi="Times New Roman"/>
          <w:sz w:val="22"/>
          <w:szCs w:val="22"/>
          <w:color w:val="auto"/>
        </w:rPr>
        <w:t>shall be $_____________.</w:t>
      </w:r>
    </w:p>
    <w:p>
      <w:pPr>
        <w:spacing w:after="0" w:line="1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[Include paragraphs 1-4 for a New Lender]</w:t>
      </w:r>
    </w:p>
    <w:p>
      <w:pPr>
        <w:spacing w:after="0" w:line="251" w:lineRule="exact"/>
        <w:rPr>
          <w:sz w:val="20"/>
          <w:szCs w:val="20"/>
          <w:color w:val="auto"/>
        </w:rPr>
      </w:pPr>
    </w:p>
    <w:p>
      <w:pPr>
        <w:jc w:val="both"/>
        <w:ind w:left="200" w:right="219" w:firstLine="689"/>
        <w:spacing w:after="0" w:line="245" w:lineRule="auto"/>
        <w:tabs>
          <w:tab w:leader="none" w:pos="1314"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New Lender hereby confirms that it has received a copy of the Loan Documents and the exhibits related thereto, together with copies of the documents which were required to be delivered under the Credit Agreement as a condition to the making of the Term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Loan Document or with respect to the legality, validity, sufficiency or enforceability of the Credit Agreement or any other Loan Document or the value of any security therefor.</w:t>
      </w:r>
    </w:p>
    <w:p>
      <w:pPr>
        <w:spacing w:after="0" w:line="217" w:lineRule="exact"/>
        <w:rPr>
          <w:rFonts w:ascii="Times New Roman" w:cs="Times New Roman" w:eastAsia="Times New Roman" w:hAnsi="Times New Roman"/>
          <w:sz w:val="21"/>
          <w:szCs w:val="21"/>
          <w:color w:val="auto"/>
        </w:rPr>
      </w:pPr>
    </w:p>
    <w:p>
      <w:pPr>
        <w:jc w:val="both"/>
        <w:ind w:left="200" w:right="219" w:firstLine="689"/>
        <w:spacing w:after="0" w:line="255" w:lineRule="auto"/>
        <w:tabs>
          <w:tab w:leader="none" w:pos="1314"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the Credit Agreement, effective as of the date of acceptance hereof by the Administrative Agent, the New Lender (i) shall be deemed automatically to have become a party to the Credit Agreement and have all the rights and obligations of a “Lender” under the Credit Agreement as if it were an original signatory thereto and (ii) agrees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00" w:name="page201"/>
    <w:bookmarkEnd w:id="200"/>
    <w:p>
      <w:pPr>
        <w:ind w:left="200" w:right="219"/>
        <w:spacing w:after="0" w:line="258" w:lineRule="auto"/>
        <w:rPr>
          <w:sz w:val="20"/>
          <w:szCs w:val="20"/>
          <w:color w:val="auto"/>
        </w:rPr>
      </w:pPr>
      <w:r>
        <w:rPr>
          <w:rFonts w:ascii="Times New Roman" w:cs="Times New Roman" w:eastAsia="Times New Roman" w:hAnsi="Times New Roman"/>
          <w:sz w:val="22"/>
          <w:szCs w:val="22"/>
          <w:color w:val="auto"/>
        </w:rPr>
        <w:t>be bound by the terms and conditions set forth in the Credit Agreement as if it were an original signatory thereto.</w:t>
      </w:r>
    </w:p>
    <w:p>
      <w:pPr>
        <w:spacing w:after="0" w:line="199" w:lineRule="exact"/>
        <w:rPr>
          <w:sz w:val="20"/>
          <w:szCs w:val="20"/>
          <w:color w:val="auto"/>
        </w:rPr>
      </w:pPr>
    </w:p>
    <w:p>
      <w:pPr>
        <w:ind w:left="200" w:right="219" w:firstLine="689"/>
        <w:spacing w:after="0" w:line="258" w:lineRule="auto"/>
        <w:tabs>
          <w:tab w:leader="none" w:pos="131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Lender shall deliver to the Administrative Agent an Administrative Questionnaire and shall have executed an Incremental Amendment.</w:t>
      </w:r>
    </w:p>
    <w:p>
      <w:pPr>
        <w:spacing w:after="0" w:line="181" w:lineRule="exact"/>
        <w:rPr>
          <w:sz w:val="20"/>
          <w:szCs w:val="20"/>
          <w:color w:val="auto"/>
        </w:rPr>
      </w:pPr>
    </w:p>
    <w:p>
      <w:pPr>
        <w:jc w:val="both"/>
        <w:ind w:left="200" w:right="239" w:firstLine="608"/>
        <w:spacing w:after="0" w:line="246" w:lineRule="auto"/>
        <w:rPr>
          <w:sz w:val="20"/>
          <w:szCs w:val="20"/>
          <w:color w:val="auto"/>
        </w:rPr>
      </w:pPr>
      <w:r>
        <w:rPr>
          <w:rFonts w:ascii="Times New Roman" w:cs="Times New Roman" w:eastAsia="Times New Roman" w:hAnsi="Times New Roman"/>
          <w:sz w:val="22"/>
          <w:szCs w:val="22"/>
          <w:b w:val="1"/>
          <w:bCs w:val="1"/>
          <w:color w:val="auto"/>
        </w:rPr>
        <w:t>[4. The New Lender has delivered, if appropriate, to the Borrower and the Administrative Agent (or is delivering to the Borrower and the Administrative Agent</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color w:val="auto"/>
        </w:rPr>
        <w:t>concurrently herewith) the tax forms referred to in [Section 12.1] of the Credit Agreement.]</w:t>
      </w:r>
      <w:r>
        <w:rPr>
          <w:rFonts w:ascii="Times New Roman" w:cs="Times New Roman" w:eastAsia="Times New Roman" w:hAnsi="Times New Roman"/>
          <w:sz w:val="34"/>
          <w:szCs w:val="34"/>
          <w:u w:val="single" w:color="auto"/>
          <w:color w:val="0000EE"/>
          <w:vertAlign w:val="superscript"/>
        </w:rPr>
        <w:t>*</w:t>
      </w:r>
    </w:p>
    <w:p>
      <w:pPr>
        <w:spacing w:after="0" w:line="36"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shall be deemed to be a contractual obligation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and shall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governed by and construed in accordance with</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the internal laws of the state of </w:t>
      </w:r>
      <w:r>
        <w:rPr>
          <w:rFonts w:ascii="Times New Roman" w:cs="Times New Roman" w:eastAsia="Times New Roman" w:hAnsi="Times New Roman"/>
          <w:sz w:val="21"/>
          <w:szCs w:val="21"/>
          <w:color w:val="auto"/>
        </w:rPr>
        <w:t>N</w:t>
      </w:r>
      <w:r>
        <w:rPr>
          <w:rFonts w:ascii="Times New Roman" w:cs="Times New Roman" w:eastAsia="Times New Roman" w:hAnsi="Times New Roman"/>
          <w:sz w:val="14"/>
          <w:szCs w:val="14"/>
          <w:color w:val="auto"/>
        </w:rPr>
        <w:t xml:space="preserve">ew </w:t>
      </w:r>
      <w:r>
        <w:rPr>
          <w:rFonts w:ascii="Times New Roman" w:cs="Times New Roman" w:eastAsia="Times New Roman" w:hAnsi="Times New Roman"/>
          <w:sz w:val="21"/>
          <w:szCs w:val="21"/>
          <w:color w:val="auto"/>
        </w:rPr>
        <w:t>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Commitment Increase shall be effective when the executed (x) Incremental Amendment, (y) consent of the Administrative Agent is received or otherwise in accordance with Section 1.15 of the Credit Agreement, but not in any case prior to ___________________, ____.</w:t>
      </w:r>
    </w:p>
    <w:p>
      <w:pPr>
        <w:jc w:val="both"/>
        <w:ind w:left="200" w:right="219" w:firstLine="67"/>
        <w:spacing w:after="0" w:line="237" w:lineRule="auto"/>
        <w:rPr>
          <w:sz w:val="20"/>
          <w:szCs w:val="20"/>
          <w:color w:val="auto"/>
        </w:rPr>
      </w:pPr>
      <w:r>
        <w:rPr>
          <w:rFonts w:ascii="Times New Roman" w:cs="Times New Roman" w:eastAsia="Times New Roman" w:hAnsi="Times New Roman"/>
          <w:sz w:val="22"/>
          <w:szCs w:val="22"/>
          <w:color w:val="auto"/>
        </w:rPr>
        <w:t>It shall be a condition to the effectiveness of the Commitment Increase that all expenses referred to in Section 1.15 of the Credit Agreement shall have been paid.</w:t>
      </w:r>
    </w:p>
    <w:p>
      <w:pPr>
        <w:spacing w:after="0" w:line="205"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Borrower hereby certifies that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13627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07" w:lineRule="exact"/>
        <w:rPr>
          <w:sz w:val="20"/>
          <w:szCs w:val="20"/>
          <w:color w:val="auto"/>
        </w:rPr>
      </w:pPr>
    </w:p>
    <w:p>
      <w:pPr>
        <w:ind w:left="380" w:right="219" w:hanging="171"/>
        <w:spacing w:after="0" w:line="284" w:lineRule="auto"/>
        <w:tabs>
          <w:tab w:leader="none" w:pos="353" w:val="left"/>
        </w:tabs>
        <w:numPr>
          <w:ilvl w:val="0"/>
          <w:numId w:val="1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Insert bracketed paragraph if New Lender is organized under the law of a jurisdiction other than the United States of America or a state thereof.</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1" w:name="page202"/>
    <w:bookmarkEnd w:id="201"/>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Please indicate the Administrative Agent’s consent to such Commitment Increase by signing the enclosed copy of this letter in the space provided below.</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-31115</wp:posOffset>
            </wp:positionV>
            <wp:extent cx="2040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-31115</wp:posOffset>
            </wp:positionV>
            <wp:extent cx="2100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ew or existing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ender</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ncreasing</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ommitments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-31115</wp:posOffset>
            </wp:positionV>
            <wp:extent cx="2040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-31115</wp:posOffset>
            </wp:positionV>
            <wp:extent cx="2100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undersigned hereby consents on</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this __ day of _____________, _____</w:t>
      </w:r>
    </w:p>
    <w:p>
      <w:pPr>
        <w:ind w:left="200"/>
        <w:spacing w:after="0" w:line="230" w:lineRule="auto"/>
        <w:rPr>
          <w:sz w:val="20"/>
          <w:szCs w:val="20"/>
          <w:color w:val="auto"/>
        </w:rPr>
      </w:pPr>
      <w:r>
        <w:rPr>
          <w:rFonts w:ascii="Times New Roman" w:cs="Times New Roman" w:eastAsia="Times New Roman" w:hAnsi="Times New Roman"/>
          <w:sz w:val="22"/>
          <w:szCs w:val="22"/>
          <w:color w:val="auto"/>
        </w:rPr>
        <w:t>to the above-requested Commitment</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Increase.</w:t>
      </w:r>
    </w:p>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-31115</wp:posOffset>
            </wp:positionV>
            <wp:extent cx="23056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193738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-31115</wp:posOffset>
            </wp:positionV>
            <wp:extent cx="20059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Borrowing Base Certificate</w:t>
      </w:r>
    </w:p>
    <w:p>
      <w:pPr>
        <w:spacing w:after="0" w:line="200" w:lineRule="exact"/>
        <w:rPr>
          <w:sz w:val="20"/>
          <w:szCs w:val="20"/>
          <w:color w:val="auto"/>
        </w:rPr>
      </w:pPr>
    </w:p>
    <w:p>
      <w:pPr>
        <w:spacing w:after="0" w:line="294" w:lineRule="exact"/>
        <w:rPr>
          <w:sz w:val="20"/>
          <w:szCs w:val="20"/>
          <w:color w:val="auto"/>
        </w:rPr>
      </w:pPr>
    </w:p>
    <w:p>
      <w:pPr>
        <w:jc w:val="both"/>
        <w:ind w:left="860" w:right="219" w:hanging="659"/>
        <w:spacing w:after="0" w:line="258" w:lineRule="auto"/>
        <w:tabs>
          <w:tab w:leader="none" w:pos="8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KeyBank National Association, as Administrative Agent under, and the Lenders party to, the Credit Agreement described below.</w:t>
      </w:r>
    </w:p>
    <w:p>
      <w:pPr>
        <w:spacing w:after="0" w:line="199"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Pursuant to the terms of the Credit Agreement dated as of September 30, 2024, as amended, among us (the “Credit Agreement”), we submit this Borrowing Base Certificate to you and certify that the calculation of the Borrowing Base set forth below and on any Exhibits to this Certificate is true, correct and complete as of the Borrowing Base Determination Date.</w:t>
      </w:r>
    </w:p>
    <w:p>
      <w:pPr>
        <w:spacing w:after="0" w:line="207" w:lineRule="exact"/>
        <w:rPr>
          <w:sz w:val="20"/>
          <w:szCs w:val="20"/>
          <w:color w:val="auto"/>
        </w:rPr>
      </w:pPr>
    </w:p>
    <w:p>
      <w:pPr>
        <w:ind w:left="1320" w:hanging="479"/>
        <w:spacing w:after="0"/>
        <w:tabs>
          <w:tab w:leader="none" w:pos="132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Base Determination Date: __________________ ____, 20___.</w:t>
      </w:r>
    </w:p>
    <w:p>
      <w:pPr>
        <w:spacing w:after="0" w:line="246" w:lineRule="exact"/>
        <w:rPr>
          <w:rFonts w:ascii="Times New Roman" w:cs="Times New Roman" w:eastAsia="Times New Roman" w:hAnsi="Times New Roman"/>
          <w:sz w:val="22"/>
          <w:szCs w:val="22"/>
          <w:color w:val="auto"/>
        </w:rPr>
      </w:pPr>
    </w:p>
    <w:p>
      <w:pPr>
        <w:ind w:left="200" w:right="239" w:firstLine="653"/>
        <w:spacing w:after="0" w:line="258" w:lineRule="auto"/>
        <w:tabs>
          <w:tab w:leader="none" w:pos="1314"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Base and compliance as of the Borrowing Base Determination Date is calculated as:</w:t>
      </w:r>
    </w:p>
    <w:p>
      <w:pPr>
        <w:ind w:left="1320" w:hanging="553"/>
        <w:spacing w:after="0" w:line="234" w:lineRule="auto"/>
        <w:tabs>
          <w:tab w:leader="none" w:pos="13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[60%][65%]</w:t>
      </w:r>
      <w:r>
        <w:rPr>
          <w:rFonts w:ascii="Times New Roman" w:cs="Times New Roman" w:eastAsia="Times New Roman" w:hAnsi="Times New Roman"/>
          <w:sz w:val="35"/>
          <w:szCs w:val="35"/>
          <w:u w:val="single" w:color="auto"/>
          <w:color w:val="0000EE"/>
          <w:vertAlign w:val="superscript"/>
        </w:rPr>
        <w:t>3</w:t>
      </w:r>
      <w:r>
        <w:rPr>
          <w:rFonts w:ascii="Times New Roman" w:cs="Times New Roman" w:eastAsia="Times New Roman" w:hAnsi="Times New Roman"/>
          <w:sz w:val="22"/>
          <w:szCs w:val="22"/>
          <w:color w:val="auto"/>
        </w:rPr>
        <w:t xml:space="preserve"> of the Borrowing Base Value as  </w:t>
      </w:r>
      <w:r>
        <w:rPr>
          <w:rFonts w:ascii="Times New Roman" w:cs="Times New Roman" w:eastAsia="Times New Roman" w:hAnsi="Times New Roman"/>
          <w:sz w:val="43"/>
          <w:szCs w:val="43"/>
          <w:color w:val="auto"/>
          <w:vertAlign w:val="superscript"/>
        </w:rPr>
        <w:t>$_________________</w:t>
      </w:r>
    </w:p>
    <w:p>
      <w:pPr>
        <w:spacing w:after="0" w:line="1"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calculated on Exhibit A hereto</w:t>
      </w:r>
    </w:p>
    <w:p>
      <w:pPr>
        <w:spacing w:after="0" w:line="78"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2.</w:t>
            </w:r>
          </w:p>
        </w:tc>
        <w:tc>
          <w:tcPr>
            <w:tcW w:w="4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Service Coverage Amount as calculated</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$_________________</w:t>
            </w:r>
          </w:p>
        </w:tc>
      </w:tr>
      <w:tr>
        <w:trPr>
          <w:trHeight w:val="282"/>
        </w:trPr>
        <w:tc>
          <w:tcPr>
            <w:tcW w:w="360" w:type="dxa"/>
            <w:vAlign w:val="bottom"/>
          </w:tcPr>
          <w:p>
            <w:pPr>
              <w:spacing w:after="0"/>
              <w:rPr>
                <w:sz w:val="24"/>
                <w:szCs w:val="24"/>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on Exhibit B hereto</w:t>
            </w:r>
          </w:p>
        </w:tc>
        <w:tc>
          <w:tcPr>
            <w:tcW w:w="2040" w:type="dxa"/>
            <w:vAlign w:val="bottom"/>
          </w:tcPr>
          <w:p>
            <w:pPr>
              <w:spacing w:after="0"/>
              <w:rPr>
                <w:sz w:val="24"/>
                <w:szCs w:val="24"/>
                <w:color w:val="auto"/>
              </w:rPr>
            </w:pPr>
          </w:p>
        </w:tc>
      </w:tr>
      <w:tr>
        <w:trPr>
          <w:trHeight w:val="365"/>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3.</w:t>
            </w:r>
          </w:p>
        </w:tc>
        <w:tc>
          <w:tcPr>
            <w:tcW w:w="4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 lesser of Line 1 and Line 2</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$_________________</w:t>
            </w:r>
          </w:p>
        </w:tc>
      </w:tr>
    </w:tbl>
    <w:p>
      <w:pPr>
        <w:spacing w:after="0" w:line="82" w:lineRule="exact"/>
        <w:rPr>
          <w:sz w:val="20"/>
          <w:szCs w:val="20"/>
          <w:color w:val="auto"/>
        </w:rPr>
      </w:pPr>
    </w:p>
    <w:p>
      <w:pPr>
        <w:ind w:left="1320" w:hanging="553"/>
        <w:spacing w:after="0"/>
        <w:tabs>
          <w:tab w:leader="none" w:pos="132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Unsecured Indebtedness (other than the  $_________________</w:t>
      </w:r>
    </w:p>
    <w:p>
      <w:pPr>
        <w:spacing w:after="0" w:line="14" w:lineRule="exact"/>
        <w:rPr>
          <w:rFonts w:ascii="Times New Roman" w:cs="Times New Roman" w:eastAsia="Times New Roman" w:hAnsi="Times New Roman"/>
          <w:sz w:val="22"/>
          <w:szCs w:val="22"/>
          <w:color w:val="auto"/>
        </w:rPr>
      </w:pPr>
    </w:p>
    <w:p>
      <w:pPr>
        <w:ind w:left="1340" w:right="405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and including the Convertible Senior Notes)</w:t>
      </w:r>
    </w:p>
    <w:p>
      <w:pPr>
        <w:spacing w:after="0" w:line="84" w:lineRule="exact"/>
        <w:rPr>
          <w:sz w:val="20"/>
          <w:szCs w:val="20"/>
          <w:color w:val="auto"/>
        </w:rPr>
      </w:pPr>
    </w:p>
    <w:tbl>
      <w:tblPr>
        <w:tblLayout w:type="fixed"/>
        <w:tblInd w:w="760" w:type="dxa"/>
        <w:tblCellMar>
          <w:top w:w="0" w:type="dxa"/>
          <w:left w:w="0" w:type="dxa"/>
          <w:bottom w:w="0" w:type="dxa"/>
          <w:right w:w="0" w:type="dxa"/>
        </w:tblCellMar>
      </w:tblPr>
      <w:tr>
        <w:trPr>
          <w:trHeight w:val="282"/>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5.</w:t>
            </w:r>
          </w:p>
        </w:tc>
        <w:tc>
          <w:tcPr>
            <w:tcW w:w="4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Line 3 minus Line 4 (the “Borrowing Base”)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$_________________</w:t>
            </w:r>
          </w:p>
        </w:tc>
      </w:tr>
      <w:tr>
        <w:trPr>
          <w:trHeight w:val="365"/>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6.</w:t>
            </w:r>
          </w:p>
        </w:tc>
        <w:tc>
          <w:tcPr>
            <w:tcW w:w="4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Aggregate Obligations outstanding</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$_________________</w:t>
            </w:r>
          </w:p>
        </w:tc>
      </w:tr>
    </w:tbl>
    <w:p>
      <w:pPr>
        <w:spacing w:after="0" w:line="339" w:lineRule="exact"/>
        <w:rPr>
          <w:sz w:val="20"/>
          <w:szCs w:val="20"/>
          <w:color w:val="auto"/>
        </w:rPr>
      </w:pPr>
    </w:p>
    <w:p>
      <w:pPr>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The foregoing certifications, together with the computations set forth in Schedule I hereto are made and delivered this ______ day of __________________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1026795</wp:posOffset>
            </wp:positionV>
            <wp:extent cx="13627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3 Leverage Ratio Increase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659130</wp:posOffset>
            </wp:positionV>
            <wp:extent cx="5452110"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03" w:name="page204"/>
    <w:bookmarkEnd w:id="203"/>
    <w:p>
      <w:pPr>
        <w:ind w:left="4420"/>
        <w:spacing w:after="0"/>
        <w:rPr>
          <w:sz w:val="20"/>
          <w:szCs w:val="20"/>
          <w:color w:val="auto"/>
        </w:rPr>
      </w:pPr>
      <w:r>
        <w:rPr>
          <w:rFonts w:ascii="Times New Roman" w:cs="Times New Roman" w:eastAsia="Times New Roman" w:hAnsi="Times New Roman"/>
          <w:sz w:val="21"/>
          <w:szCs w:val="21"/>
          <w:color w:val="auto"/>
        </w:rPr>
        <w:t>CTO Realty Growth, Inc.</w:t>
      </w:r>
    </w:p>
    <w:p>
      <w:pPr>
        <w:spacing w:after="0" w:line="200" w:lineRule="exact"/>
        <w:rPr>
          <w:sz w:val="20"/>
          <w:szCs w:val="20"/>
          <w:color w:val="auto"/>
        </w:rPr>
      </w:pPr>
    </w:p>
    <w:p>
      <w:pPr>
        <w:spacing w:after="0" w:line="3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-31115</wp:posOffset>
            </wp:positionV>
            <wp:extent cx="207454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-31115</wp:posOffset>
            </wp:positionV>
            <wp:extent cx="21431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532765</wp:posOffset>
            </wp:positionV>
            <wp:extent cx="5452110"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A </w:t>
      </w:r>
      <w:r>
        <w:rPr>
          <w:rFonts w:ascii="Times New Roman" w:cs="Times New Roman" w:eastAsia="Times New Roman" w:hAnsi="Times New Roman"/>
          <w:sz w:val="14"/>
          <w:szCs w:val="14"/>
          <w:b w:val="1"/>
          <w:bCs w:val="1"/>
          <w:color w:val="auto"/>
        </w:rPr>
        <w:t>to</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orrowing</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ase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of </w:t>
      </w:r>
      <w:r>
        <w:rPr>
          <w:rFonts w:ascii="Times New Roman" w:cs="Times New Roman" w:eastAsia="Times New Roman" w:hAnsi="Times New Roman"/>
          <w:sz w:val="21"/>
          <w:szCs w:val="21"/>
          <w:b w:val="1"/>
          <w:bCs w:val="1"/>
          <w:color w:val="auto"/>
        </w:rPr>
        <w:t>CTO R</w:t>
      </w:r>
      <w:r>
        <w:rPr>
          <w:rFonts w:ascii="Times New Roman" w:cs="Times New Roman" w:eastAsia="Times New Roman" w:hAnsi="Times New Roman"/>
          <w:sz w:val="15"/>
          <w:szCs w:val="15"/>
          <w:b w:val="1"/>
          <w:bCs w:val="1"/>
          <w:color w:val="auto"/>
        </w:rPr>
        <w:t xml:space="preserve">ealty </w:t>
      </w:r>
      <w:r>
        <w:rPr>
          <w:rFonts w:ascii="Times New Roman" w:cs="Times New Roman" w:eastAsia="Times New Roman" w:hAnsi="Times New Roman"/>
          <w:sz w:val="21"/>
          <w:szCs w:val="21"/>
          <w:b w:val="1"/>
          <w:bCs w:val="1"/>
          <w:color w:val="auto"/>
        </w:rPr>
        <w:t>G</w:t>
      </w:r>
      <w:r>
        <w:rPr>
          <w:rFonts w:ascii="Times New Roman" w:cs="Times New Roman" w:eastAsia="Times New Roman" w:hAnsi="Times New Roman"/>
          <w:sz w:val="15"/>
          <w:szCs w:val="15"/>
          <w:b w:val="1"/>
          <w:bCs w:val="1"/>
          <w:color w:val="auto"/>
        </w:rPr>
        <w:t>rowth</w:t>
      </w:r>
      <w:r>
        <w:rPr>
          <w:rFonts w:ascii="Times New Roman" w:cs="Times New Roman" w:eastAsia="Times New Roman" w:hAnsi="Times New Roman"/>
          <w:sz w:val="21"/>
          <w:szCs w:val="21"/>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1"/>
          <w:szCs w:val="21"/>
          <w:b w:val="1"/>
          <w:bCs w:val="1"/>
          <w:color w:val="auto"/>
        </w:rPr>
        <w:t>.</w:t>
      </w:r>
    </w:p>
    <w:p>
      <w:pPr>
        <w:spacing w:after="0" w:line="234"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This Exhibit A is attached to the Borrowing Base Certificate of CTO Realty Growth, Inc. for the Borrowing Base Determination Date of ___________ ____, 20___ and delivered to</w:t>
      </w:r>
    </w:p>
    <w:p>
      <w:pPr>
        <w:spacing w:after="0" w:line="2"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KeyBank National Association, as Administrative Agent, and the Lenders party to the Credit Agreement dated September 30, 2024, as amended, referred to therein. The undersigned hereby certifies that the following is a true, correct and complete calculation of Borrowing Base Value as of the Borrowing Base Determination Date set forth above:</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[Insert Calculation or attach Schedule with exclusions for concentration limits]</w:t>
      </w:r>
    </w:p>
    <w:p>
      <w:pPr>
        <w:spacing w:after="0" w:line="237" w:lineRule="exact"/>
        <w:rPr>
          <w:sz w:val="20"/>
          <w:szCs w:val="20"/>
          <w:color w:val="auto"/>
        </w:rPr>
      </w:pPr>
    </w:p>
    <w:p>
      <w:pPr>
        <w:ind w:left="200"/>
        <w:spacing w:after="0"/>
        <w:tabs>
          <w:tab w:leader="none" w:pos="4700" w:val="left"/>
        </w:tabs>
        <w:rPr>
          <w:sz w:val="20"/>
          <w:szCs w:val="20"/>
          <w:color w:val="auto"/>
        </w:rPr>
      </w:pPr>
      <w:r>
        <w:rPr>
          <w:rFonts w:ascii="Times New Roman" w:cs="Times New Roman" w:eastAsia="Times New Roman" w:hAnsi="Times New Roman"/>
          <w:sz w:val="22"/>
          <w:szCs w:val="22"/>
          <w:color w:val="auto"/>
        </w:rPr>
        <w:t>Borrowing Base Value of all Eligible Properties:</w:t>
      </w:r>
      <w:r>
        <w:rPr>
          <w:sz w:val="20"/>
          <w:szCs w:val="20"/>
          <w:color w:val="auto"/>
        </w:rPr>
        <w:tab/>
      </w:r>
      <w:r>
        <w:rPr>
          <w:rFonts w:ascii="Times New Roman" w:cs="Times New Roman" w:eastAsia="Times New Roman" w:hAnsi="Times New Roman"/>
          <w:sz w:val="21"/>
          <w:szCs w:val="21"/>
          <w:color w:val="auto"/>
        </w:rPr>
        <w:t>$__________</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Borrowing Base Requirements:</w:t>
      </w:r>
    </w:p>
    <w:p>
      <w:pPr>
        <w:spacing w:after="0" w:line="251" w:lineRule="exact"/>
        <w:rPr>
          <w:sz w:val="20"/>
          <w:szCs w:val="20"/>
          <w:color w:val="auto"/>
        </w:rPr>
      </w:pPr>
    </w:p>
    <w:p>
      <w:pPr>
        <w:ind w:left="920" w:hanging="639"/>
        <w:spacing w:after="0"/>
        <w:tabs>
          <w:tab w:leader="none" w:pos="9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Properties</w:t>
      </w:r>
    </w:p>
    <w:p>
      <w:pPr>
        <w:spacing w:after="0" w:line="115"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57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The number of Eligible Properties with leaseable area of not</w:t>
            </w:r>
          </w:p>
        </w:tc>
        <w:tc>
          <w:tcPr>
            <w:tcW w:w="164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9"/>
              </w:rPr>
              <w:t>___________</w:t>
            </w:r>
          </w:p>
        </w:tc>
      </w:tr>
      <w:tr>
        <w:trPr>
          <w:trHeight w:val="282"/>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less than 25,000 sq ft each</w:t>
            </w:r>
          </w:p>
        </w:tc>
        <w:tc>
          <w:tcPr>
            <w:tcW w:w="1640" w:type="dxa"/>
            <w:vAlign w:val="bottom"/>
          </w:tcPr>
          <w:p>
            <w:pPr>
              <w:spacing w:after="0"/>
              <w:rPr>
                <w:sz w:val="24"/>
                <w:szCs w:val="24"/>
                <w:color w:val="auto"/>
              </w:rPr>
            </w:pPr>
          </w:p>
        </w:tc>
      </w:tr>
      <w:tr>
        <w:trPr>
          <w:trHeight w:val="364"/>
        </w:trPr>
        <w:tc>
          <w:tcPr>
            <w:tcW w:w="6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57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Line A1 shall not be less than 15</w:t>
            </w:r>
          </w:p>
        </w:tc>
        <w:tc>
          <w:tcPr>
            <w:tcW w:w="1640" w:type="dxa"/>
            <w:vAlign w:val="bottom"/>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57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The Borrower is in compliance (circle yes or no)</w:t>
            </w:r>
          </w:p>
        </w:tc>
        <w:tc>
          <w:tcPr>
            <w:tcW w:w="16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yes/no</w:t>
            </w:r>
          </w:p>
        </w:tc>
      </w:tr>
      <w:tr>
        <w:trPr>
          <w:trHeight w:val="43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6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Borrowing Base Value</w:t>
            </w:r>
          </w:p>
        </w:tc>
        <w:tc>
          <w:tcPr>
            <w:tcW w:w="16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0"/>
        </w:trPr>
        <w:tc>
          <w:tcPr>
            <w:tcW w:w="6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57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Borrowing Base Value</w:t>
            </w:r>
          </w:p>
        </w:tc>
        <w:tc>
          <w:tcPr>
            <w:tcW w:w="164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6"/>
              </w:rPr>
              <w:t>$___________</w:t>
            </w:r>
          </w:p>
        </w:tc>
      </w:tr>
      <w:tr>
        <w:trPr>
          <w:trHeight w:val="364"/>
        </w:trPr>
        <w:tc>
          <w:tcPr>
            <w:tcW w:w="6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57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Line B1 shall not be less than $400,000,000</w:t>
            </w:r>
          </w:p>
        </w:tc>
        <w:tc>
          <w:tcPr>
            <w:tcW w:w="1640" w:type="dxa"/>
            <w:vAlign w:val="bottom"/>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57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The Borrower is in compliance (circle yes or no)</w:t>
            </w:r>
          </w:p>
        </w:tc>
        <w:tc>
          <w:tcPr>
            <w:tcW w:w="16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yes/no</w:t>
            </w:r>
          </w:p>
        </w:tc>
      </w:tr>
      <w:tr>
        <w:trPr>
          <w:trHeight w:val="43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9"/>
              </w:rPr>
              <w:t>Non-Retail Properties</w:t>
            </w:r>
          </w:p>
        </w:tc>
        <w:tc>
          <w:tcPr>
            <w:tcW w:w="4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1"/>
        </w:trPr>
        <w:tc>
          <w:tcPr>
            <w:tcW w:w="6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57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Percent of Borrowing Base Value attributable to properties</w:t>
            </w:r>
          </w:p>
        </w:tc>
        <w:tc>
          <w:tcPr>
            <w:tcW w:w="164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7"/>
              </w:rPr>
              <w:t>___________%</w:t>
            </w:r>
          </w:p>
        </w:tc>
      </w:tr>
      <w:tr>
        <w:trPr>
          <w:trHeight w:val="243"/>
        </w:trPr>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7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that are not retail, Retail Mixed-Use Properties or office</w:t>
            </w:r>
          </w:p>
        </w:tc>
        <w:tc>
          <w:tcPr>
            <w:tcW w:w="1640" w:type="dxa"/>
            <w:vAlign w:val="bottom"/>
          </w:tcPr>
          <w:p>
            <w:pPr>
              <w:spacing w:after="0"/>
              <w:rPr>
                <w:sz w:val="21"/>
                <w:szCs w:val="21"/>
                <w:color w:val="auto"/>
              </w:rPr>
            </w:pPr>
          </w:p>
        </w:tc>
      </w:tr>
      <w:tr>
        <w:trPr>
          <w:trHeight w:val="282"/>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properties</w:t>
            </w:r>
          </w:p>
        </w:tc>
        <w:tc>
          <w:tcPr>
            <w:tcW w:w="1640" w:type="dxa"/>
            <w:vAlign w:val="bottom"/>
          </w:tcPr>
          <w:p>
            <w:pPr>
              <w:spacing w:after="0"/>
              <w:rPr>
                <w:sz w:val="24"/>
                <w:szCs w:val="24"/>
                <w:color w:val="auto"/>
              </w:rPr>
            </w:pPr>
          </w:p>
        </w:tc>
      </w:tr>
    </w:tbl>
    <w:p>
      <w:pPr>
        <w:spacing w:after="0" w:line="82" w:lineRule="exact"/>
        <w:rPr>
          <w:sz w:val="20"/>
          <w:szCs w:val="20"/>
          <w:color w:val="auto"/>
        </w:rPr>
      </w:pPr>
    </w:p>
    <w:p>
      <w:pPr>
        <w:ind w:left="1580" w:hanging="651"/>
        <w:spacing w:after="0"/>
        <w:tabs>
          <w:tab w:leader="none" w:pos="15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C1 shall not be greater than 15%</w:t>
      </w:r>
    </w:p>
    <w:p>
      <w:pPr>
        <w:spacing w:after="0" w:line="112" w:lineRule="exact"/>
        <w:rPr>
          <w:sz w:val="20"/>
          <w:szCs w:val="20"/>
          <w:color w:val="auto"/>
        </w:rPr>
      </w:pPr>
    </w:p>
    <w:p>
      <w:pPr>
        <w:ind w:left="920"/>
        <w:spacing w:after="0"/>
        <w:tabs>
          <w:tab w:leader="none" w:pos="1560" w:val="left"/>
          <w:tab w:leader="none" w:pos="774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color w:val="auto"/>
        </w:rPr>
        <w:t>The Borrower is in compliance (circle yes or no)</w:t>
      </w:r>
      <w:r>
        <w:rPr>
          <w:sz w:val="20"/>
          <w:szCs w:val="20"/>
          <w:color w:val="auto"/>
        </w:rPr>
        <w:tab/>
      </w:r>
      <w:r>
        <w:rPr>
          <w:rFonts w:ascii="Times New Roman" w:cs="Times New Roman" w:eastAsia="Times New Roman" w:hAnsi="Times New Roman"/>
          <w:sz w:val="21"/>
          <w:szCs w:val="21"/>
          <w:color w:val="auto"/>
        </w:rPr>
        <w:t>yes/no</w:t>
      </w:r>
    </w:p>
    <w:p>
      <w:pPr>
        <w:spacing w:after="0" w:line="233" w:lineRule="exact"/>
        <w:rPr>
          <w:sz w:val="20"/>
          <w:szCs w:val="20"/>
          <w:color w:val="auto"/>
        </w:rPr>
      </w:pPr>
    </w:p>
    <w:p>
      <w:pPr>
        <w:ind w:left="920" w:hanging="639"/>
        <w:spacing w:after="0"/>
        <w:tabs>
          <w:tab w:leader="none" w:pos="9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Individual Eligible Property Value</w:t>
      </w:r>
    </w:p>
    <w:p>
      <w:pPr>
        <w:spacing w:after="0" w:line="125" w:lineRule="exact"/>
        <w:rPr>
          <w:rFonts w:ascii="Times New Roman" w:cs="Times New Roman" w:eastAsia="Times New Roman" w:hAnsi="Times New Roman"/>
          <w:sz w:val="22"/>
          <w:szCs w:val="22"/>
          <w:color w:val="auto"/>
        </w:rPr>
      </w:pPr>
    </w:p>
    <w:p>
      <w:pPr>
        <w:ind w:left="1580" w:right="2199" w:hanging="651"/>
        <w:spacing w:after="0" w:line="255" w:lineRule="auto"/>
        <w:tabs>
          <w:tab w:leader="none" w:pos="158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Percentage of Borrowing Base Value of each Eligible Property is set forth [above or on the attached Schedule] and the largest Borrowing Base Value or any Eligible Property is $___________ for the ___________ Eligible Property.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05" w:name="page206"/>
    <w:bookmarkEnd w:id="205"/>
    <w:p>
      <w:pPr>
        <w:ind w:left="1580" w:right="100" w:hanging="651"/>
        <w:spacing w:after="0" w:line="258" w:lineRule="auto"/>
        <w:tabs>
          <w:tab w:leader="none" w:pos="158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Eligible Property comprises more than 20% of Borrowing Base Value</w:t>
      </w:r>
    </w:p>
    <w:p>
      <w:pPr>
        <w:spacing w:after="0" w:line="63" w:lineRule="exact"/>
        <w:rPr>
          <w:rFonts w:ascii="Times New Roman" w:cs="Times New Roman" w:eastAsia="Times New Roman" w:hAnsi="Times New Roman"/>
          <w:sz w:val="22"/>
          <w:szCs w:val="22"/>
          <w:color w:val="auto"/>
        </w:rPr>
      </w:pPr>
    </w:p>
    <w:p>
      <w:pPr>
        <w:ind w:left="1580" w:hanging="651"/>
        <w:spacing w:after="0"/>
        <w:tabs>
          <w:tab w:leader="none" w:pos="158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in compliance (circle yes or no)</w:t>
      </w:r>
    </w:p>
    <w:p>
      <w:pPr>
        <w:spacing w:after="0" w:line="287" w:lineRule="exact"/>
        <w:rPr>
          <w:rFonts w:ascii="Times New Roman" w:cs="Times New Roman" w:eastAsia="Times New Roman" w:hAnsi="Times New Roman"/>
          <w:sz w:val="22"/>
          <w:szCs w:val="22"/>
          <w:color w:val="auto"/>
        </w:rPr>
      </w:pPr>
    </w:p>
    <w:p>
      <w:pPr>
        <w:ind w:left="920" w:hanging="639"/>
        <w:spacing w:after="0"/>
        <w:tabs>
          <w:tab w:leader="none" w:pos="9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Occupancy Rate</w:t>
      </w:r>
    </w:p>
    <w:p>
      <w:pPr>
        <w:spacing w:after="0" w:line="111" w:lineRule="exact"/>
        <w:rPr>
          <w:rFonts w:ascii="Times New Roman" w:cs="Times New Roman" w:eastAsia="Times New Roman" w:hAnsi="Times New Roman"/>
          <w:sz w:val="22"/>
          <w:szCs w:val="22"/>
          <w:color w:val="auto"/>
        </w:rPr>
      </w:pPr>
    </w:p>
    <w:p>
      <w:pPr>
        <w:ind w:left="1580" w:hanging="651"/>
        <w:spacing w:after="0"/>
        <w:tabs>
          <w:tab w:leader="none" w:pos="1580"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Weighted average Occupancy Rate of Eligible Properties</w:t>
      </w:r>
    </w:p>
    <w:p>
      <w:pPr>
        <w:spacing w:after="0" w:line="111" w:lineRule="exact"/>
        <w:rPr>
          <w:rFonts w:ascii="Times New Roman" w:cs="Times New Roman" w:eastAsia="Times New Roman" w:hAnsi="Times New Roman"/>
          <w:sz w:val="22"/>
          <w:szCs w:val="22"/>
          <w:color w:val="auto"/>
        </w:rPr>
      </w:pPr>
    </w:p>
    <w:p>
      <w:pPr>
        <w:ind w:left="1580" w:hanging="651"/>
        <w:spacing w:after="0"/>
        <w:tabs>
          <w:tab w:leader="none" w:pos="1580"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E1 shall not be less than 85%</w:t>
      </w:r>
    </w:p>
    <w:p>
      <w:pPr>
        <w:spacing w:after="0" w:line="111" w:lineRule="exact"/>
        <w:rPr>
          <w:rFonts w:ascii="Times New Roman" w:cs="Times New Roman" w:eastAsia="Times New Roman" w:hAnsi="Times New Roman"/>
          <w:sz w:val="22"/>
          <w:szCs w:val="22"/>
          <w:color w:val="auto"/>
        </w:rPr>
      </w:pPr>
    </w:p>
    <w:p>
      <w:pPr>
        <w:ind w:left="1580" w:hanging="651"/>
        <w:spacing w:after="0"/>
        <w:tabs>
          <w:tab w:leader="none" w:pos="1580"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in compliance (circle yes or no)</w:t>
      </w:r>
    </w:p>
    <w:p>
      <w:pPr>
        <w:spacing w:after="0" w:line="246" w:lineRule="exact"/>
        <w:rPr>
          <w:rFonts w:ascii="Times New Roman" w:cs="Times New Roman" w:eastAsia="Times New Roman" w:hAnsi="Times New Roman"/>
          <w:sz w:val="22"/>
          <w:szCs w:val="22"/>
          <w:color w:val="auto"/>
        </w:rPr>
      </w:pPr>
    </w:p>
    <w:p>
      <w:pPr>
        <w:ind w:left="920" w:hanging="639"/>
        <w:spacing w:after="0"/>
        <w:tabs>
          <w:tab w:leader="none" w:pos="9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Major Target MSA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yes/no</w:t>
      </w:r>
      <w:r>
        <w:rPr>
          <w:rFonts w:ascii="Times New Roman" w:cs="Times New Roman" w:eastAsia="Times New Roman" w:hAnsi="Times New Roman"/>
          <w:sz w:val="32"/>
          <w:szCs w:val="32"/>
          <w:u w:val="single" w:color="auto"/>
          <w:color w:val="0000EE"/>
          <w:vertAlign w:val="superscript"/>
        </w:rPr>
        <w:t>4</w:t>
      </w: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__%</w:t>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yes/no</w:t>
      </w:r>
    </w:p>
    <w:p>
      <w:pPr>
        <w:spacing w:after="0" w:line="601" w:lineRule="exact"/>
        <w:rPr>
          <w:sz w:val="20"/>
          <w:szCs w:val="20"/>
          <w:color w:val="auto"/>
        </w:rPr>
      </w:pPr>
    </w:p>
    <w:p>
      <w:pPr>
        <w:sectPr>
          <w:pgSz w:w="11900" w:h="16838" w:orient="portrait"/>
          <w:cols w:equalWidth="0" w:num="2">
            <w:col w:w="7000" w:space="720"/>
            <w:col w:w="1299"/>
          </w:cols>
          <w:pgMar w:left="1440" w:top="1152" w:right="1440" w:bottom="1440" w:gutter="0" w:footer="0" w:header="0"/>
        </w:sectPr>
      </w:pPr>
    </w:p>
    <w:tbl>
      <w:tblPr>
        <w:tblLayout w:type="fixed"/>
        <w:tblInd w:w="920" w:type="dxa"/>
        <w:tblCellMar>
          <w:top w:w="0" w:type="dxa"/>
          <w:left w:w="0" w:type="dxa"/>
          <w:bottom w:w="0" w:type="dxa"/>
          <w:right w:w="0" w:type="dxa"/>
        </w:tblCellMar>
      </w:tblPr>
      <w:tr>
        <w:trPr>
          <w:trHeight w:val="253"/>
        </w:trPr>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6"/>
              </w:rPr>
              <w:t>1.</w:t>
            </w:r>
          </w:p>
        </w:tc>
        <w:tc>
          <w:tcPr>
            <w:tcW w:w="5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Percentage of the Borrowing Base Value comprised of</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w:t>
            </w:r>
          </w:p>
        </w:tc>
      </w:tr>
      <w:tr>
        <w:trPr>
          <w:trHeight w:val="282"/>
        </w:trPr>
        <w:tc>
          <w:tcPr>
            <w:tcW w:w="420" w:type="dxa"/>
            <w:vAlign w:val="bottom"/>
          </w:tcPr>
          <w:p>
            <w:pPr>
              <w:spacing w:after="0"/>
              <w:rPr>
                <w:sz w:val="24"/>
                <w:szCs w:val="24"/>
                <w:color w:val="auto"/>
              </w:rPr>
            </w:pPr>
          </w:p>
        </w:tc>
        <w:tc>
          <w:tcPr>
            <w:tcW w:w="5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Eligible Properties located in the same Major Target MSA</w:t>
            </w:r>
          </w:p>
        </w:tc>
        <w:tc>
          <w:tcPr>
            <w:tcW w:w="1020" w:type="dxa"/>
            <w:vAlign w:val="bottom"/>
          </w:tcPr>
          <w:p>
            <w:pPr>
              <w:spacing w:after="0"/>
              <w:rPr>
                <w:sz w:val="24"/>
                <w:szCs w:val="24"/>
                <w:color w:val="auto"/>
              </w:rPr>
            </w:pPr>
          </w:p>
        </w:tc>
      </w:tr>
    </w:tbl>
    <w:p>
      <w:pPr>
        <w:spacing w:after="0" w:line="91" w:lineRule="exact"/>
        <w:rPr>
          <w:sz w:val="20"/>
          <w:szCs w:val="20"/>
          <w:color w:val="auto"/>
        </w:rPr>
      </w:pPr>
    </w:p>
    <w:p>
      <w:pPr>
        <w:ind w:left="1580" w:hanging="651"/>
        <w:spacing w:after="0"/>
        <w:tabs>
          <w:tab w:leader="none" w:pos="15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F1 shall be not greater than [35%][40%]</w:t>
      </w:r>
      <w:r>
        <w:rPr>
          <w:rFonts w:ascii="Times New Roman" w:cs="Times New Roman" w:eastAsia="Times New Roman" w:hAnsi="Times New Roman"/>
          <w:sz w:val="35"/>
          <w:szCs w:val="35"/>
          <w:u w:val="single" w:color="auto"/>
          <w:color w:val="0000EE"/>
          <w:vertAlign w:val="superscript"/>
        </w:rPr>
        <w:t>5</w:t>
      </w:r>
    </w:p>
    <w:p>
      <w:pPr>
        <w:spacing w:after="0" w:line="17" w:lineRule="exact"/>
        <w:rPr>
          <w:sz w:val="20"/>
          <w:szCs w:val="20"/>
          <w:color w:val="auto"/>
        </w:rPr>
      </w:pPr>
    </w:p>
    <w:p>
      <w:pPr>
        <w:ind w:left="920"/>
        <w:spacing w:after="0"/>
        <w:tabs>
          <w:tab w:leader="none" w:pos="1560" w:val="left"/>
          <w:tab w:leader="none" w:pos="774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color w:val="auto"/>
        </w:rPr>
        <w:t>The Borrower is in compliance (circle yes or no)</w:t>
      </w:r>
      <w:r>
        <w:rPr>
          <w:sz w:val="20"/>
          <w:szCs w:val="20"/>
          <w:color w:val="auto"/>
        </w:rPr>
        <w:tab/>
      </w:r>
      <w:r>
        <w:rPr>
          <w:rFonts w:ascii="Times New Roman" w:cs="Times New Roman" w:eastAsia="Times New Roman" w:hAnsi="Times New Roman"/>
          <w:sz w:val="21"/>
          <w:szCs w:val="21"/>
          <w:color w:val="auto"/>
        </w:rPr>
        <w:t>yes/no</w:t>
      </w:r>
    </w:p>
    <w:p>
      <w:pPr>
        <w:spacing w:after="0" w:line="223" w:lineRule="exact"/>
        <w:rPr>
          <w:sz w:val="20"/>
          <w:szCs w:val="20"/>
          <w:color w:val="auto"/>
        </w:rPr>
      </w:pPr>
    </w:p>
    <w:p>
      <w:pPr>
        <w:ind w:left="920" w:hanging="639"/>
        <w:spacing w:after="0"/>
        <w:tabs>
          <w:tab w:leader="none" w:pos="92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Non-Major MSA</w:t>
      </w:r>
    </w:p>
    <w:p>
      <w:pPr>
        <w:spacing w:after="0" w:line="112" w:lineRule="exact"/>
        <w:rPr>
          <w:sz w:val="20"/>
          <w:szCs w:val="20"/>
          <w:color w:val="auto"/>
        </w:rPr>
      </w:pPr>
    </w:p>
    <w:p>
      <w:pPr>
        <w:ind w:left="1580" w:right="779" w:hanging="659"/>
        <w:spacing w:after="0" w:line="241" w:lineRule="auto"/>
        <w:tabs>
          <w:tab w:leader="none" w:pos="156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color w:val="auto"/>
        </w:rPr>
        <w:t>Percentage of the Borrowing Base Value comprised of __% Eligible Properties located in the same Non-Major Target</w:t>
      </w:r>
    </w:p>
    <w:p>
      <w:pPr>
        <w:spacing w:after="0" w:line="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MSA</w:t>
      </w:r>
    </w:p>
    <w:p>
      <w:pPr>
        <w:spacing w:after="0" w:line="88" w:lineRule="exact"/>
        <w:rPr>
          <w:sz w:val="20"/>
          <w:szCs w:val="20"/>
          <w:color w:val="auto"/>
        </w:rPr>
      </w:pPr>
    </w:p>
    <w:p>
      <w:pPr>
        <w:ind w:left="1580" w:hanging="651"/>
        <w:spacing w:after="0"/>
        <w:tabs>
          <w:tab w:leader="none" w:pos="15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G1 shall be not greater than 25%</w:t>
      </w:r>
    </w:p>
    <w:p>
      <w:pPr>
        <w:spacing w:after="0" w:line="112" w:lineRule="exact"/>
        <w:rPr>
          <w:sz w:val="20"/>
          <w:szCs w:val="20"/>
          <w:color w:val="auto"/>
        </w:rPr>
      </w:pPr>
    </w:p>
    <w:p>
      <w:pPr>
        <w:ind w:left="920"/>
        <w:spacing w:after="0"/>
        <w:tabs>
          <w:tab w:leader="none" w:pos="1560" w:val="left"/>
          <w:tab w:leader="none" w:pos="774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color w:val="auto"/>
        </w:rPr>
        <w:t>The Borrower is in compliance (circle yes or no)</w:t>
      </w:r>
      <w:r>
        <w:rPr>
          <w:sz w:val="20"/>
          <w:szCs w:val="20"/>
          <w:color w:val="auto"/>
        </w:rPr>
        <w:tab/>
      </w:r>
      <w:r>
        <w:rPr>
          <w:rFonts w:ascii="Times New Roman" w:cs="Times New Roman" w:eastAsia="Times New Roman" w:hAnsi="Times New Roman"/>
          <w:sz w:val="21"/>
          <w:szCs w:val="21"/>
          <w:color w:val="auto"/>
        </w:rPr>
        <w:t>yes/no</w:t>
      </w:r>
    </w:p>
    <w:p>
      <w:pPr>
        <w:spacing w:after="0" w:line="247" w:lineRule="exact"/>
        <w:rPr>
          <w:sz w:val="20"/>
          <w:szCs w:val="20"/>
          <w:color w:val="auto"/>
        </w:rPr>
      </w:pPr>
    </w:p>
    <w:p>
      <w:pPr>
        <w:ind w:left="920" w:hanging="639"/>
        <w:spacing w:after="0"/>
        <w:tabs>
          <w:tab w:leader="none" w:pos="92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Leasehold Interests</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6"/>
              </w:rPr>
              <w:t>1.</w:t>
            </w:r>
          </w:p>
        </w:tc>
        <w:tc>
          <w:tcPr>
            <w:tcW w:w="59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Percentage of the Borrowing Base Value comprised of</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w:t>
            </w:r>
          </w:p>
        </w:tc>
      </w:tr>
      <w:tr>
        <w:trPr>
          <w:trHeight w:val="282"/>
        </w:trPr>
        <w:tc>
          <w:tcPr>
            <w:tcW w:w="420" w:type="dxa"/>
            <w:vAlign w:val="bottom"/>
          </w:tcPr>
          <w:p>
            <w:pPr>
              <w:spacing w:after="0"/>
              <w:rPr>
                <w:sz w:val="24"/>
                <w:szCs w:val="24"/>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Eligible Properties constituting Eligible Leasehold Interests</w:t>
            </w:r>
          </w:p>
        </w:tc>
        <w:tc>
          <w:tcPr>
            <w:tcW w:w="960" w:type="dxa"/>
            <w:vAlign w:val="bottom"/>
          </w:tcPr>
          <w:p>
            <w:pPr>
              <w:spacing w:after="0"/>
              <w:rPr>
                <w:sz w:val="24"/>
                <w:szCs w:val="24"/>
                <w:color w:val="auto"/>
              </w:rPr>
            </w:pPr>
          </w:p>
        </w:tc>
      </w:tr>
    </w:tbl>
    <w:p>
      <w:pPr>
        <w:spacing w:after="0" w:line="82" w:lineRule="exact"/>
        <w:rPr>
          <w:sz w:val="20"/>
          <w:szCs w:val="20"/>
          <w:color w:val="auto"/>
        </w:rPr>
      </w:pPr>
    </w:p>
    <w:p>
      <w:pPr>
        <w:ind w:left="1580" w:hanging="651"/>
        <w:spacing w:after="0"/>
        <w:tabs>
          <w:tab w:leader="none" w:pos="15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Line H1 shall be not greater than 15%</w:t>
      </w:r>
    </w:p>
    <w:p>
      <w:pPr>
        <w:spacing w:after="0" w:line="112" w:lineRule="exact"/>
        <w:rPr>
          <w:sz w:val="20"/>
          <w:szCs w:val="20"/>
          <w:color w:val="auto"/>
        </w:rPr>
      </w:pPr>
    </w:p>
    <w:p>
      <w:pPr>
        <w:ind w:left="920"/>
        <w:spacing w:after="0"/>
        <w:tabs>
          <w:tab w:leader="none" w:pos="1560" w:val="left"/>
          <w:tab w:leader="none" w:pos="774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color w:val="auto"/>
        </w:rPr>
        <w:t>The Borrower is in compliance (circle yes or no)</w:t>
      </w:r>
      <w:r>
        <w:rPr>
          <w:sz w:val="20"/>
          <w:szCs w:val="20"/>
          <w:color w:val="auto"/>
        </w:rPr>
        <w:tab/>
      </w:r>
      <w:r>
        <w:rPr>
          <w:rFonts w:ascii="Times New Roman" w:cs="Times New Roman" w:eastAsia="Times New Roman" w:hAnsi="Times New Roman"/>
          <w:sz w:val="21"/>
          <w:szCs w:val="2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568325</wp:posOffset>
            </wp:positionV>
            <wp:extent cx="136271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18"/>
          <w:szCs w:val="18"/>
          <w:i w:val="1"/>
          <w:iCs w:val="1"/>
          <w:color w:val="auto"/>
        </w:rPr>
        <w:t>4 If applicable, the calculation of Borrowing Base Value includes an adjustment to exclude that portion of the Property NOI or book value of any Eligible Properties attributable to any Eligible Properties to the extent it exceeds the 20% concentration limit.</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540% reduces to 35% as of 9/30/25.</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type w:val="continuous"/>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 to Borrowing Base Certificate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CTO Realty Growth, Inc.</w:t>
      </w:r>
    </w:p>
    <w:p>
      <w:pPr>
        <w:spacing w:after="0" w:line="223"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This Exhibit B is attached to the Borrowing Base Certificate of CTO Realty Growth, Inc. for the Borrowing Base Determination Date of __________ ___, 20__ and delivered to KeyBank</w:t>
      </w:r>
    </w:p>
    <w:p>
      <w:pPr>
        <w:spacing w:after="0" w:line="2"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National Association, as Administrative Agent, and the Lenders party to the Credit Agreement dated September 30, 2024, as amended, referred to therein. The undersigned hereby certifies that the following is a true, correct and complete calculation of Debt Service Coverage Amount as of the Borrowing Base Determination Date set forth above:</w:t>
      </w:r>
    </w:p>
    <w:p>
      <w:pPr>
        <w:spacing w:after="0" w:line="212" w:lineRule="exact"/>
        <w:rPr>
          <w:sz w:val="20"/>
          <w:szCs w:val="20"/>
          <w:color w:val="auto"/>
        </w:rPr>
      </w:pPr>
    </w:p>
    <w:tbl>
      <w:tblPr>
        <w:tblLayout w:type="fixed"/>
        <w:tblInd w:w="210" w:type="dxa"/>
        <w:tblCellMar>
          <w:top w:w="0" w:type="dxa"/>
          <w:left w:w="0" w:type="dxa"/>
          <w:bottom w:w="0" w:type="dxa"/>
          <w:right w:w="0" w:type="dxa"/>
        </w:tblCellMar>
      </w:tblPr>
      <w:tr>
        <w:trPr>
          <w:trHeight w:val="216"/>
        </w:trPr>
        <w:tc>
          <w:tcPr>
            <w:tcW w:w="120" w:type="dxa"/>
            <w:vAlign w:val="bottom"/>
            <w:tcBorders>
              <w:top w:val="single" w:sz="8" w:color="auto"/>
              <w:left w:val="single" w:sz="8" w:color="auto"/>
            </w:tcBorders>
          </w:tcPr>
          <w:p>
            <w:pPr>
              <w:spacing w:after="0"/>
              <w:rPr>
                <w:sz w:val="18"/>
                <w:szCs w:val="18"/>
                <w:color w:val="auto"/>
              </w:rPr>
            </w:pPr>
          </w:p>
        </w:tc>
        <w:tc>
          <w:tcPr>
            <w:tcW w:w="2860" w:type="dxa"/>
            <w:vAlign w:val="bottom"/>
            <w:tcBorders>
              <w:top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ligible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roperties</w:t>
            </w:r>
          </w:p>
        </w:tc>
        <w:tc>
          <w:tcPr>
            <w:tcW w:w="192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80" w:type="dxa"/>
            <w:vAlign w:val="bottom"/>
            <w:tcBorders>
              <w:top w:val="single" w:sz="8" w:color="auto"/>
              <w:right w:val="single" w:sz="8" w:color="auto"/>
            </w:tcBorders>
            <w:gridSpan w:val="5"/>
          </w:tcPr>
          <w:p>
            <w:pPr>
              <w:spacing w:after="0" w:line="216" w:lineRule="exact"/>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ebt</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ervice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overage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mount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460" w:type="dxa"/>
            <w:vAlign w:val="bottom"/>
            <w:tcBorders>
              <w:right w:val="single" w:sz="8" w:color="auto"/>
            </w:tcBorders>
            <w:gridSpan w:val="4"/>
          </w:tcPr>
          <w:p>
            <w:pPr>
              <w:spacing w:after="0" w:line="223" w:lineRule="exact"/>
              <w:rPr>
                <w:sz w:val="20"/>
                <w:szCs w:val="20"/>
                <w:color w:val="auto"/>
              </w:rPr>
            </w:pPr>
            <w:r>
              <w:rPr>
                <w:rFonts w:ascii="Times New Roman" w:cs="Times New Roman" w:eastAsia="Times New Roman" w:hAnsi="Times New Roman"/>
                <w:sz w:val="15"/>
                <w:szCs w:val="15"/>
                <w:color w:val="auto"/>
              </w:rPr>
              <w:t xml:space="preserve">as </w:t>
            </w:r>
            <w:r>
              <w:rPr>
                <w:rFonts w:ascii="Times New Roman" w:cs="Times New Roman" w:eastAsia="Times New Roman" w:hAnsi="Times New Roman"/>
                <w:sz w:val="21"/>
                <w:szCs w:val="21"/>
                <w:color w:val="auto"/>
              </w:rPr>
              <w:t>C</w:t>
            </w:r>
            <w:r>
              <w:rPr>
                <w:rFonts w:ascii="Times New Roman" w:cs="Times New Roman" w:eastAsia="Times New Roman" w:hAnsi="Times New Roman"/>
                <w:sz w:val="15"/>
                <w:szCs w:val="15"/>
                <w:color w:val="auto"/>
              </w:rPr>
              <w:t xml:space="preserve">alculated on </w:t>
            </w:r>
            <w:r>
              <w:rPr>
                <w:rFonts w:ascii="Times New Roman" w:cs="Times New Roman" w:eastAsia="Times New Roman" w:hAnsi="Times New Roman"/>
                <w:sz w:val="21"/>
                <w:szCs w:val="21"/>
                <w:color w:val="auto"/>
              </w:rPr>
              <w:t>A</w:t>
            </w:r>
            <w:r>
              <w:rPr>
                <w:rFonts w:ascii="Times New Roman" w:cs="Times New Roman" w:eastAsia="Times New Roman" w:hAnsi="Times New Roman"/>
                <w:sz w:val="15"/>
                <w:szCs w:val="15"/>
                <w:color w:val="auto"/>
              </w:rPr>
              <w:t xml:space="preserve">nnex </w:t>
            </w:r>
            <w:r>
              <w:rPr>
                <w:rFonts w:ascii="Times New Roman" w:cs="Times New Roman" w:eastAsia="Times New Roman" w:hAnsi="Times New Roman"/>
                <w:sz w:val="21"/>
                <w:szCs w:val="21"/>
                <w:color w:val="auto"/>
              </w:rPr>
              <w:t>I</w:t>
            </w:r>
            <w:r>
              <w:rPr>
                <w:rFonts w:ascii="Times New Roman" w:cs="Times New Roman" w:eastAsia="Times New Roman" w:hAnsi="Times New Roman"/>
                <w:sz w:val="15"/>
                <w:szCs w:val="15"/>
                <w:color w:val="auto"/>
              </w:rPr>
              <w:t xml:space="preserve"> to this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Borders>
              <w:top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tc>
        <w:tc>
          <w:tcPr>
            <w:tcW w:w="5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gridSpan w:val="6"/>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$__________</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gridSpan w:val="6"/>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$__________</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gridSpan w:val="6"/>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$__________</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gridSpan w:val="6"/>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$__________</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8600" w:type="dxa"/>
            <w:vAlign w:val="bottom"/>
            <w:gridSpan w:val="11"/>
          </w:tcPr>
          <w:p>
            <w:pPr>
              <w:spacing w:after="0"/>
              <w:rPr>
                <w:sz w:val="20"/>
                <w:szCs w:val="20"/>
                <w:color w:val="auto"/>
              </w:rPr>
            </w:pPr>
            <w:r>
              <w:rPr>
                <w:rFonts w:ascii="Times New Roman" w:cs="Times New Roman" w:eastAsia="Times New Roman" w:hAnsi="Times New Roman"/>
                <w:sz w:val="22"/>
                <w:szCs w:val="22"/>
                <w:b w:val="1"/>
                <w:bCs w:val="1"/>
                <w:color w:val="auto"/>
              </w:rPr>
              <w:t>Total Debt Service Coverage Amount of all Eligible Properties:$__________</w:t>
            </w: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jc w:val="right"/>
              <w:ind w:right="372"/>
              <w:spacing w:after="0"/>
              <w:rPr>
                <w:sz w:val="20"/>
                <w:szCs w:val="20"/>
                <w:color w:val="auto"/>
              </w:rPr>
            </w:pPr>
            <w:r>
              <w:rPr>
                <w:rFonts w:ascii="Times New Roman" w:cs="Times New Roman" w:eastAsia="Times New Roman" w:hAnsi="Times New Roman"/>
                <w:sz w:val="22"/>
                <w:szCs w:val="22"/>
                <w:i w:val="1"/>
                <w:iCs w:val="1"/>
                <w:color w:val="auto"/>
              </w:rPr>
              <w:t>-5-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8"/>
        </w:trPr>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22"/>
          <w:szCs w:val="22"/>
          <w:b w:val="1"/>
          <w:bCs w:val="1"/>
          <w:color w:val="auto"/>
        </w:rPr>
        <w:t>Annex I to Exhibit B to Borrowing Base Certificate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CTO Realty Growth, Inc.</w:t>
      </w:r>
    </w:p>
    <w:p>
      <w:pPr>
        <w:spacing w:after="0" w:line="223"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[The Borrower to Insert Calculation of Debt Service Coverage Amount for each Eligible Property with concentration limit exclusions]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Schedule </w:t>
      </w:r>
      <w:r>
        <w:rPr>
          <w:rFonts w:ascii="Times New Roman" w:cs="Times New Roman" w:eastAsia="Times New Roman" w:hAnsi="Times New Roman"/>
          <w:sz w:val="22"/>
          <w:szCs w:val="22"/>
          <w:color w:val="auto"/>
        </w:rPr>
        <w:t>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Commitments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 xml:space="preserve">as of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5"/>
          <w:szCs w:val="15"/>
          <w:b w:val="1"/>
          <w:bCs w:val="1"/>
          <w:color w:val="auto"/>
        </w:rPr>
        <w:t xml:space="preserve">losing </w:t>
      </w:r>
      <w:r>
        <w:rPr>
          <w:rFonts w:ascii="Times New Roman" w:cs="Times New Roman" w:eastAsia="Times New Roman" w:hAnsi="Times New Roman"/>
          <w:sz w:val="21"/>
          <w:szCs w:val="21"/>
          <w:b w:val="1"/>
          <w:bCs w:val="1"/>
          <w:color w:val="auto"/>
        </w:rPr>
        <w:t>D</w:t>
      </w:r>
      <w:r>
        <w:rPr>
          <w:rFonts w:ascii="Times New Roman" w:cs="Times New Roman" w:eastAsia="Times New Roman" w:hAnsi="Times New Roman"/>
          <w:sz w:val="15"/>
          <w:szCs w:val="15"/>
          <w:b w:val="1"/>
          <w:bCs w:val="1"/>
          <w:color w:val="auto"/>
        </w:rPr>
        <w:t>ate</w:t>
      </w: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473"/>
        </w:trPr>
        <w:tc>
          <w:tcPr>
            <w:tcW w:w="1140" w:type="dxa"/>
            <w:vAlign w:val="bottom"/>
            <w:tcBorders>
              <w:right w:val="single" w:sz="8" w:color="auto"/>
            </w:tcBorders>
          </w:tcPr>
          <w:p>
            <w:pPr>
              <w:spacing w:after="0"/>
              <w:rPr>
                <w:sz w:val="24"/>
                <w:szCs w:val="24"/>
                <w:color w:val="auto"/>
              </w:rPr>
            </w:pPr>
          </w:p>
        </w:tc>
        <w:tc>
          <w:tcPr>
            <w:tcW w:w="362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ame of</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ender</w:t>
            </w:r>
          </w:p>
        </w:tc>
        <w:tc>
          <w:tcPr>
            <w:tcW w:w="540" w:type="dxa"/>
            <w:vAlign w:val="bottom"/>
            <w:tcBorders>
              <w:top w:val="single" w:sz="8" w:color="auto"/>
            </w:tcBorders>
          </w:tcPr>
          <w:p>
            <w:pPr>
              <w:spacing w:after="0"/>
              <w:rPr>
                <w:sz w:val="24"/>
                <w:szCs w:val="24"/>
                <w:color w:val="auto"/>
              </w:rPr>
            </w:pPr>
          </w:p>
        </w:tc>
        <w:tc>
          <w:tcPr>
            <w:tcW w:w="2160" w:type="dxa"/>
            <w:vAlign w:val="bottom"/>
            <w:tcBorders>
              <w:top w:val="single" w:sz="8" w:color="auto"/>
              <w:right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22"/>
                <w:szCs w:val="22"/>
                <w:b w:val="1"/>
                <w:bCs w:val="1"/>
                <w:color w:val="auto"/>
              </w:rPr>
              <w:t>2029 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oan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Borders>
              <w:right w:val="single" w:sz="8" w:color="auto"/>
            </w:tcBorders>
          </w:tcPr>
          <w:p>
            <w:pPr>
              <w:spacing w:after="0"/>
              <w:rPr>
                <w:sz w:val="19"/>
                <w:szCs w:val="19"/>
                <w:color w:val="auto"/>
              </w:rPr>
            </w:pPr>
          </w:p>
        </w:tc>
        <w:tc>
          <w:tcPr>
            <w:tcW w:w="3620" w:type="dxa"/>
            <w:vAlign w:val="bottom"/>
            <w:tcBorders>
              <w:top w:val="single" w:sz="8" w:color="auto"/>
              <w:right w:val="single" w:sz="8" w:color="auto"/>
            </w:tcBorders>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Borders>
              <w:top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ommitment</w:t>
            </w:r>
          </w:p>
        </w:tc>
        <w:tc>
          <w:tcPr>
            <w:tcW w:w="66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1140" w:type="dxa"/>
            <w:vAlign w:val="bottom"/>
            <w:tcBorders>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KeyBank National Association</w:t>
            </w:r>
          </w:p>
        </w:tc>
        <w:tc>
          <w:tcPr>
            <w:tcW w:w="188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22"/>
                <w:szCs w:val="22"/>
                <w:color w:val="auto"/>
                <w:w w:val="98"/>
              </w:rPr>
              <w:t>$30,000,000</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40" w:type="dxa"/>
            <w:vAlign w:val="bottom"/>
            <w:tcBorders>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8"/>
              </w:rPr>
              <w:t>PNC Bank, National Association</w:t>
            </w:r>
          </w:p>
        </w:tc>
        <w:tc>
          <w:tcPr>
            <w:tcW w:w="188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22"/>
                <w:szCs w:val="22"/>
                <w:color w:val="auto"/>
                <w:w w:val="98"/>
              </w:rPr>
              <w:t>$25,000,000</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40" w:type="dxa"/>
            <w:vAlign w:val="bottom"/>
            <w:tcBorders>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2"/>
                <w:szCs w:val="22"/>
                <w:color w:val="auto"/>
                <w:w w:val="98"/>
              </w:rPr>
              <w:t>Regions Bank</w:t>
            </w:r>
          </w:p>
        </w:tc>
        <w:tc>
          <w:tcPr>
            <w:tcW w:w="188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22"/>
                <w:szCs w:val="22"/>
                <w:color w:val="auto"/>
                <w:w w:val="98"/>
              </w:rPr>
              <w:t>$25,000,000</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40" w:type="dxa"/>
            <w:vAlign w:val="bottom"/>
            <w:tcBorders>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8"/>
              </w:rPr>
              <w:t>Raymond James Bank</w:t>
            </w:r>
          </w:p>
        </w:tc>
        <w:tc>
          <w:tcPr>
            <w:tcW w:w="188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22"/>
                <w:szCs w:val="22"/>
                <w:color w:val="auto"/>
                <w:w w:val="98"/>
              </w:rPr>
              <w:t>$20,000,000</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40" w:type="dxa"/>
            <w:vAlign w:val="bottom"/>
            <w:tcBorders>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otal</w:t>
            </w:r>
          </w:p>
        </w:tc>
        <w:tc>
          <w:tcPr>
            <w:tcW w:w="188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22"/>
                <w:szCs w:val="22"/>
                <w:b w:val="1"/>
                <w:bCs w:val="1"/>
                <w:color w:val="auto"/>
                <w:w w:val="97"/>
              </w:rPr>
              <w:t>$100,000,000</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0"/>
        </w:trPr>
        <w:tc>
          <w:tcPr>
            <w:tcW w:w="1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209" w:name="page210"/>
    <w:bookmarkEnd w:id="20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1.1</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nitial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roperties</w:t>
      </w:r>
    </w:p>
    <w:p>
      <w:pPr>
        <w:spacing w:after="0" w:line="258" w:lineRule="exact"/>
        <w:rPr>
          <w:sz w:val="20"/>
          <w:szCs w:val="20"/>
          <w:color w:val="auto"/>
        </w:rPr>
      </w:pPr>
    </w:p>
    <w:tbl>
      <w:tblPr>
        <w:tblLayout w:type="fixed"/>
        <w:tblInd w:w="230" w:type="dxa"/>
        <w:tblCellMar>
          <w:top w:w="0" w:type="dxa"/>
          <w:left w:w="0" w:type="dxa"/>
          <w:bottom w:w="0" w:type="dxa"/>
          <w:right w:w="0" w:type="dxa"/>
        </w:tblCellMar>
      </w:tblPr>
      <w:tr>
        <w:trPr>
          <w:trHeight w:val="291"/>
        </w:trPr>
        <w:tc>
          <w:tcPr>
            <w:tcW w:w="28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roperty or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enant</w:t>
            </w:r>
            <w:r>
              <w:rPr>
                <w:rFonts w:ascii="Times New Roman" w:cs="Times New Roman" w:eastAsia="Times New Roman" w:hAnsi="Times New Roman"/>
                <w:sz w:val="22"/>
                <w:szCs w:val="22"/>
                <w:b w:val="1"/>
                <w:bCs w:val="1"/>
                <w:color w:val="auto"/>
              </w:rPr>
              <w:t xml:space="preserve"> DBA</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ity</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tate</w:t>
            </w:r>
          </w:p>
        </w:tc>
        <w:tc>
          <w:tcPr>
            <w:tcW w:w="2840" w:type="dxa"/>
            <w:vAlign w:val="bottom"/>
            <w:tcBorders>
              <w:top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quare</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eet</w:t>
            </w:r>
          </w:p>
        </w:tc>
      </w:tr>
      <w:tr>
        <w:trPr>
          <w:trHeight w:val="282"/>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Crabby’s Oceanside</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Daytona Beach, Florida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5,780</w:t>
            </w:r>
          </w:p>
        </w:tc>
      </w:tr>
      <w:tr>
        <w:trPr>
          <w:trHeight w:val="204"/>
        </w:trPr>
        <w:tc>
          <w:tcPr>
            <w:tcW w:w="2860" w:type="dxa"/>
            <w:vAlign w:val="bottom"/>
            <w:tcBorders>
              <w:left w:val="single" w:sz="8" w:color="auto"/>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LandShark Bar &amp; Grill</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Daytona Beach, Florida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6,264</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Fidelity</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Albuquerque, New Mexico</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210,067</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The Strand</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Jacksonville, Florida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204,573</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Crossroads Town Center</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Chandler, Arizona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217,312</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Village Inn</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Chandler, Arizona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4,500</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Party City</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Chandler, Arizona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12,000</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Jimmy Johns &amp; BBQ Galore</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Chandler, Arizona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8,000</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Ashford Lane</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Atlanta, Georgia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277,408</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The Shops at Legacy</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Plano, Texas</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237,572</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Beaver Creek Crossing</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Apex, North Carolina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322,113</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369 N. New York Ave</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Winter Park, Florida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27,948</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The Exchange at Gwinnett</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Buford, Georgia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93,366</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Madison Yards</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Atlanta, Georgia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162,521</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West Broad Village</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Richmond, Virginia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392,227</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The Collection at Forsyth</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Cumming, Georgia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560,434</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Stroud’s Barbeque &amp; Grill</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Daytona Beach, Florida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3,381</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Main Street Hospitality</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Daytona Beach, Florida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26,002</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Plaza at Rockwall</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Rockwall, Texas</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446,521</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bl>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1.1 - 1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0" w:name="page211"/>
    <w:bookmarkEnd w:id="210"/>
    <w:tbl>
      <w:tblPr>
        <w:tblLayout w:type="fixed"/>
        <w:tblInd w:w="230" w:type="dxa"/>
        <w:tblCellMar>
          <w:top w:w="0" w:type="dxa"/>
          <w:left w:w="0" w:type="dxa"/>
          <w:bottom w:w="0" w:type="dxa"/>
          <w:right w:w="0" w:type="dxa"/>
        </w:tblCellMar>
      </w:tblPr>
      <w:tr>
        <w:trPr>
          <w:trHeight w:val="290"/>
        </w:trPr>
        <w:tc>
          <w:tcPr>
            <w:tcW w:w="28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roperty or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enant</w:t>
            </w:r>
            <w:r>
              <w:rPr>
                <w:rFonts w:ascii="Times New Roman" w:cs="Times New Roman" w:eastAsia="Times New Roman" w:hAnsi="Times New Roman"/>
                <w:sz w:val="22"/>
                <w:szCs w:val="22"/>
                <w:b w:val="1"/>
                <w:bCs w:val="1"/>
                <w:color w:val="auto"/>
              </w:rPr>
              <w:t xml:space="preserve"> DBA</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ity</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tate</w:t>
            </w:r>
          </w:p>
        </w:tc>
        <w:tc>
          <w:tcPr>
            <w:tcW w:w="2840" w:type="dxa"/>
            <w:vAlign w:val="bottom"/>
            <w:tcBorders>
              <w:top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quare</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eet</w:t>
            </w:r>
          </w:p>
        </w:tc>
      </w:tr>
      <w:tr>
        <w:trPr>
          <w:trHeight w:val="282"/>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Marketplace at Seminole</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Sanford, Florida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318,649</w:t>
            </w:r>
          </w:p>
        </w:tc>
      </w:tr>
      <w:tr>
        <w:trPr>
          <w:trHeight w:val="204"/>
        </w:trPr>
        <w:tc>
          <w:tcPr>
            <w:tcW w:w="2860" w:type="dxa"/>
            <w:vAlign w:val="bottom"/>
            <w:tcBorders>
              <w:left w:val="single" w:sz="8" w:color="auto"/>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Carolina Pavilion*</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Charlotte, North Carolina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690,877</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Millenia Crossing*</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Orlando, Florida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100,385</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76"/>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Lake Brandon Village*</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Brandon, Florida</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102,022</w:t>
            </w:r>
          </w:p>
        </w:tc>
      </w:tr>
      <w:tr>
        <w:trPr>
          <w:trHeight w:val="217"/>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80"/>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23 Properties</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4,429,922</w:t>
            </w:r>
          </w:p>
        </w:tc>
      </w:tr>
      <w:tr>
        <w:trPr>
          <w:trHeight w:val="213"/>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Denotes 1031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1.1 - 2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6" w:right="1440"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2"/>
          <w:szCs w:val="22"/>
          <w:b w:val="1"/>
          <w:bCs w:val="1"/>
          <w:color w:val="auto"/>
        </w:rPr>
        <w:t>Schedule 6.2</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ubsidiaries</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u w:val="single" w:color="auto"/>
          <w:color w:val="auto"/>
        </w:rPr>
        <w:t>ALPINE INCOME PRPERTY MANAGER, LLC</w:t>
      </w:r>
      <w:r>
        <w:rPr>
          <w:rFonts w:ascii="Times New Roman" w:cs="Times New Roman" w:eastAsia="Times New Roman" w:hAnsi="Times New Roman"/>
          <w:sz w:val="21"/>
          <w:szCs w:val="21"/>
          <w:b w:val="1"/>
          <w:bCs w:val="1"/>
          <w:color w:val="auto"/>
        </w:rPr>
        <w:t xml:space="preserve"> (limited liability company)</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August 16, 2019</w:t>
            </w:r>
          </w:p>
        </w:tc>
      </w:tr>
      <w:tr>
        <w:trPr>
          <w:trHeight w:val="257"/>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47"/>
        </w:trPr>
        <w:tc>
          <w:tcPr>
            <w:tcW w:w="70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CTO TRS Crisp 39 LLC (limited liability company)</w:t>
            </w:r>
          </w:p>
        </w:tc>
      </w:tr>
      <w:tr>
        <w:trPr>
          <w:trHeight w:val="263"/>
        </w:trPr>
        <w:tc>
          <w:tcPr>
            <w:tcW w:w="2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October 17, 2019</w:t>
            </w:r>
          </w:p>
        </w:tc>
      </w:tr>
      <w:tr>
        <w:trPr>
          <w:trHeight w:val="243"/>
        </w:trPr>
        <w:tc>
          <w:tcPr>
            <w:tcW w:w="2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61"/>
        </w:trPr>
        <w:tc>
          <w:tcPr>
            <w:tcW w:w="70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CTO TRS CW LLC (limited liability company)</w:t>
            </w:r>
          </w:p>
        </w:tc>
      </w:tr>
      <w:tr>
        <w:trPr>
          <w:trHeight w:val="250"/>
        </w:trPr>
        <w:tc>
          <w:tcPr>
            <w:tcW w:w="188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gridSpan w:val="3"/>
          </w:tcPr>
          <w:p>
            <w:pPr>
              <w:ind w:left="200"/>
              <w:spacing w:after="0" w:line="249" w:lineRule="exact"/>
              <w:rPr>
                <w:sz w:val="20"/>
                <w:szCs w:val="20"/>
                <w:color w:val="auto"/>
              </w:rPr>
            </w:pPr>
            <w:r>
              <w:rPr>
                <w:rFonts w:ascii="Times New Roman" w:cs="Times New Roman" w:eastAsia="Times New Roman" w:hAnsi="Times New Roman"/>
                <w:sz w:val="22"/>
                <w:szCs w:val="22"/>
                <w:color w:val="auto"/>
              </w:rPr>
              <w:t>March 5, 2020</w:t>
            </w:r>
          </w:p>
        </w:tc>
      </w:tr>
      <w:tr>
        <w:trPr>
          <w:trHeight w:val="257"/>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CTO TRS CRISP39 LLC 100%</w:t>
            </w:r>
          </w:p>
        </w:tc>
      </w:tr>
      <w:tr>
        <w:trPr>
          <w:trHeight w:val="447"/>
        </w:trPr>
        <w:tc>
          <w:tcPr>
            <w:tcW w:w="70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CTO TRS MITIGATION LLC (limited liability company)</w:t>
            </w:r>
          </w:p>
        </w:tc>
      </w:tr>
      <w:tr>
        <w:trPr>
          <w:trHeight w:val="20"/>
        </w:trPr>
        <w:tc>
          <w:tcPr>
            <w:tcW w:w="2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50"/>
        </w:trPr>
        <w:tc>
          <w:tcPr>
            <w:tcW w:w="228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gridSpan w:val="3"/>
          </w:tcPr>
          <w:p>
            <w:pPr>
              <w:ind w:left="200"/>
              <w:spacing w:after="0" w:line="249" w:lineRule="exact"/>
              <w:rPr>
                <w:sz w:val="20"/>
                <w:szCs w:val="20"/>
                <w:color w:val="auto"/>
              </w:rPr>
            </w:pPr>
            <w:r>
              <w:rPr>
                <w:rFonts w:ascii="Times New Roman" w:cs="Times New Roman" w:eastAsia="Times New Roman" w:hAnsi="Times New Roman"/>
                <w:sz w:val="22"/>
                <w:szCs w:val="22"/>
                <w:color w:val="auto"/>
              </w:rPr>
              <w:t>March 5, 2020</w:t>
            </w:r>
          </w:p>
        </w:tc>
      </w:tr>
      <w:tr>
        <w:trPr>
          <w:trHeight w:val="257"/>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CTO TRS CRISP39 LLC 100%</w:t>
            </w:r>
          </w:p>
        </w:tc>
      </w:tr>
      <w:tr>
        <w:trPr>
          <w:trHeight w:val="447"/>
        </w:trPr>
        <w:tc>
          <w:tcPr>
            <w:tcW w:w="70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CTO16 ATLANTIC LLC (limited liability company)</w:t>
            </w:r>
          </w:p>
        </w:tc>
      </w:tr>
      <w:tr>
        <w:trPr>
          <w:trHeight w:val="250"/>
        </w:trPr>
        <w:tc>
          <w:tcPr>
            <w:tcW w:w="228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gridSpan w:val="3"/>
          </w:tcPr>
          <w:p>
            <w:pPr>
              <w:ind w:left="200"/>
              <w:spacing w:after="0" w:line="249" w:lineRule="exact"/>
              <w:rPr>
                <w:sz w:val="20"/>
                <w:szCs w:val="20"/>
                <w:color w:val="auto"/>
              </w:rPr>
            </w:pPr>
            <w:r>
              <w:rPr>
                <w:rFonts w:ascii="Times New Roman" w:cs="Times New Roman" w:eastAsia="Times New Roman" w:hAnsi="Times New Roman"/>
                <w:sz w:val="22"/>
                <w:szCs w:val="22"/>
                <w:color w:val="auto"/>
              </w:rPr>
              <w:t>November 9, 2016</w:t>
            </w:r>
          </w:p>
        </w:tc>
      </w:tr>
      <w:tr>
        <w:trPr>
          <w:trHeight w:val="25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w w:val="97"/>
              </w:rPr>
              <w:t>CTO Realty Growth, Inc. 100% Managing Member</w:t>
            </w:r>
          </w:p>
        </w:tc>
      </w:tr>
      <w:tr>
        <w:trPr>
          <w:trHeight w:val="447"/>
        </w:trPr>
        <w:tc>
          <w:tcPr>
            <w:tcW w:w="70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CTO16 PETERSON LLC (limited liability company)</w:t>
            </w:r>
          </w:p>
        </w:tc>
      </w:tr>
      <w:tr>
        <w:trPr>
          <w:trHeight w:val="263"/>
        </w:trPr>
        <w:tc>
          <w:tcPr>
            <w:tcW w:w="2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October 11, 2016</w:t>
            </w:r>
          </w:p>
        </w:tc>
      </w:tr>
      <w:tr>
        <w:trPr>
          <w:trHeight w:val="243"/>
        </w:trPr>
        <w:tc>
          <w:tcPr>
            <w:tcW w:w="2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61"/>
        </w:trPr>
        <w:tc>
          <w:tcPr>
            <w:tcW w:w="70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CTO17 WESTCLIFF TX LLC (limited liability company)</w:t>
            </w:r>
          </w:p>
        </w:tc>
      </w:tr>
      <w:tr>
        <w:trPr>
          <w:trHeight w:val="20"/>
        </w:trPr>
        <w:tc>
          <w:tcPr>
            <w:tcW w:w="2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50"/>
        </w:trPr>
        <w:tc>
          <w:tcPr>
            <w:tcW w:w="228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gridSpan w:val="3"/>
          </w:tcPr>
          <w:p>
            <w:pPr>
              <w:ind w:left="200"/>
              <w:spacing w:after="0" w:line="249" w:lineRule="exact"/>
              <w:rPr>
                <w:sz w:val="20"/>
                <w:szCs w:val="20"/>
                <w:color w:val="auto"/>
              </w:rPr>
            </w:pPr>
            <w:r>
              <w:rPr>
                <w:rFonts w:ascii="Times New Roman" w:cs="Times New Roman" w:eastAsia="Times New Roman" w:hAnsi="Times New Roman"/>
                <w:sz w:val="22"/>
                <w:szCs w:val="22"/>
                <w:color w:val="auto"/>
              </w:rPr>
              <w:t>January 10, 2017</w:t>
            </w:r>
          </w:p>
        </w:tc>
      </w:tr>
      <w:tr>
        <w:trPr>
          <w:trHeight w:val="257"/>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w w:val="97"/>
              </w:rPr>
              <w:t>CTO Realty Growth, Inc. 100% Managing Member</w:t>
            </w:r>
          </w:p>
        </w:tc>
      </w:tr>
      <w:tr>
        <w:trPr>
          <w:trHeight w:val="447"/>
        </w:trPr>
        <w:tc>
          <w:tcPr>
            <w:tcW w:w="70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CTO18 ALBUQUERQUE NM LLC (limited liability company)</w:t>
            </w:r>
          </w:p>
        </w:tc>
      </w:tr>
      <w:tr>
        <w:trPr>
          <w:trHeight w:val="20"/>
        </w:trPr>
        <w:tc>
          <w:tcPr>
            <w:tcW w:w="2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50"/>
        </w:trPr>
        <w:tc>
          <w:tcPr>
            <w:tcW w:w="228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gridSpan w:val="3"/>
          </w:tcPr>
          <w:p>
            <w:pPr>
              <w:ind w:left="200"/>
              <w:spacing w:after="0" w:line="249" w:lineRule="exact"/>
              <w:rPr>
                <w:sz w:val="20"/>
                <w:szCs w:val="20"/>
                <w:color w:val="auto"/>
              </w:rPr>
            </w:pPr>
            <w:r>
              <w:rPr>
                <w:rFonts w:ascii="Times New Roman" w:cs="Times New Roman" w:eastAsia="Times New Roman" w:hAnsi="Times New Roman"/>
                <w:sz w:val="22"/>
                <w:szCs w:val="22"/>
                <w:color w:val="auto"/>
              </w:rPr>
              <w:t>August 8, 2018</w:t>
            </w:r>
          </w:p>
        </w:tc>
      </w:tr>
      <w:tr>
        <w:trPr>
          <w:trHeight w:val="25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CTO Realty Growth, Inc. 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6.2 - 1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603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5460365"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2" w:name="page213"/>
    <w:bookmarkEnd w:id="212"/>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CTO18 JACKSONVILLE FL LLC</w:t>
      </w:r>
      <w:r>
        <w:rPr>
          <w:rFonts w:ascii="Times New Roman" w:cs="Times New Roman" w:eastAsia="Times New Roman" w:hAnsi="Times New Roman"/>
          <w:sz w:val="22"/>
          <w:szCs w:val="22"/>
          <w:b w:val="1"/>
          <w:bCs w:val="1"/>
          <w:color w:val="auto"/>
        </w:rPr>
        <w:t xml:space="preserve"> (limited liability company)</w:t>
      </w:r>
    </w:p>
    <w:p>
      <w:pPr>
        <w:spacing w:after="0" w:line="18" w:lineRule="exact"/>
        <w:rPr>
          <w:sz w:val="20"/>
          <w:szCs w:val="20"/>
          <w:color w:val="auto"/>
        </w:rPr>
      </w:pPr>
    </w:p>
    <w:p>
      <w:pPr>
        <w:ind w:left="200"/>
        <w:spacing w:after="0"/>
        <w:tabs>
          <w:tab w:leader="none" w:pos="2780" w:val="left"/>
        </w:tabs>
        <w:rPr>
          <w:sz w:val="20"/>
          <w:szCs w:val="20"/>
          <w:color w:val="auto"/>
        </w:rPr>
      </w:pPr>
      <w:r>
        <w:rPr>
          <w:rFonts w:ascii="Times New Roman" w:cs="Times New Roman" w:eastAsia="Times New Roman" w:hAnsi="Times New Roman"/>
          <w:sz w:val="22"/>
          <w:szCs w:val="22"/>
          <w:color w:val="auto"/>
        </w:rPr>
        <w:t>Date of Formation:</w:t>
      </w:r>
      <w:r>
        <w:rPr>
          <w:sz w:val="20"/>
          <w:szCs w:val="20"/>
          <w:color w:val="auto"/>
        </w:rPr>
        <w:tab/>
      </w:r>
      <w:r>
        <w:rPr>
          <w:rFonts w:ascii="Times New Roman" w:cs="Times New Roman" w:eastAsia="Times New Roman" w:hAnsi="Times New Roman"/>
          <w:sz w:val="21"/>
          <w:szCs w:val="21"/>
          <w:color w:val="auto"/>
        </w:rPr>
        <w:t>September 13, 2018</w:t>
      </w:r>
    </w:p>
    <w:p>
      <w:pPr>
        <w:spacing w:after="0" w:line="4" w:lineRule="exact"/>
        <w:rPr>
          <w:sz w:val="20"/>
          <w:szCs w:val="20"/>
          <w:color w:val="auto"/>
        </w:rPr>
      </w:pPr>
    </w:p>
    <w:p>
      <w:pPr>
        <w:ind w:left="200"/>
        <w:spacing w:after="0"/>
        <w:tabs>
          <w:tab w:leader="none" w:pos="2780" w:val="left"/>
        </w:tabs>
        <w:rPr>
          <w:sz w:val="20"/>
          <w:szCs w:val="20"/>
          <w:color w:val="auto"/>
        </w:rPr>
      </w:pPr>
      <w:r>
        <w:rPr>
          <w:rFonts w:ascii="Times New Roman" w:cs="Times New Roman" w:eastAsia="Times New Roman" w:hAnsi="Times New Roman"/>
          <w:sz w:val="22"/>
          <w:szCs w:val="22"/>
          <w:color w:val="auto"/>
        </w:rPr>
        <w:t>State of Formation:</w:t>
      </w:r>
      <w:r>
        <w:rPr>
          <w:sz w:val="20"/>
          <w:szCs w:val="20"/>
          <w:color w:val="auto"/>
        </w:rPr>
        <w:tab/>
      </w:r>
      <w:r>
        <w:rPr>
          <w:rFonts w:ascii="Times New Roman" w:cs="Times New Roman" w:eastAsia="Times New Roman" w:hAnsi="Times New Roman"/>
          <w:sz w:val="21"/>
          <w:szCs w:val="21"/>
          <w:color w:val="auto"/>
        </w:rPr>
        <w:t>Delaware</w:t>
      </w:r>
    </w:p>
    <w:p>
      <w:pPr>
        <w:spacing w:after="0" w:line="4" w:lineRule="exact"/>
        <w:rPr>
          <w:sz w:val="20"/>
          <w:szCs w:val="20"/>
          <w:color w:val="auto"/>
        </w:rPr>
      </w:pPr>
    </w:p>
    <w:p>
      <w:pPr>
        <w:ind w:left="200"/>
        <w:spacing w:after="0"/>
        <w:tabs>
          <w:tab w:leader="none" w:pos="2780" w:val="left"/>
        </w:tabs>
        <w:rPr>
          <w:sz w:val="20"/>
          <w:szCs w:val="20"/>
          <w:color w:val="auto"/>
        </w:rPr>
      </w:pPr>
      <w:r>
        <w:rPr>
          <w:rFonts w:ascii="Times New Roman" w:cs="Times New Roman" w:eastAsia="Times New Roman" w:hAnsi="Times New Roman"/>
          <w:sz w:val="22"/>
          <w:szCs w:val="22"/>
          <w:color w:val="auto"/>
        </w:rPr>
        <w:t>Member:</w:t>
      </w:r>
      <w:r>
        <w:rPr>
          <w:sz w:val="20"/>
          <w:szCs w:val="20"/>
          <w:color w:val="auto"/>
        </w:rPr>
        <w:tab/>
      </w:r>
      <w:r>
        <w:rPr>
          <w:rFonts w:ascii="Times New Roman" w:cs="Times New Roman" w:eastAsia="Times New Roman" w:hAnsi="Times New Roman"/>
          <w:sz w:val="22"/>
          <w:szCs w:val="22"/>
          <w:color w:val="auto"/>
        </w:rPr>
        <w:t>CTO Realty Growth, Inc. 100%</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CTO19 OCEANSIDE NY LLC</w:t>
      </w:r>
      <w:r>
        <w:rPr>
          <w:rFonts w:ascii="Times New Roman" w:cs="Times New Roman" w:eastAsia="Times New Roman" w:hAnsi="Times New Roman"/>
          <w:sz w:val="22"/>
          <w:szCs w:val="22"/>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51"/>
        </w:trPr>
        <w:tc>
          <w:tcPr>
            <w:tcW w:w="246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Date of Formation:</w:t>
            </w:r>
          </w:p>
        </w:tc>
        <w:tc>
          <w:tcPr>
            <w:tcW w:w="2900" w:type="dxa"/>
            <w:vAlign w:val="bottom"/>
          </w:tcPr>
          <w:p>
            <w:pPr>
              <w:ind w:left="140"/>
              <w:spacing w:after="0" w:line="250" w:lineRule="exact"/>
              <w:rPr>
                <w:sz w:val="20"/>
                <w:szCs w:val="20"/>
                <w:color w:val="auto"/>
              </w:rPr>
            </w:pPr>
            <w:r>
              <w:rPr>
                <w:rFonts w:ascii="Times New Roman" w:cs="Times New Roman" w:eastAsia="Times New Roman" w:hAnsi="Times New Roman"/>
                <w:sz w:val="22"/>
                <w:szCs w:val="22"/>
                <w:color w:val="auto"/>
              </w:rPr>
              <w:t>August 20, 2019</w:t>
            </w:r>
          </w:p>
        </w:tc>
      </w:tr>
      <w:tr>
        <w:trPr>
          <w:trHeight w:val="257"/>
        </w:trPr>
        <w:tc>
          <w:tcPr>
            <w:tcW w:w="2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2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29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CTO Realty Growth, Inc. 100%</w:t>
            </w:r>
          </w:p>
        </w:tc>
      </w:tr>
      <w:tr>
        <w:trPr>
          <w:trHeight w:val="447"/>
        </w:trPr>
        <w:tc>
          <w:tcPr>
            <w:tcW w:w="53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CTO19 RESTON VA LLC (limited liability company)</w:t>
            </w:r>
          </w:p>
        </w:tc>
      </w:tr>
      <w:tr>
        <w:trPr>
          <w:trHeight w:val="250"/>
        </w:trPr>
        <w:tc>
          <w:tcPr>
            <w:tcW w:w="246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2900" w:type="dxa"/>
            <w:vAlign w:val="bottom"/>
          </w:tcPr>
          <w:p>
            <w:pPr>
              <w:ind w:left="140"/>
              <w:spacing w:after="0" w:line="249" w:lineRule="exact"/>
              <w:rPr>
                <w:sz w:val="20"/>
                <w:szCs w:val="20"/>
                <w:color w:val="auto"/>
              </w:rPr>
            </w:pPr>
            <w:r>
              <w:rPr>
                <w:rFonts w:ascii="Times New Roman" w:cs="Times New Roman" w:eastAsia="Times New Roman" w:hAnsi="Times New Roman"/>
                <w:sz w:val="22"/>
                <w:szCs w:val="22"/>
                <w:color w:val="auto"/>
              </w:rPr>
              <w:t>June 28, 2019</w:t>
            </w:r>
          </w:p>
        </w:tc>
      </w:tr>
      <w:tr>
        <w:trPr>
          <w:trHeight w:val="257"/>
        </w:trPr>
        <w:tc>
          <w:tcPr>
            <w:tcW w:w="2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2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29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CTO Realty Growth, Inc. 100%</w:t>
            </w:r>
          </w:p>
        </w:tc>
      </w:tr>
      <w:tr>
        <w:trPr>
          <w:trHeight w:val="447"/>
        </w:trPr>
        <w:tc>
          <w:tcPr>
            <w:tcW w:w="53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CTO19 Strand JAX LLC (limited liability company)</w:t>
            </w:r>
          </w:p>
        </w:tc>
      </w:tr>
      <w:tr>
        <w:trPr>
          <w:trHeight w:val="263"/>
        </w:trPr>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100" w:type="dxa"/>
            <w:vAlign w:val="bottom"/>
          </w:tcPr>
          <w:p>
            <w:pPr>
              <w:spacing w:after="0"/>
              <w:rPr>
                <w:sz w:val="22"/>
                <w:szCs w:val="22"/>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December 2, 2019</w:t>
            </w:r>
          </w:p>
        </w:tc>
      </w:tr>
      <w:tr>
        <w:trPr>
          <w:trHeight w:val="243"/>
        </w:trPr>
        <w:tc>
          <w:tcPr>
            <w:tcW w:w="2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29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29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CTO Realty Growth, Inc. 100%</w:t>
            </w:r>
          </w:p>
        </w:tc>
      </w:tr>
    </w:tbl>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CTO20 CROSSROADS AZ LLC</w:t>
      </w:r>
      <w:r>
        <w:rPr>
          <w:rFonts w:ascii="Times New Roman" w:cs="Times New Roman" w:eastAsia="Times New Roman" w:hAnsi="Times New Roman"/>
          <w:sz w:val="22"/>
          <w:szCs w:val="22"/>
          <w:b w:val="1"/>
          <w:bCs w:val="1"/>
          <w:color w:val="auto"/>
        </w:rPr>
        <w:t xml:space="preserve"> (limited liability company)</w:t>
      </w:r>
    </w:p>
    <w:p>
      <w:pPr>
        <w:spacing w:after="0" w:line="18" w:lineRule="exact"/>
        <w:rPr>
          <w:sz w:val="20"/>
          <w:szCs w:val="20"/>
          <w:color w:val="auto"/>
        </w:rPr>
      </w:pPr>
    </w:p>
    <w:p>
      <w:pPr>
        <w:ind w:left="200"/>
        <w:spacing w:after="0"/>
        <w:tabs>
          <w:tab w:leader="none" w:pos="2780" w:val="left"/>
        </w:tabs>
        <w:rPr>
          <w:sz w:val="20"/>
          <w:szCs w:val="20"/>
          <w:color w:val="auto"/>
        </w:rPr>
      </w:pPr>
      <w:r>
        <w:rPr>
          <w:rFonts w:ascii="Times New Roman" w:cs="Times New Roman" w:eastAsia="Times New Roman" w:hAnsi="Times New Roman"/>
          <w:sz w:val="22"/>
          <w:szCs w:val="22"/>
          <w:color w:val="auto"/>
        </w:rPr>
        <w:t>Date of Formation:</w:t>
      </w:r>
      <w:r>
        <w:rPr>
          <w:sz w:val="20"/>
          <w:szCs w:val="20"/>
          <w:color w:val="auto"/>
        </w:rPr>
        <w:tab/>
      </w:r>
      <w:r>
        <w:rPr>
          <w:rFonts w:ascii="Times New Roman" w:cs="Times New Roman" w:eastAsia="Times New Roman" w:hAnsi="Times New Roman"/>
          <w:sz w:val="21"/>
          <w:szCs w:val="21"/>
          <w:color w:val="auto"/>
        </w:rPr>
        <w:t>December 16, 2019</w:t>
      </w:r>
    </w:p>
    <w:p>
      <w:pPr>
        <w:spacing w:after="0" w:line="4" w:lineRule="exact"/>
        <w:rPr>
          <w:sz w:val="20"/>
          <w:szCs w:val="20"/>
          <w:color w:val="auto"/>
        </w:rPr>
      </w:pPr>
    </w:p>
    <w:p>
      <w:pPr>
        <w:ind w:left="200"/>
        <w:spacing w:after="0"/>
        <w:tabs>
          <w:tab w:leader="none" w:pos="2780" w:val="left"/>
        </w:tabs>
        <w:rPr>
          <w:sz w:val="20"/>
          <w:szCs w:val="20"/>
          <w:color w:val="auto"/>
        </w:rPr>
      </w:pPr>
      <w:r>
        <w:rPr>
          <w:rFonts w:ascii="Times New Roman" w:cs="Times New Roman" w:eastAsia="Times New Roman" w:hAnsi="Times New Roman"/>
          <w:sz w:val="22"/>
          <w:szCs w:val="22"/>
          <w:color w:val="auto"/>
        </w:rPr>
        <w:t>State of Formation:</w:t>
      </w:r>
      <w:r>
        <w:rPr>
          <w:sz w:val="20"/>
          <w:szCs w:val="20"/>
          <w:color w:val="auto"/>
        </w:rPr>
        <w:tab/>
      </w:r>
      <w:r>
        <w:rPr>
          <w:rFonts w:ascii="Times New Roman" w:cs="Times New Roman" w:eastAsia="Times New Roman" w:hAnsi="Times New Roman"/>
          <w:sz w:val="21"/>
          <w:szCs w:val="21"/>
          <w:color w:val="auto"/>
        </w:rPr>
        <w:t>Delaware</w:t>
      </w:r>
    </w:p>
    <w:p>
      <w:pPr>
        <w:spacing w:after="0" w:line="4" w:lineRule="exact"/>
        <w:rPr>
          <w:sz w:val="20"/>
          <w:szCs w:val="20"/>
          <w:color w:val="auto"/>
        </w:rPr>
      </w:pPr>
    </w:p>
    <w:p>
      <w:pPr>
        <w:ind w:left="200"/>
        <w:spacing w:after="0"/>
        <w:tabs>
          <w:tab w:leader="none" w:pos="2780" w:val="left"/>
        </w:tabs>
        <w:rPr>
          <w:sz w:val="20"/>
          <w:szCs w:val="20"/>
          <w:color w:val="auto"/>
        </w:rPr>
      </w:pPr>
      <w:r>
        <w:rPr>
          <w:rFonts w:ascii="Times New Roman" w:cs="Times New Roman" w:eastAsia="Times New Roman" w:hAnsi="Times New Roman"/>
          <w:sz w:val="22"/>
          <w:szCs w:val="22"/>
          <w:color w:val="auto"/>
        </w:rPr>
        <w:t>Member:</w:t>
      </w:r>
      <w:r>
        <w:rPr>
          <w:sz w:val="20"/>
          <w:szCs w:val="20"/>
          <w:color w:val="auto"/>
        </w:rPr>
        <w:tab/>
      </w:r>
      <w:r>
        <w:rPr>
          <w:rFonts w:ascii="Times New Roman" w:cs="Times New Roman" w:eastAsia="Times New Roman" w:hAnsi="Times New Roman"/>
          <w:sz w:val="22"/>
          <w:szCs w:val="22"/>
          <w:color w:val="auto"/>
        </w:rPr>
        <w:t>CTO Realty Growth, Inc. 100%</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CTO21 APEX LLC</w:t>
      </w:r>
      <w:r>
        <w:rPr>
          <w:rFonts w:ascii="Times New Roman" w:cs="Times New Roman" w:eastAsia="Times New Roman" w:hAnsi="Times New Roman"/>
          <w:sz w:val="22"/>
          <w:szCs w:val="22"/>
          <w:b w:val="1"/>
          <w:bCs w:val="1"/>
          <w:color w:val="auto"/>
        </w:rPr>
        <w:t xml:space="preserve"> (limited liability company)</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color w:val="auto"/>
        </w:rPr>
        <w:t>(Name changed from CTO20 FALLS CENTRE LLC, effective November 17, 2021)</w:t>
      </w:r>
    </w:p>
    <w:tbl>
      <w:tblPr>
        <w:tblLayout w:type="fixed"/>
        <w:tblInd w:w="200" w:type="dxa"/>
        <w:tblCellMar>
          <w:top w:w="0" w:type="dxa"/>
          <w:left w:w="0" w:type="dxa"/>
          <w:bottom w:w="0" w:type="dxa"/>
          <w:right w:w="0" w:type="dxa"/>
        </w:tblCellMar>
      </w:tblPr>
      <w:tr>
        <w:trPr>
          <w:trHeight w:val="234"/>
        </w:trPr>
        <w:tc>
          <w:tcPr>
            <w:tcW w:w="2260" w:type="dxa"/>
            <w:vAlign w:val="bottom"/>
          </w:tcPr>
          <w:p>
            <w:pPr>
              <w:spacing w:after="0" w:line="235" w:lineRule="exact"/>
              <w:rPr>
                <w:sz w:val="20"/>
                <w:szCs w:val="20"/>
                <w:color w:val="auto"/>
              </w:rPr>
            </w:pPr>
            <w:r>
              <w:rPr>
                <w:rFonts w:ascii="Times New Roman" w:cs="Times New Roman" w:eastAsia="Times New Roman" w:hAnsi="Times New Roman"/>
                <w:sz w:val="22"/>
                <w:szCs w:val="22"/>
                <w:color w:val="auto"/>
              </w:rPr>
              <w:t>Date of Formation:</w:t>
            </w:r>
          </w:p>
        </w:tc>
        <w:tc>
          <w:tcPr>
            <w:tcW w:w="3100" w:type="dxa"/>
            <w:vAlign w:val="bottom"/>
          </w:tcPr>
          <w:p>
            <w:pPr>
              <w:ind w:left="340"/>
              <w:spacing w:after="0" w:line="235" w:lineRule="exact"/>
              <w:rPr>
                <w:sz w:val="20"/>
                <w:szCs w:val="20"/>
                <w:color w:val="auto"/>
              </w:rPr>
            </w:pPr>
            <w:r>
              <w:rPr>
                <w:rFonts w:ascii="Times New Roman" w:cs="Times New Roman" w:eastAsia="Times New Roman" w:hAnsi="Times New Roman"/>
                <w:sz w:val="22"/>
                <w:szCs w:val="22"/>
                <w:color w:val="auto"/>
              </w:rPr>
              <w:t>January 16, 2020</w:t>
            </w:r>
          </w:p>
        </w:tc>
      </w:t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3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31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CTO Realty Growth, Inc. 100%</w:t>
            </w:r>
          </w:p>
        </w:tc>
      </w:tr>
      <w:tr>
        <w:trPr>
          <w:trHeight w:val="447"/>
        </w:trPr>
        <w:tc>
          <w:tcPr>
            <w:tcW w:w="53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CTO20 HIALEAH LLC (limited liability company)</w:t>
            </w:r>
          </w:p>
        </w:tc>
      </w:tr>
      <w:tr>
        <w:trPr>
          <w:trHeight w:val="250"/>
        </w:trPr>
        <w:tc>
          <w:tcPr>
            <w:tcW w:w="226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3100" w:type="dxa"/>
            <w:vAlign w:val="bottom"/>
          </w:tcPr>
          <w:p>
            <w:pPr>
              <w:ind w:left="340"/>
              <w:spacing w:after="0" w:line="249" w:lineRule="exact"/>
              <w:rPr>
                <w:sz w:val="20"/>
                <w:szCs w:val="20"/>
                <w:color w:val="auto"/>
              </w:rPr>
            </w:pPr>
            <w:r>
              <w:rPr>
                <w:rFonts w:ascii="Times New Roman" w:cs="Times New Roman" w:eastAsia="Times New Roman" w:hAnsi="Times New Roman"/>
                <w:sz w:val="22"/>
                <w:szCs w:val="22"/>
                <w:color w:val="auto"/>
              </w:rPr>
              <w:t>September 11, 2020</w:t>
            </w:r>
          </w:p>
        </w:tc>
      </w:t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3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31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CTO Realty Growth, Inc. 100%</w:t>
            </w:r>
          </w:p>
        </w:tc>
      </w:tr>
    </w:tbl>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CTO20 PERIMETER II LLC</w:t>
      </w:r>
      <w:r>
        <w:rPr>
          <w:rFonts w:ascii="Times New Roman" w:cs="Times New Roman" w:eastAsia="Times New Roman" w:hAnsi="Times New Roman"/>
          <w:sz w:val="22"/>
          <w:szCs w:val="22"/>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51"/>
        </w:trPr>
        <w:tc>
          <w:tcPr>
            <w:tcW w:w="25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Date of Formation:</w:t>
            </w:r>
          </w:p>
        </w:tc>
        <w:tc>
          <w:tcPr>
            <w:tcW w:w="2960" w:type="dxa"/>
            <w:vAlign w:val="bottom"/>
          </w:tcPr>
          <w:p>
            <w:pPr>
              <w:ind w:left="60"/>
              <w:spacing w:after="0" w:line="250" w:lineRule="exact"/>
              <w:rPr>
                <w:sz w:val="20"/>
                <w:szCs w:val="20"/>
                <w:color w:val="auto"/>
              </w:rPr>
            </w:pPr>
            <w:r>
              <w:rPr>
                <w:rFonts w:ascii="Times New Roman" w:cs="Times New Roman" w:eastAsia="Times New Roman" w:hAnsi="Times New Roman"/>
                <w:sz w:val="22"/>
                <w:szCs w:val="22"/>
                <w:color w:val="auto"/>
              </w:rPr>
              <w:t>February 18, 2020</w:t>
            </w:r>
          </w:p>
        </w:tc>
      </w:tr>
      <w:tr>
        <w:trPr>
          <w:trHeight w:val="25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29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29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CTO Realty Growth, Inc. (100%)</w:t>
            </w:r>
          </w:p>
        </w:tc>
      </w:tr>
      <w:tr>
        <w:trPr>
          <w:trHeight w:val="447"/>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CTO20 PERIMETER LLC (limited liability company)</w:t>
            </w:r>
          </w:p>
        </w:tc>
      </w:tr>
      <w:tr>
        <w:trPr>
          <w:trHeight w:val="263"/>
        </w:trPr>
        <w:tc>
          <w:tcPr>
            <w:tcW w:w="2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29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February 18, 2020</w:t>
            </w:r>
          </w:p>
        </w:tc>
      </w:tr>
      <w:tr>
        <w:trPr>
          <w:trHeight w:val="243"/>
        </w:trPr>
        <w:tc>
          <w:tcPr>
            <w:tcW w:w="2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29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29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CTO Realty Growth, Inc. 100%</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6.2 - 2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6036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13" w:name="page214"/>
    <w:bookmarkEnd w:id="213"/>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CTO24 HYUPOLUXO LLC</w:t>
      </w:r>
      <w:r>
        <w:rPr>
          <w:rFonts w:ascii="Times New Roman" w:cs="Times New Roman" w:eastAsia="Times New Roman" w:hAnsi="Times New Roman"/>
          <w:sz w:val="22"/>
          <w:szCs w:val="22"/>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51"/>
        </w:trPr>
        <w:tc>
          <w:tcPr>
            <w:tcW w:w="200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40" w:type="dxa"/>
            <w:vAlign w:val="bottom"/>
            <w:gridSpan w:val="4"/>
          </w:tcPr>
          <w:p>
            <w:pPr>
              <w:ind w:left="240"/>
              <w:spacing w:after="0" w:line="250" w:lineRule="exact"/>
              <w:rPr>
                <w:sz w:val="20"/>
                <w:szCs w:val="20"/>
                <w:color w:val="auto"/>
              </w:rPr>
            </w:pPr>
            <w:r>
              <w:rPr>
                <w:rFonts w:ascii="Times New Roman" w:cs="Times New Roman" w:eastAsia="Times New Roman" w:hAnsi="Times New Roman"/>
                <w:sz w:val="22"/>
                <w:szCs w:val="22"/>
                <w:color w:val="auto"/>
              </w:rPr>
              <w:t>January 16, 2020</w:t>
            </w:r>
          </w:p>
        </w:tc>
      </w:tr>
      <w:tr>
        <w:trPr>
          <w:trHeight w:val="25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CTO20 TAMPA LLC (limited liability company)</w:t>
            </w:r>
          </w:p>
        </w:tc>
      </w:tr>
      <w:tr>
        <w:trPr>
          <w:trHeight w:val="250"/>
        </w:trPr>
        <w:tc>
          <w:tcPr>
            <w:tcW w:w="200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22"/>
                <w:szCs w:val="22"/>
                <w:color w:val="auto"/>
              </w:rPr>
              <w:t>August 14, 2020</w:t>
            </w:r>
          </w:p>
        </w:tc>
      </w:tr>
      <w:tr>
        <w:trPr>
          <w:trHeight w:val="25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CTO21 ACQUISITIONS LLC (limited liability company)</w:t>
            </w:r>
          </w:p>
        </w:tc>
      </w:tr>
      <w:tr>
        <w:trPr>
          <w:trHeight w:val="20"/>
        </w:trPr>
        <w:tc>
          <w:tcPr>
            <w:tcW w:w="1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50"/>
        </w:trPr>
        <w:tc>
          <w:tcPr>
            <w:tcW w:w="200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22"/>
                <w:szCs w:val="22"/>
                <w:color w:val="auto"/>
              </w:rPr>
              <w:t>March 3, 2021</w:t>
            </w:r>
          </w:p>
        </w:tc>
      </w:tr>
      <w:tr>
        <w:trPr>
          <w:trHeight w:val="25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CTO21 ACQUISITIONS II LLC (limited liability company)</w:t>
            </w:r>
          </w:p>
        </w:tc>
      </w:tr>
      <w:tr>
        <w:trPr>
          <w:trHeight w:val="20"/>
        </w:trPr>
        <w:tc>
          <w:tcPr>
            <w:tcW w:w="1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63"/>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May 28, 2021</w:t>
            </w:r>
          </w:p>
        </w:tc>
      </w:tr>
      <w:tr>
        <w:trPr>
          <w:trHeight w:val="243"/>
        </w:trPr>
        <w:tc>
          <w:tcPr>
            <w:tcW w:w="20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40" w:type="dxa"/>
            <w:vAlign w:val="bottom"/>
            <w:gridSpan w:val="4"/>
          </w:tcPr>
          <w:p>
            <w:pPr>
              <w:ind w:left="24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60"/>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DAYTONA JV LLC (limited liability company)</w:t>
            </w:r>
          </w:p>
        </w:tc>
      </w:tr>
      <w:tr>
        <w:trPr>
          <w:trHeight w:val="250"/>
        </w:trPr>
        <w:tc>
          <w:tcPr>
            <w:tcW w:w="190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22"/>
                <w:szCs w:val="22"/>
                <w:color w:val="auto"/>
              </w:rPr>
              <w:t>August 5, 2015</w:t>
            </w:r>
          </w:p>
        </w:tc>
      </w:tr>
      <w:tr>
        <w:trPr>
          <w:trHeight w:val="25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Florida</w:t>
            </w:r>
          </w:p>
        </w:tc>
      </w:tr>
      <w:tr>
        <w:trPr>
          <w:trHeight w:val="243"/>
        </w:trPr>
        <w:tc>
          <w:tcPr>
            <w:tcW w:w="20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Members: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40" w:type="dxa"/>
            <w:vAlign w:val="bottom"/>
            <w:gridSpan w:val="4"/>
          </w:tcPr>
          <w:p>
            <w:pPr>
              <w:ind w:left="240"/>
              <w:spacing w:after="0" w:line="243" w:lineRule="exact"/>
              <w:rPr>
                <w:sz w:val="20"/>
                <w:szCs w:val="20"/>
                <w:color w:val="auto"/>
              </w:rPr>
            </w:pPr>
            <w:r>
              <w:rPr>
                <w:rFonts w:ascii="Times New Roman" w:cs="Times New Roman" w:eastAsia="Times New Roman" w:hAnsi="Times New Roman"/>
                <w:sz w:val="22"/>
                <w:szCs w:val="22"/>
                <w:color w:val="auto"/>
                <w:w w:val="99"/>
              </w:rPr>
              <w:t>LHC15 Atlantic DB JV LLC (50%, managing member) and CTO16</w:t>
            </w:r>
          </w:p>
        </w:tc>
      </w:tr>
      <w:tr>
        <w:trPr>
          <w:trHeight w:val="282"/>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Atlantic LLC (50% managing member)</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DB BEACH LAND LLC (limited liability company)</w:t>
            </w:r>
          </w:p>
        </w:tc>
      </w:tr>
      <w:tr>
        <w:trPr>
          <w:trHeight w:val="263"/>
        </w:trPr>
        <w:tc>
          <w:tcPr>
            <w:tcW w:w="2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July 14, 2017</w:t>
            </w:r>
          </w:p>
        </w:tc>
      </w:tr>
      <w:tr>
        <w:trPr>
          <w:trHeight w:val="243"/>
        </w:trPr>
        <w:tc>
          <w:tcPr>
            <w:tcW w:w="20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40" w:type="dxa"/>
            <w:vAlign w:val="bottom"/>
            <w:gridSpan w:val="4"/>
          </w:tcPr>
          <w:p>
            <w:pPr>
              <w:ind w:left="24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CTO Realty Growth, Inc., 100% Managing Member</w:t>
            </w:r>
          </w:p>
        </w:tc>
      </w:tr>
      <w:tr>
        <w:trPr>
          <w:trHeight w:val="460"/>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DB MAIN STREET LLC (limited liability company)</w:t>
            </w:r>
          </w:p>
        </w:tc>
      </w:tr>
      <w:tr>
        <w:trPr>
          <w:trHeight w:val="250"/>
        </w:trPr>
        <w:tc>
          <w:tcPr>
            <w:tcW w:w="200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2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22"/>
                <w:szCs w:val="22"/>
                <w:color w:val="auto"/>
              </w:rPr>
              <w:t>March 13, 2019</w:t>
            </w:r>
          </w:p>
        </w:tc>
      </w:tr>
      <w:tr>
        <w:trPr>
          <w:trHeight w:val="25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DB MAINLAND LLC (limited liability company)</w:t>
            </w:r>
          </w:p>
        </w:tc>
      </w:tr>
      <w:tr>
        <w:trPr>
          <w:trHeight w:val="250"/>
        </w:trPr>
        <w:tc>
          <w:tcPr>
            <w:tcW w:w="200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22"/>
                <w:szCs w:val="22"/>
                <w:color w:val="auto"/>
              </w:rPr>
              <w:t>May 11, 2017; Name Change Amendment 7/14/2017</w:t>
            </w:r>
          </w:p>
        </w:tc>
      </w:tr>
      <w:tr>
        <w:trPr>
          <w:trHeight w:val="25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CTO Realty Growth, Inc., 100% Managing Member</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DB MAINLAND TWO LLC (limited liability company)</w:t>
            </w:r>
          </w:p>
        </w:tc>
      </w:tr>
      <w:tr>
        <w:trPr>
          <w:trHeight w:val="20"/>
        </w:trPr>
        <w:tc>
          <w:tcPr>
            <w:tcW w:w="20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r>
      <w:tr>
        <w:trPr>
          <w:trHeight w:val="250"/>
        </w:trPr>
        <w:tc>
          <w:tcPr>
            <w:tcW w:w="200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22"/>
                <w:szCs w:val="22"/>
                <w:color w:val="auto"/>
              </w:rPr>
              <w:t>April 23, 2018</w:t>
            </w:r>
          </w:p>
        </w:tc>
      </w:tr>
      <w:tr>
        <w:trPr>
          <w:trHeight w:val="25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Indigo Group Inc. 100%</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6.2 - 3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603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5460365" cy="254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14" w:name="page215"/>
    <w:bookmarkEnd w:id="214"/>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IGI16 PETERSON LLC</w:t>
      </w:r>
      <w:r>
        <w:rPr>
          <w:rFonts w:ascii="Times New Roman" w:cs="Times New Roman" w:eastAsia="Times New Roman" w:hAnsi="Times New Roman"/>
          <w:sz w:val="22"/>
          <w:szCs w:val="22"/>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51"/>
        </w:trPr>
        <w:tc>
          <w:tcPr>
            <w:tcW w:w="18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Date of Formation:</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20" w:type="dxa"/>
            <w:vAlign w:val="bottom"/>
            <w:gridSpan w:val="3"/>
          </w:tcPr>
          <w:p>
            <w:pPr>
              <w:ind w:left="660"/>
              <w:spacing w:after="0" w:line="250" w:lineRule="exact"/>
              <w:rPr>
                <w:sz w:val="20"/>
                <w:szCs w:val="20"/>
                <w:color w:val="auto"/>
              </w:rPr>
            </w:pPr>
            <w:r>
              <w:rPr>
                <w:rFonts w:ascii="Times New Roman" w:cs="Times New Roman" w:eastAsia="Times New Roman" w:hAnsi="Times New Roman"/>
                <w:sz w:val="22"/>
                <w:szCs w:val="22"/>
                <w:color w:val="auto"/>
              </w:rPr>
              <w:t>October 12, 2016</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Indigo Group Inc 100%</w:t>
            </w:r>
          </w:p>
        </w:tc>
      </w:tr>
      <w:tr>
        <w:trPr>
          <w:trHeight w:val="447"/>
        </w:trPr>
        <w:tc>
          <w:tcPr>
            <w:tcW w:w="71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IGI18 Back 40 LLC (limited liability company)</w:t>
            </w:r>
          </w:p>
        </w:tc>
      </w:tr>
      <w:tr>
        <w:trPr>
          <w:trHeight w:val="250"/>
        </w:trPr>
        <w:tc>
          <w:tcPr>
            <w:tcW w:w="186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20" w:type="dxa"/>
            <w:vAlign w:val="bottom"/>
            <w:gridSpan w:val="3"/>
          </w:tcPr>
          <w:p>
            <w:pPr>
              <w:ind w:left="660"/>
              <w:spacing w:after="0" w:line="249" w:lineRule="exact"/>
              <w:rPr>
                <w:sz w:val="20"/>
                <w:szCs w:val="20"/>
                <w:color w:val="auto"/>
              </w:rPr>
            </w:pPr>
            <w:r>
              <w:rPr>
                <w:rFonts w:ascii="Times New Roman" w:cs="Times New Roman" w:eastAsia="Times New Roman" w:hAnsi="Times New Roman"/>
                <w:sz w:val="22"/>
                <w:szCs w:val="22"/>
                <w:color w:val="auto"/>
              </w:rPr>
              <w:t>February 23, 2018</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Indigo Group Inc 100%</w:t>
            </w:r>
          </w:p>
        </w:tc>
      </w:tr>
      <w:tr>
        <w:trPr>
          <w:trHeight w:val="447"/>
        </w:trPr>
        <w:tc>
          <w:tcPr>
            <w:tcW w:w="71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IGI20 CROSSROADS AZ LLC (limited liability company)</w:t>
            </w:r>
          </w:p>
        </w:tc>
      </w:tr>
      <w:tr>
        <w:trPr>
          <w:trHeight w:val="20"/>
        </w:trPr>
        <w:tc>
          <w:tcPr>
            <w:tcW w:w="1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50"/>
        </w:trPr>
        <w:tc>
          <w:tcPr>
            <w:tcW w:w="18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20" w:type="dxa"/>
            <w:vAlign w:val="bottom"/>
            <w:gridSpan w:val="3"/>
          </w:tcPr>
          <w:p>
            <w:pPr>
              <w:ind w:left="660"/>
              <w:spacing w:after="0" w:line="249" w:lineRule="exact"/>
              <w:rPr>
                <w:sz w:val="20"/>
                <w:szCs w:val="20"/>
                <w:color w:val="auto"/>
              </w:rPr>
            </w:pPr>
            <w:r>
              <w:rPr>
                <w:rFonts w:ascii="Times New Roman" w:cs="Times New Roman" w:eastAsia="Times New Roman" w:hAnsi="Times New Roman"/>
                <w:sz w:val="22"/>
                <w:szCs w:val="22"/>
                <w:color w:val="auto"/>
              </w:rPr>
              <w:t>January 16, 2020</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Indigo Group Inc. (100%)</w:t>
            </w:r>
          </w:p>
        </w:tc>
      </w:tr>
      <w:tr>
        <w:trPr>
          <w:trHeight w:val="447"/>
        </w:trPr>
        <w:tc>
          <w:tcPr>
            <w:tcW w:w="71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IGI20 TAMPA LLC (limited liability company)</w:t>
            </w:r>
          </w:p>
        </w:tc>
      </w:tr>
      <w:tr>
        <w:trPr>
          <w:trHeight w:val="263"/>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2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August 19, 2020</w:t>
            </w: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20" w:type="dxa"/>
            <w:vAlign w:val="bottom"/>
            <w:gridSpan w:val="3"/>
          </w:tcPr>
          <w:p>
            <w:pPr>
              <w:ind w:left="66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Indigo Group, Inc. 100%</w:t>
            </w:r>
          </w:p>
        </w:tc>
      </w:tr>
      <w:tr>
        <w:trPr>
          <w:trHeight w:val="460"/>
        </w:trPr>
        <w:tc>
          <w:tcPr>
            <w:tcW w:w="71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IGL20 TAMPA LLC (limited liability company)</w:t>
            </w:r>
          </w:p>
        </w:tc>
      </w:tr>
      <w:tr>
        <w:trPr>
          <w:trHeight w:val="250"/>
        </w:trPr>
        <w:tc>
          <w:tcPr>
            <w:tcW w:w="186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220" w:type="dxa"/>
            <w:vAlign w:val="bottom"/>
            <w:gridSpan w:val="3"/>
          </w:tcPr>
          <w:p>
            <w:pPr>
              <w:ind w:left="660"/>
              <w:spacing w:after="0" w:line="249" w:lineRule="exact"/>
              <w:rPr>
                <w:sz w:val="20"/>
                <w:szCs w:val="20"/>
                <w:color w:val="auto"/>
              </w:rPr>
            </w:pPr>
            <w:r>
              <w:rPr>
                <w:rFonts w:ascii="Times New Roman" w:cs="Times New Roman" w:eastAsia="Times New Roman" w:hAnsi="Times New Roman"/>
                <w:sz w:val="22"/>
                <w:szCs w:val="22"/>
                <w:color w:val="auto"/>
              </w:rPr>
              <w:t>August 19, 2020</w:t>
            </w:r>
          </w:p>
        </w:tc>
      </w:tr>
      <w:tr>
        <w:trPr>
          <w:trHeight w:val="256"/>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Indigo Group Ltd. 100%</w:t>
            </w:r>
          </w:p>
        </w:tc>
      </w:tr>
      <w:tr>
        <w:trPr>
          <w:trHeight w:val="447"/>
        </w:trPr>
        <w:tc>
          <w:tcPr>
            <w:tcW w:w="71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INDIGO DEVELOPMENT LLC (limited liability company)</w:t>
            </w:r>
          </w:p>
        </w:tc>
      </w:tr>
      <w:tr>
        <w:trPr>
          <w:trHeight w:val="20"/>
        </w:trPr>
        <w:tc>
          <w:tcPr>
            <w:tcW w:w="1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50"/>
        </w:trPr>
        <w:tc>
          <w:tcPr>
            <w:tcW w:w="186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20" w:type="dxa"/>
            <w:vAlign w:val="bottom"/>
            <w:gridSpan w:val="3"/>
          </w:tcPr>
          <w:p>
            <w:pPr>
              <w:ind w:left="700"/>
              <w:spacing w:after="0" w:line="249" w:lineRule="exact"/>
              <w:rPr>
                <w:sz w:val="20"/>
                <w:szCs w:val="20"/>
                <w:color w:val="auto"/>
              </w:rPr>
            </w:pPr>
            <w:r>
              <w:rPr>
                <w:rFonts w:ascii="Times New Roman" w:cs="Times New Roman" w:eastAsia="Times New Roman" w:hAnsi="Times New Roman"/>
                <w:sz w:val="22"/>
                <w:szCs w:val="22"/>
                <w:color w:val="auto"/>
              </w:rPr>
              <w:t>January 13, 2009</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2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w w:val="97"/>
              </w:rPr>
              <w:t>CTO Realty Growth, Inc., 100% Managing Member</w:t>
            </w:r>
          </w:p>
        </w:tc>
      </w:tr>
    </w:tbl>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INDIGO GROUP INC.</w:t>
      </w:r>
      <w:r>
        <w:rPr>
          <w:rFonts w:ascii="Times New Roman" w:cs="Times New Roman" w:eastAsia="Times New Roman" w:hAnsi="Times New Roman"/>
          <w:sz w:val="22"/>
          <w:szCs w:val="22"/>
          <w:b w:val="1"/>
          <w:bCs w:val="1"/>
          <w:color w:val="auto"/>
        </w:rPr>
        <w:t xml:space="preserve"> (corporation)</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Date of Incorporation: September 27, 1984, name change amendments 4/7/1987 and 7/23/1991</w:t>
      </w:r>
    </w:p>
    <w:tbl>
      <w:tblPr>
        <w:tblLayout w:type="fixed"/>
        <w:tblInd w:w="200" w:type="dxa"/>
        <w:tblCellMar>
          <w:top w:w="0" w:type="dxa"/>
          <w:left w:w="0" w:type="dxa"/>
          <w:bottom w:w="0" w:type="dxa"/>
          <w:right w:w="0" w:type="dxa"/>
        </w:tblCellMar>
      </w:tblPr>
      <w:tr>
        <w:trPr>
          <w:trHeight w:val="248"/>
        </w:trPr>
        <w:tc>
          <w:tcPr>
            <w:tcW w:w="2900" w:type="dxa"/>
            <w:vAlign w:val="bottom"/>
            <w:gridSpan w:val="2"/>
          </w:tcPr>
          <w:p>
            <w:pPr>
              <w:spacing w:after="0" w:line="247" w:lineRule="exact"/>
              <w:rPr>
                <w:sz w:val="20"/>
                <w:szCs w:val="20"/>
                <w:color w:val="auto"/>
              </w:rPr>
            </w:pPr>
            <w:r>
              <w:rPr>
                <w:rFonts w:ascii="Times New Roman" w:cs="Times New Roman" w:eastAsia="Times New Roman" w:hAnsi="Times New Roman"/>
                <w:sz w:val="22"/>
                <w:szCs w:val="22"/>
                <w:color w:val="auto"/>
              </w:rPr>
              <w:t>State of Incorporation: Florida</w:t>
            </w:r>
          </w:p>
        </w:tc>
        <w:tc>
          <w:tcPr>
            <w:tcW w:w="4640" w:type="dxa"/>
            <w:vAlign w:val="bottom"/>
          </w:tcPr>
          <w:p>
            <w:pPr>
              <w:spacing w:after="0"/>
              <w:rPr>
                <w:sz w:val="21"/>
                <w:szCs w:val="21"/>
                <w:color w:val="auto"/>
              </w:rPr>
            </w:pPr>
          </w:p>
        </w:tc>
      </w:tr>
      <w:tr>
        <w:trPr>
          <w:trHeight w:val="282"/>
        </w:trPr>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Shareholder:</w:t>
            </w:r>
          </w:p>
        </w:tc>
        <w:tc>
          <w:tcPr>
            <w:tcW w:w="4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CTO Realty Growth, Inc.</w:t>
            </w:r>
          </w:p>
        </w:tc>
      </w:tr>
      <w:tr>
        <w:trPr>
          <w:trHeight w:val="447"/>
        </w:trPr>
        <w:tc>
          <w:tcPr>
            <w:tcW w:w="75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INDIGO GROUP LTD (limited partnership)</w:t>
            </w:r>
          </w:p>
        </w:tc>
      </w:tr>
      <w:tr>
        <w:trPr>
          <w:trHeight w:val="263"/>
        </w:trPr>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760" w:type="dxa"/>
            <w:vAlign w:val="bottom"/>
          </w:tcPr>
          <w:p>
            <w:pPr>
              <w:spacing w:after="0"/>
              <w:rPr>
                <w:sz w:val="22"/>
                <w:szCs w:val="22"/>
                <w:color w:val="auto"/>
              </w:rPr>
            </w:pPr>
          </w:p>
        </w:tc>
        <w:tc>
          <w:tcPr>
            <w:tcW w:w="4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April 30, 1987, name change amendment 8/1/1991</w:t>
            </w:r>
          </w:p>
        </w:tc>
      </w:tr>
      <w:tr>
        <w:trPr>
          <w:trHeight w:val="282"/>
        </w:trPr>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4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Florida</w:t>
            </w:r>
          </w:p>
        </w:tc>
      </w:tr>
      <w:tr>
        <w:trPr>
          <w:trHeight w:val="474"/>
        </w:trPr>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Partners:</w:t>
            </w:r>
          </w:p>
        </w:tc>
        <w:tc>
          <w:tcPr>
            <w:tcW w:w="4640" w:type="dxa"/>
            <w:vAlign w:val="bottom"/>
          </w:tcPr>
          <w:p>
            <w:pPr>
              <w:spacing w:after="0"/>
              <w:rPr>
                <w:sz w:val="24"/>
                <w:szCs w:val="24"/>
                <w:color w:val="auto"/>
              </w:rPr>
            </w:pPr>
          </w:p>
        </w:tc>
      </w:tr>
      <w:tr>
        <w:trPr>
          <w:trHeight w:val="257"/>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Indigo Group Inc.</w:t>
            </w:r>
          </w:p>
        </w:tc>
        <w:tc>
          <w:tcPr>
            <w:tcW w:w="4640" w:type="dxa"/>
            <w:vAlign w:val="bottom"/>
          </w:tcPr>
          <w:p>
            <w:pPr>
              <w:spacing w:after="0"/>
              <w:rPr>
                <w:sz w:val="22"/>
                <w:szCs w:val="22"/>
                <w:color w:val="auto"/>
              </w:rPr>
            </w:pPr>
          </w:p>
        </w:tc>
      </w:tr>
      <w:tr>
        <w:trPr>
          <w:trHeight w:val="243"/>
        </w:trPr>
        <w:tc>
          <w:tcPr>
            <w:tcW w:w="29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(Managing General Partner)</w:t>
            </w:r>
          </w:p>
        </w:tc>
        <w:tc>
          <w:tcPr>
            <w:tcW w:w="46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1.460%</w:t>
            </w:r>
          </w:p>
        </w:tc>
      </w:tr>
      <w:tr>
        <w:trPr>
          <w:trHeight w:val="257"/>
        </w:trPr>
        <w:tc>
          <w:tcPr>
            <w:tcW w:w="29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Palms Del Mar Inc.</w:t>
            </w:r>
          </w:p>
        </w:tc>
        <w:tc>
          <w:tcPr>
            <w:tcW w:w="4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5.065%</w:t>
            </w:r>
          </w:p>
        </w:tc>
      </w:tr>
      <w:tr>
        <w:trPr>
          <w:trHeight w:val="256"/>
        </w:trPr>
        <w:tc>
          <w:tcPr>
            <w:tcW w:w="29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(Limited Partner)</w:t>
            </w:r>
          </w:p>
        </w:tc>
        <w:tc>
          <w:tcPr>
            <w:tcW w:w="4640" w:type="dxa"/>
            <w:vAlign w:val="bottom"/>
          </w:tcPr>
          <w:p>
            <w:pPr>
              <w:spacing w:after="0"/>
              <w:rPr>
                <w:sz w:val="22"/>
                <w:szCs w:val="22"/>
                <w:color w:val="auto"/>
              </w:rPr>
            </w:pPr>
          </w:p>
        </w:tc>
      </w:tr>
      <w:tr>
        <w:trPr>
          <w:trHeight w:val="282"/>
        </w:trPr>
        <w:tc>
          <w:tcPr>
            <w:tcW w:w="29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CTO Realty Growth, Inc.</w:t>
            </w:r>
          </w:p>
        </w:tc>
        <w:tc>
          <w:tcPr>
            <w:tcW w:w="4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93.475%</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6.2 - 4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603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5460365" cy="254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15" w:name="page216"/>
    <w:bookmarkEnd w:id="215"/>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LHC15 ATLANTIC DB JV LLC</w:t>
      </w:r>
      <w:r>
        <w:rPr>
          <w:rFonts w:ascii="Times New Roman" w:cs="Times New Roman" w:eastAsia="Times New Roman" w:hAnsi="Times New Roman"/>
          <w:sz w:val="22"/>
          <w:szCs w:val="22"/>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51"/>
        </w:trPr>
        <w:tc>
          <w:tcPr>
            <w:tcW w:w="2780" w:type="dxa"/>
            <w:vAlign w:val="bottom"/>
            <w:gridSpan w:val="7"/>
          </w:tcPr>
          <w:p>
            <w:pPr>
              <w:spacing w:after="0" w:line="250" w:lineRule="exact"/>
              <w:rPr>
                <w:sz w:val="20"/>
                <w:szCs w:val="20"/>
                <w:color w:val="auto"/>
              </w:rPr>
            </w:pPr>
            <w:r>
              <w:rPr>
                <w:rFonts w:ascii="Times New Roman" w:cs="Times New Roman" w:eastAsia="Times New Roman" w:hAnsi="Times New Roman"/>
                <w:sz w:val="22"/>
                <w:szCs w:val="22"/>
                <w:color w:val="auto"/>
              </w:rPr>
              <w:t>Date of Formation:</w:t>
            </w:r>
          </w:p>
        </w:tc>
        <w:tc>
          <w:tcPr>
            <w:tcW w:w="160" w:type="dxa"/>
            <w:vAlign w:val="bottom"/>
          </w:tcPr>
          <w:p>
            <w:pPr>
              <w:spacing w:after="0"/>
              <w:rPr>
                <w:sz w:val="21"/>
                <w:szCs w:val="21"/>
                <w:color w:val="auto"/>
              </w:rPr>
            </w:pPr>
          </w:p>
        </w:tc>
        <w:tc>
          <w:tcPr>
            <w:tcW w:w="5660" w:type="dxa"/>
            <w:vAlign w:val="bottom"/>
          </w:tcPr>
          <w:p>
            <w:pPr>
              <w:ind w:left="300"/>
              <w:spacing w:after="0" w:line="250" w:lineRule="exact"/>
              <w:rPr>
                <w:sz w:val="20"/>
                <w:szCs w:val="20"/>
                <w:color w:val="auto"/>
              </w:rPr>
            </w:pPr>
            <w:r>
              <w:rPr>
                <w:rFonts w:ascii="Times New Roman" w:cs="Times New Roman" w:eastAsia="Times New Roman" w:hAnsi="Times New Roman"/>
                <w:sz w:val="22"/>
                <w:szCs w:val="22"/>
                <w:color w:val="auto"/>
              </w:rPr>
              <w:t>August 3, 2015</w:t>
            </w:r>
          </w:p>
        </w:tc>
      </w:tr>
      <w:tr>
        <w:trPr>
          <w:trHeight w:val="257"/>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60" w:type="dxa"/>
            <w:vAlign w:val="bottom"/>
          </w:tcPr>
          <w:p>
            <w:pPr>
              <w:spacing w:after="0"/>
              <w:rPr>
                <w:sz w:val="22"/>
                <w:szCs w:val="22"/>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Member:</w:t>
            </w:r>
          </w:p>
        </w:tc>
        <w:tc>
          <w:tcPr>
            <w:tcW w:w="160" w:type="dxa"/>
            <w:vAlign w:val="bottom"/>
          </w:tcPr>
          <w:p>
            <w:pPr>
              <w:spacing w:after="0"/>
              <w:rPr>
                <w:sz w:val="24"/>
                <w:szCs w:val="24"/>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CTO Realty Growth, Inc., 100% Managing Member</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LHC15 RIVERSIDE FL LLC (limited liability company)</w:t>
            </w:r>
          </w:p>
        </w:tc>
      </w:tr>
      <w:tr>
        <w:trPr>
          <w:trHeight w:val="250"/>
        </w:trPr>
        <w:tc>
          <w:tcPr>
            <w:tcW w:w="2780" w:type="dxa"/>
            <w:vAlign w:val="bottom"/>
            <w:tcBorders>
              <w:top w:val="single" w:sz="8" w:color="auto"/>
            </w:tcBorders>
            <w:gridSpan w:val="7"/>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160" w:type="dxa"/>
            <w:vAlign w:val="bottom"/>
          </w:tcPr>
          <w:p>
            <w:pPr>
              <w:spacing w:after="0"/>
              <w:rPr>
                <w:sz w:val="21"/>
                <w:szCs w:val="21"/>
                <w:color w:val="auto"/>
              </w:rPr>
            </w:pPr>
          </w:p>
        </w:tc>
        <w:tc>
          <w:tcPr>
            <w:tcW w:w="5660" w:type="dxa"/>
            <w:vAlign w:val="bottom"/>
          </w:tcPr>
          <w:p>
            <w:pPr>
              <w:ind w:left="300"/>
              <w:spacing w:after="0" w:line="249" w:lineRule="exact"/>
              <w:rPr>
                <w:sz w:val="20"/>
                <w:szCs w:val="20"/>
                <w:color w:val="auto"/>
              </w:rPr>
            </w:pPr>
            <w:r>
              <w:rPr>
                <w:rFonts w:ascii="Times New Roman" w:cs="Times New Roman" w:eastAsia="Times New Roman" w:hAnsi="Times New Roman"/>
                <w:sz w:val="22"/>
                <w:szCs w:val="22"/>
                <w:color w:val="auto"/>
              </w:rPr>
              <w:t>June 30, 2015</w:t>
            </w:r>
          </w:p>
        </w:tc>
      </w:tr>
      <w:tr>
        <w:trPr>
          <w:trHeight w:val="257"/>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60" w:type="dxa"/>
            <w:vAlign w:val="bottom"/>
          </w:tcPr>
          <w:p>
            <w:pPr>
              <w:spacing w:after="0"/>
              <w:rPr>
                <w:sz w:val="22"/>
                <w:szCs w:val="22"/>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Member:</w:t>
            </w:r>
          </w:p>
        </w:tc>
        <w:tc>
          <w:tcPr>
            <w:tcW w:w="160" w:type="dxa"/>
            <w:vAlign w:val="bottom"/>
          </w:tcPr>
          <w:p>
            <w:pPr>
              <w:spacing w:after="0"/>
              <w:rPr>
                <w:sz w:val="24"/>
                <w:szCs w:val="24"/>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CTO Realty Growth, Inc., 100% Managing Member</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PALMS DEL MAR INC. (corporation)</w:t>
            </w:r>
          </w:p>
        </w:tc>
      </w:tr>
      <w:tr>
        <w:trPr>
          <w:trHeight w:val="250"/>
        </w:trPr>
        <w:tc>
          <w:tcPr>
            <w:tcW w:w="2340" w:type="dxa"/>
            <w:vAlign w:val="bottom"/>
            <w:tcBorders>
              <w:top w:val="single" w:sz="8" w:color="auto"/>
            </w:tcBorders>
            <w:gridSpan w:val="4"/>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440" w:type="dxa"/>
            <w:vAlign w:val="bottom"/>
            <w:gridSpan w:val="3"/>
          </w:tcPr>
          <w:p>
            <w:pPr>
              <w:spacing w:after="0"/>
              <w:rPr>
                <w:sz w:val="21"/>
                <w:szCs w:val="21"/>
                <w:color w:val="auto"/>
              </w:rPr>
            </w:pPr>
          </w:p>
        </w:tc>
        <w:tc>
          <w:tcPr>
            <w:tcW w:w="160" w:type="dxa"/>
            <w:vAlign w:val="bottom"/>
          </w:tcPr>
          <w:p>
            <w:pPr>
              <w:spacing w:after="0"/>
              <w:rPr>
                <w:sz w:val="21"/>
                <w:szCs w:val="21"/>
                <w:color w:val="auto"/>
              </w:rPr>
            </w:pPr>
          </w:p>
        </w:tc>
        <w:tc>
          <w:tcPr>
            <w:tcW w:w="5660" w:type="dxa"/>
            <w:vAlign w:val="bottom"/>
          </w:tcPr>
          <w:p>
            <w:pPr>
              <w:ind w:left="360"/>
              <w:spacing w:after="0" w:line="249" w:lineRule="exact"/>
              <w:rPr>
                <w:sz w:val="20"/>
                <w:szCs w:val="20"/>
                <w:color w:val="auto"/>
              </w:rPr>
            </w:pPr>
            <w:r>
              <w:rPr>
                <w:rFonts w:ascii="Times New Roman" w:cs="Times New Roman" w:eastAsia="Times New Roman" w:hAnsi="Times New Roman"/>
                <w:sz w:val="22"/>
                <w:szCs w:val="22"/>
                <w:color w:val="auto"/>
              </w:rPr>
              <w:t>May 12, 1978 (Acquired by CTO Realty Growth, Inc., The</w:t>
            </w:r>
          </w:p>
        </w:tc>
      </w:tr>
      <w:tr>
        <w:trPr>
          <w:trHeight w:val="257"/>
        </w:trPr>
        <w:tc>
          <w:tcPr>
            <w:tcW w:w="1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Predecessor</w:t>
            </w:r>
          </w:p>
        </w:tc>
      </w:tr>
      <w:tr>
        <w:trPr>
          <w:trHeight w:val="257"/>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60" w:type="dxa"/>
            <w:vAlign w:val="bottom"/>
          </w:tcPr>
          <w:p>
            <w:pPr>
              <w:spacing w:after="0"/>
              <w:rPr>
                <w:sz w:val="22"/>
                <w:szCs w:val="22"/>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Sole Shareholder:</w:t>
            </w:r>
          </w:p>
        </w:tc>
        <w:tc>
          <w:tcPr>
            <w:tcW w:w="16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CTO Realty Growth, Inc.</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CTO21 AL OUTPARCEL LLC (limited liability company)</w:t>
            </w:r>
          </w:p>
        </w:tc>
      </w:tr>
      <w:tr>
        <w:trPr>
          <w:trHeight w:val="250"/>
        </w:trPr>
        <w:tc>
          <w:tcPr>
            <w:tcW w:w="2780" w:type="dxa"/>
            <w:vAlign w:val="bottom"/>
            <w:tcBorders>
              <w:top w:val="single" w:sz="8" w:color="auto"/>
            </w:tcBorders>
            <w:gridSpan w:val="7"/>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160" w:type="dxa"/>
            <w:vAlign w:val="bottom"/>
            <w:tcBorders>
              <w:top w:val="single" w:sz="8" w:color="auto"/>
            </w:tcBorders>
          </w:tcPr>
          <w:p>
            <w:pPr>
              <w:spacing w:after="0"/>
              <w:rPr>
                <w:sz w:val="21"/>
                <w:szCs w:val="21"/>
                <w:color w:val="auto"/>
              </w:rPr>
            </w:pPr>
          </w:p>
        </w:tc>
        <w:tc>
          <w:tcPr>
            <w:tcW w:w="5660" w:type="dxa"/>
            <w:vAlign w:val="bottom"/>
          </w:tcPr>
          <w:p>
            <w:pPr>
              <w:ind w:left="300"/>
              <w:spacing w:after="0" w:line="249" w:lineRule="exact"/>
              <w:rPr>
                <w:sz w:val="20"/>
                <w:szCs w:val="20"/>
                <w:color w:val="auto"/>
              </w:rPr>
            </w:pPr>
            <w:r>
              <w:rPr>
                <w:rFonts w:ascii="Times New Roman" w:cs="Times New Roman" w:eastAsia="Times New Roman" w:hAnsi="Times New Roman"/>
                <w:sz w:val="22"/>
                <w:szCs w:val="22"/>
                <w:color w:val="auto"/>
              </w:rPr>
              <w:t>December 23, 2021</w:t>
            </w:r>
          </w:p>
        </w:tc>
      </w:tr>
      <w:tr>
        <w:trPr>
          <w:trHeight w:val="256"/>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60" w:type="dxa"/>
            <w:vAlign w:val="bottom"/>
          </w:tcPr>
          <w:p>
            <w:pPr>
              <w:spacing w:after="0"/>
              <w:rPr>
                <w:sz w:val="22"/>
                <w:szCs w:val="22"/>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Member:</w:t>
            </w:r>
          </w:p>
        </w:tc>
        <w:tc>
          <w:tcPr>
            <w:tcW w:w="160" w:type="dxa"/>
            <w:vAlign w:val="bottom"/>
          </w:tcPr>
          <w:p>
            <w:pPr>
              <w:spacing w:after="0"/>
              <w:rPr>
                <w:sz w:val="24"/>
                <w:szCs w:val="24"/>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CTO21 EXCHANGE LLC (limited liability company)</w:t>
            </w:r>
          </w:p>
        </w:tc>
      </w:tr>
      <w:tr>
        <w:trPr>
          <w:trHeight w:val="263"/>
        </w:trPr>
        <w:tc>
          <w:tcPr>
            <w:tcW w:w="24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30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December 14, 2021</w:t>
            </w:r>
          </w:p>
        </w:tc>
      </w:tr>
      <w:tr>
        <w:trPr>
          <w:trHeight w:val="243"/>
        </w:trPr>
        <w:tc>
          <w:tcPr>
            <w:tcW w:w="278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160" w:type="dxa"/>
            <w:vAlign w:val="bottom"/>
          </w:tcPr>
          <w:p>
            <w:pPr>
              <w:spacing w:after="0"/>
              <w:rPr>
                <w:sz w:val="21"/>
                <w:szCs w:val="21"/>
                <w:color w:val="auto"/>
              </w:rPr>
            </w:pPr>
          </w:p>
        </w:tc>
        <w:tc>
          <w:tcPr>
            <w:tcW w:w="5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Member:</w:t>
            </w:r>
          </w:p>
        </w:tc>
        <w:tc>
          <w:tcPr>
            <w:tcW w:w="160" w:type="dxa"/>
            <w:vAlign w:val="bottom"/>
          </w:tcPr>
          <w:p>
            <w:pPr>
              <w:spacing w:after="0"/>
              <w:rPr>
                <w:sz w:val="24"/>
                <w:szCs w:val="24"/>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60"/>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CTO21 SANTA FE LLC (limited liability company)</w:t>
            </w:r>
          </w:p>
        </w:tc>
      </w:tr>
      <w:tr>
        <w:trPr>
          <w:trHeight w:val="250"/>
        </w:trPr>
        <w:tc>
          <w:tcPr>
            <w:tcW w:w="228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4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60" w:type="dxa"/>
            <w:vAlign w:val="bottom"/>
          </w:tcPr>
          <w:p>
            <w:pPr>
              <w:ind w:left="300"/>
              <w:spacing w:after="0" w:line="249" w:lineRule="exact"/>
              <w:rPr>
                <w:sz w:val="20"/>
                <w:szCs w:val="20"/>
                <w:color w:val="auto"/>
              </w:rPr>
            </w:pPr>
            <w:r>
              <w:rPr>
                <w:rFonts w:ascii="Times New Roman" w:cs="Times New Roman" w:eastAsia="Times New Roman" w:hAnsi="Times New Roman"/>
                <w:sz w:val="22"/>
                <w:szCs w:val="22"/>
                <w:color w:val="auto"/>
              </w:rPr>
              <w:t>November 19, 2021</w:t>
            </w:r>
          </w:p>
        </w:tc>
      </w:tr>
      <w:tr>
        <w:trPr>
          <w:trHeight w:val="256"/>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60" w:type="dxa"/>
            <w:vAlign w:val="bottom"/>
          </w:tcPr>
          <w:p>
            <w:pPr>
              <w:spacing w:after="0"/>
              <w:rPr>
                <w:sz w:val="22"/>
                <w:szCs w:val="22"/>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Member:</w:t>
            </w:r>
          </w:p>
        </w:tc>
        <w:tc>
          <w:tcPr>
            <w:tcW w:w="160" w:type="dxa"/>
            <w:vAlign w:val="bottom"/>
          </w:tcPr>
          <w:p>
            <w:pPr>
              <w:spacing w:after="0"/>
              <w:rPr>
                <w:sz w:val="24"/>
                <w:szCs w:val="24"/>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CTO21 BUFORD 1 LLC (limited liability company)</w:t>
            </w:r>
          </w:p>
        </w:tc>
      </w:tr>
      <w:tr>
        <w:trPr>
          <w:trHeight w:val="250"/>
        </w:trPr>
        <w:tc>
          <w:tcPr>
            <w:tcW w:w="2320" w:type="dxa"/>
            <w:vAlign w:val="bottom"/>
            <w:tcBorders>
              <w:top w:val="single" w:sz="8" w:color="auto"/>
            </w:tcBorders>
            <w:gridSpan w:val="3"/>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460" w:type="dxa"/>
            <w:vAlign w:val="bottom"/>
            <w:gridSpan w:val="4"/>
          </w:tcPr>
          <w:p>
            <w:pPr>
              <w:spacing w:after="0"/>
              <w:rPr>
                <w:sz w:val="21"/>
                <w:szCs w:val="21"/>
                <w:color w:val="auto"/>
              </w:rPr>
            </w:pPr>
          </w:p>
        </w:tc>
        <w:tc>
          <w:tcPr>
            <w:tcW w:w="160" w:type="dxa"/>
            <w:vAlign w:val="bottom"/>
          </w:tcPr>
          <w:p>
            <w:pPr>
              <w:spacing w:after="0"/>
              <w:rPr>
                <w:sz w:val="21"/>
                <w:szCs w:val="21"/>
                <w:color w:val="auto"/>
              </w:rPr>
            </w:pPr>
          </w:p>
        </w:tc>
        <w:tc>
          <w:tcPr>
            <w:tcW w:w="5660" w:type="dxa"/>
            <w:vAlign w:val="bottom"/>
          </w:tcPr>
          <w:p>
            <w:pPr>
              <w:ind w:left="300"/>
              <w:spacing w:after="0" w:line="249" w:lineRule="exact"/>
              <w:rPr>
                <w:sz w:val="20"/>
                <w:szCs w:val="20"/>
                <w:color w:val="auto"/>
              </w:rPr>
            </w:pPr>
            <w:r>
              <w:rPr>
                <w:rFonts w:ascii="Times New Roman" w:cs="Times New Roman" w:eastAsia="Times New Roman" w:hAnsi="Times New Roman"/>
                <w:sz w:val="22"/>
                <w:szCs w:val="22"/>
                <w:color w:val="auto"/>
              </w:rPr>
              <w:t>December 9, 2021</w:t>
            </w:r>
          </w:p>
        </w:tc>
      </w:tr>
      <w:tr>
        <w:trPr>
          <w:trHeight w:val="256"/>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60" w:type="dxa"/>
            <w:vAlign w:val="bottom"/>
          </w:tcPr>
          <w:p>
            <w:pPr>
              <w:spacing w:after="0"/>
              <w:rPr>
                <w:sz w:val="22"/>
                <w:szCs w:val="22"/>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Member:</w:t>
            </w:r>
          </w:p>
        </w:tc>
        <w:tc>
          <w:tcPr>
            <w:tcW w:w="160" w:type="dxa"/>
            <w:vAlign w:val="bottom"/>
          </w:tcPr>
          <w:p>
            <w:pPr>
              <w:spacing w:after="0"/>
              <w:rPr>
                <w:sz w:val="24"/>
                <w:szCs w:val="24"/>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CTO Realty Growth, Inc., 100%</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IGI21 KATY LLC (limited liability company)</w:t>
            </w:r>
          </w:p>
        </w:tc>
      </w:tr>
      <w:tr>
        <w:trPr>
          <w:trHeight w:val="250"/>
        </w:trPr>
        <w:tc>
          <w:tcPr>
            <w:tcW w:w="172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1060" w:type="dxa"/>
            <w:vAlign w:val="bottom"/>
            <w:gridSpan w:val="6"/>
          </w:tcPr>
          <w:p>
            <w:pPr>
              <w:spacing w:after="0"/>
              <w:rPr>
                <w:sz w:val="21"/>
                <w:szCs w:val="21"/>
                <w:color w:val="auto"/>
              </w:rPr>
            </w:pPr>
          </w:p>
        </w:tc>
        <w:tc>
          <w:tcPr>
            <w:tcW w:w="160" w:type="dxa"/>
            <w:vAlign w:val="bottom"/>
          </w:tcPr>
          <w:p>
            <w:pPr>
              <w:spacing w:after="0"/>
              <w:rPr>
                <w:sz w:val="21"/>
                <w:szCs w:val="21"/>
                <w:color w:val="auto"/>
              </w:rPr>
            </w:pPr>
          </w:p>
        </w:tc>
        <w:tc>
          <w:tcPr>
            <w:tcW w:w="5660" w:type="dxa"/>
            <w:vAlign w:val="bottom"/>
          </w:tcPr>
          <w:p>
            <w:pPr>
              <w:ind w:left="300"/>
              <w:spacing w:after="0" w:line="249" w:lineRule="exact"/>
              <w:rPr>
                <w:sz w:val="20"/>
                <w:szCs w:val="20"/>
                <w:color w:val="auto"/>
              </w:rPr>
            </w:pPr>
            <w:r>
              <w:rPr>
                <w:rFonts w:ascii="Times New Roman" w:cs="Times New Roman" w:eastAsia="Times New Roman" w:hAnsi="Times New Roman"/>
                <w:sz w:val="22"/>
                <w:szCs w:val="22"/>
                <w:color w:val="auto"/>
              </w:rPr>
              <w:t>December 14, 2021</w:t>
            </w:r>
          </w:p>
        </w:tc>
      </w:tr>
      <w:tr>
        <w:trPr>
          <w:trHeight w:val="256"/>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60" w:type="dxa"/>
            <w:vAlign w:val="bottom"/>
          </w:tcPr>
          <w:p>
            <w:pPr>
              <w:spacing w:after="0"/>
              <w:rPr>
                <w:sz w:val="22"/>
                <w:szCs w:val="22"/>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Member:</w:t>
            </w:r>
          </w:p>
        </w:tc>
        <w:tc>
          <w:tcPr>
            <w:tcW w:w="160" w:type="dxa"/>
            <w:vAlign w:val="bottom"/>
          </w:tcPr>
          <w:p>
            <w:pPr>
              <w:spacing w:after="0"/>
              <w:rPr>
                <w:sz w:val="24"/>
                <w:szCs w:val="24"/>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Indigo Group Inc., 100%</w:t>
            </w:r>
          </w:p>
        </w:tc>
      </w:tr>
      <w:tr>
        <w:trPr>
          <w:trHeight w:val="447"/>
        </w:trPr>
        <w:tc>
          <w:tcPr>
            <w:tcW w:w="86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CTO22 WATERSTAR LLC (limited liability company)</w:t>
            </w:r>
          </w:p>
        </w:tc>
      </w:tr>
      <w:tr>
        <w:trPr>
          <w:trHeight w:val="263"/>
        </w:trPr>
        <w:tc>
          <w:tcPr>
            <w:tcW w:w="25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March 9, 2022</w:t>
            </w:r>
          </w:p>
        </w:tc>
      </w:tr>
      <w:tr>
        <w:trPr>
          <w:trHeight w:val="243"/>
        </w:trPr>
        <w:tc>
          <w:tcPr>
            <w:tcW w:w="278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160" w:type="dxa"/>
            <w:vAlign w:val="bottom"/>
          </w:tcPr>
          <w:p>
            <w:pPr>
              <w:spacing w:after="0"/>
              <w:rPr>
                <w:sz w:val="21"/>
                <w:szCs w:val="21"/>
                <w:color w:val="auto"/>
              </w:rPr>
            </w:pPr>
          </w:p>
        </w:tc>
        <w:tc>
          <w:tcPr>
            <w:tcW w:w="5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7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Member:</w:t>
            </w:r>
          </w:p>
        </w:tc>
        <w:tc>
          <w:tcPr>
            <w:tcW w:w="160" w:type="dxa"/>
            <w:vAlign w:val="bottom"/>
          </w:tcPr>
          <w:p>
            <w:pPr>
              <w:spacing w:after="0"/>
              <w:rPr>
                <w:sz w:val="24"/>
                <w:szCs w:val="24"/>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CTO Realty Growth, Inc., 100%</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6.2 - 5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6036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16" w:name="page217"/>
    <w:bookmarkEnd w:id="216"/>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CTO22 WATTERS CREEK LLC</w:t>
      </w:r>
      <w:r>
        <w:rPr>
          <w:rFonts w:ascii="Times New Roman" w:cs="Times New Roman" w:eastAsia="Times New Roman" w:hAnsi="Times New Roman"/>
          <w:sz w:val="22"/>
          <w:szCs w:val="22"/>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51"/>
        </w:trPr>
        <w:tc>
          <w:tcPr>
            <w:tcW w:w="266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auto"/>
              </w:rPr>
              <w:t>Date of Formation:</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tcPr>
          <w:p>
            <w:pPr>
              <w:ind w:left="180"/>
              <w:spacing w:after="0" w:line="250" w:lineRule="exact"/>
              <w:rPr>
                <w:sz w:val="20"/>
                <w:szCs w:val="20"/>
                <w:color w:val="auto"/>
              </w:rPr>
            </w:pPr>
            <w:r>
              <w:rPr>
                <w:rFonts w:ascii="Times New Roman" w:cs="Times New Roman" w:eastAsia="Times New Roman" w:hAnsi="Times New Roman"/>
                <w:sz w:val="22"/>
                <w:szCs w:val="22"/>
                <w:color w:val="auto"/>
              </w:rPr>
              <w:t>March 15, 2022</w:t>
            </w:r>
          </w:p>
        </w:tc>
      </w:tr>
      <w:tr>
        <w:trPr>
          <w:trHeight w:val="257"/>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Member: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CTO Realty Growth, Inc., 100%</w:t>
            </w:r>
          </w:p>
        </w:tc>
      </w:tr>
      <w:tr>
        <w:trPr>
          <w:trHeight w:val="447"/>
        </w:trPr>
        <w:tc>
          <w:tcPr>
            <w:tcW w:w="60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CTO22 SHORT PUMP LLC (limited liability company)</w:t>
            </w:r>
          </w:p>
        </w:tc>
      </w:tr>
      <w:tr>
        <w:trPr>
          <w:trHeight w:val="250"/>
        </w:trPr>
        <w:tc>
          <w:tcPr>
            <w:tcW w:w="2660" w:type="dxa"/>
            <w:vAlign w:val="bottom"/>
            <w:tcBorders>
              <w:top w:val="single" w:sz="8" w:color="auto"/>
            </w:tcBorders>
            <w:gridSpan w:val="5"/>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tcPr>
          <w:p>
            <w:pPr>
              <w:ind w:left="180"/>
              <w:spacing w:after="0" w:line="249" w:lineRule="exact"/>
              <w:rPr>
                <w:sz w:val="20"/>
                <w:szCs w:val="20"/>
                <w:color w:val="auto"/>
              </w:rPr>
            </w:pPr>
            <w:r>
              <w:rPr>
                <w:rFonts w:ascii="Times New Roman" w:cs="Times New Roman" w:eastAsia="Times New Roman" w:hAnsi="Times New Roman"/>
                <w:sz w:val="22"/>
                <w:szCs w:val="22"/>
                <w:color w:val="auto"/>
              </w:rPr>
              <w:t>August 15, 2022</w:t>
            </w:r>
          </w:p>
        </w:tc>
      </w:tr>
      <w:tr>
        <w:trPr>
          <w:trHeight w:val="257"/>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Member: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CTO Realty Growth, Inc., 100%</w:t>
            </w:r>
          </w:p>
        </w:tc>
      </w:tr>
      <w:tr>
        <w:trPr>
          <w:trHeight w:val="447"/>
        </w:trPr>
        <w:tc>
          <w:tcPr>
            <w:tcW w:w="60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CTO22 MADISON YARDS LLC (limited liability company)</w:t>
            </w:r>
          </w:p>
        </w:tc>
      </w:tr>
      <w:tr>
        <w:trPr>
          <w:trHeight w:val="250"/>
        </w:trPr>
        <w:tc>
          <w:tcPr>
            <w:tcW w:w="2660" w:type="dxa"/>
            <w:vAlign w:val="bottom"/>
            <w:tcBorders>
              <w:top w:val="single" w:sz="8" w:color="auto"/>
            </w:tcBorders>
            <w:gridSpan w:val="5"/>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000" w:type="dxa"/>
            <w:vAlign w:val="bottom"/>
          </w:tcPr>
          <w:p>
            <w:pPr>
              <w:ind w:left="180"/>
              <w:spacing w:after="0" w:line="249" w:lineRule="exact"/>
              <w:rPr>
                <w:sz w:val="20"/>
                <w:szCs w:val="20"/>
                <w:color w:val="auto"/>
              </w:rPr>
            </w:pPr>
            <w:r>
              <w:rPr>
                <w:rFonts w:ascii="Times New Roman" w:cs="Times New Roman" w:eastAsia="Times New Roman" w:hAnsi="Times New Roman"/>
                <w:sz w:val="22"/>
                <w:szCs w:val="22"/>
                <w:color w:val="auto"/>
              </w:rPr>
              <w:t>June 14, 2022</w:t>
            </w:r>
          </w:p>
        </w:tc>
      </w:tr>
      <w:tr>
        <w:trPr>
          <w:trHeight w:val="257"/>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Member: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CTO Realty Growth, Inc., 100%</w:t>
            </w:r>
          </w:p>
        </w:tc>
      </w:tr>
      <w:tr>
        <w:trPr>
          <w:trHeight w:val="447"/>
        </w:trPr>
        <w:tc>
          <w:tcPr>
            <w:tcW w:w="60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CTO21 WINTER PARK LLC (limited liability company)</w:t>
            </w:r>
          </w:p>
        </w:tc>
      </w:tr>
      <w:tr>
        <w:trPr>
          <w:trHeight w:val="263"/>
        </w:trPr>
        <w:tc>
          <w:tcPr>
            <w:tcW w:w="26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1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November 29, 2021</w:t>
            </w:r>
          </w:p>
        </w:tc>
      </w:tr>
      <w:tr>
        <w:trPr>
          <w:trHeight w:val="243"/>
        </w:trPr>
        <w:tc>
          <w:tcPr>
            <w:tcW w:w="266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Member: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CTO Realty Growth, Inc., 100%</w:t>
            </w:r>
          </w:p>
        </w:tc>
      </w:tr>
      <w:tr>
        <w:trPr>
          <w:trHeight w:val="447"/>
        </w:trPr>
        <w:tc>
          <w:tcPr>
            <w:tcW w:w="60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CTO21 Carolina LLC (limited liability company)</w:t>
            </w:r>
          </w:p>
        </w:tc>
      </w:tr>
      <w:tr>
        <w:trPr>
          <w:trHeight w:val="250"/>
        </w:trPr>
        <w:tc>
          <w:tcPr>
            <w:tcW w:w="2060" w:type="dxa"/>
            <w:vAlign w:val="bottom"/>
            <w:tcBorders>
              <w:top w:val="single" w:sz="8" w:color="auto"/>
            </w:tcBorders>
            <w:gridSpan w:val="3"/>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6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tcPr>
          <w:p>
            <w:pPr>
              <w:ind w:left="180"/>
              <w:spacing w:after="0" w:line="249" w:lineRule="exact"/>
              <w:rPr>
                <w:sz w:val="20"/>
                <w:szCs w:val="20"/>
                <w:color w:val="auto"/>
              </w:rPr>
            </w:pPr>
            <w:r>
              <w:rPr>
                <w:rFonts w:ascii="Times New Roman" w:cs="Times New Roman" w:eastAsia="Times New Roman" w:hAnsi="Times New Roman"/>
                <w:sz w:val="22"/>
                <w:szCs w:val="22"/>
                <w:color w:val="auto"/>
              </w:rPr>
              <w:t>July 16, 2024</w:t>
            </w:r>
          </w:p>
        </w:tc>
      </w:tr>
      <w:tr>
        <w:trPr>
          <w:trHeight w:val="257"/>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Member: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CTO Realty Growth, Inc., 100%</w:t>
            </w:r>
          </w:p>
        </w:tc>
      </w:tr>
      <w:tr>
        <w:trPr>
          <w:trHeight w:val="447"/>
        </w:trPr>
        <w:tc>
          <w:tcPr>
            <w:tcW w:w="60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CTO24 Brandon LLC (limited liability company)</w:t>
            </w:r>
          </w:p>
        </w:tc>
      </w:tr>
      <w:tr>
        <w:trPr>
          <w:trHeight w:val="263"/>
        </w:trPr>
        <w:tc>
          <w:tcPr>
            <w:tcW w:w="2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Date of Formation:</w:t>
            </w:r>
          </w:p>
        </w:tc>
        <w:tc>
          <w:tcPr>
            <w:tcW w:w="60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July 16, 2024</w:t>
            </w:r>
          </w:p>
        </w:tc>
      </w:tr>
      <w:tr>
        <w:trPr>
          <w:trHeight w:val="243"/>
        </w:trPr>
        <w:tc>
          <w:tcPr>
            <w:tcW w:w="266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State of Formation:</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Member: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CTO Realty Growth, Inc., 100%</w:t>
            </w:r>
          </w:p>
        </w:tc>
      </w:tr>
      <w:tr>
        <w:trPr>
          <w:trHeight w:val="461"/>
        </w:trPr>
        <w:tc>
          <w:tcPr>
            <w:tcW w:w="60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CTO24 Millenia LLC (limited liability company)</w:t>
            </w:r>
          </w:p>
        </w:tc>
      </w:tr>
      <w:tr>
        <w:trPr>
          <w:trHeight w:val="250"/>
        </w:trPr>
        <w:tc>
          <w:tcPr>
            <w:tcW w:w="200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10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tcPr>
          <w:p>
            <w:pPr>
              <w:ind w:left="180"/>
              <w:spacing w:after="0" w:line="249" w:lineRule="exact"/>
              <w:rPr>
                <w:sz w:val="20"/>
                <w:szCs w:val="20"/>
                <w:color w:val="auto"/>
              </w:rPr>
            </w:pPr>
            <w:r>
              <w:rPr>
                <w:rFonts w:ascii="Times New Roman" w:cs="Times New Roman" w:eastAsia="Times New Roman" w:hAnsi="Times New Roman"/>
                <w:sz w:val="22"/>
                <w:szCs w:val="22"/>
                <w:color w:val="auto"/>
              </w:rPr>
              <w:t>July 16, 2024</w:t>
            </w:r>
          </w:p>
        </w:tc>
      </w:tr>
      <w:tr>
        <w:trPr>
          <w:trHeight w:val="257"/>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Member: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CTO Realty Growth, Inc., 100%</w:t>
            </w:r>
          </w:p>
        </w:tc>
      </w:tr>
      <w:tr>
        <w:trPr>
          <w:trHeight w:val="447"/>
        </w:trPr>
        <w:tc>
          <w:tcPr>
            <w:tcW w:w="60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CTO23 Rockwall LLC (limited liability company)</w:t>
            </w:r>
          </w:p>
        </w:tc>
      </w:tr>
      <w:tr>
        <w:trPr>
          <w:trHeight w:val="250"/>
        </w:trPr>
        <w:tc>
          <w:tcPr>
            <w:tcW w:w="2100" w:type="dxa"/>
            <w:vAlign w:val="bottom"/>
            <w:tcBorders>
              <w:top w:val="single" w:sz="8" w:color="auto"/>
            </w:tcBorders>
            <w:gridSpan w:val="4"/>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tcPr>
          <w:p>
            <w:pPr>
              <w:ind w:left="180"/>
              <w:spacing w:after="0" w:line="249" w:lineRule="exact"/>
              <w:rPr>
                <w:sz w:val="20"/>
                <w:szCs w:val="20"/>
                <w:color w:val="auto"/>
              </w:rPr>
            </w:pPr>
            <w:r>
              <w:rPr>
                <w:rFonts w:ascii="Times New Roman" w:cs="Times New Roman" w:eastAsia="Times New Roman" w:hAnsi="Times New Roman"/>
                <w:sz w:val="22"/>
                <w:szCs w:val="22"/>
                <w:color w:val="auto"/>
              </w:rPr>
              <w:t>May 4, 2023</w:t>
            </w:r>
          </w:p>
        </w:tc>
      </w:tr>
      <w:tr>
        <w:trPr>
          <w:trHeight w:val="257"/>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Member: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CTO Realty Growth, Inc., 100%</w:t>
            </w:r>
          </w:p>
        </w:tc>
      </w:tr>
      <w:tr>
        <w:trPr>
          <w:trHeight w:val="447"/>
        </w:trPr>
        <w:tc>
          <w:tcPr>
            <w:tcW w:w="60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CTO24 MSTC LLC (limited liability company)</w:t>
            </w:r>
          </w:p>
        </w:tc>
      </w:tr>
      <w:tr>
        <w:trPr>
          <w:trHeight w:val="250"/>
        </w:trPr>
        <w:tc>
          <w:tcPr>
            <w:tcW w:w="186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800" w:type="dxa"/>
            <w:vAlign w:val="bottom"/>
            <w:gridSpan w:val="4"/>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tcPr>
          <w:p>
            <w:pPr>
              <w:ind w:left="180"/>
              <w:spacing w:after="0" w:line="249" w:lineRule="exact"/>
              <w:rPr>
                <w:sz w:val="20"/>
                <w:szCs w:val="20"/>
                <w:color w:val="auto"/>
              </w:rPr>
            </w:pPr>
            <w:r>
              <w:rPr>
                <w:rFonts w:ascii="Times New Roman" w:cs="Times New Roman" w:eastAsia="Times New Roman" w:hAnsi="Times New Roman"/>
                <w:sz w:val="22"/>
                <w:szCs w:val="22"/>
                <w:color w:val="auto"/>
              </w:rPr>
              <w:t>February 15, 2024</w:t>
            </w:r>
          </w:p>
        </w:tc>
      </w:tr>
      <w:tr>
        <w:trPr>
          <w:trHeight w:val="257"/>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Member: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CTO Realty Growth, Inc., 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6.2 - 6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603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5460365" cy="260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17" w:name="page218"/>
    <w:bookmarkEnd w:id="217"/>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CTO23 Founders DAL LLC</w:t>
      </w:r>
      <w:r>
        <w:rPr>
          <w:rFonts w:ascii="Times New Roman" w:cs="Times New Roman" w:eastAsia="Times New Roman" w:hAnsi="Times New Roman"/>
          <w:sz w:val="22"/>
          <w:szCs w:val="22"/>
          <w:b w:val="1"/>
          <w:bCs w:val="1"/>
          <w:color w:val="auto"/>
        </w:rPr>
        <w:t xml:space="preserve"> (limited liability company)</w:t>
      </w:r>
    </w:p>
    <w:tbl>
      <w:tblPr>
        <w:tblLayout w:type="fixed"/>
        <w:tblInd w:w="200" w:type="dxa"/>
        <w:tblCellMar>
          <w:top w:w="0" w:type="dxa"/>
          <w:left w:w="0" w:type="dxa"/>
          <w:bottom w:w="0" w:type="dxa"/>
          <w:right w:w="0" w:type="dxa"/>
        </w:tblCellMar>
      </w:tblPr>
      <w:tr>
        <w:trPr>
          <w:trHeight w:val="251"/>
        </w:trPr>
        <w:tc>
          <w:tcPr>
            <w:tcW w:w="250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Date of Formation:</w:t>
            </w:r>
          </w:p>
        </w:tc>
        <w:tc>
          <w:tcPr>
            <w:tcW w:w="3560" w:type="dxa"/>
            <w:vAlign w:val="bottom"/>
          </w:tcPr>
          <w:p>
            <w:pPr>
              <w:ind w:left="740"/>
              <w:spacing w:after="0" w:line="250" w:lineRule="exact"/>
              <w:rPr>
                <w:sz w:val="20"/>
                <w:szCs w:val="20"/>
                <w:color w:val="auto"/>
              </w:rPr>
            </w:pPr>
            <w:r>
              <w:rPr>
                <w:rFonts w:ascii="Times New Roman" w:cs="Times New Roman" w:eastAsia="Times New Roman" w:hAnsi="Times New Roman"/>
                <w:sz w:val="22"/>
                <w:szCs w:val="22"/>
                <w:color w:val="auto"/>
              </w:rPr>
              <w:t>January 5, 2023</w:t>
            </w:r>
          </w:p>
        </w:tc>
      </w:tr>
      <w:tr>
        <w:trPr>
          <w:trHeight w:val="257"/>
        </w:trPr>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35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356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9"/>
              </w:rPr>
              <w:t>CTO Realty Growth, Inc., 100%</w:t>
            </w:r>
          </w:p>
        </w:tc>
      </w:tr>
      <w:tr>
        <w:trPr>
          <w:trHeight w:val="447"/>
        </w:trPr>
        <w:tc>
          <w:tcPr>
            <w:tcW w:w="60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CTO23 Forsyth Land LLC (limited liability company)</w:t>
            </w:r>
          </w:p>
        </w:tc>
      </w:tr>
      <w:tr>
        <w:trPr>
          <w:trHeight w:val="250"/>
        </w:trPr>
        <w:tc>
          <w:tcPr>
            <w:tcW w:w="2500" w:type="dxa"/>
            <w:vAlign w:val="bottom"/>
            <w:tcBorders>
              <w:top w:val="single" w:sz="8" w:color="auto"/>
            </w:tcBorders>
            <w:gridSpan w:val="2"/>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3560" w:type="dxa"/>
            <w:vAlign w:val="bottom"/>
          </w:tcPr>
          <w:p>
            <w:pPr>
              <w:ind w:left="740"/>
              <w:spacing w:after="0" w:line="249" w:lineRule="exact"/>
              <w:rPr>
                <w:sz w:val="20"/>
                <w:szCs w:val="20"/>
                <w:color w:val="auto"/>
              </w:rPr>
            </w:pPr>
            <w:r>
              <w:rPr>
                <w:rFonts w:ascii="Times New Roman" w:cs="Times New Roman" w:eastAsia="Times New Roman" w:hAnsi="Times New Roman"/>
                <w:sz w:val="22"/>
                <w:szCs w:val="22"/>
                <w:color w:val="auto"/>
              </w:rPr>
              <w:t>August 22, 2023</w:t>
            </w:r>
          </w:p>
        </w:tc>
      </w:tr>
      <w:tr>
        <w:trPr>
          <w:trHeight w:val="257"/>
        </w:trPr>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35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356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9"/>
              </w:rPr>
              <w:t>CTO Realty Growth, Inc., 100%</w:t>
            </w:r>
          </w:p>
        </w:tc>
      </w:tr>
      <w:tr>
        <w:trPr>
          <w:trHeight w:val="447"/>
        </w:trPr>
        <w:tc>
          <w:tcPr>
            <w:tcW w:w="60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CTO22 Forsyth LLC (limited liability company)</w:t>
            </w:r>
          </w:p>
        </w:tc>
      </w:tr>
      <w:tr>
        <w:trPr>
          <w:trHeight w:val="250"/>
        </w:trPr>
        <w:tc>
          <w:tcPr>
            <w:tcW w:w="196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Date of Formation:</w:t>
            </w:r>
          </w:p>
        </w:tc>
        <w:tc>
          <w:tcPr>
            <w:tcW w:w="540" w:type="dxa"/>
            <w:vAlign w:val="bottom"/>
          </w:tcPr>
          <w:p>
            <w:pPr>
              <w:spacing w:after="0"/>
              <w:rPr>
                <w:sz w:val="21"/>
                <w:szCs w:val="21"/>
                <w:color w:val="auto"/>
              </w:rPr>
            </w:pPr>
          </w:p>
        </w:tc>
        <w:tc>
          <w:tcPr>
            <w:tcW w:w="3560" w:type="dxa"/>
            <w:vAlign w:val="bottom"/>
          </w:tcPr>
          <w:p>
            <w:pPr>
              <w:ind w:left="740"/>
              <w:spacing w:after="0" w:line="249" w:lineRule="exact"/>
              <w:rPr>
                <w:sz w:val="20"/>
                <w:szCs w:val="20"/>
                <w:color w:val="auto"/>
              </w:rPr>
            </w:pPr>
            <w:r>
              <w:rPr>
                <w:rFonts w:ascii="Times New Roman" w:cs="Times New Roman" w:eastAsia="Times New Roman" w:hAnsi="Times New Roman"/>
                <w:sz w:val="22"/>
                <w:szCs w:val="22"/>
                <w:color w:val="auto"/>
              </w:rPr>
              <w:t>September 15, 2022</w:t>
            </w:r>
          </w:p>
        </w:tc>
      </w:tr>
      <w:tr>
        <w:trPr>
          <w:trHeight w:val="257"/>
        </w:trPr>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Formation:</w:t>
            </w:r>
          </w:p>
        </w:tc>
        <w:tc>
          <w:tcPr>
            <w:tcW w:w="35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Member:</w:t>
            </w:r>
          </w:p>
        </w:tc>
        <w:tc>
          <w:tcPr>
            <w:tcW w:w="356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CTO Realty Growth, Inc., 100%</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6.2 - 7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603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5460365" cy="260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6.6</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aterial</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dverse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9" w:name="page220"/>
    <w:bookmarkEnd w:id="21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6.11</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itigation</w:t>
      </w:r>
    </w:p>
    <w:p>
      <w:pPr>
        <w:spacing w:after="0" w:line="237"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This Schedule 6.11 is qualified in its entirety by reference to specific provisions of the Credit Agreement to which it relates, and to the extent such provisions contain representations and warranties, this Schedule 6.11 is intended to only qualify and shall not be deemed to expand in any way the scope or effect of any such representations and warranties. Capitalized terms used herein but not defined herein shall have the meanings ascribed to them in the Credit Agreement. Inclusion of information herein shall not be construed as an admission that such information is material to the Borrower or to any of the Subsidiaries. Matters reflected in this Schedule are not necessarily limited to matters required by the Credit Agreement to be reflected herein. Any such additional matters are included herein for informational purposes and do not necessarily include other matters of similar nature. Headings have been inserted herein for convenience of reference only and shall to no extent have the effect of amending or changing the express description of this Schedule in the Credit Agreement.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816610</wp:posOffset>
            </wp:positionV>
            <wp:extent cx="545211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6.17</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nvironmental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ssues</w:t>
      </w:r>
    </w:p>
    <w:p>
      <w:pPr>
        <w:spacing w:after="0" w:line="210"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This Schedule 6.17 is qualified in its entirety by reference to specific provisions of the Credit Agreement to which it relates, and to the extent such provisions contain representations and warranties, this Schedule 6.17 is intended to only qualify and shall not be deemed to expand in any way the scope or effect of any such representations and warranties. Capitalized terms used herein but not defined herein shall have the meanings ascribed to them in the Credit Agreement. Inclusion of information herein shall not be construed as an admission that such information is material to the Borrower or to any of the Subsidiaries. Matters reflected in this Schedule are not necessarily limited to matters required by the Credit Agreement to be reflected herein. Any such additional matters are included herein for informational purposes and do not necessarily include other matters of similar nature. Headings have been inserted herein for convenience of reference only and shall to no extent have the effect of amending or changing the express description of this Schedule in the Credit Agreement.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816610</wp:posOffset>
            </wp:positionV>
            <wp:extent cx="5452110"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21" w:name="page222"/>
    <w:bookmarkEnd w:id="22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8.7</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xisting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iens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22" w:name="page223"/>
    <w:bookmarkEnd w:id="222"/>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13" w:lineRule="exact"/>
        <w:rPr>
          <w:sz w:val="20"/>
          <w:szCs w:val="20"/>
          <w:color w:val="auto"/>
        </w:rPr>
      </w:pPr>
    </w:p>
    <w:p>
      <w:pPr>
        <w:jc w:val="center"/>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EXCLUDED FROM THE EXHIBIT BECAUSE IT IS BOTH NOT MATERIAL AND IS THE TYPE THAT THE REGISTRANT TREATS AS PRIVATE OR CONFIDENTIAL. REDACTED INFORMATION IS INDICATED BY [****].</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31" w:lineRule="exact"/>
        <w:rPr>
          <w:sz w:val="20"/>
          <w:szCs w:val="20"/>
          <w:color w:val="auto"/>
        </w:rPr>
      </w:pPr>
    </w:p>
    <w:p>
      <w:pPr>
        <w:jc w:val="both"/>
        <w:ind w:left="340" w:right="219" w:firstLine="518"/>
        <w:spacing w:after="0" w:line="247"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effective as of October 22, 2024, is entered into by and between CTO REALTY GROWTH, INC., a Maryland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LISA M. VORAKOUN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33" w:lineRule="exact"/>
        <w:rPr>
          <w:sz w:val="20"/>
          <w:szCs w:val="20"/>
          <w:color w:val="auto"/>
        </w:rPr>
      </w:pPr>
    </w:p>
    <w:p>
      <w:pPr>
        <w:jc w:val="both"/>
        <w:ind w:left="200" w:right="239" w:firstLine="648"/>
        <w:spacing w:after="0" w:line="239" w:lineRule="auto"/>
        <w:rPr>
          <w:sz w:val="20"/>
          <w:szCs w:val="20"/>
          <w:color w:val="auto"/>
        </w:rPr>
      </w:pPr>
      <w:r>
        <w:rPr>
          <w:rFonts w:ascii="Times New Roman" w:cs="Times New Roman" w:eastAsia="Times New Roman" w:hAnsi="Times New Roman"/>
          <w:sz w:val="22"/>
          <w:szCs w:val="22"/>
          <w:color w:val="auto"/>
        </w:rPr>
        <w:t>The Executive has been employed by the Company since January 7, 2013. The Executive originally served as the Company’s Controller, and currently serves as the Company’s Senior Vice President and Chief Accounting Officer. The Company and the Executive desire to agree on certain terms with respect to the Executive’s continued employment as set forth below.</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TERMS</w:t>
      </w:r>
    </w:p>
    <w:p>
      <w:pPr>
        <w:spacing w:after="0" w:line="233" w:lineRule="exact"/>
        <w:rPr>
          <w:sz w:val="20"/>
          <w:szCs w:val="20"/>
          <w:color w:val="auto"/>
        </w:rPr>
      </w:pPr>
    </w:p>
    <w:p>
      <w:pPr>
        <w:ind w:left="860" w:hanging="651"/>
        <w:spacing w:after="0"/>
        <w:tabs>
          <w:tab w:leader="none" w:pos="8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p>
    <w:p>
      <w:pPr>
        <w:spacing w:after="0" w:line="233"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Executive agrees to render the services specified in this Agreement subject to the terms and conditions of this Agreement. All compensation paid to the Executive by the Company, and all benefits and perquisites received by the Executive from the Company or any of its subsidiaries, will be aggregated in determining whether the Executive has received the compensation and benefits provided for herein.</w:t>
      </w:r>
    </w:p>
    <w:p>
      <w:pPr>
        <w:spacing w:after="0" w:line="208" w:lineRule="exact"/>
        <w:rPr>
          <w:rFonts w:ascii="Times New Roman" w:cs="Times New Roman" w:eastAsia="Times New Roman" w:hAnsi="Times New Roman"/>
          <w:sz w:val="22"/>
          <w:szCs w:val="22"/>
          <w:color w:val="auto"/>
        </w:rPr>
      </w:pPr>
    </w:p>
    <w:p>
      <w:pPr>
        <w:jc w:val="both"/>
        <w:ind w:left="1500" w:right="219" w:hanging="643"/>
        <w:spacing w:after="0" w:line="238" w:lineRule="auto"/>
        <w:tabs>
          <w:tab w:leader="none" w:pos="150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Duration</w:t>
      </w:r>
      <w:r>
        <w:rPr>
          <w:rFonts w:ascii="Times New Roman" w:cs="Times New Roman" w:eastAsia="Times New Roman" w:hAnsi="Times New Roman"/>
          <w:sz w:val="22"/>
          <w:szCs w:val="22"/>
          <w:color w:val="auto"/>
        </w:rPr>
        <w:t>. This Agreement is effective on the date it is fully executed and will remain in effect through the termination of the Executive’s employment pursuant to this Agreement (whether terminated by the Executive, the Company, or the written agreement of the parties hereto) (such period of employment, the “</w:t>
      </w:r>
      <w:r>
        <w:rPr>
          <w:rFonts w:ascii="Times New Roman" w:cs="Times New Roman" w:eastAsia="Times New Roman" w:hAnsi="Times New Roman"/>
          <w:sz w:val="22"/>
          <w:szCs w:val="22"/>
          <w:b w:val="1"/>
          <w:bCs w:val="1"/>
          <w:i w:val="1"/>
          <w:iCs w:val="1"/>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500" w:right="219" w:hanging="643"/>
        <w:spacing w:after="0" w:line="246" w:lineRule="auto"/>
        <w:tabs>
          <w:tab w:leader="none" w:pos="1500"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Duties</w:t>
      </w:r>
      <w:r>
        <w:rPr>
          <w:rFonts w:ascii="Times New Roman" w:cs="Times New Roman" w:eastAsia="Times New Roman" w:hAnsi="Times New Roman"/>
          <w:sz w:val="21"/>
          <w:szCs w:val="21"/>
          <w:color w:val="auto"/>
        </w:rPr>
        <w:t>. The Executive shall continue to serve as Senior Vice President and Chief Accounting Officer of the Company and of Alpine Income Property Trust, Inc. (“</w:t>
      </w:r>
      <w:r>
        <w:rPr>
          <w:rFonts w:ascii="Times New Roman" w:cs="Times New Roman" w:eastAsia="Times New Roman" w:hAnsi="Times New Roman"/>
          <w:sz w:val="21"/>
          <w:szCs w:val="21"/>
          <w:b w:val="1"/>
          <w:bCs w:val="1"/>
          <w:i w:val="1"/>
          <w:iCs w:val="1"/>
          <w:color w:val="auto"/>
        </w:rPr>
        <w:t>Alpine</w:t>
      </w:r>
      <w:r>
        <w:rPr>
          <w:rFonts w:ascii="Times New Roman" w:cs="Times New Roman" w:eastAsia="Times New Roman" w:hAnsi="Times New Roman"/>
          <w:sz w:val="21"/>
          <w:szCs w:val="21"/>
          <w:color w:val="auto"/>
        </w:rPr>
        <w:t>,” and collectively with the Company and each of their respective subsidiaries, the “</w:t>
      </w:r>
      <w:r>
        <w:rPr>
          <w:rFonts w:ascii="Times New Roman" w:cs="Times New Roman" w:eastAsia="Times New Roman" w:hAnsi="Times New Roman"/>
          <w:sz w:val="21"/>
          <w:szCs w:val="21"/>
          <w:b w:val="1"/>
          <w:bCs w:val="1"/>
          <w:i w:val="1"/>
          <w:iCs w:val="1"/>
          <w:color w:val="auto"/>
        </w:rPr>
        <w:t>Company Group</w:t>
      </w:r>
      <w:r>
        <w:rPr>
          <w:rFonts w:ascii="Times New Roman" w:cs="Times New Roman" w:eastAsia="Times New Roman" w:hAnsi="Times New Roman"/>
          <w:sz w:val="21"/>
          <w:szCs w:val="21"/>
          <w:color w:val="auto"/>
        </w:rPr>
        <w:t>”), with duties and responsibilities that are customary for such positions as directed by the President and Chief Executive Officer of the Company and other duties and responsibilities as may be assigned to the Executive from time to time by the President and Chief Executive Officer of the Company subject to approval of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To the extent the Board has authorized the Compensation Committee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3" w:name="page224"/>
    <w:bookmarkEnd w:id="223"/>
    <w:p>
      <w:pPr>
        <w:ind w:left="1500" w:right="239"/>
        <w:spacing w:after="0" w:line="262" w:lineRule="auto"/>
        <w:rPr>
          <w:sz w:val="20"/>
          <w:szCs w:val="20"/>
          <w:color w:val="auto"/>
        </w:rPr>
      </w:pPr>
      <w:r>
        <w:rPr>
          <w:rFonts w:ascii="Times New Roman" w:cs="Times New Roman" w:eastAsia="Times New Roman" w:hAnsi="Times New Roman"/>
          <w:sz w:val="22"/>
          <w:szCs w:val="22"/>
          <w:color w:val="auto"/>
        </w:rPr>
        <w:t>the Board (the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to act on its behalf, references to the Board herein will also be deemed to include the Committee.</w:t>
      </w:r>
    </w:p>
    <w:p>
      <w:pPr>
        <w:spacing w:after="0" w:line="181" w:lineRule="exact"/>
        <w:rPr>
          <w:sz w:val="20"/>
          <w:szCs w:val="20"/>
          <w:color w:val="auto"/>
        </w:rPr>
      </w:pPr>
    </w:p>
    <w:p>
      <w:pPr>
        <w:jc w:val="both"/>
        <w:ind w:left="1500" w:right="219" w:hanging="643"/>
        <w:spacing w:after="0" w:line="233" w:lineRule="auto"/>
        <w:tabs>
          <w:tab w:leader="none" w:pos="150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Full-Time Employment</w:t>
      </w:r>
      <w:r>
        <w:rPr>
          <w:rFonts w:ascii="Times New Roman" w:cs="Times New Roman" w:eastAsia="Times New Roman" w:hAnsi="Times New Roman"/>
          <w:sz w:val="22"/>
          <w:szCs w:val="22"/>
          <w:color w:val="auto"/>
        </w:rPr>
        <w:t>. The Executive agrees to devote her full time and best efforts to the successful functioning of the Company and agrees that she will faithfully and industriously perform all the duties pertaining to her office and position as Senior Vice President and Chief Accounting Officer of the Company and of Alpine in accordance with the policies established by the President and Chief Executive Officer of the Company from time to time, to the best of her ability, experience and talent and in a manner satisfactory to the Company. Further, the Executive shall devote her full business time and energy to the business, affairs and interests of the Company Group, and matters related thereto. It is understood that the principal location of the Executive’s employment with the Company will be at the Company’s offices in Daytona Beach, Florida. During the Employment Period, the Executive agrees to maintain her primary residence within a seventy-five (75) mile radius of Daytona Beach, Florida, or Winter Park, Florida, so long as the Company maintains offices in such locations.</w:t>
      </w:r>
    </w:p>
    <w:p>
      <w:pPr>
        <w:spacing w:after="0" w:line="206"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Permissible Activities</w:t>
      </w:r>
      <w:r>
        <w:rPr>
          <w:rFonts w:ascii="Times New Roman" w:cs="Times New Roman" w:eastAsia="Times New Roman" w:hAnsi="Times New Roman"/>
          <w:sz w:val="22"/>
          <w:szCs w:val="22"/>
          <w:color w:val="auto"/>
        </w:rPr>
        <w:t xml:space="preserve">. The Executive may also make and manage personal business investments of her choice and serve in any capacity with any civic, educational or charitable organization, or any governmental entity or trade association, without seeking or obtaining approval by the Company so long as such activities and service do not interfere or conflict with the performance of her duties under this Agreement or otherwise constitute a breach of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Executive acknowledges that she shall be subject to, and comply with, the policies, standards and regulations established from time to time by the Company, including the Company’s Code of Business Conduct and Ethics (including the provisions with respect to corporate opportunities).</w:t>
      </w:r>
    </w:p>
    <w:p>
      <w:pPr>
        <w:spacing w:after="0" w:line="206"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Expenses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Executive will be paid a base salary at an annualized rate of</w:t>
      </w:r>
    </w:p>
    <w:p>
      <w:pPr>
        <w:spacing w:after="0" w:line="14" w:lineRule="exact"/>
        <w:rPr>
          <w:rFonts w:ascii="Times New Roman" w:cs="Times New Roman" w:eastAsia="Times New Roman" w:hAnsi="Times New Roman"/>
          <w:sz w:val="22"/>
          <w:szCs w:val="22"/>
          <w:color w:val="auto"/>
        </w:rPr>
      </w:pPr>
    </w:p>
    <w:p>
      <w:pPr>
        <w:ind w:left="1500" w:right="43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$275,000 (the “</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 payable in accordance with the Company’s payroll practices as in effect from time to time and applicable wage payment laws.</w:t>
      </w:r>
    </w:p>
    <w:p>
      <w:pPr>
        <w:spacing w:after="0" w:line="185"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highlight w:val="white"/>
        </w:rPr>
        <w:t>.</w:t>
      </w:r>
    </w:p>
    <w:p>
      <w:pPr>
        <w:spacing w:after="0" w:line="233" w:lineRule="exact"/>
        <w:rPr>
          <w:rFonts w:ascii="Times New Roman" w:cs="Times New Roman" w:eastAsia="Times New Roman" w:hAnsi="Times New Roman"/>
          <w:sz w:val="22"/>
          <w:szCs w:val="22"/>
          <w:color w:val="auto"/>
        </w:rPr>
      </w:pPr>
    </w:p>
    <w:p>
      <w:pPr>
        <w:jc w:val="both"/>
        <w:ind w:left="1500" w:right="219" w:hanging="643"/>
        <w:spacing w:after="0" w:line="246" w:lineRule="auto"/>
        <w:tabs>
          <w:tab w:leader="none" w:pos="150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Incentive Compensation</w:t>
      </w:r>
      <w:r>
        <w:rPr>
          <w:rFonts w:ascii="Times New Roman" w:cs="Times New Roman" w:eastAsia="Times New Roman" w:hAnsi="Times New Roman"/>
          <w:sz w:val="21"/>
          <w:szCs w:val="21"/>
          <w:color w:val="auto"/>
        </w:rPr>
        <w:t>. For each fiscal year ending during her employment, the Executive will be eligible to participate in, and earn annual incentive compensation pursuant to, the Company’s Amended 2017 Executive Annual Cash Incentive Plan (the “</w:t>
      </w:r>
      <w:r>
        <w:rPr>
          <w:rFonts w:ascii="Times New Roman" w:cs="Times New Roman" w:eastAsia="Times New Roman" w:hAnsi="Times New Roman"/>
          <w:sz w:val="21"/>
          <w:szCs w:val="21"/>
          <w:b w:val="1"/>
          <w:bCs w:val="1"/>
          <w:i w:val="1"/>
          <w:iCs w:val="1"/>
          <w:color w:val="auto"/>
        </w:rPr>
        <w:t>Annual Incentive Plan</w:t>
      </w:r>
      <w:r>
        <w:rPr>
          <w:rFonts w:ascii="Times New Roman" w:cs="Times New Roman" w:eastAsia="Times New Roman" w:hAnsi="Times New Roman"/>
          <w:sz w:val="21"/>
          <w:szCs w:val="21"/>
          <w:color w:val="auto"/>
        </w:rPr>
        <w:t>”), payable in accordance with the terms and conditions of the Annual Incentive Plan and payroll practices as in effect from time to time. Amounts paid under the Annual Incentive Plan are typically paid after the Company’s final audit in February of each year. The Executive’s Individual Target Opportunity (as defined in the Annual Incentive Plan) under the Annual Incentive Plan for 2024 will be 75% of the Executive’s then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4" w:name="page225"/>
    <w:bookmarkEnd w:id="224"/>
    <w:p>
      <w:pPr>
        <w:jc w:val="both"/>
        <w:ind w:left="1500" w:right="219"/>
        <w:spacing w:after="0" w:line="235" w:lineRule="auto"/>
        <w:rPr>
          <w:sz w:val="20"/>
          <w:szCs w:val="20"/>
          <w:color w:val="auto"/>
        </w:rPr>
      </w:pPr>
      <w:r>
        <w:rPr>
          <w:rFonts w:ascii="Times New Roman" w:cs="Times New Roman" w:eastAsia="Times New Roman" w:hAnsi="Times New Roman"/>
          <w:sz w:val="22"/>
          <w:szCs w:val="22"/>
          <w:color w:val="auto"/>
        </w:rPr>
        <w:t>current Base Salary, with “threshold”, “target” and “maximum” Multipliers (as defined in the Annual Incentive Plan) for 2024 of 50%, 100% and 200% of the Individual Target Opportunity (as defined in the Annual Incentive Plan), all as set forth under the Annual Incentive Plan. The annual incentive compensation payable to the Executive will be determined by the Board, based on the attainment of corporate and individual performance goals as determined by the Board and consistent with the terms and conditions of the Annual Incentive Plan, and may be paid in cash or in a combination of cash and equity incentive awards.</w:t>
      </w:r>
    </w:p>
    <w:p>
      <w:pPr>
        <w:spacing w:after="0" w:line="206" w:lineRule="exact"/>
        <w:rPr>
          <w:sz w:val="20"/>
          <w:szCs w:val="20"/>
          <w:color w:val="auto"/>
        </w:rPr>
      </w:pPr>
    </w:p>
    <w:p>
      <w:pPr>
        <w:jc w:val="both"/>
        <w:ind w:left="1500" w:right="219" w:hanging="643"/>
        <w:spacing w:after="0" w:line="233"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xml:space="preserve">. During her employment with the Company, the Executive has received certain equity awards under the Company’s 2010 Equity Incentive Plan, as amended from time to time, which existing equity awards are more fully described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In addition, for each fiscal year beginning with the fiscal year ending December 31, 2025, the Executive will be eligible to receive an award of long-term equity incentive compensation, to be granted in accordance with the Company’s executive compensation program in effect from time to time. Such awards typically will be granted near the commencement of each fiscal year under the Company’s equity incentive plan in effect from time to time pursuant to separate written agreements between the Executive and the Company (each such award agreement, including any existing award agreement listed on Schedule A, being an “</w:t>
      </w:r>
      <w:r>
        <w:rPr>
          <w:rFonts w:ascii="Times New Roman" w:cs="Times New Roman" w:eastAsia="Times New Roman" w:hAnsi="Times New Roman"/>
          <w:sz w:val="22"/>
          <w:szCs w:val="22"/>
          <w:b w:val="1"/>
          <w:bCs w:val="1"/>
          <w:i w:val="1"/>
          <w:iCs w:val="1"/>
          <w:color w:val="auto"/>
        </w:rPr>
        <w:t>LTIP Award Agreement</w:t>
      </w:r>
      <w:r>
        <w:rPr>
          <w:rFonts w:ascii="Times New Roman" w:cs="Times New Roman" w:eastAsia="Times New Roman" w:hAnsi="Times New Roman"/>
          <w:sz w:val="22"/>
          <w:szCs w:val="22"/>
          <w:color w:val="auto"/>
        </w:rPr>
        <w:t>”).</w:t>
      </w:r>
    </w:p>
    <w:p>
      <w:pPr>
        <w:spacing w:after="0" w:line="211" w:lineRule="exact"/>
        <w:rPr>
          <w:rFonts w:ascii="Times New Roman" w:cs="Times New Roman" w:eastAsia="Times New Roman" w:hAnsi="Times New Roman"/>
          <w:sz w:val="22"/>
          <w:szCs w:val="22"/>
          <w:color w:val="auto"/>
        </w:rPr>
      </w:pPr>
    </w:p>
    <w:p>
      <w:pPr>
        <w:jc w:val="both"/>
        <w:ind w:left="1500" w:right="219" w:hanging="643"/>
        <w:spacing w:after="0" w:line="235"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will reimburse, or advance funds to, the Executive for all reasonable, ordinary and necessary travel or entertainment expenses incurred by the Executive in the course of the performance of her duties as an executive officer of the Company during the term of her employment in accordance with the Company’s then-current expense reimbursement policy applicable to senior executives of the Company (the “</w:t>
      </w:r>
      <w:r>
        <w:rPr>
          <w:rFonts w:ascii="Times New Roman" w:cs="Times New Roman" w:eastAsia="Times New Roman" w:hAnsi="Times New Roman"/>
          <w:sz w:val="22"/>
          <w:szCs w:val="22"/>
          <w:b w:val="1"/>
          <w:bCs w:val="1"/>
          <w:i w:val="1"/>
          <w:iCs w:val="1"/>
          <w:color w:val="auto"/>
        </w:rPr>
        <w:t>Expense Reimbursements</w:t>
      </w:r>
      <w:r>
        <w:rPr>
          <w:rFonts w:ascii="Times New Roman" w:cs="Times New Roman" w:eastAsia="Times New Roman" w:hAnsi="Times New Roman"/>
          <w:sz w:val="22"/>
          <w:szCs w:val="22"/>
          <w:color w:val="auto"/>
        </w:rPr>
        <w:t>”). The Executive acknowledges that such expenses will not include the expense incurred for the Executive’s daily commute to and from the Company’s corporate offices.</w:t>
      </w:r>
    </w:p>
    <w:p>
      <w:pPr>
        <w:spacing w:after="0" w:line="205"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This Agreement is subject to any written clawback policies that the Company or Alpine has adopted or may adopt to the extent not prohibited by applicable law. Any such policy may subject the Executive’s compensation and amounts paid or realized under this Agreement and any other compensation (whether or not such other compensation is “incentive-based compensation” as defined in such policy) to which the Executive is owed or entitled to outside of this Agreement, to reduction, cancelation, forfeiture or recoupment if certain specified events or wrongful conduct occur, including but not limited to an accounting restatement due to the Company’s or Alpine’s material noncompliance with financial reporting regulations or other events or wrongful conduct specified in any such clawback policy adopted by the Company or Alpine, including any policy to conform to the Dodd-Frank Wall Street Reform and Consumer Protection Act of 2010 and rules promulgated thereunder by the Securities and Exchange Commission and that the Company or Alpine determines should apply to this Agreement and all such applicable compensation.</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25" w:name="page226"/>
    <w:bookmarkEnd w:id="225"/>
    <w:p>
      <w:pPr>
        <w:ind w:left="860" w:hanging="651"/>
        <w:spacing w:after="0"/>
        <w:tabs>
          <w:tab w:leader="none" w:pos="8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 Program</w:t>
      </w:r>
      <w:r>
        <w:rPr>
          <w:rFonts w:ascii="Times New Roman" w:cs="Times New Roman" w:eastAsia="Times New Roman" w:hAnsi="Times New Roman"/>
          <w:sz w:val="22"/>
          <w:szCs w:val="22"/>
          <w:color w:val="auto"/>
        </w:rPr>
        <w:t xml:space="preserve">. In addition to the compensation to which the Executive is entitled pursuant to the provisions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Agreement, during the term of her employment, the Executive is eligible to participate in any retirement plan, insurance or other employee benefit plan that is maintained at that time by the Company for its senior executive employees, including programs of life, disability, medical, dental and vision insurance, subject to the provisions of such plans as may be in effect from time to time and applicable law. The Company reserves the right to modify, suspend or terminate any of its employee benefit plans or programs at any time in its sole discretion, subject to the terms of such employee benefit plan or program and applicable law.</w:t>
      </w:r>
    </w:p>
    <w:p>
      <w:pPr>
        <w:spacing w:after="0" w:line="206" w:lineRule="exact"/>
        <w:rPr>
          <w:rFonts w:ascii="Times New Roman" w:cs="Times New Roman" w:eastAsia="Times New Roman" w:hAnsi="Times New Roman"/>
          <w:sz w:val="22"/>
          <w:szCs w:val="22"/>
          <w:color w:val="auto"/>
        </w:rPr>
      </w:pPr>
    </w:p>
    <w:p>
      <w:pPr>
        <w:jc w:val="both"/>
        <w:ind w:left="1500" w:right="239" w:hanging="643"/>
        <w:spacing w:after="0" w:line="238" w:lineRule="auto"/>
        <w:tabs>
          <w:tab w:leader="none" w:pos="150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The Executive shall be entitled to twenty (20) days per calendar year of paid vacation; provided, that (i) any unused vacation days shall be forfeited at the end of each year if not fully utilized in that year, and (ii) the Company shall not pay the Executive for any accrued but unused vacation days upon any termination of employment.</w:t>
      </w:r>
    </w:p>
    <w:p>
      <w:pPr>
        <w:spacing w:after="0" w:line="203" w:lineRule="exact"/>
        <w:rPr>
          <w:rFonts w:ascii="Times New Roman" w:cs="Times New Roman" w:eastAsia="Times New Roman" w:hAnsi="Times New Roman"/>
          <w:sz w:val="22"/>
          <w:szCs w:val="22"/>
          <w:color w:val="auto"/>
        </w:rPr>
      </w:pPr>
    </w:p>
    <w:p>
      <w:pPr>
        <w:jc w:val="both"/>
        <w:ind w:left="1500" w:right="219" w:hanging="643"/>
        <w:spacing w:after="0" w:line="247" w:lineRule="auto"/>
        <w:tabs>
          <w:tab w:leader="none" w:pos="1500"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xml:space="preserve">. The Company shall, at all times during which the Executive may be subject to liability for her acts and omissions to act occurring while serving as an officer, indemnify the Executive and hold her harmless (including advances of attorneys’ fees and expenses) to the maximum extent permitted under the Company’s certificate of incorporation, by-laws and applicable law. The Executive shall be covered as an insured under any contract of directors’ and officers’ liability insurance that insures members of the Board. This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shall survive a termination of the Executive’s employment and any termination of this Agreement.</w:t>
      </w:r>
    </w:p>
    <w:p>
      <w:pPr>
        <w:spacing w:after="0" w:line="198"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The Company may terminate the Executive’s employment pursuant to this Agreement at any time for Cause and the termination will become effective immediately at the time the Company provides written notice to the Executive. If the Company decides to terminate the Executive’s employment under this Agreement for Cause, the Company will have no further obligations to make any payments to the Executive under this Agreement, except that the Executive will receive any unpaid accrued Base Salary, Expense Reimbursements, and other benefits earned and accrued under this Agreement through the date of termination of employment. Upon termination for Cause, the Executive will not be entitled to receive any future annual bonus payments or any amount or any consideration or benefit payable under the Annual Incentive Plan, any equity incentive plan, or any LTIP Award Agreement (notwithstanding any provision to the contrary contained therein) other than those becoming due and payable prior to the termination date. For purposes of this Agreement, the term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will mean: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6" w:name="page227"/>
    <w:bookmarkEnd w:id="226"/>
    <w:p>
      <w:pPr>
        <w:jc w:val="both"/>
        <w:ind w:left="2160" w:right="219" w:hanging="655"/>
        <w:spacing w:after="0" w:line="263" w:lineRule="auto"/>
        <w:tabs>
          <w:tab w:leader="none" w:pos="2160"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Executive’s arrest or conviction for,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or admission of the commission of, any act of fraud, misappropriation, or embezzlement, or a criminal felony involving dishonesty or moral turpitude;</w:t>
      </w:r>
    </w:p>
    <w:p>
      <w:pPr>
        <w:spacing w:after="0" w:line="180" w:lineRule="exact"/>
        <w:rPr>
          <w:rFonts w:ascii="Times New Roman" w:cs="Times New Roman" w:eastAsia="Times New Roman" w:hAnsi="Times New Roman"/>
          <w:sz w:val="21"/>
          <w:szCs w:val="21"/>
          <w:color w:val="auto"/>
        </w:rPr>
      </w:pPr>
    </w:p>
    <w:p>
      <w:pPr>
        <w:jc w:val="both"/>
        <w:ind w:left="2160" w:right="219" w:hanging="655"/>
        <w:spacing w:after="0" w:line="239" w:lineRule="auto"/>
        <w:tabs>
          <w:tab w:leader="none" w:pos="216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by the Executive of any material provision of this Agreement, provided that the Executive is given reasonable notice of, and a reasonable opportunity to cure within thirty (30) days of such notice (if such breach is curable), any such breach;</w:t>
      </w:r>
    </w:p>
    <w:p>
      <w:pPr>
        <w:spacing w:after="0" w:line="207" w:lineRule="exact"/>
        <w:rPr>
          <w:rFonts w:ascii="Times New Roman" w:cs="Times New Roman" w:eastAsia="Times New Roman" w:hAnsi="Times New Roman"/>
          <w:sz w:val="22"/>
          <w:szCs w:val="22"/>
          <w:color w:val="auto"/>
        </w:rPr>
      </w:pPr>
    </w:p>
    <w:p>
      <w:pPr>
        <w:ind w:left="2160" w:right="239" w:hanging="655"/>
        <w:spacing w:after="0" w:line="258" w:lineRule="auto"/>
        <w:tabs>
          <w:tab w:leader="none" w:pos="216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intentional omission by the Executive involving dishonesty or moral turpitude;</w:t>
      </w:r>
    </w:p>
    <w:p>
      <w:pPr>
        <w:spacing w:after="0" w:line="185" w:lineRule="exact"/>
        <w:rPr>
          <w:rFonts w:ascii="Times New Roman" w:cs="Times New Roman" w:eastAsia="Times New Roman" w:hAnsi="Times New Roman"/>
          <w:sz w:val="22"/>
          <w:szCs w:val="22"/>
          <w:color w:val="auto"/>
        </w:rPr>
      </w:pPr>
    </w:p>
    <w:p>
      <w:pPr>
        <w:jc w:val="both"/>
        <w:ind w:left="2160" w:right="219" w:hanging="655"/>
        <w:spacing w:after="0" w:line="238" w:lineRule="auto"/>
        <w:tabs>
          <w:tab w:leader="none" w:pos="216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material failure to adequately perform her duties and responsibilities as such duties and responsibilities are, from time to time, in the Company’s discretion, determined and after reasonable notice of, and a reasonable opportunity to cure within thirty (30) days of such notice (if such breach is curable), any such breach;</w:t>
      </w:r>
    </w:p>
    <w:p>
      <w:pPr>
        <w:spacing w:after="0" w:line="203" w:lineRule="exact"/>
        <w:rPr>
          <w:rFonts w:ascii="Times New Roman" w:cs="Times New Roman" w:eastAsia="Times New Roman" w:hAnsi="Times New Roman"/>
          <w:sz w:val="22"/>
          <w:szCs w:val="22"/>
          <w:color w:val="auto"/>
        </w:rPr>
      </w:pPr>
    </w:p>
    <w:p>
      <w:pPr>
        <w:ind w:left="2160" w:right="239" w:hanging="655"/>
        <w:spacing w:after="0" w:line="258" w:lineRule="auto"/>
        <w:tabs>
          <w:tab w:leader="none" w:pos="216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intentional independent act by the Executive that would cause the Company significant reputational injury; or</w:t>
      </w:r>
    </w:p>
    <w:p>
      <w:pPr>
        <w:spacing w:after="0" w:line="185" w:lineRule="exact"/>
        <w:rPr>
          <w:rFonts w:ascii="Times New Roman" w:cs="Times New Roman" w:eastAsia="Times New Roman" w:hAnsi="Times New Roman"/>
          <w:sz w:val="22"/>
          <w:szCs w:val="22"/>
          <w:color w:val="auto"/>
        </w:rPr>
      </w:pPr>
    </w:p>
    <w:p>
      <w:pPr>
        <w:jc w:val="both"/>
        <w:ind w:left="2160" w:right="219" w:hanging="655"/>
        <w:spacing w:after="0" w:line="238" w:lineRule="auto"/>
        <w:tabs>
          <w:tab w:leader="none" w:pos="216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Past or future conduct of the Executive, inconsistent with the Executive’s reputation at the time this Agreement is executed, which comes to light and results in sustained, widespread public condemnation of the Executive that reasonably could be expected to cause adverse publicity or economic injury to the Company.</w:t>
      </w:r>
    </w:p>
    <w:p>
      <w:pPr>
        <w:spacing w:after="0" w:line="203"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xml:space="preserve">. This Agreement and the Company’s obligations under this Agreement will terminate upon the death or total disability of the Executive. For purposes of this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total disability</w:t>
      </w:r>
      <w:r>
        <w:rPr>
          <w:rFonts w:ascii="Times New Roman" w:cs="Times New Roman" w:eastAsia="Times New Roman" w:hAnsi="Times New Roman"/>
          <w:sz w:val="21"/>
          <w:szCs w:val="21"/>
          <w:color w:val="auto"/>
        </w:rPr>
        <w:t xml:space="preserve">” means that, for a period of six (6) consecutive months, the Executive is incapable of substantially fulfilling the duties set forth in this Agreement because of physical, mental or emotional incapacity as determined by an independent physician mutually acceptable to the Company and the Executive (or her legal representative). If this Agreement terminates due to the death or total disability of the Executive, the Company will pay the Executive (or her legal representative, as applicable) any unpaid accrued Base Salary, Expense Reimbursements, and other benefits earned and accrued under this Agreement through the date of termination of employment (or, if terminated as a result of a total disability, until the date upon which any disability policy maintained pursuant to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begins payment of benefits) plus any other compensation that may be earned and unpaid, including any amount earned as of the termination date under the Annual Incentive Plan or any LTIP Award Agreement.</w:t>
      </w:r>
    </w:p>
    <w:p>
      <w:pPr>
        <w:spacing w:after="0" w:line="205" w:lineRule="exact"/>
        <w:rPr>
          <w:rFonts w:ascii="Times New Roman" w:cs="Times New Roman" w:eastAsia="Times New Roman" w:hAnsi="Times New Roman"/>
          <w:sz w:val="21"/>
          <w:szCs w:val="21"/>
          <w:color w:val="auto"/>
        </w:rPr>
      </w:pPr>
    </w:p>
    <w:p>
      <w:pPr>
        <w:ind w:left="1500" w:right="239" w:hanging="643"/>
        <w:spacing w:after="0" w:line="282" w:lineRule="auto"/>
        <w:tabs>
          <w:tab w:leader="none" w:pos="150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Termination</w:t>
      </w:r>
      <w:r>
        <w:rPr>
          <w:rFonts w:ascii="Times New Roman" w:cs="Times New Roman" w:eastAsia="Times New Roman" w:hAnsi="Times New Roman"/>
          <w:sz w:val="21"/>
          <w:szCs w:val="21"/>
          <w:color w:val="auto"/>
        </w:rPr>
        <w:t>. The Executive may elect to terminate this Agreement by delivering written notice to the Company sixty (60) days prior to the date on which</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7" w:name="page228"/>
    <w:bookmarkEnd w:id="227"/>
    <w:p>
      <w:pPr>
        <w:jc w:val="both"/>
        <w:ind w:left="1500" w:right="219"/>
        <w:spacing w:after="0" w:line="244" w:lineRule="auto"/>
        <w:rPr>
          <w:sz w:val="20"/>
          <w:szCs w:val="20"/>
          <w:color w:val="auto"/>
        </w:rPr>
      </w:pPr>
      <w:r>
        <w:rPr>
          <w:rFonts w:ascii="Times New Roman" w:cs="Times New Roman" w:eastAsia="Times New Roman" w:hAnsi="Times New Roman"/>
          <w:sz w:val="21"/>
          <w:szCs w:val="21"/>
          <w:color w:val="auto"/>
        </w:rPr>
        <w:t>termination is elected; provided, however, that in the event of such termination, the Company may, at its option, elect to accelerate the date of such termination to an earlier date. If the Executive voluntarily terminates her employment, the Company will have no further obligations to make payments under this Agreement, except that the Company will pay to the Executive any unpaid accrued Base Salary, Expense Reimbursements, and other benefits earned and accrued under this Agreement through the first to occur of (i) the date the Executive voluntarily elects to terminate her employment or (ii) the date the Company elects to accelerate the date of such termination (the first to occur of (i) and (ii), the “Voluntary Termination Date”). The Executive will not be entitled to receive any future annual bonus payments or any amount or any consideration or benefit under the Annual Incentive Plan, any equity incentive plan, or any LTIP Award Agreement (notwithstanding any provision to the contrary contained therein) other than those becoming due and payable prior to the Voluntary Termination Date.</w:t>
      </w:r>
    </w:p>
    <w:p>
      <w:pPr>
        <w:spacing w:after="0" w:line="208" w:lineRule="exact"/>
        <w:rPr>
          <w:sz w:val="20"/>
          <w:szCs w:val="20"/>
          <w:color w:val="auto"/>
        </w:rPr>
      </w:pPr>
    </w:p>
    <w:p>
      <w:pPr>
        <w:ind w:left="1500" w:hanging="643"/>
        <w:spacing w:after="0"/>
        <w:tabs>
          <w:tab w:leader="none" w:pos="15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160" w:right="219" w:hanging="655"/>
        <w:spacing w:after="0" w:line="258" w:lineRule="auto"/>
        <w:tabs>
          <w:tab w:leader="none" w:pos="216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the Executive’s employment pursuant to this Agreement at any time upon written notice to the Executive.</w:t>
      </w:r>
    </w:p>
    <w:p>
      <w:pPr>
        <w:spacing w:after="0" w:line="185" w:lineRule="exact"/>
        <w:rPr>
          <w:rFonts w:ascii="Times New Roman" w:cs="Times New Roman" w:eastAsia="Times New Roman" w:hAnsi="Times New Roman"/>
          <w:sz w:val="22"/>
          <w:szCs w:val="22"/>
          <w:color w:val="auto"/>
        </w:rPr>
      </w:pPr>
    </w:p>
    <w:p>
      <w:pPr>
        <w:jc w:val="both"/>
        <w:ind w:left="2160" w:right="219" w:hanging="655"/>
        <w:spacing w:after="0" w:line="238" w:lineRule="auto"/>
        <w:tabs>
          <w:tab w:leader="none" w:pos="216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outside of the Change in Control Period (as defined below) for any reason other than by death, total disability, for Cause, or due to the Executive’s voluntary termination of employment, the Company will have no further obligation to make payments under this Agreement, except as follows:</w:t>
      </w:r>
    </w:p>
    <w:p>
      <w:pPr>
        <w:spacing w:after="0" w:line="203" w:lineRule="exact"/>
        <w:rPr>
          <w:rFonts w:ascii="Times New Roman" w:cs="Times New Roman" w:eastAsia="Times New Roman" w:hAnsi="Times New Roman"/>
          <w:sz w:val="22"/>
          <w:szCs w:val="22"/>
          <w:color w:val="auto"/>
        </w:rPr>
      </w:pPr>
    </w:p>
    <w:p>
      <w:pPr>
        <w:jc w:val="both"/>
        <w:ind w:left="2800" w:right="219" w:hanging="647"/>
        <w:spacing w:after="0" w:line="238" w:lineRule="auto"/>
        <w:tabs>
          <w:tab w:leader="none" w:pos="2800"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but unpaid Base Salary through the date of termination, which will be paid on the pay date immediately following the date of the Executive’s termination in accordance with the Company’s customary payroll procedures or earlier if required by applicable law;</w:t>
      </w:r>
    </w:p>
    <w:p>
      <w:pPr>
        <w:spacing w:after="0" w:line="203" w:lineRule="exact"/>
        <w:rPr>
          <w:rFonts w:ascii="Times New Roman" w:cs="Times New Roman" w:eastAsia="Times New Roman" w:hAnsi="Times New Roman"/>
          <w:sz w:val="22"/>
          <w:szCs w:val="22"/>
          <w:color w:val="auto"/>
        </w:rPr>
      </w:pPr>
    </w:p>
    <w:p>
      <w:pPr>
        <w:jc w:val="both"/>
        <w:ind w:left="2800" w:right="219" w:hanging="647"/>
        <w:spacing w:after="0" w:line="239" w:lineRule="auto"/>
        <w:tabs>
          <w:tab w:leader="none" w:pos="2800"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for unreimbursed business expenses properly incurred by the Executive prior to termination, which will be subject to and paid in accordance with the Company’s expense reimbursement policy and this Agreement;</w:t>
      </w:r>
    </w:p>
    <w:p>
      <w:pPr>
        <w:spacing w:after="0" w:line="207" w:lineRule="exact"/>
        <w:rPr>
          <w:rFonts w:ascii="Times New Roman" w:cs="Times New Roman" w:eastAsia="Times New Roman" w:hAnsi="Times New Roman"/>
          <w:sz w:val="22"/>
          <w:szCs w:val="22"/>
          <w:color w:val="auto"/>
        </w:rPr>
      </w:pPr>
    </w:p>
    <w:p>
      <w:pPr>
        <w:jc w:val="both"/>
        <w:ind w:left="2800" w:right="219" w:hanging="647"/>
        <w:spacing w:after="0" w:line="244" w:lineRule="auto"/>
        <w:tabs>
          <w:tab w:leader="none" w:pos="2800"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employee benefits to which the Executive may be entitled under any of the employee benefit plans or policies of the Company as of the date of the Executive’s termination; and</w:t>
      </w:r>
    </w:p>
    <w:p>
      <w:pPr>
        <w:spacing w:after="0" w:line="200"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set forth in any equity incentive award.</w:t>
      </w:r>
    </w:p>
    <w:p>
      <w:pPr>
        <w:spacing w:after="0" w:line="233"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280G</w:t>
      </w:r>
      <w:r>
        <w:rPr>
          <w:rFonts w:ascii="Times New Roman" w:cs="Times New Roman" w:eastAsia="Times New Roman" w:hAnsi="Times New Roman"/>
          <w:sz w:val="22"/>
          <w:szCs w:val="22"/>
          <w:color w:val="auto"/>
        </w:rPr>
        <w:t>. The Executive and the Company will work together in good faith to reduce or eliminate the impact, if any, of Section 280G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To that effect, if</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28" w:name="page229"/>
    <w:bookmarkEnd w:id="228"/>
    <w:p>
      <w:pPr>
        <w:jc w:val="both"/>
        <w:ind w:left="1500" w:right="219"/>
        <w:spacing w:after="0" w:line="245" w:lineRule="auto"/>
        <w:rPr>
          <w:sz w:val="20"/>
          <w:szCs w:val="20"/>
          <w:color w:val="auto"/>
        </w:rPr>
      </w:pPr>
      <w:r>
        <w:rPr>
          <w:rFonts w:ascii="Times New Roman" w:cs="Times New Roman" w:eastAsia="Times New Roman" w:hAnsi="Times New Roman"/>
          <w:sz w:val="21"/>
          <w:szCs w:val="21"/>
          <w:color w:val="auto"/>
        </w:rPr>
        <w:t>there is a change in ownership or control of the Company that would cause any payment or distribution by the Company or any other person, firm, corporation, partnership, company, association, or other entity to Executive or for Executive’s benefit (whether paid or payable or distributed or distributable pursuant to the terms of this Agreement or otherwise) (each a “</w:t>
      </w:r>
      <w:r>
        <w:rPr>
          <w:rFonts w:ascii="Times New Roman" w:cs="Times New Roman" w:eastAsia="Times New Roman" w:hAnsi="Times New Roman"/>
          <w:sz w:val="21"/>
          <w:szCs w:val="21"/>
          <w:b w:val="1"/>
          <w:bCs w:val="1"/>
          <w:i w:val="1"/>
          <w:iCs w:val="1"/>
          <w:color w:val="auto"/>
        </w:rPr>
        <w:t>Payment</w:t>
      </w:r>
      <w:r>
        <w:rPr>
          <w:rFonts w:ascii="Times New Roman" w:cs="Times New Roman" w:eastAsia="Times New Roman" w:hAnsi="Times New Roman"/>
          <w:sz w:val="21"/>
          <w:szCs w:val="21"/>
          <w:color w:val="auto"/>
        </w:rPr>
        <w:t>”) to be subject to the excise tax imposed by Section 4999 of the Code (such excise tax, together with any interest or penalties incurred by Executive with respect to such excise tax, the “</w:t>
      </w:r>
      <w:r>
        <w:rPr>
          <w:rFonts w:ascii="Times New Roman" w:cs="Times New Roman" w:eastAsia="Times New Roman" w:hAnsi="Times New Roman"/>
          <w:sz w:val="21"/>
          <w:szCs w:val="21"/>
          <w:b w:val="1"/>
          <w:bCs w:val="1"/>
          <w:i w:val="1"/>
          <w:iCs w:val="1"/>
          <w:color w:val="auto"/>
        </w:rPr>
        <w:t>Excise Tax</w:t>
      </w:r>
      <w:r>
        <w:rPr>
          <w:rFonts w:ascii="Times New Roman" w:cs="Times New Roman" w:eastAsia="Times New Roman" w:hAnsi="Times New Roman"/>
          <w:sz w:val="21"/>
          <w:szCs w:val="21"/>
          <w:color w:val="auto"/>
        </w:rPr>
        <w:t>”), then Executive will receive the greatest of the following, whichever gives Executive the highest net after-tax amount (after taking into account federal, state, local and social security taxes): (a) the Payments or (b) one dollar less than the amount of the Payments that would subject Executive to the Excise Tax.</w:t>
      </w:r>
    </w:p>
    <w:p>
      <w:pPr>
        <w:spacing w:after="0" w:line="205" w:lineRule="exact"/>
        <w:rPr>
          <w:sz w:val="20"/>
          <w:szCs w:val="20"/>
          <w:color w:val="auto"/>
        </w:rPr>
      </w:pPr>
    </w:p>
    <w:p>
      <w:pPr>
        <w:jc w:val="both"/>
        <w:ind w:left="1500" w:right="239" w:hanging="643"/>
        <w:spacing w:after="0" w:line="239" w:lineRule="auto"/>
        <w:tabs>
          <w:tab w:leader="none" w:pos="150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Upon termination of the Executive’s employment hereunder for any reason, the Executive will be deemed to have resigned from all positions that the Executive holds as an officer, manager, or director of the Company or Alpine or any of their respective affiliates.</w:t>
      </w:r>
    </w:p>
    <w:p>
      <w:pPr>
        <w:spacing w:after="0" w:line="207" w:lineRule="exact"/>
        <w:rPr>
          <w:rFonts w:ascii="Times New Roman" w:cs="Times New Roman" w:eastAsia="Times New Roman" w:hAnsi="Times New Roman"/>
          <w:sz w:val="22"/>
          <w:szCs w:val="22"/>
          <w:color w:val="auto"/>
        </w:rPr>
      </w:pPr>
    </w:p>
    <w:p>
      <w:pPr>
        <w:ind w:left="920" w:right="219" w:hanging="644"/>
        <w:spacing w:after="0" w:line="232" w:lineRule="auto"/>
        <w:tabs>
          <w:tab w:leader="none" w:pos="92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Discoveries, Inventions, Improvements and Other Intellectual Property</w:t>
      </w:r>
      <w:r>
        <w:rPr>
          <w:rFonts w:ascii="Times New Roman" w:cs="Times New Roman" w:eastAsia="Times New Roman" w:hAnsi="Times New Roman"/>
          <w:sz w:val="22"/>
          <w:szCs w:val="22"/>
          <w:color w:val="auto"/>
        </w:rPr>
        <w:t xml:space="preserve">. The Executive acknowledges that all worldwide rights to each discovery, invention or improvement which the Executive, the Company or Alpine may develop, in whole or in part, during the term of her employment with the Company, whether patented or unpatented, which relate to or pertain to the business, functions or operations of the Company, Alpine or any of their respective subsidiaries, and arise (wholly or in part) from the efforts of the Executive during the term hereof, will be the exclusive property of the Company, regardless of whether such discoveries, inventions, improvements and other intellectual property was developed or worked on while the Executive was engaged in employment or whether the Executive developed or worked on such intellectual property on the Executive’s own time. The Company will own all rights to any copy, translation, modification, adaptation or derivation thereof and any product based thereon. The Executive acknowledges that a violation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would lead to irreparable injury to the Company for which monetary damages could not adequately compensate and further acknowledges that in the event of such a breach, the Company shall be entitled to injunctive relief along with other such remedies the Company may have.</w:t>
      </w:r>
    </w:p>
    <w:p>
      <w:pPr>
        <w:spacing w:after="0" w:line="218" w:lineRule="exact"/>
        <w:rPr>
          <w:rFonts w:ascii="Times New Roman" w:cs="Times New Roman" w:eastAsia="Times New Roman" w:hAnsi="Times New Roman"/>
          <w:sz w:val="22"/>
          <w:szCs w:val="22"/>
          <w:color w:val="auto"/>
        </w:rPr>
      </w:pPr>
    </w:p>
    <w:p>
      <w:pPr>
        <w:ind w:left="920" w:hanging="644"/>
        <w:spacing w:after="0"/>
        <w:tabs>
          <w:tab w:leader="none" w:pos="92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420" w:right="219" w:hanging="563"/>
        <w:spacing w:after="0" w:line="236" w:lineRule="auto"/>
        <w:tabs>
          <w:tab w:leader="none" w:pos="142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In the course of Executive’s employment with the Company and the performance of Executive’s duties on behalf of the Company Group hereunder, Executive will be provided with, and will have access to, Confidential Information (as defined below). In consideration of Executive’s receipt and access to such Confidential Information, and as a condition of Executive’s employment hereunder, Executive shall comply with this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2160" w:right="219" w:hanging="655"/>
        <w:spacing w:after="0" w:line="255" w:lineRule="auto"/>
        <w:tabs>
          <w:tab w:leader="none" w:pos="2160" w:val="left"/>
        </w:tabs>
        <w:numPr>
          <w:ilvl w:val="2"/>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during the Employment Period and thereafter, except as expressly permitted by this Agreement or by directive of the Board, Executive shall not disclose any Confidential Information to any person or entity and shall not use any Confidential Information except for the benefit of the Company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29" w:name="page230"/>
    <w:bookmarkEnd w:id="229"/>
    <w:p>
      <w:pPr>
        <w:jc w:val="both"/>
        <w:ind w:left="2160" w:right="219"/>
        <w:spacing w:after="0" w:line="233" w:lineRule="auto"/>
        <w:rPr>
          <w:sz w:val="20"/>
          <w:szCs w:val="20"/>
          <w:color w:val="auto"/>
        </w:rPr>
      </w:pPr>
      <w:r>
        <w:rPr>
          <w:rFonts w:ascii="Times New Roman" w:cs="Times New Roman" w:eastAsia="Times New Roman" w:hAnsi="Times New Roman"/>
          <w:sz w:val="22"/>
          <w:szCs w:val="22"/>
          <w:color w:val="auto"/>
        </w:rPr>
        <w:t xml:space="preserve">Group. Executive shall follow all Company Group policies and protocols regarding the security of all documents and other materials containing Confidential Information (regardless of the medium on which Confidential Information is stored). Except to the extent required for the performance of Executive’s duties on behalf of the Company Group, Executive shall not remove from facilities of any member of the Company Group any equipment, drawings, notes, reports, manuals, invention records, computer software, tenant information, or other data or materials that relate in any way to the Confidential Information, whether paper or electronic and whether produced by Executive or obtained by the Company Group. The covenants of this </w:t>
      </w:r>
      <w:r>
        <w:rPr>
          <w:rFonts w:ascii="Times New Roman" w:cs="Times New Roman" w:eastAsia="Times New Roman" w:hAnsi="Times New Roman"/>
          <w:sz w:val="22"/>
          <w:szCs w:val="22"/>
          <w:u w:val="single" w:color="auto"/>
          <w:color w:val="auto"/>
        </w:rPr>
        <w:t>Section 7.a.i</w:t>
      </w:r>
      <w:r>
        <w:rPr>
          <w:rFonts w:ascii="Times New Roman" w:cs="Times New Roman" w:eastAsia="Times New Roman" w:hAnsi="Times New Roman"/>
          <w:sz w:val="22"/>
          <w:szCs w:val="22"/>
          <w:color w:val="auto"/>
        </w:rPr>
        <w:t xml:space="preserve"> shall apply to all Confidential Information, whether now known or later to become known to Executive during the period that Executive is employed by or affiliated with the Company or any other member of the Company Group.</w:t>
      </w:r>
    </w:p>
    <w:p>
      <w:pPr>
        <w:spacing w:after="0" w:line="180" w:lineRule="exact"/>
        <w:rPr>
          <w:sz w:val="20"/>
          <w:szCs w:val="20"/>
          <w:color w:val="auto"/>
        </w:rPr>
      </w:pPr>
    </w:p>
    <w:p>
      <w:pPr>
        <w:ind w:left="2160" w:right="239" w:hanging="655"/>
        <w:spacing w:after="0" w:line="258" w:lineRule="auto"/>
        <w:tabs>
          <w:tab w:leader="none" w:pos="21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w:t>
      </w:r>
      <w:r>
        <w:rPr>
          <w:rFonts w:ascii="Times New Roman" w:cs="Times New Roman" w:eastAsia="Times New Roman" w:hAnsi="Times New Roman"/>
          <w:sz w:val="22"/>
          <w:szCs w:val="22"/>
          <w:u w:val="single" w:color="auto"/>
          <w:color w:val="auto"/>
        </w:rPr>
        <w:t>Section 7.a.i</w:t>
      </w:r>
      <w:r>
        <w:rPr>
          <w:rFonts w:ascii="Times New Roman" w:cs="Times New Roman" w:eastAsia="Times New Roman" w:hAnsi="Times New Roman"/>
          <w:sz w:val="22"/>
          <w:szCs w:val="22"/>
          <w:color w:val="auto"/>
        </w:rPr>
        <w:t xml:space="preserve"> to the contrary, Executive may make the following disclosures and uses of Confidential Information:</w:t>
      </w:r>
    </w:p>
    <w:p>
      <w:pPr>
        <w:spacing w:after="0" w:line="158" w:lineRule="exact"/>
        <w:rPr>
          <w:rFonts w:ascii="Times New Roman" w:cs="Times New Roman" w:eastAsia="Times New Roman" w:hAnsi="Times New Roman"/>
          <w:sz w:val="22"/>
          <w:szCs w:val="22"/>
          <w:color w:val="auto"/>
        </w:rPr>
      </w:pPr>
    </w:p>
    <w:p>
      <w:pPr>
        <w:jc w:val="both"/>
        <w:ind w:left="2800" w:right="219" w:hanging="647"/>
        <w:spacing w:after="0" w:line="244" w:lineRule="auto"/>
        <w:tabs>
          <w:tab w:leader="none" w:pos="280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other employees of a member of the Company Group who have a need to know Confidential Information in connection with the businesses of the Company Group;</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and uses that are approved in writing by the Board;</w:t>
      </w:r>
    </w:p>
    <w:p>
      <w:pPr>
        <w:spacing w:after="0" w:line="206" w:lineRule="exact"/>
        <w:rPr>
          <w:rFonts w:ascii="Times New Roman" w:cs="Times New Roman" w:eastAsia="Times New Roman" w:hAnsi="Times New Roman"/>
          <w:sz w:val="22"/>
          <w:szCs w:val="22"/>
          <w:color w:val="auto"/>
        </w:rPr>
      </w:pPr>
    </w:p>
    <w:p>
      <w:pPr>
        <w:jc w:val="both"/>
        <w:ind w:left="2800" w:right="219" w:hanging="647"/>
        <w:spacing w:after="0" w:line="238" w:lineRule="auto"/>
        <w:tabs>
          <w:tab w:leader="none" w:pos="280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 in a form acceptable to the Company; and</w:t>
      </w:r>
    </w:p>
    <w:p>
      <w:pPr>
        <w:spacing w:after="0" w:line="17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required by applicable law.</w:t>
      </w:r>
    </w:p>
    <w:p>
      <w:pPr>
        <w:spacing w:after="0" w:line="206" w:lineRule="exact"/>
        <w:rPr>
          <w:rFonts w:ascii="Times New Roman" w:cs="Times New Roman" w:eastAsia="Times New Roman" w:hAnsi="Times New Roman"/>
          <w:sz w:val="22"/>
          <w:szCs w:val="22"/>
          <w:color w:val="auto"/>
        </w:rPr>
      </w:pPr>
    </w:p>
    <w:p>
      <w:pPr>
        <w:jc w:val="both"/>
        <w:ind w:left="2160" w:right="219" w:hanging="655"/>
        <w:spacing w:after="0" w:line="233" w:lineRule="auto"/>
        <w:tabs>
          <w:tab w:leader="none" w:pos="21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of the Employment Period, the Executive shall promptly return to the Company all originals and copies of any documents, records, notebooks, files, correspondence, reports, memoranda or similar materials of or containing Confidential Information, proprietary information, or any other materials or property of any kind belonging to the Company (including keys and other tangible personal property of the Company), then in the Executive’s possession, whether prepared by the Executive or by others. The Executive agrees that, upon termination of her employment with the Company, for any reason, or on demand, the Executive will permit a representative of the Company to access all data stored on any personal computer, laptop, smartphone, tablet, telephone or other electronic device or storage media that the Executive has used in any fashion in connection with her work for the Company for the sole purpose of permanently removing, copying and/or deleting any data belonging to or related to the Company, its customers, prospective customers, business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0" w:name="page231"/>
    <w:bookmarkEnd w:id="230"/>
    <w:p>
      <w:pPr>
        <w:ind w:left="2160" w:right="239"/>
        <w:spacing w:after="0" w:line="259" w:lineRule="auto"/>
        <w:rPr>
          <w:sz w:val="20"/>
          <w:szCs w:val="20"/>
          <w:color w:val="auto"/>
        </w:rPr>
      </w:pPr>
      <w:r>
        <w:rPr>
          <w:rFonts w:ascii="Times New Roman" w:cs="Times New Roman" w:eastAsia="Times New Roman" w:hAnsi="Times New Roman"/>
          <w:sz w:val="22"/>
          <w:szCs w:val="22"/>
          <w:color w:val="auto"/>
        </w:rPr>
        <w:t>partners, its business or which otherwise contains Confidential Information or any other information belonging to the Company.</w:t>
      </w:r>
    </w:p>
    <w:p>
      <w:pPr>
        <w:spacing w:after="0" w:line="151" w:lineRule="exact"/>
        <w:rPr>
          <w:sz w:val="20"/>
          <w:szCs w:val="20"/>
          <w:color w:val="auto"/>
        </w:rPr>
      </w:pPr>
    </w:p>
    <w:p>
      <w:pPr>
        <w:jc w:val="both"/>
        <w:ind w:left="2160" w:right="219" w:hanging="655"/>
        <w:spacing w:after="0" w:line="242" w:lineRule="auto"/>
        <w:tabs>
          <w:tab w:leader="none" w:pos="216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means all confidential, competitively valuable, non-public or proprietary information that is conceived, made, developed or acquired by or disclosed to Executive (whether conveyed orally or in writing), individually or in conjunction with others, during the period that Executive is employed or engaged by the Company or any other member of the Company Group (whether during business hours or otherwise and whether on the Company’s premises or otherwise) including: (i) technical information of any member of the Company Group, its affiliates, its customers or other third parties, including computer programs, software, databases, data, ideas, know-how, formulae, compositions, processes, discoveries, machines, inventions (whether patentable or not), designs, developmental or experimental work, techniques, improvements, work in process, research or test results, original works of authorship, training programs and procedures, diagrams, charts, business plans, and similar items; (ii) information relating to any member of the Company Group’s businesses, properties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tenants or acquisition targets or their requirements, the identity of key contacts within tenants’ organizations or within the organization of acquisition prospects, or marketing and merchandising techniques, prospective names and marks);</w:t>
      </w:r>
    </w:p>
    <w:p>
      <w:pPr>
        <w:spacing w:after="0" w:line="262" w:lineRule="exact"/>
        <w:rPr>
          <w:rFonts w:ascii="Times New Roman" w:cs="Times New Roman" w:eastAsia="Times New Roman" w:hAnsi="Times New Roman"/>
          <w:sz w:val="21"/>
          <w:szCs w:val="21"/>
          <w:color w:val="auto"/>
        </w:rPr>
      </w:pPr>
    </w:p>
    <w:p>
      <w:pPr>
        <w:jc w:val="both"/>
        <w:ind w:left="2160" w:right="239" w:hanging="7"/>
        <w:spacing w:after="0" w:line="230" w:lineRule="auto"/>
        <w:tabs>
          <w:tab w:leader="none" w:pos="2617"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valuable, confidential information and trade secrets of any member of the Company Group, its affiliates, its tenants or other third parties; and (iv) any other information that is competitively valuable to any member of the Company Group by virtue of not being publicly known.</w:t>
      </w:r>
    </w:p>
    <w:p>
      <w:pPr>
        <w:spacing w:after="0" w:line="2" w:lineRule="exact"/>
        <w:rPr>
          <w:rFonts w:ascii="Times New Roman" w:cs="Times New Roman" w:eastAsia="Times New Roman" w:hAnsi="Times New Roman"/>
          <w:sz w:val="22"/>
          <w:szCs w:val="22"/>
          <w:color w:val="auto"/>
        </w:rPr>
      </w:pPr>
    </w:p>
    <w:p>
      <w:pPr>
        <w:jc w:val="both"/>
        <w:ind w:left="2160" w:right="219" w:firstLine="122"/>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Moreover, all documents, videotapes, written presentations, brochures, drawings, memoranda, notes, records, files, correspondence, manuals, models, specifications, computer programs, e-mail, voice mail, electronic databases, maps, drawings, architectural renditions and all other writings or materials of any type including or embodying any of such information, ideas, concepts, improvements, discoveries, inventions and other similar forms of expression are and shall be the sole and exclusive property of the Company or the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Executive or any of Executive’s agents; (ii) was available to Executive on a non-confidential basis before its disclosure by a member of the Company Group; or (iii) becomes available to Executive on a non-confidential basis from a source other than a member of the Company Group;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source is not bound by a</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1" w:name="page232"/>
    <w:bookmarkEnd w:id="231"/>
    <w:p>
      <w:pPr>
        <w:ind w:left="2160" w:right="219"/>
        <w:spacing w:after="0" w:line="259" w:lineRule="auto"/>
        <w:rPr>
          <w:sz w:val="20"/>
          <w:szCs w:val="20"/>
          <w:color w:val="auto"/>
        </w:rPr>
      </w:pPr>
      <w:r>
        <w:rPr>
          <w:rFonts w:ascii="Times New Roman" w:cs="Times New Roman" w:eastAsia="Times New Roman" w:hAnsi="Times New Roman"/>
          <w:sz w:val="22"/>
          <w:szCs w:val="22"/>
          <w:color w:val="auto"/>
        </w:rPr>
        <w:t>confidentiality agreement with, or other obligation with respect to confidentiality to, a member of the Company Group.</w:t>
      </w:r>
    </w:p>
    <w:p>
      <w:pPr>
        <w:spacing w:after="0" w:line="157" w:lineRule="exact"/>
        <w:rPr>
          <w:sz w:val="20"/>
          <w:szCs w:val="20"/>
          <w:color w:val="auto"/>
        </w:rPr>
      </w:pPr>
    </w:p>
    <w:p>
      <w:pPr>
        <w:jc w:val="both"/>
        <w:ind w:left="2160" w:right="219" w:hanging="655"/>
        <w:spacing w:after="0" w:line="242" w:lineRule="auto"/>
        <w:tabs>
          <w:tab w:leader="none" w:pos="2160"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nothing in this Agreement or in any other agreement between Executive and the Company or any other member of the Company Group shall prohibit or restrict Executive from lawfully: (i) initiating communications directly with, cooperating with, providing information to, causing information to be provided to, or otherwise assisting in an investigation by, any governmental authority (including the Securities and Exchange Commission and any other applicable governmental commission or regulatory agency) regarding a possible violation of any law; (ii) responding to any inquiry or legal process directed to Executive from any governmental authority; (iii) testifying, participating or otherwise assisting in any action or proceeding by any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w:t>
      </w:r>
    </w:p>
    <w:p>
      <w:pPr>
        <w:spacing w:after="0" w:line="15" w:lineRule="exact"/>
        <w:rPr>
          <w:rFonts w:ascii="Times New Roman" w:cs="Times New Roman" w:eastAsia="Times New Roman" w:hAnsi="Times New Roman"/>
          <w:sz w:val="21"/>
          <w:szCs w:val="21"/>
          <w:color w:val="auto"/>
        </w:rPr>
      </w:pPr>
    </w:p>
    <w:p>
      <w:pPr>
        <w:jc w:val="both"/>
        <w:ind w:left="2160" w:right="21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Executive to obtain prior authorization before engaging in any conduct described in this paragraph, or to notify the Company or any other member of the Company Group that Executive has engaged in any such conduct.</w:t>
      </w:r>
    </w:p>
    <w:p>
      <w:pPr>
        <w:spacing w:after="0" w:line="178" w:lineRule="exact"/>
        <w:rPr>
          <w:rFonts w:ascii="Times New Roman" w:cs="Times New Roman" w:eastAsia="Times New Roman" w:hAnsi="Times New Roman"/>
          <w:sz w:val="21"/>
          <w:szCs w:val="21"/>
          <w:color w:val="auto"/>
        </w:rPr>
      </w:pPr>
    </w:p>
    <w:p>
      <w:pPr>
        <w:ind w:left="1420" w:hanging="563"/>
        <w:spacing w:after="0"/>
        <w:tabs>
          <w:tab w:leader="none" w:pos="142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160" w:right="219" w:hanging="655"/>
        <w:spacing w:after="0" w:line="233" w:lineRule="auto"/>
        <w:tabs>
          <w:tab w:leader="none" w:pos="216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provide Executive access to Confidential Information for use only during the Employment Period, and Executive acknowledges and agrees that the Company Group will be entrusting Executive, in Executive's unique and special capacity, with developing the goodwill of the Company Group, and in consideration of the Company providing Executive with access to Confidential Information and as an express incentive for the Company to enter into this Agreement and employ Executive hereunder, Executive has voluntarily agreed to the covenants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7.b</w:t>
      </w:r>
      <w:r>
        <w:rPr>
          <w:rFonts w:ascii="Times New Roman" w:cs="Times New Roman" w:eastAsia="Times New Roman" w:hAnsi="Times New Roman"/>
          <w:sz w:val="22"/>
          <w:szCs w:val="22"/>
          <w:color w:val="auto"/>
        </w:rPr>
        <w:t>. Executive agrees and acknowledges that the limitations and restrictions set forth herein, including geographical and temporal restrictions on certain competitive activities, are reasonable in all respects, do not interfere with public interests, will not cause Executive undue hardship, and are material and substantial parts of this Agreement intended and necessary to prevent unfair competition and to protect the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2" w:name="page233"/>
    <w:bookmarkEnd w:id="232"/>
    <w:p>
      <w:pPr>
        <w:ind w:left="2160" w:right="239"/>
        <w:spacing w:after="0" w:line="259" w:lineRule="auto"/>
        <w:rPr>
          <w:sz w:val="20"/>
          <w:szCs w:val="20"/>
          <w:color w:val="auto"/>
        </w:rPr>
      </w:pPr>
      <w:r>
        <w:rPr>
          <w:rFonts w:ascii="Times New Roman" w:cs="Times New Roman" w:eastAsia="Times New Roman" w:hAnsi="Times New Roman"/>
          <w:sz w:val="22"/>
          <w:szCs w:val="22"/>
          <w:color w:val="auto"/>
        </w:rPr>
        <w:t>Company Group's Confidential Information, goodwill and legitimate business interests.</w:t>
      </w:r>
    </w:p>
    <w:p>
      <w:pPr>
        <w:spacing w:after="0" w:line="157" w:lineRule="exact"/>
        <w:rPr>
          <w:sz w:val="20"/>
          <w:szCs w:val="20"/>
          <w:color w:val="auto"/>
        </w:rPr>
      </w:pPr>
    </w:p>
    <w:p>
      <w:pPr>
        <w:jc w:val="both"/>
        <w:ind w:left="2160" w:right="219" w:hanging="655"/>
        <w:spacing w:after="0" w:line="244" w:lineRule="auto"/>
        <w:tabs>
          <w:tab w:leader="none" w:pos="21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shall submit to the Board all Business Opportunities (as defined below) presented to the Executive or of which the Executive becomes aware.</w:t>
      </w:r>
    </w:p>
    <w:p>
      <w:pPr>
        <w:spacing w:after="0" w:line="173" w:lineRule="exact"/>
        <w:rPr>
          <w:rFonts w:ascii="Times New Roman" w:cs="Times New Roman" w:eastAsia="Times New Roman" w:hAnsi="Times New Roman"/>
          <w:sz w:val="22"/>
          <w:szCs w:val="22"/>
          <w:color w:val="auto"/>
        </w:rPr>
      </w:pPr>
    </w:p>
    <w:p>
      <w:pPr>
        <w:jc w:val="both"/>
        <w:ind w:left="2160" w:right="219" w:hanging="655"/>
        <w:spacing w:after="0" w:line="239" w:lineRule="auto"/>
        <w:tabs>
          <w:tab w:leader="none" w:pos="21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Prohibited Period (as defined below), Executive shall not, without the prior written approval of the Board, directly or indirectly, for Executive or on behalf of or in conjunction with any other person or entity of any nature:</w:t>
      </w:r>
    </w:p>
    <w:p>
      <w:pPr>
        <w:spacing w:after="0" w:line="180" w:lineRule="exact"/>
        <w:rPr>
          <w:rFonts w:ascii="Times New Roman" w:cs="Times New Roman" w:eastAsia="Times New Roman" w:hAnsi="Times New Roman"/>
          <w:sz w:val="22"/>
          <w:szCs w:val="22"/>
          <w:color w:val="auto"/>
        </w:rPr>
      </w:pPr>
    </w:p>
    <w:p>
      <w:pPr>
        <w:jc w:val="both"/>
        <w:ind w:left="2800" w:right="219" w:hanging="647"/>
        <w:spacing w:after="0" w:line="233" w:lineRule="auto"/>
        <w:tabs>
          <w:tab w:leader="none" w:pos="280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or participate within the Market Area (as defined below) in competition with any member of the Company Group in any aspect of the Business (as defined below), which prohibition shall prevent Executive from directly or indirectly: (i) owning a controlling interest in, managing, operating, or being an officer or director of, any business that competes with any member of the Company Group in the Market Area, or (ii) joining, becoming an employee or consultant of, or otherwise being affiliated with or providing services to, any person or entity engaged in, or planning to engage in, the Business in the Market Area in competition, or anticipated competition, with any member of the Company Group in any capacity (with respect to this clause (ii)) in which Executive's duties or responsibilities involve direct or indirect responsibilities with respect to the Business.</w:t>
      </w:r>
    </w:p>
    <w:p>
      <w:pPr>
        <w:spacing w:after="0" w:line="179" w:lineRule="exact"/>
        <w:rPr>
          <w:rFonts w:ascii="Times New Roman" w:cs="Times New Roman" w:eastAsia="Times New Roman" w:hAnsi="Times New Roman"/>
          <w:sz w:val="22"/>
          <w:szCs w:val="22"/>
          <w:color w:val="auto"/>
        </w:rPr>
      </w:pPr>
    </w:p>
    <w:p>
      <w:pPr>
        <w:ind w:left="2800" w:right="239" w:hanging="647"/>
        <w:spacing w:after="0" w:line="258" w:lineRule="auto"/>
        <w:tabs>
          <w:tab w:leader="none" w:pos="280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any Business Opportunity of, or relating to, any member of the Company Group located in the Market Area;</w:t>
      </w:r>
    </w:p>
    <w:p>
      <w:pPr>
        <w:spacing w:after="0" w:line="158" w:lineRule="exact"/>
        <w:rPr>
          <w:rFonts w:ascii="Times New Roman" w:cs="Times New Roman" w:eastAsia="Times New Roman" w:hAnsi="Times New Roman"/>
          <w:sz w:val="22"/>
          <w:szCs w:val="22"/>
          <w:color w:val="auto"/>
        </w:rPr>
      </w:pPr>
    </w:p>
    <w:p>
      <w:pPr>
        <w:jc w:val="both"/>
        <w:ind w:left="2800" w:right="219" w:hanging="647"/>
        <w:spacing w:after="0" w:line="235" w:lineRule="auto"/>
        <w:tabs>
          <w:tab w:leader="none" w:pos="280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canvass, approach, encourage, entice or induce any tenant of any member of the Company Group with whom or which Executive had contact on behalf of any member of the Company Group, about whom or which Executive obtained Confidential Information or for whom or which Executive had direct or indirect responsibilities on behalf of the Company Group to cease or lessen such tenant’s business with any member of the Company Group in the Market Area; or</w:t>
      </w:r>
    </w:p>
    <w:p>
      <w:pPr>
        <w:spacing w:after="0" w:line="178" w:lineRule="exact"/>
        <w:rPr>
          <w:rFonts w:ascii="Times New Roman" w:cs="Times New Roman" w:eastAsia="Times New Roman" w:hAnsi="Times New Roman"/>
          <w:sz w:val="22"/>
          <w:szCs w:val="22"/>
          <w:color w:val="auto"/>
        </w:rPr>
      </w:pPr>
    </w:p>
    <w:p>
      <w:pPr>
        <w:jc w:val="both"/>
        <w:ind w:left="2800" w:right="219" w:hanging="647"/>
        <w:spacing w:after="0" w:line="238" w:lineRule="auto"/>
        <w:tabs>
          <w:tab w:leader="none" w:pos="280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canvass, approach, encourage, entice or induce any employee or contractor of any member of the Company Group to terminate his, her or its employment or engagement with any member of the Company Group or hire or engage any employee or contractor of any member of the Company Group.</w:t>
      </w:r>
    </w:p>
    <w:p>
      <w:pPr>
        <w:spacing w:after="0" w:line="176" w:lineRule="exact"/>
        <w:rPr>
          <w:rFonts w:ascii="Times New Roman" w:cs="Times New Roman" w:eastAsia="Times New Roman" w:hAnsi="Times New Roman"/>
          <w:sz w:val="22"/>
          <w:szCs w:val="22"/>
          <w:color w:val="auto"/>
        </w:rPr>
      </w:pPr>
    </w:p>
    <w:p>
      <w:pPr>
        <w:ind w:left="2160" w:right="219" w:hanging="655"/>
        <w:spacing w:after="0" w:line="258" w:lineRule="auto"/>
        <w:tabs>
          <w:tab w:leader="none" w:pos="21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covenants in this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and each provision and portion hereof, are severable and separate, and the unenforceability of any specific</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3" w:name="page234"/>
    <w:bookmarkEnd w:id="233"/>
    <w:p>
      <w:pPr>
        <w:jc w:val="both"/>
        <w:ind w:left="2160" w:right="219"/>
        <w:spacing w:after="0" w:line="249" w:lineRule="auto"/>
        <w:rPr>
          <w:sz w:val="20"/>
          <w:szCs w:val="20"/>
          <w:color w:val="auto"/>
        </w:rPr>
      </w:pPr>
      <w:r>
        <w:rPr>
          <w:rFonts w:ascii="Times New Roman" w:cs="Times New Roman" w:eastAsia="Times New Roman" w:hAnsi="Times New Roman"/>
          <w:sz w:val="21"/>
          <w:szCs w:val="21"/>
          <w:color w:val="auto"/>
        </w:rPr>
        <w:t>covenant (or portion thereof) shall not affect the provisions of any other covenant (or portion thereof). Moreover, in the event any arbitrator or court of competent jurisdiction shall determine that the scope, time or territorial restrictions set forth are unreasonable, then it is the intention of the parties that such restrictions be enforced to the fullest extent which such arbitrator or court deems reasonable, and this Agreement shall thereby be reformed.</w:t>
      </w:r>
    </w:p>
    <w:p>
      <w:pPr>
        <w:spacing w:after="0" w:line="171" w:lineRule="exact"/>
        <w:rPr>
          <w:sz w:val="20"/>
          <w:szCs w:val="20"/>
          <w:color w:val="auto"/>
        </w:rPr>
      </w:pPr>
    </w:p>
    <w:p>
      <w:pPr>
        <w:ind w:left="2160" w:hanging="655"/>
        <w:spacing w:after="0"/>
        <w:tabs>
          <w:tab w:leader="none" w:pos="216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shall have the following meanings:</w:t>
      </w:r>
    </w:p>
    <w:p>
      <w:pPr>
        <w:spacing w:after="0" w:line="200" w:lineRule="exact"/>
        <w:rPr>
          <w:rFonts w:ascii="Times New Roman" w:cs="Times New Roman" w:eastAsia="Times New Roman" w:hAnsi="Times New Roman"/>
          <w:sz w:val="22"/>
          <w:szCs w:val="22"/>
          <w:color w:val="auto"/>
        </w:rPr>
      </w:pPr>
    </w:p>
    <w:p>
      <w:pPr>
        <w:jc w:val="both"/>
        <w:ind w:left="2800" w:right="219" w:hanging="647"/>
        <w:spacing w:after="0" w:line="235" w:lineRule="auto"/>
        <w:tabs>
          <w:tab w:leader="none" w:pos="2800"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shall mean the business and operations that are the same or similar to those performed by the Company and any other member of the Company Group for which Executive provides services or about which Executive obtains Confidential Information during the Employment Period, which business and operations include investing in, owning, managing, operating, acquiring, developing, disposing of and/or leasing commercial real estate properties and commercial loans and other structured investments.</w:t>
      </w:r>
    </w:p>
    <w:p>
      <w:pPr>
        <w:spacing w:after="0" w:line="178" w:lineRule="exact"/>
        <w:rPr>
          <w:rFonts w:ascii="Times New Roman" w:cs="Times New Roman" w:eastAsia="Times New Roman" w:hAnsi="Times New Roman"/>
          <w:sz w:val="22"/>
          <w:szCs w:val="22"/>
          <w:color w:val="auto"/>
        </w:rPr>
      </w:pPr>
    </w:p>
    <w:p>
      <w:pPr>
        <w:ind w:left="2800" w:right="219" w:hanging="647"/>
        <w:spacing w:after="0" w:line="264" w:lineRule="auto"/>
        <w:tabs>
          <w:tab w:leader="none" w:pos="2800"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Opportunity</w:t>
      </w:r>
      <w:r>
        <w:rPr>
          <w:rFonts w:ascii="Times New Roman" w:cs="Times New Roman" w:eastAsia="Times New Roman" w:hAnsi="Times New Roman"/>
          <w:sz w:val="22"/>
          <w:szCs w:val="22"/>
          <w:color w:val="auto"/>
        </w:rPr>
        <w:t>” shall mean any commercial, investment or other business opportunity relating to the Business.</w:t>
      </w:r>
    </w:p>
    <w:p>
      <w:pPr>
        <w:spacing w:after="0" w:line="145" w:lineRule="exact"/>
        <w:rPr>
          <w:rFonts w:ascii="Times New Roman" w:cs="Times New Roman" w:eastAsia="Times New Roman" w:hAnsi="Times New Roman"/>
          <w:sz w:val="22"/>
          <w:szCs w:val="22"/>
          <w:color w:val="auto"/>
        </w:rPr>
      </w:pPr>
    </w:p>
    <w:p>
      <w:pPr>
        <w:jc w:val="both"/>
        <w:ind w:left="2800" w:right="219" w:hanging="647"/>
        <w:spacing w:after="0" w:line="248" w:lineRule="auto"/>
        <w:tabs>
          <w:tab w:leader="none" w:pos="2800" w:val="left"/>
        </w:tabs>
        <w:numPr>
          <w:ilvl w:val="2"/>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Market Area</w:t>
      </w:r>
      <w:r>
        <w:rPr>
          <w:rFonts w:ascii="Times New Roman" w:cs="Times New Roman" w:eastAsia="Times New Roman" w:hAnsi="Times New Roman"/>
          <w:sz w:val="21"/>
          <w:szCs w:val="21"/>
          <w:color w:val="auto"/>
        </w:rPr>
        <w:t>” shall mean the geographic areas (i) in Volusia and Orange Counties in the State of Florida and (ii) included or within 25 miles of any metropolitan statistical area from which the Company derives 1% or more of the Company’s aggregate annualized revenue at any time during the final twelve (12) months in which Executive is or has been employed by any member of the Company Group; provided, however, in no event will the geographic area referenced in this clause (ii) include any areas within the State of California.</w:t>
      </w:r>
    </w:p>
    <w:p>
      <w:pPr>
        <w:spacing w:after="0" w:line="163" w:lineRule="exact"/>
        <w:rPr>
          <w:rFonts w:ascii="Times New Roman" w:cs="Times New Roman" w:eastAsia="Times New Roman" w:hAnsi="Times New Roman"/>
          <w:sz w:val="21"/>
          <w:szCs w:val="21"/>
          <w:color w:val="auto"/>
        </w:rPr>
      </w:pPr>
    </w:p>
    <w:p>
      <w:pPr>
        <w:jc w:val="both"/>
        <w:ind w:left="2800" w:right="219" w:hanging="647"/>
        <w:spacing w:after="0" w:line="241" w:lineRule="auto"/>
        <w:tabs>
          <w:tab w:leader="none" w:pos="2800"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Prohibited Period</w:t>
      </w:r>
      <w:r>
        <w:rPr>
          <w:rFonts w:ascii="Times New Roman" w:cs="Times New Roman" w:eastAsia="Times New Roman" w:hAnsi="Times New Roman"/>
          <w:sz w:val="22"/>
          <w:szCs w:val="22"/>
          <w:color w:val="auto"/>
        </w:rPr>
        <w:t>” shall mean the period during which Executive is employed by any member of the Company Group and continuing for a period of twelve months following the date that Executive is no longer employed by any member of the Company Group.</w:t>
      </w:r>
    </w:p>
    <w:p>
      <w:pPr>
        <w:spacing w:after="0" w:line="177" w:lineRule="exact"/>
        <w:rPr>
          <w:rFonts w:ascii="Times New Roman" w:cs="Times New Roman" w:eastAsia="Times New Roman" w:hAnsi="Times New Roman"/>
          <w:sz w:val="22"/>
          <w:szCs w:val="22"/>
          <w:color w:val="auto"/>
        </w:rPr>
      </w:pPr>
    </w:p>
    <w:p>
      <w:pPr>
        <w:jc w:val="both"/>
        <w:ind w:left="1420" w:right="219" w:hanging="563"/>
        <w:spacing w:after="0" w:line="245" w:lineRule="auto"/>
        <w:tabs>
          <w:tab w:leader="none" w:pos="142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Injunctive Relief</w:t>
      </w:r>
      <w:r>
        <w:rPr>
          <w:rFonts w:ascii="Times New Roman" w:cs="Times New Roman" w:eastAsia="Times New Roman" w:hAnsi="Times New Roman"/>
          <w:sz w:val="21"/>
          <w:szCs w:val="21"/>
          <w:color w:val="auto"/>
        </w:rPr>
        <w:t xml:space="preserve">. Because of the difficulty of measuring economic losses to the Company Group as a result of a breach or threatened breach of the covenants set forth in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and because of the immediate and irreparable damage that would be caused to the members of the Company Group for which they would have no other adequate remedy, the Company and each other member of the Company Group shall be entitled to enforce the foregoing covenants, in the event of a breach or threatened breach, by injunctions and restraining orders from any court of competent jurisdiction, without the necessity of showing any actual damages or that money damages would not afford an adequate remedy, and without the necessity of posting any bond or other security. The aforementioned equitable relief shall not be the Company’s or any other member of the Company Group’s exclusive remedy for</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4" w:name="page235"/>
    <w:bookmarkEnd w:id="234"/>
    <w:p>
      <w:pPr>
        <w:ind w:left="1420" w:right="239"/>
        <w:spacing w:after="0" w:line="259" w:lineRule="auto"/>
        <w:rPr>
          <w:sz w:val="20"/>
          <w:szCs w:val="20"/>
          <w:color w:val="auto"/>
        </w:rPr>
      </w:pPr>
      <w:r>
        <w:rPr>
          <w:rFonts w:ascii="Times New Roman" w:cs="Times New Roman" w:eastAsia="Times New Roman" w:hAnsi="Times New Roman"/>
          <w:sz w:val="22"/>
          <w:szCs w:val="22"/>
          <w:color w:val="auto"/>
        </w:rPr>
        <w:t>a breach but instead shall be in addition to all other rights and remedies available to the Company and each other member of the Company Group at law and equity.</w:t>
      </w:r>
    </w:p>
    <w:p>
      <w:pPr>
        <w:spacing w:after="0" w:line="157" w:lineRule="exact"/>
        <w:rPr>
          <w:sz w:val="20"/>
          <w:szCs w:val="20"/>
          <w:color w:val="auto"/>
        </w:rPr>
      </w:pPr>
    </w:p>
    <w:p>
      <w:pPr>
        <w:ind w:left="860" w:hanging="651"/>
        <w:spacing w:after="0"/>
        <w:tabs>
          <w:tab w:leader="none" w:pos="8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27" w:lineRule="exact"/>
        <w:rPr>
          <w:rFonts w:ascii="Times New Roman" w:cs="Times New Roman" w:eastAsia="Times New Roman" w:hAnsi="Times New Roman"/>
          <w:sz w:val="22"/>
          <w:szCs w:val="22"/>
          <w:color w:val="auto"/>
        </w:rPr>
      </w:pPr>
    </w:p>
    <w:p>
      <w:pPr>
        <w:jc w:val="both"/>
        <w:ind w:left="1500" w:right="219" w:hanging="643"/>
        <w:spacing w:after="0" w:line="243" w:lineRule="auto"/>
        <w:tabs>
          <w:tab w:leader="none" w:pos="1500"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color w:val="auto"/>
        </w:rPr>
        <w:t>” means any of the following events: (i) any person (as such term is used in Section 13(d) of the Securities Exchange Act of 1934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w:t>
      </w:r>
      <w:r>
        <w:rPr>
          <w:rFonts w:ascii="Times New Roman" w:cs="Times New Roman" w:eastAsia="Times New Roman" w:hAnsi="Times New Roman"/>
          <w:sz w:val="21"/>
          <w:szCs w:val="21"/>
          <w:b w:val="1"/>
          <w:bCs w:val="1"/>
          <w:i w:val="1"/>
          <w:iCs w:val="1"/>
          <w:color w:val="auto"/>
        </w:rPr>
        <w:t>Voting Securities</w:t>
      </w:r>
      <w:r>
        <w:rPr>
          <w:rFonts w:ascii="Times New Roman" w:cs="Times New Roman" w:eastAsia="Times New Roman" w:hAnsi="Times New Roman"/>
          <w:sz w:val="21"/>
          <w:szCs w:val="21"/>
          <w:color w:val="auto"/>
        </w:rPr>
        <w:t>”); (ii) approval by the shareholders of the Company and consummation of either of the following: (A) a merger, reorganization, consolidation or similar transaction (any of the foregoing, a “</w:t>
      </w:r>
      <w:r>
        <w:rPr>
          <w:rFonts w:ascii="Times New Roman" w:cs="Times New Roman" w:eastAsia="Times New Roman" w:hAnsi="Times New Roman"/>
          <w:sz w:val="21"/>
          <w:szCs w:val="21"/>
          <w:b w:val="1"/>
          <w:bCs w:val="1"/>
          <w:i w:val="1"/>
          <w:iCs w:val="1"/>
          <w:color w:val="auto"/>
        </w:rPr>
        <w:t>Merger</w:t>
      </w:r>
      <w:r>
        <w:rPr>
          <w:rFonts w:ascii="Times New Roman" w:cs="Times New Roman" w:eastAsia="Times New Roman" w:hAnsi="Times New Roman"/>
          <w:sz w:val="21"/>
          <w:szCs w:val="21"/>
          <w:color w:val="auto"/>
        </w:rPr>
        <w:t>”)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w:t>
      </w:r>
    </w:p>
    <w:p>
      <w:pPr>
        <w:spacing w:after="0" w:line="2" w:lineRule="exact"/>
        <w:rPr>
          <w:rFonts w:ascii="Times New Roman" w:cs="Times New Roman" w:eastAsia="Times New Roman" w:hAnsi="Times New Roman"/>
          <w:sz w:val="21"/>
          <w:szCs w:val="21"/>
          <w:color w:val="auto"/>
        </w:rPr>
      </w:pPr>
    </w:p>
    <w:p>
      <w:pPr>
        <w:jc w:val="both"/>
        <w:ind w:left="1500" w:right="219" w:firstLine="5"/>
        <w:spacing w:after="0" w:line="243" w:lineRule="auto"/>
        <w:tabs>
          <w:tab w:leader="none" w:pos="1904" w:val="left"/>
        </w:tabs>
        <w:numPr>
          <w:ilvl w:val="2"/>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composition of the Board such that, during any twelve (12)-month period, the individuals who, as of the beginning of such period, constitute the Board (the “</w:t>
      </w:r>
      <w:r>
        <w:rPr>
          <w:rFonts w:ascii="Times New Roman" w:cs="Times New Roman" w:eastAsia="Times New Roman" w:hAnsi="Times New Roman"/>
          <w:sz w:val="21"/>
          <w:szCs w:val="21"/>
          <w:b w:val="1"/>
          <w:bCs w:val="1"/>
          <w:i w:val="1"/>
          <w:iCs w:val="1"/>
          <w:color w:val="auto"/>
        </w:rPr>
        <w:t>Existing Board</w:t>
      </w:r>
      <w:r>
        <w:rPr>
          <w:rFonts w:ascii="Times New Roman" w:cs="Times New Roman" w:eastAsia="Times New Roman" w:hAnsi="Times New Roman"/>
          <w:sz w:val="21"/>
          <w:szCs w:val="21"/>
          <w:color w:val="auto"/>
        </w:rPr>
        <w:t>”) cease for any reason to constitute more than 50% of the Board; 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spacing w:after="0" w:line="207" w:lineRule="exact"/>
        <w:rPr>
          <w:rFonts w:ascii="Times New Roman" w:cs="Times New Roman" w:eastAsia="Times New Roman" w:hAnsi="Times New Roman"/>
          <w:sz w:val="21"/>
          <w:szCs w:val="21"/>
          <w:color w:val="auto"/>
        </w:rPr>
      </w:pPr>
    </w:p>
    <w:p>
      <w:pPr>
        <w:jc w:val="both"/>
        <w:ind w:left="1500" w:right="239" w:hanging="643"/>
        <w:spacing w:after="0" w:line="234" w:lineRule="auto"/>
        <w:tabs>
          <w:tab w:leader="none" w:pos="150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Executive agree that, if the Executive is in the employ of the Company on the date on which a Change in Control occurs (the “</w:t>
      </w:r>
      <w:r>
        <w:rPr>
          <w:rFonts w:ascii="Times New Roman" w:cs="Times New Roman" w:eastAsia="Times New Roman" w:hAnsi="Times New Roman"/>
          <w:sz w:val="22"/>
          <w:szCs w:val="22"/>
          <w:b w:val="1"/>
          <w:bCs w:val="1"/>
          <w:i w:val="1"/>
          <w:iCs w:val="1"/>
          <w:color w:val="auto"/>
        </w:rPr>
        <w:t>Change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Control Date</w:t>
      </w:r>
      <w:r>
        <w:rPr>
          <w:rFonts w:ascii="Times New Roman" w:cs="Times New Roman" w:eastAsia="Times New Roman" w:hAnsi="Times New Roman"/>
          <w:sz w:val="22"/>
          <w:szCs w:val="22"/>
          <w:color w:val="auto"/>
        </w:rPr>
        <w:t>”), the Company will continue to employ the Executive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Executive will remain in the employ of the Company for the period commencing on the Change in Control Date and ending on the termination of her employment, to exercise such authority and perform such executive duties (including assistance in any transition matters designated by the Chief Executive Officer following such Change in Control) as are commensurate with the authority being exercised and duties being performed by the Executive immediately prior to the Change in Control Date.</w:t>
      </w:r>
    </w:p>
    <w:p>
      <w:pPr>
        <w:spacing w:after="0" w:line="206" w:lineRule="exact"/>
        <w:rPr>
          <w:rFonts w:ascii="Times New Roman" w:cs="Times New Roman" w:eastAsia="Times New Roman" w:hAnsi="Times New Roman"/>
          <w:sz w:val="22"/>
          <w:szCs w:val="22"/>
          <w:color w:val="auto"/>
        </w:rPr>
      </w:pPr>
    </w:p>
    <w:p>
      <w:pPr>
        <w:jc w:val="both"/>
        <w:ind w:left="1500" w:right="219" w:hanging="643"/>
        <w:spacing w:after="0" w:line="255" w:lineRule="auto"/>
        <w:tabs>
          <w:tab w:leader="none" w:pos="1500"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the Change in Control Date, the Company will (i) continue to honor the terms of this Agreement, including as to Base Salary and other compensation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(ii) continue employee benefits as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at levels in effect on the Change in Control Date (but subject to such reductions as may be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5" w:name="page236"/>
    <w:bookmarkEnd w:id="235"/>
    <w:p>
      <w:pPr>
        <w:ind w:left="1500" w:right="219"/>
        <w:spacing w:after="0" w:line="259" w:lineRule="auto"/>
        <w:rPr>
          <w:sz w:val="20"/>
          <w:szCs w:val="20"/>
          <w:color w:val="auto"/>
        </w:rPr>
      </w:pPr>
      <w:r>
        <w:rPr>
          <w:rFonts w:ascii="Times New Roman" w:cs="Times New Roman" w:eastAsia="Times New Roman" w:hAnsi="Times New Roman"/>
          <w:sz w:val="22"/>
          <w:szCs w:val="22"/>
          <w:color w:val="auto"/>
        </w:rPr>
        <w:t>required to maintain such plans in compliance with applicable federal law regulating employee benefits).</w:t>
      </w:r>
    </w:p>
    <w:p>
      <w:pPr>
        <w:spacing w:after="0" w:line="184" w:lineRule="exact"/>
        <w:rPr>
          <w:sz w:val="20"/>
          <w:szCs w:val="20"/>
          <w:color w:val="auto"/>
        </w:rPr>
      </w:pPr>
    </w:p>
    <w:p>
      <w:pPr>
        <w:jc w:val="both"/>
        <w:ind w:left="1500" w:right="219" w:hanging="643"/>
        <w:spacing w:after="0" w:line="241" w:lineRule="auto"/>
        <w:tabs>
          <w:tab w:leader="none" w:pos="150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during the twenty-four (24)-month period after the Change in Control Date (the “</w:t>
      </w:r>
      <w:r>
        <w:rPr>
          <w:rFonts w:ascii="Times New Roman" w:cs="Times New Roman" w:eastAsia="Times New Roman" w:hAnsi="Times New Roman"/>
          <w:sz w:val="21"/>
          <w:szCs w:val="21"/>
          <w:b w:val="1"/>
          <w:bCs w:val="1"/>
          <w:i w:val="1"/>
          <w:iCs w:val="1"/>
          <w:color w:val="auto"/>
        </w:rPr>
        <w:t>Change in Control Period</w:t>
      </w:r>
      <w:r>
        <w:rPr>
          <w:rFonts w:ascii="Times New Roman" w:cs="Times New Roman" w:eastAsia="Times New Roman" w:hAnsi="Times New Roman"/>
          <w:sz w:val="21"/>
          <w:szCs w:val="21"/>
          <w:color w:val="auto"/>
        </w:rPr>
        <w:t xml:space="preserve">”), (i) the Executive’s employment is terminated by the Company other than for Cause (as defined in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above), or (ii) the Executive voluntarily terminates employment with the Company for Good Reason (as defined below), then the Executive will receive (A) any unpaid accrued Base Salary, Expense Reimbursements, and other benefits earned and accrued under this Agreement through the date of termination, (B) any payments and benefits to the extent set forth in the LTIP Award Agreements pertaining to the Executive’s equity incentive awards, (C) any amounts due and payable under the Annual Incentive Plan, and (D) a separation payment in an amount equal to 12 months of the Executive’s then-current Base Salary, less applicable taxes and withholdings, in one (1) lump sum cash payment no later than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day after the date of termination of the Executive’s employment. The payments and benefits payable to the Executive pursuant to this </w:t>
      </w:r>
      <w:r>
        <w:rPr>
          <w:rFonts w:ascii="Times New Roman" w:cs="Times New Roman" w:eastAsia="Times New Roman" w:hAnsi="Times New Roman"/>
          <w:sz w:val="21"/>
          <w:szCs w:val="21"/>
          <w:u w:val="single" w:color="auto"/>
          <w:color w:val="auto"/>
        </w:rPr>
        <w:t>Section 8.d.B</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1"/>
          <w:szCs w:val="1"/>
          <w:color w:val="auto"/>
        </w:rPr>
        <w:drawing>
          <wp:inline distT="0" distB="0" distL="0" distR="0">
            <wp:extent cx="68580" cy="145415"/>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68580" cy="14541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shall be conditioned upon the Executive’s compliance with the covenants set forth in </w:t>
      </w:r>
      <w:r>
        <w:rPr>
          <w:rFonts w:ascii="Times New Roman" w:cs="Times New Roman" w:eastAsia="Times New Roman" w:hAnsi="Times New Roman"/>
          <w:sz w:val="21"/>
          <w:szCs w:val="21"/>
          <w:u w:val="single" w:color="auto"/>
          <w:color w:val="auto"/>
        </w:rPr>
        <w:t>Sections 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of this Agreement and delivery by the Executive of a general release of all claims reasonably acceptable to the Company that shall have not been revoked by the Executive within any revocation period set forth in such release. To the extent that such payments constitute deferred compensation within the meaning of Section 409A of the Code, if the period during which the Executive has discretion to execute or revoke the release straddles two (2) taxable years of the Executive, then the Company shall make such payments starting in the second of such taxable years, regardless of the taxable year in which the Executive actually delivers the executed release to the Company. “</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shall mean, without the Executive’s prior written consent, a material reduction in the Executive’s compensation or employment related benefits, or a material change in the Executive’s status, working conditions or management responsibilities with the Company. The Executive’s termination of employment will not constitute a termination for Good Reason unless (i) the Executive first provides written notice to the Company of the existence of the Good Reason within sixty (60) days following the first date of the occurrence of the Good Reason, (ii) the Good Reason remains uncorrected by the Company for more than thirty (30) days following such written notice of the Good Reason from the Executive to the Company, and (iii) the effective date of the Executive’s termination of employment is within one (1) year following the first date of the occurrence of the Good Reason.</w:t>
      </w:r>
    </w:p>
    <w:p>
      <w:pPr>
        <w:spacing w:after="0" w:line="200" w:lineRule="exact"/>
        <w:rPr>
          <w:rFonts w:ascii="Times New Roman" w:cs="Times New Roman" w:eastAsia="Times New Roman" w:hAnsi="Times New Roman"/>
          <w:sz w:val="21"/>
          <w:szCs w:val="21"/>
          <w:color w:val="auto"/>
        </w:rPr>
      </w:pPr>
    </w:p>
    <w:p>
      <w:pPr>
        <w:spacing w:after="0" w:line="269" w:lineRule="exact"/>
        <w:rPr>
          <w:rFonts w:ascii="Times New Roman" w:cs="Times New Roman" w:eastAsia="Times New Roman" w:hAnsi="Times New Roman"/>
          <w:sz w:val="21"/>
          <w:szCs w:val="21"/>
          <w:color w:val="auto"/>
        </w:rPr>
      </w:pPr>
    </w:p>
    <w:p>
      <w:pPr>
        <w:jc w:val="both"/>
        <w:ind w:left="860" w:right="219" w:hanging="651"/>
        <w:spacing w:after="0" w:line="236" w:lineRule="auto"/>
        <w:tabs>
          <w:tab w:leader="none" w:pos="8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The rights and obligations of the Company under this Agreement will inure to the benefit of and be binding upon the successors and assigns of the Company, provided that such successor or assign will acquire all or substantially all of the assets and business of the Company. The Executive’s rights and obligations under this Agreement may not be assigned or alienated and any attempt to do so by the Executive will be void and constitute a material breach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-4170045</wp:posOffset>
            </wp:positionV>
            <wp:extent cx="1482725"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1482725" cy="14605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6" w:name="page237"/>
    <w:bookmarkEnd w:id="236"/>
    <w:p>
      <w:pPr>
        <w:jc w:val="both"/>
        <w:ind w:left="860" w:right="239" w:hanging="651"/>
        <w:spacing w:after="0" w:line="234" w:lineRule="auto"/>
        <w:tabs>
          <w:tab w:leader="none" w:pos="8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Full Understanding</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EXECUTIVE REPRESENTS AND AGREES THAT THE EXECUTIVE HAS NOT BEEN PRESSURED, MISLED OR INDUCED TO ENTER INTO THIS AGREEMENT BASED UPON ANY REPRESENTATION BY THE COMPANY OR ITS AGENTS NOT CONTAINED HEREIN. THE EXECUTIVE ACKNOWLEDGES AND AGREES THAT THE EXECUTIVE HAS FULLY READ AND UNDERSTANDS THIS AGREEMENT. THE EXECUTIVE REPRESENTS THAT SHE HAS ENTERED INTO THIS AGREEMENT VOLUNTARILY, AND AFTER HAVING THE OPPORTUNITY TO CONSULT WITH REPRESENTATIVES AND AN ATTORNEY OF HER OWN CHOOSING AND THAT HER AGREEMENT IS FREELY GIVEN.</w:t>
      </w:r>
    </w:p>
    <w:p>
      <w:pPr>
        <w:spacing w:after="0" w:line="211" w:lineRule="exact"/>
        <w:rPr>
          <w:rFonts w:ascii="Times New Roman" w:cs="Times New Roman" w:eastAsia="Times New Roman" w:hAnsi="Times New Roman"/>
          <w:sz w:val="22"/>
          <w:szCs w:val="22"/>
          <w:color w:val="auto"/>
        </w:rPr>
      </w:pPr>
    </w:p>
    <w:p>
      <w:pPr>
        <w:jc w:val="both"/>
        <w:ind w:left="860" w:right="219" w:hanging="651"/>
        <w:spacing w:after="0" w:line="235" w:lineRule="auto"/>
        <w:tabs>
          <w:tab w:leader="none" w:pos="8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constitute independent and separable covenants which shall survive termination of employment or expiration of this Agreement. Any section, paragraph, phrase or other provision of this Agreement that is determined by a court of competent jurisdiction to be unconscionable or in conflict with any applicable statute or rule, shall be deemed, if possible, to be modified or altered so that it is not unconscionable or in conflict with or, if that is not possible, then it shall be deemed omitted from this Agreement. The invalidity of any portion of this Agreement shall not affect the validity of the remaining portions.</w:t>
      </w:r>
    </w:p>
    <w:p>
      <w:pPr>
        <w:spacing w:after="0" w:line="205"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of Executive</w:t>
      </w:r>
      <w:r>
        <w:rPr>
          <w:rFonts w:ascii="Times New Roman" w:cs="Times New Roman" w:eastAsia="Times New Roman" w:hAnsi="Times New Roman"/>
          <w:sz w:val="21"/>
          <w:szCs w:val="21"/>
          <w:color w:val="auto"/>
        </w:rPr>
        <w:t>. The Executive represents and warrants to the Company that:</w:t>
      </w:r>
    </w:p>
    <w:p>
      <w:pPr>
        <w:spacing w:after="0" w:line="244" w:lineRule="exact"/>
        <w:rPr>
          <w:rFonts w:ascii="Times New Roman" w:cs="Times New Roman" w:eastAsia="Times New Roman" w:hAnsi="Times New Roman"/>
          <w:sz w:val="21"/>
          <w:szCs w:val="21"/>
          <w:color w:val="auto"/>
        </w:rPr>
      </w:pPr>
    </w:p>
    <w:p>
      <w:pPr>
        <w:ind w:left="1500" w:right="239" w:hanging="643"/>
        <w:spacing w:after="0" w:line="258" w:lineRule="auto"/>
        <w:tabs>
          <w:tab w:leader="none" w:pos="150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not executed any agreement with any previous employer that may impose restrictions on her employment with the Company;</w:t>
      </w:r>
    </w:p>
    <w:p>
      <w:pPr>
        <w:spacing w:after="0" w:line="185"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acceptance of employment with the Company and the performance of the Executive’s duties hereunder will not conflict with or result in a violation of, a breach of, or a default under any contract, agreement, or understanding to which the Executive is a party or is otherwise bound;</w:t>
      </w:r>
    </w:p>
    <w:p>
      <w:pPr>
        <w:spacing w:after="0" w:line="207" w:lineRule="exact"/>
        <w:rPr>
          <w:rFonts w:ascii="Times New Roman" w:cs="Times New Roman" w:eastAsia="Times New Roman" w:hAnsi="Times New Roman"/>
          <w:sz w:val="22"/>
          <w:szCs w:val="22"/>
          <w:color w:val="auto"/>
        </w:rPr>
      </w:pPr>
    </w:p>
    <w:p>
      <w:pPr>
        <w:jc w:val="both"/>
        <w:ind w:left="1500" w:right="219" w:hanging="643"/>
        <w:spacing w:after="0" w:line="261" w:lineRule="auto"/>
        <w:tabs>
          <w:tab w:leader="none" w:pos="1500"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acceptance of employment with the Company and the performance of her duties hereunder will not violate any non-solicitation, non-competition, or other similar covenant or agreement of a prior employer or third-party; and</w:t>
      </w:r>
    </w:p>
    <w:p>
      <w:pPr>
        <w:spacing w:after="0" w:line="184" w:lineRule="exact"/>
        <w:rPr>
          <w:rFonts w:ascii="Times New Roman" w:cs="Times New Roman" w:eastAsia="Times New Roman" w:hAnsi="Times New Roman"/>
          <w:sz w:val="21"/>
          <w:szCs w:val="21"/>
          <w:color w:val="auto"/>
        </w:rPr>
      </w:pPr>
    </w:p>
    <w:p>
      <w:pPr>
        <w:jc w:val="both"/>
        <w:ind w:left="1500" w:right="219" w:hanging="643"/>
        <w:spacing w:after="0" w:line="239" w:lineRule="auto"/>
        <w:tabs>
          <w:tab w:leader="none" w:pos="150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in the course of employment or affiliation with the Company or any of its affiliates will the Executive violate any obligation that the Executive has to any third party, including with respect to the use or disclosure of any third party’s legally protected information.</w:t>
      </w:r>
    </w:p>
    <w:p>
      <w:pPr>
        <w:spacing w:after="0" w:line="207" w:lineRule="exact"/>
        <w:rPr>
          <w:rFonts w:ascii="Times New Roman" w:cs="Times New Roman" w:eastAsia="Times New Roman" w:hAnsi="Times New Roman"/>
          <w:sz w:val="22"/>
          <w:szCs w:val="22"/>
          <w:color w:val="auto"/>
        </w:rPr>
      </w:pPr>
    </w:p>
    <w:p>
      <w:pPr>
        <w:ind w:left="860" w:right="239" w:hanging="651"/>
        <w:spacing w:after="0" w:line="258" w:lineRule="auto"/>
        <w:tabs>
          <w:tab w:leader="none" w:pos="8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Notices given pursuant to the provisions of this Agreement will be sent by certified mail, postage prepaid, by overnight courier or email to the following addresses: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1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1140 N. Williamson Blvd., Suite 140</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7" w:name="page238"/>
    <w:bookmarkEnd w:id="237"/>
    <w:p>
      <w:pPr>
        <w:ind w:left="2160"/>
        <w:spacing w:after="0"/>
        <w:rPr>
          <w:sz w:val="20"/>
          <w:szCs w:val="20"/>
          <w:color w:val="auto"/>
        </w:rPr>
      </w:pPr>
      <w:r>
        <w:rPr>
          <w:rFonts w:ascii="Times New Roman" w:cs="Times New Roman" w:eastAsia="Times New Roman" w:hAnsi="Times New Roman"/>
          <w:sz w:val="22"/>
          <w:szCs w:val="22"/>
          <w:color w:val="auto"/>
        </w:rPr>
        <w:t>Daytona Beach, FL 32114</w:t>
      </w:r>
    </w:p>
    <w:p>
      <w:pPr>
        <w:spacing w:after="0" w:line="1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Email: dsmith@ctoreit.com</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left="860" w:right="399"/>
        <w:spacing w:after="0" w:line="261" w:lineRule="auto"/>
        <w:rPr>
          <w:sz w:val="20"/>
          <w:szCs w:val="20"/>
          <w:color w:val="auto"/>
        </w:rPr>
      </w:pPr>
      <w:r>
        <w:rPr>
          <w:rFonts w:ascii="Times New Roman" w:cs="Times New Roman" w:eastAsia="Times New Roman" w:hAnsi="Times New Roman"/>
          <w:sz w:val="21"/>
          <w:szCs w:val="21"/>
          <w:color w:val="auto"/>
        </w:rPr>
        <w:t>Either party may, from time to time, designate any other address to which any such notice to it or her will be sent. Any such notice will be deemed to have been delivered upon the earlier of actual receipt or four (4) days after deposit in the mail, if by certified mail.</w:t>
      </w:r>
    </w:p>
    <w:p>
      <w:pPr>
        <w:spacing w:after="0" w:line="184" w:lineRule="exact"/>
        <w:rPr>
          <w:sz w:val="20"/>
          <w:szCs w:val="20"/>
          <w:color w:val="auto"/>
        </w:rPr>
      </w:pPr>
    </w:p>
    <w:p>
      <w:pPr>
        <w:ind w:left="860" w:hanging="651"/>
        <w:spacing w:after="0"/>
        <w:tabs>
          <w:tab w:leader="none" w:pos="8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500" w:right="239" w:hanging="643"/>
        <w:spacing w:after="0" w:line="258" w:lineRule="auto"/>
        <w:tabs>
          <w:tab w:leader="none" w:pos="15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and construed in accordance with the laws of the state of Florida.</w:t>
      </w:r>
    </w:p>
    <w:p>
      <w:pPr>
        <w:spacing w:after="0" w:line="185"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and Waiver</w:t>
      </w:r>
      <w:r>
        <w:rPr>
          <w:rFonts w:ascii="Times New Roman" w:cs="Times New Roman" w:eastAsia="Times New Roman" w:hAnsi="Times New Roman"/>
          <w:sz w:val="22"/>
          <w:szCs w:val="22"/>
          <w:color w:val="auto"/>
        </w:rPr>
        <w:t>. The waiver by any party to this Agreement of a breach of any provision hereof by any other party will not be construed as a waiver of any subsequent breach by any party. No provision of this Agreement may be terminated, amended, supplemented, waived or modified other than by an instrument in writing signed by the party against whom the enforcement of the termination, amendment, supplement, waiver or modification is sought.</w:t>
      </w:r>
    </w:p>
    <w:p>
      <w:pPr>
        <w:spacing w:after="0" w:line="208"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the event any action is commenced to enforce any provision of this Agreement, the prevailing party will be entitled to reimbursement from the other party for reasonable attorney’s fees, costs, and expenses.</w:t>
      </w:r>
    </w:p>
    <w:p>
      <w:pPr>
        <w:spacing w:after="0" w:line="200"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2160" w:right="219" w:hanging="655"/>
        <w:spacing w:after="0" w:line="244" w:lineRule="auto"/>
        <w:tabs>
          <w:tab w:leader="none" w:pos="2160" w:val="left"/>
        </w:tabs>
        <w:numPr>
          <w:ilvl w:val="2"/>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Sections 14.d.ii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14.d.iii</w:t>
      </w:r>
      <w:r>
        <w:rPr>
          <w:rFonts w:ascii="Times New Roman" w:cs="Times New Roman" w:eastAsia="Times New Roman" w:hAnsi="Times New Roman"/>
          <w:sz w:val="21"/>
          <w:szCs w:val="21"/>
          <w:color w:val="auto"/>
        </w:rPr>
        <w:t>, any dispute, controversy or claim between Executive and any member of the Company Group arising out of or relating to this Agreement or Executive’s employment or engagement with any member of the Company Group, shall be resolved through final, confidential and binding arbitration in Orange County, Florida under the Federal Arbitration Act, by a single arbitrator in accordance with the then-applicable Employment Arbitration Rules and Mediation Procedures of the American Arbitration Association (the “</w:t>
      </w:r>
      <w:r>
        <w:rPr>
          <w:rFonts w:ascii="Times New Roman" w:cs="Times New Roman" w:eastAsia="Times New Roman" w:hAnsi="Times New Roman"/>
          <w:sz w:val="21"/>
          <w:szCs w:val="21"/>
          <w:b w:val="1"/>
          <w:bCs w:val="1"/>
          <w:i w:val="1"/>
          <w:iCs w:val="1"/>
          <w:color w:val="auto"/>
        </w:rPr>
        <w:t>Rules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arbitrator shall allow for discovery sufficient to adequately arbitrate any claims, including access to documents and witnesses;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the parties will be entitled to any and all relief available under applicable law and the Rules shall be modified by the arbitrator to the extent necessary to be consistent with applicable law. The written decision of the arbitrator, which shall include findings of fact and conclusions of law, shall be confidential, final, and binding upon the parties and in such form that judgment may be entered in and enforced by any court having jurisdiction over the parties. The arbitrator shall be entitled to grant injunctive relief</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8" w:name="page239"/>
    <w:bookmarkEnd w:id="238"/>
    <w:p>
      <w:pPr>
        <w:jc w:val="both"/>
        <w:ind w:left="2160" w:right="219"/>
        <w:spacing w:after="0" w:line="243" w:lineRule="auto"/>
        <w:rPr>
          <w:sz w:val="20"/>
          <w:szCs w:val="20"/>
          <w:color w:val="auto"/>
        </w:rPr>
      </w:pPr>
      <w:r>
        <w:rPr>
          <w:rFonts w:ascii="Times New Roman" w:cs="Times New Roman" w:eastAsia="Times New Roman" w:hAnsi="Times New Roman"/>
          <w:sz w:val="21"/>
          <w:szCs w:val="21"/>
          <w:color w:val="auto"/>
        </w:rPr>
        <w:t xml:space="preserve">and enforce specific performance, and may award reasonable attorneys’ fees to the prevailing party in any arbitration or judicial action under this Agreement, or in connection with any statutory claim available under applicable law. Each party otherwise should pay its own attorneys’ fees in any such arbitration;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Company shall pay for any administrative or filing fees, including the arbitrator’s fee, that the Executive would not have otherwise incurred if the dispute was adjudicated in a court of law, rather than through arbitration. All disputes shall be arbitrated on an individual basis, and each party hereto hereby foregoes and waives any right to arbitrate any dispute as a class action or collective action or on a consolidated basis or in a representative capacity on behalf of other persons or entities who are claimed to be similarly situated, or to participate as a</w:t>
      </w:r>
    </w:p>
    <w:p>
      <w:pPr>
        <w:spacing w:after="0" w:line="7" w:lineRule="exact"/>
        <w:rPr>
          <w:sz w:val="20"/>
          <w:szCs w:val="20"/>
          <w:color w:val="auto"/>
        </w:rPr>
      </w:pPr>
    </w:p>
    <w:p>
      <w:pPr>
        <w:ind w:left="2160"/>
        <w:spacing w:after="0"/>
        <w:tabs>
          <w:tab w:leader="none" w:pos="6160" w:val="left"/>
        </w:tabs>
        <w:rPr>
          <w:sz w:val="20"/>
          <w:szCs w:val="20"/>
          <w:color w:val="auto"/>
        </w:rPr>
      </w:pPr>
      <w:r>
        <w:rPr>
          <w:rFonts w:ascii="Times New Roman" w:cs="Times New Roman" w:eastAsia="Times New Roman" w:hAnsi="Times New Roman"/>
          <w:sz w:val="22"/>
          <w:szCs w:val="22"/>
          <w:color w:val="auto"/>
        </w:rPr>
        <w:t>class  member  in  such  a  proceeding.</w:t>
      </w:r>
      <w:r>
        <w:rPr>
          <w:sz w:val="20"/>
          <w:szCs w:val="20"/>
          <w:color w:val="auto"/>
        </w:rPr>
        <w:tab/>
      </w:r>
      <w:r>
        <w:rPr>
          <w:rFonts w:ascii="Times New Roman" w:cs="Times New Roman" w:eastAsia="Times New Roman" w:hAnsi="Times New Roman"/>
          <w:sz w:val="22"/>
          <w:szCs w:val="22"/>
          <w:b w:val="1"/>
          <w:bCs w:val="1"/>
          <w:color w:val="auto"/>
        </w:rPr>
        <w:t>THE  PARTIES  HEREBY</w:t>
      </w:r>
    </w:p>
    <w:p>
      <w:pPr>
        <w:spacing w:after="0" w:line="4" w:lineRule="exact"/>
        <w:rPr>
          <w:sz w:val="20"/>
          <w:szCs w:val="20"/>
          <w:color w:val="auto"/>
        </w:rPr>
      </w:pPr>
    </w:p>
    <w:p>
      <w:pPr>
        <w:jc w:val="both"/>
        <w:ind w:left="2160" w:right="219"/>
        <w:spacing w:after="0" w:line="233" w:lineRule="auto"/>
        <w:rPr>
          <w:sz w:val="20"/>
          <w:szCs w:val="20"/>
          <w:color w:val="auto"/>
        </w:rPr>
      </w:pPr>
      <w:r>
        <w:rPr>
          <w:rFonts w:ascii="Times New Roman" w:cs="Times New Roman" w:eastAsia="Times New Roman" w:hAnsi="Times New Roman"/>
          <w:sz w:val="22"/>
          <w:szCs w:val="22"/>
          <w:b w:val="1"/>
          <w:bCs w:val="1"/>
          <w:color w:val="auto"/>
        </w:rPr>
        <w:t>EXPRESSLY WAIVE ANY AND ALL RIGHT TO A TRIAL BY JURY WITH RESPECT TO ANY ACTION, PROCEEDING OR OTHER LITIGATION RESULTING FROM OR INVOLVING THE ENFORCEMENT OF THIS AGREEMENT OR ANY OTHER MATTER RELATING TO THE EXECUTIVE’S EMPLOYMENT.</w:t>
      </w:r>
    </w:p>
    <w:p>
      <w:pPr>
        <w:spacing w:after="0" w:line="206" w:lineRule="exact"/>
        <w:rPr>
          <w:sz w:val="20"/>
          <w:szCs w:val="20"/>
          <w:color w:val="auto"/>
        </w:rPr>
      </w:pPr>
    </w:p>
    <w:p>
      <w:pPr>
        <w:jc w:val="both"/>
        <w:ind w:left="2160" w:right="219" w:hanging="655"/>
        <w:spacing w:after="0" w:line="251" w:lineRule="auto"/>
        <w:tabs>
          <w:tab w:leader="none" w:pos="2160"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14.d.i</w:t>
      </w:r>
      <w:r>
        <w:rPr>
          <w:rFonts w:ascii="Times New Roman" w:cs="Times New Roman" w:eastAsia="Times New Roman" w:hAnsi="Times New Roman"/>
          <w:sz w:val="21"/>
          <w:szCs w:val="21"/>
          <w:color w:val="auto"/>
        </w:rPr>
        <w:t xml:space="preserve">, either party may make a timely application for, and obtain, judicial emergency or temporary injunctive relief to enforce any of the provisions of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remainder of any such dispute (beyond the application for emergency or temporary injunctive relief) shall be subject to arbitration under this </w:t>
      </w:r>
      <w:r>
        <w:rPr>
          <w:rFonts w:ascii="Times New Roman" w:cs="Times New Roman" w:eastAsia="Times New Roman" w:hAnsi="Times New Roman"/>
          <w:sz w:val="21"/>
          <w:szCs w:val="21"/>
          <w:u w:val="single" w:color="auto"/>
          <w:color w:val="auto"/>
        </w:rPr>
        <w:t>Section 14.d</w:t>
      </w:r>
      <w:r>
        <w:rPr>
          <w:rFonts w:ascii="Times New Roman" w:cs="Times New Roman" w:eastAsia="Times New Roman" w:hAnsi="Times New Roman"/>
          <w:sz w:val="21"/>
          <w:szCs w:val="21"/>
          <w:color w:val="auto"/>
        </w:rPr>
        <w:t>.</w:t>
      </w:r>
    </w:p>
    <w:p>
      <w:pPr>
        <w:spacing w:after="0" w:line="195" w:lineRule="exact"/>
        <w:rPr>
          <w:rFonts w:ascii="Times New Roman" w:cs="Times New Roman" w:eastAsia="Times New Roman" w:hAnsi="Times New Roman"/>
          <w:sz w:val="21"/>
          <w:szCs w:val="21"/>
          <w:color w:val="auto"/>
        </w:rPr>
      </w:pPr>
    </w:p>
    <w:p>
      <w:pPr>
        <w:jc w:val="both"/>
        <w:ind w:left="2160" w:right="219" w:hanging="655"/>
        <w:spacing w:after="0" w:line="236" w:lineRule="auto"/>
        <w:tabs>
          <w:tab w:leader="none" w:pos="216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Section 14.d</w:t>
      </w:r>
      <w:r>
        <w:rPr>
          <w:rFonts w:ascii="Times New Roman" w:cs="Times New Roman" w:eastAsia="Times New Roman" w:hAnsi="Times New Roman"/>
          <w:sz w:val="22"/>
          <w:szCs w:val="22"/>
          <w:color w:val="auto"/>
        </w:rPr>
        <w:t xml:space="preserve"> shall prohibit a party to this Agreement from (i) instituting litigation to enforce any arbitration award, or (ii) joining the other party to this Agreement in a litigation initiated by a person or entity that is not a party to this Agreement. Further, nothing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precludes Executive from filing a charge or complaint with a federal, state or other governmental agency.</w:t>
      </w:r>
    </w:p>
    <w:p>
      <w:pPr>
        <w:spacing w:after="0" w:line="208" w:lineRule="exact"/>
        <w:rPr>
          <w:rFonts w:ascii="Times New Roman" w:cs="Times New Roman" w:eastAsia="Times New Roman" w:hAnsi="Times New Roman"/>
          <w:sz w:val="22"/>
          <w:szCs w:val="22"/>
          <w:color w:val="auto"/>
        </w:rPr>
      </w:pPr>
    </w:p>
    <w:p>
      <w:pPr>
        <w:jc w:val="both"/>
        <w:ind w:left="2160" w:right="219" w:hanging="655"/>
        <w:spacing w:after="0" w:line="244" w:lineRule="auto"/>
        <w:tabs>
          <w:tab w:leader="none" w:pos="216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claim permitted to be filed in court pursuant to </w:t>
      </w:r>
      <w:r>
        <w:rPr>
          <w:rFonts w:ascii="Times New Roman" w:cs="Times New Roman" w:eastAsia="Times New Roman" w:hAnsi="Times New Roman"/>
          <w:sz w:val="22"/>
          <w:szCs w:val="22"/>
          <w:u w:val="single" w:color="auto"/>
          <w:color w:val="auto"/>
        </w:rPr>
        <w:t>Sections 14.d.ii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14.d.iii</w:t>
      </w:r>
      <w:r>
        <w:rPr>
          <w:rFonts w:ascii="Times New Roman" w:cs="Times New Roman" w:eastAsia="Times New Roman" w:hAnsi="Times New Roman"/>
          <w:sz w:val="22"/>
          <w:szCs w:val="22"/>
          <w:color w:val="auto"/>
        </w:rPr>
        <w:t xml:space="preserve"> shall be filed in state court in Orange County, Florida or the United States District Court for the Middle District of Florida.</w:t>
      </w:r>
    </w:p>
    <w:p>
      <w:pPr>
        <w:spacing w:after="0" w:line="200" w:lineRule="exact"/>
        <w:rPr>
          <w:rFonts w:ascii="Times New Roman" w:cs="Times New Roman" w:eastAsia="Times New Roman" w:hAnsi="Times New Roman"/>
          <w:sz w:val="22"/>
          <w:szCs w:val="22"/>
          <w:color w:val="auto"/>
        </w:rPr>
      </w:pPr>
    </w:p>
    <w:p>
      <w:pPr>
        <w:jc w:val="both"/>
        <w:ind w:left="1360" w:right="219" w:hanging="503"/>
        <w:spacing w:after="0" w:line="246" w:lineRule="auto"/>
        <w:tabs>
          <w:tab w:leader="none" w:pos="136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In order to avoid excise taxes to the Executive under Section 409A of the Code, all payments and benefits under this Agreement are intended to be exempt from the applicability of Section 409A of the Code, with respect to amounts subject thereto, and shall be interpreted and construed consistent with that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will be excluded from Section 409A to the maximum extent possible. No</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9" w:name="page240"/>
    <w:bookmarkEnd w:id="239"/>
    <w:p>
      <w:pPr>
        <w:jc w:val="both"/>
        <w:ind w:left="1360" w:right="219"/>
        <w:spacing w:after="0" w:line="233" w:lineRule="auto"/>
        <w:rPr>
          <w:sz w:val="20"/>
          <w:szCs w:val="20"/>
          <w:color w:val="auto"/>
        </w:rPr>
      </w:pPr>
      <w:r>
        <w:rPr>
          <w:rFonts w:ascii="Times New Roman" w:cs="Times New Roman" w:eastAsia="Times New Roman" w:hAnsi="Times New Roman"/>
          <w:sz w:val="22"/>
          <w:szCs w:val="22"/>
          <w:color w:val="auto"/>
        </w:rPr>
        <w:t>expenses eligible for reimbursement, or in-kind benefits to be provided, during any calendar year shall affect the amounts eligible for reimbursement in any other calendar year, to the extent subject to the requirements of Section 409A of the Code, and no such right to reimbursement or right to in-kind benefits shall be subject to liquidation or exchange for any other benefit. For purposes of Section 409A of the Code, each payment in a series of installment payments provided under this Agreement shall be treated as a separate payment. Any payments to be made under this Agreement upon a termination of employment shall only be made upon a “separation from service” under Section 409A of the Code. Notwithstanding the foregoing, the Company makes no representations that the payments and benefits provided under this Agreement comply with Section 409A of the Code or any exemption therefrom, and in no event shall the Company be liable for all or any portion of any taxes, penalties, interest or other expenses that may be incurred by the Executive on account of non-compliance with Section 409A of the Code.</w:t>
      </w:r>
    </w:p>
    <w:p>
      <w:pPr>
        <w:spacing w:after="0" w:line="207" w:lineRule="exact"/>
        <w:rPr>
          <w:sz w:val="20"/>
          <w:szCs w:val="20"/>
          <w:color w:val="auto"/>
        </w:rPr>
      </w:pPr>
    </w:p>
    <w:p>
      <w:pPr>
        <w:jc w:val="both"/>
        <w:ind w:left="2160" w:right="219" w:hanging="655"/>
        <w:spacing w:after="0" w:line="244" w:lineRule="auto"/>
        <w:tabs>
          <w:tab w:leader="none" w:pos="2160"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Specified Employees</w:t>
      </w:r>
      <w:r>
        <w:rPr>
          <w:rFonts w:ascii="Times New Roman" w:cs="Times New Roman" w:eastAsia="Times New Roman" w:hAnsi="Times New Roman"/>
          <w:sz w:val="21"/>
          <w:szCs w:val="21"/>
          <w:color w:val="auto"/>
        </w:rPr>
        <w:t>. Notwithstanding any other provision of this Agreement, if any payment or benefit provided to the Executive in connection with her termination of employment is determined to constitute “nonqualified deferred compensation” within the meaning of Section 409A and the Executive is determined to be a “specified employee” as defined in Section 409A(a)(2)(b)(i), then such payment or benefit will not be paid until the first payroll date to occur following the six-month anniversary of the date of the Executive’s termination or, if earlier, on the Executive’s death (the “</w:t>
      </w:r>
      <w:r>
        <w:rPr>
          <w:rFonts w:ascii="Times New Roman" w:cs="Times New Roman" w:eastAsia="Times New Roman" w:hAnsi="Times New Roman"/>
          <w:sz w:val="21"/>
          <w:szCs w:val="21"/>
          <w:b w:val="1"/>
          <w:bCs w:val="1"/>
          <w:i w:val="1"/>
          <w:iCs w:val="1"/>
          <w:color w:val="auto"/>
        </w:rPr>
        <w:t>Specified Employee Payment Date</w:t>
      </w:r>
      <w:r>
        <w:rPr>
          <w:rFonts w:ascii="Times New Roman" w:cs="Times New Roman" w:eastAsia="Times New Roman" w:hAnsi="Times New Roman"/>
          <w:sz w:val="21"/>
          <w:szCs w:val="21"/>
          <w:color w:val="auto"/>
        </w:rPr>
        <w:t>”). The aggregate of any payments that would otherwise have been paid before the Specified Employee Payment Date will be paid to the Executive in a lump sum on the Specified Employee Payment Date and thereafter, any remaining payments will be paid without delay in accordance with their original schedule.</w:t>
      </w:r>
    </w:p>
    <w:p>
      <w:pPr>
        <w:spacing w:after="0" w:line="210" w:lineRule="exact"/>
        <w:rPr>
          <w:rFonts w:ascii="Times New Roman" w:cs="Times New Roman" w:eastAsia="Times New Roman" w:hAnsi="Times New Roman"/>
          <w:sz w:val="21"/>
          <w:szCs w:val="21"/>
          <w:color w:val="auto"/>
        </w:rPr>
      </w:pPr>
    </w:p>
    <w:p>
      <w:pPr>
        <w:jc w:val="both"/>
        <w:ind w:left="2160" w:right="219" w:hanging="655"/>
        <w:spacing w:after="0" w:line="244" w:lineRule="auto"/>
        <w:tabs>
          <w:tab w:leader="none" w:pos="21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Reimbursements</w:t>
      </w:r>
      <w:r>
        <w:rPr>
          <w:rFonts w:ascii="Times New Roman" w:cs="Times New Roman" w:eastAsia="Times New Roman" w:hAnsi="Times New Roman"/>
          <w:sz w:val="22"/>
          <w:szCs w:val="22"/>
          <w:color w:val="auto"/>
        </w:rPr>
        <w:t>. To the extent required by Section 409A, each reimbursement or in-kind benefit provided under this Agreement will be provided in accordance with the following:</w:t>
      </w:r>
    </w:p>
    <w:p>
      <w:pPr>
        <w:spacing w:after="0" w:line="200" w:lineRule="exact"/>
        <w:rPr>
          <w:rFonts w:ascii="Times New Roman" w:cs="Times New Roman" w:eastAsia="Times New Roman" w:hAnsi="Times New Roman"/>
          <w:sz w:val="22"/>
          <w:szCs w:val="22"/>
          <w:color w:val="auto"/>
        </w:rPr>
      </w:pPr>
    </w:p>
    <w:p>
      <w:pPr>
        <w:jc w:val="both"/>
        <w:ind w:left="2800" w:right="219" w:hanging="647"/>
        <w:spacing w:after="0" w:line="239" w:lineRule="auto"/>
        <w:tabs>
          <w:tab w:leader="none" w:pos="280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expenses eligible for reimbursement, or in-kind benefits provided, during each fiscal year of the Company cannot affect the expenses eligible for reimbursement, or in-kind benefits to be provided, in any other fiscal year;</w:t>
      </w:r>
    </w:p>
    <w:p>
      <w:pPr>
        <w:spacing w:after="0" w:line="207" w:lineRule="exact"/>
        <w:rPr>
          <w:rFonts w:ascii="Times New Roman" w:cs="Times New Roman" w:eastAsia="Times New Roman" w:hAnsi="Times New Roman"/>
          <w:sz w:val="22"/>
          <w:szCs w:val="22"/>
          <w:color w:val="auto"/>
        </w:rPr>
      </w:pPr>
    </w:p>
    <w:p>
      <w:pPr>
        <w:jc w:val="both"/>
        <w:ind w:left="2800" w:right="219" w:hanging="647"/>
        <w:spacing w:after="0" w:line="244" w:lineRule="auto"/>
        <w:tabs>
          <w:tab w:leader="none" w:pos="280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 of an eligible expense will be paid to the Executive on or before the last day of the fiscal year following the fiscal year in which the expense was incurred; and</w:t>
      </w:r>
    </w:p>
    <w:p>
      <w:pPr>
        <w:spacing w:after="0" w:line="200" w:lineRule="exact"/>
        <w:rPr>
          <w:rFonts w:ascii="Times New Roman" w:cs="Times New Roman" w:eastAsia="Times New Roman" w:hAnsi="Times New Roman"/>
          <w:sz w:val="22"/>
          <w:szCs w:val="22"/>
          <w:color w:val="auto"/>
        </w:rPr>
      </w:pPr>
    </w:p>
    <w:p>
      <w:pPr>
        <w:ind w:left="2800" w:right="219" w:hanging="647"/>
        <w:spacing w:after="0" w:line="282" w:lineRule="auto"/>
        <w:tabs>
          <w:tab w:leader="none" w:pos="2800"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 to reimbursement or in-kind benefits under this Agreement will not be subject to liquidation or exchange for another benefit.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40" w:name="page241"/>
    <w:bookmarkEnd w:id="240"/>
    <w:p>
      <w:pPr>
        <w:ind w:left="1360" w:right="219" w:hanging="503"/>
        <w:spacing w:after="0" w:line="233" w:lineRule="auto"/>
        <w:tabs>
          <w:tab w:leader="none" w:pos="13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has been subject to substantial negotiations between the parties and thus represents the joint product of those negotiations between the parties and supersedes all previous understandings or agreements, whether written or oral. Any uncertainty or ambiguity shall not be construed for or against any other party based on attribution of any drafting to any party. Furthermore, this Agreement represents the entire agreement between the parties and shall not be subject to modification or amendment by an oral representation, or any other written statement by either party, except for a dated, written amendment to this Agreement signed by the Executive and an authorized representative of the Company. Notwithstanding the foregoing, this Agreement complements and is in addition to (and does not replace or supersede) any other obligation the Executive has to any member of the Company Group with respect to confidentiality or non-disclosure, return of property, non-competition or non-solicitation (whether such obligation arises by contract, statute, common law or otherwise), all of which shall remain in effect.</w:t>
      </w:r>
    </w:p>
    <w:p>
      <w:pPr>
        <w:spacing w:after="0" w:line="204" w:lineRule="exact"/>
        <w:rPr>
          <w:rFonts w:ascii="Times New Roman" w:cs="Times New Roman" w:eastAsia="Times New Roman" w:hAnsi="Times New Roman"/>
          <w:sz w:val="22"/>
          <w:szCs w:val="22"/>
          <w:color w:val="auto"/>
        </w:rPr>
      </w:pPr>
    </w:p>
    <w:p>
      <w:pPr>
        <w:jc w:val="both"/>
        <w:ind w:left="1360" w:right="219" w:hanging="503"/>
        <w:spacing w:after="0" w:line="261" w:lineRule="auto"/>
        <w:tabs>
          <w:tab w:leader="none" w:pos="136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will have the right to withhold from any amount payable hereunder any federal, state and local taxes in order for the Company to satisfy any withholding obligation it may have under any applicable law or regulation.</w:t>
      </w:r>
    </w:p>
    <w:p>
      <w:pPr>
        <w:spacing w:after="0" w:line="184" w:lineRule="exact"/>
        <w:rPr>
          <w:rFonts w:ascii="Times New Roman" w:cs="Times New Roman" w:eastAsia="Times New Roman" w:hAnsi="Times New Roman"/>
          <w:sz w:val="21"/>
          <w:szCs w:val="21"/>
          <w:color w:val="auto"/>
        </w:rPr>
      </w:pPr>
    </w:p>
    <w:p>
      <w:pPr>
        <w:ind w:left="1360" w:right="239" w:hanging="503"/>
        <w:spacing w:after="0" w:line="258" w:lineRule="auto"/>
        <w:tabs>
          <w:tab w:leader="none" w:pos="13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all of which will constitute one and the same instrument.</w:t>
      </w:r>
    </w:p>
    <w:p>
      <w:pPr>
        <w:spacing w:after="0" w:line="185" w:lineRule="exact"/>
        <w:rPr>
          <w:rFonts w:ascii="Times New Roman" w:cs="Times New Roman" w:eastAsia="Times New Roman" w:hAnsi="Times New Roman"/>
          <w:sz w:val="22"/>
          <w:szCs w:val="22"/>
          <w:color w:val="auto"/>
        </w:rPr>
      </w:pPr>
    </w:p>
    <w:p>
      <w:pPr>
        <w:jc w:val="both"/>
        <w:ind w:left="1360" w:right="239" w:hanging="503"/>
        <w:spacing w:after="0" w:line="244" w:lineRule="auto"/>
        <w:tabs>
          <w:tab w:leader="none" w:pos="13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Contingent Employment</w:t>
      </w:r>
      <w:r>
        <w:rPr>
          <w:rFonts w:ascii="Times New Roman" w:cs="Times New Roman" w:eastAsia="Times New Roman" w:hAnsi="Times New Roman"/>
          <w:sz w:val="22"/>
          <w:szCs w:val="22"/>
          <w:color w:val="auto"/>
        </w:rPr>
        <w:t>. This Agreement is contingent upon successful completion of the Company’s normal hiring procedures and policies, including but not limited to a background and credit check.</w:t>
      </w:r>
    </w:p>
    <w:p>
      <w:pPr>
        <w:spacing w:after="0" w:line="200" w:lineRule="exact"/>
        <w:rPr>
          <w:rFonts w:ascii="Times New Roman" w:cs="Times New Roman" w:eastAsia="Times New Roman" w:hAnsi="Times New Roman"/>
          <w:sz w:val="22"/>
          <w:szCs w:val="22"/>
          <w:color w:val="auto"/>
        </w:rPr>
      </w:pPr>
    </w:p>
    <w:p>
      <w:pPr>
        <w:jc w:val="both"/>
        <w:ind w:left="1360" w:right="239" w:hanging="503"/>
        <w:spacing w:after="0" w:line="236" w:lineRule="auto"/>
        <w:tabs>
          <w:tab w:leader="none" w:pos="13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Upon the expiration or other termination of this Agreement, the respective rights and obligations of the parties hereto will survive such expiration or other termination to the extent necessary to carry out the intentions of the parties under this Agreement.</w:t>
      </w:r>
    </w:p>
    <w:p>
      <w:pPr>
        <w:spacing w:after="0" w:line="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41" w:name="page242"/>
    <w:bookmarkEnd w:id="241"/>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Company and the Executive have executed this Agreement as of the day and year first above written.</w:t>
      </w:r>
    </w:p>
    <w:p>
      <w:pPr>
        <w:spacing w:after="0" w:line="200" w:lineRule="exact"/>
        <w:rPr>
          <w:sz w:val="20"/>
          <w:szCs w:val="20"/>
          <w:color w:val="auto"/>
        </w:rPr>
      </w:pPr>
    </w:p>
    <w:p>
      <w:pPr>
        <w:spacing w:after="0" w:line="2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8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-13970</wp:posOffset>
            </wp:positionV>
            <wp:extent cx="22453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isa</w:t>
      </w:r>
      <w:r>
        <w:rPr>
          <w:rFonts w:ascii="Times New Roman" w:cs="Times New Roman" w:eastAsia="Times New Roman" w:hAnsi="Times New Roman"/>
          <w:sz w:val="22"/>
          <w:szCs w:val="22"/>
          <w:color w:val="auto"/>
        </w:rPr>
        <w:t xml:space="preserve"> M. V</w:t>
      </w:r>
      <w:r>
        <w:rPr>
          <w:rFonts w:ascii="Times New Roman" w:cs="Times New Roman" w:eastAsia="Times New Roman" w:hAnsi="Times New Roman"/>
          <w:sz w:val="14"/>
          <w:szCs w:val="14"/>
          <w:color w:val="auto"/>
        </w:rPr>
        <w:t>orakoun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w:t>
      </w:r>
      <w:r>
        <w:rPr>
          <w:rFonts w:ascii="Times New Roman" w:cs="Times New Roman" w:eastAsia="Times New Roman" w:hAnsi="Times New Roman"/>
          <w:sz w:val="14"/>
          <w:szCs w:val="14"/>
          <w:color w:val="auto"/>
        </w:rPr>
        <w:t>ealty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 Maryland corporation</w:t>
      </w:r>
    </w:p>
    <w:p>
      <w:pPr>
        <w:spacing w:after="0" w:line="200" w:lineRule="exact"/>
        <w:rPr>
          <w:sz w:val="20"/>
          <w:szCs w:val="20"/>
          <w:color w:val="auto"/>
        </w:rPr>
      </w:pPr>
    </w:p>
    <w:p>
      <w:pPr>
        <w:spacing w:after="0" w:line="2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-13970</wp:posOffset>
            </wp:positionV>
            <wp:extent cx="9582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Daniel E. Smith</w:t>
      </w:r>
    </w:p>
    <w:p>
      <w:pPr>
        <w:ind w:left="4820"/>
        <w:spacing w:after="0" w:line="230" w:lineRule="auto"/>
        <w:rPr>
          <w:sz w:val="20"/>
          <w:szCs w:val="20"/>
          <w:color w:val="auto"/>
        </w:rPr>
      </w:pPr>
      <w:r>
        <w:rPr>
          <w:rFonts w:ascii="Times New Roman" w:cs="Times New Roman" w:eastAsia="Times New Roman" w:hAnsi="Times New Roman"/>
          <w:sz w:val="22"/>
          <w:szCs w:val="22"/>
          <w:color w:val="auto"/>
        </w:rPr>
        <w:t>Senior Vice President,</w:t>
      </w:r>
    </w:p>
    <w:p>
      <w:pPr>
        <w:spacing w:after="0" w:line="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 –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EXISTING EQUITY INCENTIVE AWARDS</w:t>
      </w:r>
    </w:p>
    <w:p>
      <w:pPr>
        <w:spacing w:after="0" w:line="233" w:lineRule="exact"/>
        <w:rPr>
          <w:sz w:val="20"/>
          <w:szCs w:val="20"/>
          <w:color w:val="auto"/>
        </w:rPr>
      </w:pPr>
    </w:p>
    <w:p>
      <w:pPr>
        <w:ind w:left="860" w:right="379" w:hanging="327"/>
        <w:spacing w:after="0" w:line="241" w:lineRule="auto"/>
        <w:tabs>
          <w:tab w:leader="none" w:pos="8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Award Agreement dated February 17, 2022 (1,700 shares) (split-adjusted 5,100 shares)</w:t>
      </w:r>
    </w:p>
    <w:p>
      <w:pPr>
        <w:spacing w:after="0" w:line="1" w:lineRule="exact"/>
        <w:rPr>
          <w:rFonts w:ascii="Times New Roman" w:cs="Times New Roman" w:eastAsia="Times New Roman" w:hAnsi="Times New Roman"/>
          <w:sz w:val="22"/>
          <w:szCs w:val="22"/>
          <w:color w:val="auto"/>
        </w:rPr>
      </w:pPr>
    </w:p>
    <w:p>
      <w:pPr>
        <w:ind w:left="860" w:hanging="327"/>
        <w:spacing w:after="0" w:line="230" w:lineRule="auto"/>
        <w:tabs>
          <w:tab w:leader="none" w:pos="8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Award agreement dated July 1, 2022 (9,000 shares)</w:t>
      </w:r>
    </w:p>
    <w:p>
      <w:pPr>
        <w:ind w:left="860" w:hanging="327"/>
        <w:spacing w:after="0" w:line="230" w:lineRule="auto"/>
        <w:tabs>
          <w:tab w:leader="none" w:pos="8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Award Agreement dated February 17, 2023 (5,778 shares)</w:t>
      </w:r>
    </w:p>
    <w:p>
      <w:pPr>
        <w:ind w:left="860" w:hanging="327"/>
        <w:spacing w:after="0" w:line="230" w:lineRule="auto"/>
        <w:tabs>
          <w:tab w:leader="none" w:pos="8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Award Agreement dated February 14, 2024 (6,883 shares)</w:t>
      </w:r>
    </w:p>
    <w:p>
      <w:pPr>
        <w:ind w:left="860" w:right="239" w:hanging="327"/>
        <w:spacing w:after="0" w:line="230" w:lineRule="auto"/>
        <w:tabs>
          <w:tab w:leader="none" w:pos="8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 Award Agreement dated February 17, 2022 (916 shares) (split-adjusted: 2,748 shares)</w:t>
      </w:r>
    </w:p>
    <w:p>
      <w:pPr>
        <w:spacing w:after="0" w:line="1" w:lineRule="exact"/>
        <w:rPr>
          <w:rFonts w:ascii="Times New Roman" w:cs="Times New Roman" w:eastAsia="Times New Roman" w:hAnsi="Times New Roman"/>
          <w:sz w:val="22"/>
          <w:szCs w:val="22"/>
          <w:color w:val="auto"/>
        </w:rPr>
      </w:pPr>
    </w:p>
    <w:p>
      <w:pPr>
        <w:ind w:left="860" w:hanging="327"/>
        <w:spacing w:after="0" w:line="230" w:lineRule="auto"/>
        <w:tabs>
          <w:tab w:leader="none" w:pos="8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 Award Agreement dated February 17, 2023 (3,677 shares)</w:t>
      </w:r>
    </w:p>
    <w:p>
      <w:pPr>
        <w:ind w:left="860" w:right="359" w:hanging="327"/>
        <w:spacing w:after="0" w:line="237" w:lineRule="auto"/>
        <w:tabs>
          <w:tab w:leader="none" w:pos="8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Performance Share Award Agreement dated March 1, 2024 (7,481 shares)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43" w:name="page244"/>
    <w:bookmarkEnd w:id="243"/>
    <w:p>
      <w:pPr>
        <w:ind w:left="7780"/>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AMENDED AND RESTATED EMPLOYMENT AGREEMENT</w:t>
      </w:r>
    </w:p>
    <w:p>
      <w:pPr>
        <w:spacing w:after="0" w:line="209" w:lineRule="exact"/>
        <w:rPr>
          <w:sz w:val="20"/>
          <w:szCs w:val="20"/>
          <w:color w:val="auto"/>
        </w:rPr>
      </w:pPr>
    </w:p>
    <w:p>
      <w:pPr>
        <w:jc w:val="both"/>
        <w:ind w:left="340" w:right="219" w:firstLine="518"/>
        <w:spacing w:after="0" w:line="239" w:lineRule="auto"/>
        <w:rPr>
          <w:sz w:val="20"/>
          <w:szCs w:val="20"/>
          <w:color w:val="auto"/>
        </w:rPr>
      </w:pPr>
      <w:r>
        <w:rPr>
          <w:rFonts w:ascii="Times New Roman" w:cs="Times New Roman" w:eastAsia="Times New Roman" w:hAnsi="Times New Roman"/>
          <w:sz w:val="22"/>
          <w:szCs w:val="22"/>
          <w:color w:val="auto"/>
        </w:rPr>
        <w:t>This FIRST AMENDMENT TO SECOND AMENDED AND RESTATED EMPLOYMENT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and entered into on October 22, 2024, by and between CTO REALTY GROWTH, INC., a Maryland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JOHN P. ALBRIGHT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3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The Company and the Executive are parties to that certain Second Amended and Restated Employment Agreement dated as of July 29, 2020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Company and the Executive desire to make certain modifications to the Employment Agreement as more fully set forth below.</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AMENDMENT</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In furtherance of the foregoing, the Company and the Executive hereby agree as follows:</w:t>
      </w:r>
    </w:p>
    <w:p>
      <w:pPr>
        <w:spacing w:after="0" w:line="233" w:lineRule="exact"/>
        <w:rPr>
          <w:sz w:val="20"/>
          <w:szCs w:val="20"/>
          <w:color w:val="auto"/>
        </w:rPr>
      </w:pPr>
    </w:p>
    <w:p>
      <w:pPr>
        <w:ind w:left="200" w:right="239" w:firstLine="657"/>
        <w:spacing w:after="0" w:line="258" w:lineRule="auto"/>
        <w:tabs>
          <w:tab w:leader="none" w:pos="149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Agreement is hereby amended by the deletion of Section 5.f. and its replacement with the following:</w:t>
      </w:r>
    </w:p>
    <w:p>
      <w:pPr>
        <w:spacing w:after="0" w:line="200" w:lineRule="exact"/>
        <w:rPr>
          <w:sz w:val="20"/>
          <w:szCs w:val="20"/>
          <w:color w:val="auto"/>
        </w:rPr>
      </w:pPr>
    </w:p>
    <w:p>
      <w:pPr>
        <w:spacing w:after="0" w:line="228" w:lineRule="exact"/>
        <w:rPr>
          <w:sz w:val="20"/>
          <w:szCs w:val="20"/>
          <w:color w:val="auto"/>
        </w:rPr>
      </w:pPr>
    </w:p>
    <w:p>
      <w:pPr>
        <w:jc w:val="both"/>
        <w:ind w:left="1180" w:right="219" w:hanging="323"/>
        <w:spacing w:after="0" w:line="233" w:lineRule="auto"/>
        <w:tabs>
          <w:tab w:leader="none" w:pos="118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280G</w:t>
      </w:r>
      <w:r>
        <w:rPr>
          <w:rFonts w:ascii="Times New Roman" w:cs="Times New Roman" w:eastAsia="Times New Roman" w:hAnsi="Times New Roman"/>
          <w:sz w:val="22"/>
          <w:szCs w:val="22"/>
          <w:color w:val="auto"/>
        </w:rPr>
        <w:t>. The Executive and the Company will work together in good faith to reduce or eliminate the impact, if any, of Section 280G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To that effect, if there is a change in ownership or control of the Company that would cause any payment or distribution by the Company or any other person, firm, corporation, partnership, company, association, or other entity to Executive or for Executive’s benefit (whether paid or payable or distributed or distributable pursuant to the terms of this Agreement or otherwise) (each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to be subject to the excise tax imposed by Section 4999 of the Code (such excise tax, together with any interest or penalties incurred by Executive with respect to such excise tax,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Executive will receive the greatest of the following, whichever gives Executive the highest net after-tax amount (after taking into account federal, state, local and social security taxes): (a) the Payments or (b) one dollar less than the amount of the Payments that would subject Executive to the Excise Tax.</w:t>
      </w:r>
    </w:p>
    <w:p>
      <w:pPr>
        <w:spacing w:after="0" w:line="207" w:lineRule="exact"/>
        <w:rPr>
          <w:sz w:val="20"/>
          <w:szCs w:val="20"/>
          <w:color w:val="auto"/>
        </w:rPr>
      </w:pPr>
    </w:p>
    <w:p>
      <w:pPr>
        <w:ind w:left="260" w:right="219" w:firstLine="597"/>
        <w:spacing w:after="0" w:line="258" w:lineRule="auto"/>
        <w:tabs>
          <w:tab w:leader="none" w:pos="150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Agreement is hereby amended by the deletion of Section 7 and its replacement with the following:</w:t>
      </w:r>
    </w:p>
    <w:p>
      <w:pPr>
        <w:spacing w:after="0" w:line="200" w:lineRule="exact"/>
        <w:rPr>
          <w:sz w:val="20"/>
          <w:szCs w:val="20"/>
          <w:color w:val="auto"/>
        </w:rPr>
      </w:pPr>
    </w:p>
    <w:p>
      <w:pPr>
        <w:spacing w:after="0" w:line="228" w:lineRule="exact"/>
        <w:rPr>
          <w:sz w:val="20"/>
          <w:szCs w:val="20"/>
          <w:color w:val="auto"/>
        </w:rPr>
      </w:pPr>
    </w:p>
    <w:p>
      <w:pPr>
        <w:ind w:left="1180" w:hanging="323"/>
        <w:spacing w:after="0"/>
        <w:tabs>
          <w:tab w:leader="none" w:pos="11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140" w:right="219" w:hanging="649"/>
        <w:spacing w:after="0" w:line="258" w:lineRule="auto"/>
        <w:tabs>
          <w:tab w:leader="none" w:pos="214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In the course of Executive’s employment with the Company and the performance of Executive’s duties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4" w:name="page245"/>
    <w:bookmarkEnd w:id="244"/>
    <w:p>
      <w:pPr>
        <w:jc w:val="both"/>
        <w:ind w:left="2140" w:right="219"/>
        <w:spacing w:after="0" w:line="238" w:lineRule="auto"/>
        <w:rPr>
          <w:sz w:val="20"/>
          <w:szCs w:val="20"/>
          <w:color w:val="auto"/>
        </w:rPr>
      </w:pPr>
      <w:r>
        <w:rPr>
          <w:rFonts w:ascii="Times New Roman" w:cs="Times New Roman" w:eastAsia="Times New Roman" w:hAnsi="Times New Roman"/>
          <w:sz w:val="22"/>
          <w:szCs w:val="22"/>
          <w:color w:val="auto"/>
        </w:rPr>
        <w:t xml:space="preserve">Company Group (as defined below) hereunder, Executive will be provided with, and will have access to, Confidential Information (as defined below). In consideration of Executive’s receipt and access to such Confidential Information, and as a condition of Executive’s employment hereunder, Executive shall comply with this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800" w:right="219" w:hanging="647"/>
        <w:spacing w:after="0" w:line="232" w:lineRule="auto"/>
        <w:tabs>
          <w:tab w:leader="none" w:pos="28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Both during the Employment Period (as defined below) and thereafter, except as expressly permitted by this Agreement or by directive of the Board, Executive shall not disclose any Confidential Information to any person or entity and shall not use any Confidential Information except for the benefit of the Company Group. Executive shall follow all Company Group policies and protocols regarding the security of all documents and other materials containing Confidential Information (regardless of the medium on which Confidential Information is stored). Except to the extent required for the performance of Executive’s duties on behalf of the Company Group, Executive shall not remove from facilities of any member of the Company Group any equipment, drawings, notes, reports, manuals, invention records, computer software, tenant information, or other data or materials that relate in any way to the Confidential Information, whether paper or electronic and whether produced by Executive or obtained by the Company Group. The covenants of this </w:t>
      </w:r>
      <w:r>
        <w:rPr>
          <w:rFonts w:ascii="Times New Roman" w:cs="Times New Roman" w:eastAsia="Times New Roman" w:hAnsi="Times New Roman"/>
          <w:sz w:val="22"/>
          <w:szCs w:val="22"/>
          <w:u w:val="single" w:color="auto"/>
          <w:color w:val="auto"/>
        </w:rPr>
        <w:t>Section 7.a.i</w:t>
      </w:r>
      <w:r>
        <w:rPr>
          <w:rFonts w:ascii="Times New Roman" w:cs="Times New Roman" w:eastAsia="Times New Roman" w:hAnsi="Times New Roman"/>
          <w:sz w:val="22"/>
          <w:szCs w:val="22"/>
          <w:color w:val="auto"/>
        </w:rPr>
        <w:t xml:space="preserve"> shall apply to all Confidential Information, whether now known or later to become known to Executive during the period that Executive is employed by or affiliated with the Company or any other member of the Company Group.</w:t>
      </w:r>
    </w:p>
    <w:p>
      <w:pPr>
        <w:spacing w:after="0" w:line="183" w:lineRule="exact"/>
        <w:rPr>
          <w:rFonts w:ascii="Times New Roman" w:cs="Times New Roman" w:eastAsia="Times New Roman" w:hAnsi="Times New Roman"/>
          <w:sz w:val="22"/>
          <w:szCs w:val="22"/>
          <w:color w:val="auto"/>
        </w:rPr>
      </w:pPr>
    </w:p>
    <w:p>
      <w:pPr>
        <w:jc w:val="both"/>
        <w:ind w:left="2800" w:right="239" w:hanging="647"/>
        <w:spacing w:after="0" w:line="244" w:lineRule="auto"/>
        <w:tabs>
          <w:tab w:leader="none" w:pos="28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w:t>
      </w:r>
      <w:r>
        <w:rPr>
          <w:rFonts w:ascii="Times New Roman" w:cs="Times New Roman" w:eastAsia="Times New Roman" w:hAnsi="Times New Roman"/>
          <w:sz w:val="22"/>
          <w:szCs w:val="22"/>
          <w:u w:val="single" w:color="auto"/>
          <w:color w:val="auto"/>
        </w:rPr>
        <w:t>Section 7.a.i</w:t>
      </w:r>
      <w:r>
        <w:rPr>
          <w:rFonts w:ascii="Times New Roman" w:cs="Times New Roman" w:eastAsia="Times New Roman" w:hAnsi="Times New Roman"/>
          <w:sz w:val="22"/>
          <w:szCs w:val="22"/>
          <w:color w:val="auto"/>
        </w:rPr>
        <w:t xml:space="preserve"> to the contrary, Executive may make the following disclosures and uses of Confidential Information:</w:t>
      </w:r>
    </w:p>
    <w:p>
      <w:pPr>
        <w:spacing w:after="0" w:line="173" w:lineRule="exact"/>
        <w:rPr>
          <w:rFonts w:ascii="Times New Roman" w:cs="Times New Roman" w:eastAsia="Times New Roman" w:hAnsi="Times New Roman"/>
          <w:sz w:val="22"/>
          <w:szCs w:val="22"/>
          <w:color w:val="auto"/>
        </w:rPr>
      </w:pPr>
    </w:p>
    <w:p>
      <w:pPr>
        <w:jc w:val="both"/>
        <w:ind w:left="3440" w:right="219" w:hanging="639"/>
        <w:spacing w:after="0" w:line="244" w:lineRule="auto"/>
        <w:tabs>
          <w:tab w:leader="none" w:pos="344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other employees of a member of the Company Group who have a need to know Confidential Information in connection with the businesses of the Company Group;</w:t>
      </w:r>
    </w:p>
    <w:p>
      <w:pPr>
        <w:spacing w:after="0" w:line="173" w:lineRule="exact"/>
        <w:rPr>
          <w:rFonts w:ascii="Times New Roman" w:cs="Times New Roman" w:eastAsia="Times New Roman" w:hAnsi="Times New Roman"/>
          <w:sz w:val="22"/>
          <w:szCs w:val="22"/>
          <w:color w:val="auto"/>
        </w:rPr>
      </w:pPr>
    </w:p>
    <w:p>
      <w:pPr>
        <w:ind w:left="3440" w:right="239" w:hanging="639"/>
        <w:spacing w:after="0" w:line="258" w:lineRule="auto"/>
        <w:tabs>
          <w:tab w:leader="none" w:pos="344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and uses that are approved in writing by the Board;</w:t>
      </w:r>
    </w:p>
    <w:p>
      <w:pPr>
        <w:spacing w:after="0" w:line="158" w:lineRule="exact"/>
        <w:rPr>
          <w:rFonts w:ascii="Times New Roman" w:cs="Times New Roman" w:eastAsia="Times New Roman" w:hAnsi="Times New Roman"/>
          <w:sz w:val="22"/>
          <w:szCs w:val="22"/>
          <w:color w:val="auto"/>
        </w:rPr>
      </w:pPr>
    </w:p>
    <w:p>
      <w:pPr>
        <w:jc w:val="both"/>
        <w:ind w:left="3440" w:right="219" w:hanging="639"/>
        <w:spacing w:after="0" w:line="238" w:lineRule="auto"/>
        <w:tabs>
          <w:tab w:leader="none" w:pos="344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 in a form acceptable to the Company; and</w:t>
      </w:r>
    </w:p>
    <w:p>
      <w:pPr>
        <w:spacing w:after="0" w:line="176"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45" w:name="page246"/>
    <w:bookmarkEnd w:id="245"/>
    <w:p>
      <w:pPr>
        <w:jc w:val="both"/>
        <w:ind w:left="2800" w:right="219" w:hanging="647"/>
        <w:spacing w:after="0" w:line="232" w:lineRule="auto"/>
        <w:tabs>
          <w:tab w:leader="none" w:pos="28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of the Employment Period, the Executive shall promptly return to the Company all originals and copies of any documents, records, notebooks, files, correspondence, reports, memoranda or similar materials of or containing Confidential Information, proprietary information, or any other materials or property of any kind belonging to the Company (including keys and other tangible personal property of the Company), then in the Executive’s possession, whether prepared by the Executive or by others. The Executive agrees that, upon termination of his employment with the Company, for any reason, or on demand, the Executive will permit a representative of the Company to access all data stored on any personal computer, laptop, smartphone, tablet, telephone or other electronic device or storage media that the Executive has used in any fashion in connection with his work for the Company for the sole purpose of permanently removing, copying and/or deleting any data belonging to or related to the Company, its customers, prospective customers, business partners, its business or which otherwise contains Confidential Information or any other information belonging to the Company.</w:t>
      </w:r>
    </w:p>
    <w:p>
      <w:pPr>
        <w:spacing w:after="0" w:line="180" w:lineRule="exact"/>
        <w:rPr>
          <w:rFonts w:ascii="Times New Roman" w:cs="Times New Roman" w:eastAsia="Times New Roman" w:hAnsi="Times New Roman"/>
          <w:sz w:val="22"/>
          <w:szCs w:val="22"/>
          <w:color w:val="auto"/>
        </w:rPr>
      </w:pPr>
    </w:p>
    <w:p>
      <w:pPr>
        <w:jc w:val="both"/>
        <w:ind w:left="2800" w:right="219" w:hanging="647"/>
        <w:spacing w:after="0" w:line="243" w:lineRule="auto"/>
        <w:tabs>
          <w:tab w:leader="none" w:pos="280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means all confidential, competitively valuable, non-public or proprietary information that is conceived, made, developed or acquired by or disclosed to Executive (whether conveyed orally or in writing), individually or in conjunction with others, during the period that Executive is employed or engaged by the Company or any other member of the Company Group (whether during business hours or otherwise and whether on the Company’s premises or otherwise) including: (i) technical information of any member of the Company Group, its affiliates, its customers or other third parties, including computer programs, software, databases, data, ideas, know-how, formulae, compositions, processes, discoveries, machines, inventions (whether patentable or not), designs, developmental or experimental work, techniques, improvements, work in process, research or test results, original works of authorship, training programs and procedures, diagrams, charts, business plans, and similar items; (ii) information relating to any member of the Company Group’s businesses, properties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tenants or acquisition targets or their requirements, the identity of key contacts within tenants’ organizations or within the organization of acquisition prospects, or marketing and merchandising techniques, prospective names and marks); (iii) other valuable, confidential information and trade secrets of any member of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46" w:name="page247"/>
    <w:bookmarkEnd w:id="246"/>
    <w:p>
      <w:pPr>
        <w:ind w:left="2800"/>
        <w:spacing w:after="0"/>
        <w:rPr>
          <w:sz w:val="20"/>
          <w:szCs w:val="20"/>
          <w:color w:val="auto"/>
        </w:rPr>
      </w:pPr>
      <w:r>
        <w:rPr>
          <w:rFonts w:ascii="Times New Roman" w:cs="Times New Roman" w:eastAsia="Times New Roman" w:hAnsi="Times New Roman"/>
          <w:sz w:val="22"/>
          <w:szCs w:val="22"/>
          <w:color w:val="auto"/>
        </w:rPr>
        <w:t>Company Group, its affiliates, its tenants or other third parties; and</w:t>
      </w:r>
    </w:p>
    <w:p>
      <w:pPr>
        <w:spacing w:after="0" w:line="14" w:lineRule="exact"/>
        <w:rPr>
          <w:sz w:val="20"/>
          <w:szCs w:val="20"/>
          <w:color w:val="auto"/>
        </w:rPr>
      </w:pPr>
    </w:p>
    <w:p>
      <w:pPr>
        <w:jc w:val="both"/>
        <w:ind w:left="2800" w:right="219" w:firstLine="1"/>
        <w:spacing w:after="0" w:line="231" w:lineRule="auto"/>
        <w:tabs>
          <w:tab w:leader="none" w:pos="3227"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information that is competitively valuable to any member of the Company Group by virtue of not being publicly known. Moreover, all documents, videotapes, written presentations, brochures, drawings, memoranda, notes, records, files, correspondence, manuals, models, specifications, computer programs, e-mail, voice mail, electronic databases, maps, drawings, architectural renditions and all other writings or materials of any type including or embodying any of such information, ideas, concepts, improvements, discoveries, inventions and other similar forms of expression are and shall be the sole and exclusive property of the Company or the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Executive or any of Executive’s agents; (ii) was available to Executive on a non-confidential basis before its disclosure by a member of the Company Group; or (iii) becomes available to Executive on a non-confidential basis from a source other than a member of the Company Group;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source is not bound by a confidentiality agreement with, or other obligation with respect to confidentiality to, a member of the Company Group.</w:t>
      </w:r>
    </w:p>
    <w:p>
      <w:pPr>
        <w:spacing w:after="0" w:line="180" w:lineRule="exact"/>
        <w:rPr>
          <w:rFonts w:ascii="Times New Roman" w:cs="Times New Roman" w:eastAsia="Times New Roman" w:hAnsi="Times New Roman"/>
          <w:sz w:val="22"/>
          <w:szCs w:val="22"/>
          <w:color w:val="auto"/>
        </w:rPr>
      </w:pPr>
    </w:p>
    <w:p>
      <w:pPr>
        <w:jc w:val="both"/>
        <w:ind w:left="2800" w:right="219" w:hanging="647"/>
        <w:spacing w:after="0" w:line="243" w:lineRule="auto"/>
        <w:tabs>
          <w:tab w:leader="none" w:pos="28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nothing in this Agreement or in any other agreement between Executive and the Company or any other member of the Company Group shall prohibit or restrict Executive from lawfully: (i) initiating communications directly with, cooperating with, providing information to, causing information to be provided to, or otherwise assisting in an investigation by, any governmental authority (including the Securities and Exchange Commission and any other applicable governmental commission or regulatory agency) regarding a possible violation of any law; (ii) responding to any inquiry or legal process directed to Executive from any governmental authority; (iii) testifying, participating or otherwise assisting in any action or proceeding by any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47" w:name="page248"/>
    <w:bookmarkEnd w:id="247"/>
    <w:p>
      <w:pPr>
        <w:jc w:val="both"/>
        <w:ind w:left="2800" w:right="219"/>
        <w:spacing w:after="0" w:line="234" w:lineRule="auto"/>
        <w:rPr>
          <w:sz w:val="20"/>
          <w:szCs w:val="20"/>
          <w:color w:val="auto"/>
        </w:rPr>
      </w:pPr>
      <w:r>
        <w:rPr>
          <w:rFonts w:ascii="Times New Roman" w:cs="Times New Roman" w:eastAsia="Times New Roman" w:hAnsi="Times New Roman"/>
          <w:sz w:val="22"/>
          <w:szCs w:val="22"/>
          <w:color w:val="auto"/>
        </w:rPr>
        <w:t>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Executive to obtain prior authorization before engaging in any conduct described in this paragraph, or to notify the Company or any other member of the Company Group that Executive has engaged in any such conduct.</w:t>
      </w:r>
    </w:p>
    <w:p>
      <w:pPr>
        <w:spacing w:after="0" w:line="177" w:lineRule="exact"/>
        <w:rPr>
          <w:sz w:val="20"/>
          <w:szCs w:val="20"/>
          <w:color w:val="auto"/>
        </w:rPr>
      </w:pPr>
    </w:p>
    <w:p>
      <w:pPr>
        <w:jc w:val="both"/>
        <w:ind w:left="2800" w:right="239" w:hanging="647"/>
        <w:spacing w:after="0" w:line="247" w:lineRule="auto"/>
        <w:tabs>
          <w:tab w:leader="none" w:pos="280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means the Company, Alpine Income Property Trust, Inc. (“</w:t>
      </w:r>
      <w:r>
        <w:rPr>
          <w:rFonts w:ascii="Times New Roman" w:cs="Times New Roman" w:eastAsia="Times New Roman" w:hAnsi="Times New Roman"/>
          <w:sz w:val="22"/>
          <w:szCs w:val="22"/>
          <w:b w:val="1"/>
          <w:bCs w:val="1"/>
          <w:i w:val="1"/>
          <w:iCs w:val="1"/>
          <w:color w:val="auto"/>
        </w:rPr>
        <w:t>Alpine</w:t>
      </w:r>
      <w:r>
        <w:rPr>
          <w:rFonts w:ascii="Times New Roman" w:cs="Times New Roman" w:eastAsia="Times New Roman" w:hAnsi="Times New Roman"/>
          <w:sz w:val="22"/>
          <w:szCs w:val="22"/>
          <w:color w:val="auto"/>
        </w:rPr>
        <w:t>”) and each subsidiary of the Company and Alpine, collectively.</w:t>
      </w:r>
    </w:p>
    <w:p>
      <w:pPr>
        <w:spacing w:after="0" w:line="163" w:lineRule="exact"/>
        <w:rPr>
          <w:rFonts w:ascii="Times New Roman" w:cs="Times New Roman" w:eastAsia="Times New Roman" w:hAnsi="Times New Roman"/>
          <w:sz w:val="22"/>
          <w:szCs w:val="22"/>
          <w:color w:val="auto"/>
        </w:rPr>
      </w:pPr>
    </w:p>
    <w:p>
      <w:pPr>
        <w:jc w:val="both"/>
        <w:ind w:left="2800" w:right="239" w:hanging="647"/>
        <w:spacing w:after="0" w:line="247" w:lineRule="auto"/>
        <w:tabs>
          <w:tab w:leader="none" w:pos="280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Employment Period</w:t>
      </w:r>
      <w:r>
        <w:rPr>
          <w:rFonts w:ascii="Times New Roman" w:cs="Times New Roman" w:eastAsia="Times New Roman" w:hAnsi="Times New Roman"/>
          <w:sz w:val="22"/>
          <w:szCs w:val="22"/>
          <w:color w:val="auto"/>
        </w:rPr>
        <w:t>” means the period from June 30, 2011 through the termination of the Executive’s employment pursuant to this Agreement.</w:t>
      </w:r>
    </w:p>
    <w:p>
      <w:pPr>
        <w:spacing w:after="0" w:line="16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800" w:right="219" w:hanging="647"/>
        <w:spacing w:after="0" w:line="244" w:lineRule="auto"/>
        <w:tabs>
          <w:tab w:leader="none" w:pos="2800"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provide Executive access to Confidential Information for use only during the Employment Period, and Executive acknowledges and agrees that the Company Group will be entrusting Executive, in Executive's unique and special capacity, with developing the goodwill of the Company Group, and in consideration of the Company providing Executive with access to Confidential Information and as an express incentive for the Company to enter into this Agreement and employ Executive hereunder, Executive has voluntarily agreed to the covenants set forth in this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Executive agrees and acknowledges that the limitations and restrictions set forth herein, including geographical and temporal restrictions on certain competitive activities, are reasonable in all respects, do not interfere with public interests, will not cause Executive undue hardship, and are material and substantial parts of this Agreement intended and necessary to prevent unfair competition and to protect the Company Group's Confidential Information, goodwill and legitimate business interests.</w:t>
      </w:r>
    </w:p>
    <w:p>
      <w:pPr>
        <w:spacing w:after="0" w:line="173" w:lineRule="exact"/>
        <w:rPr>
          <w:rFonts w:ascii="Times New Roman" w:cs="Times New Roman" w:eastAsia="Times New Roman" w:hAnsi="Times New Roman"/>
          <w:sz w:val="21"/>
          <w:szCs w:val="21"/>
          <w:color w:val="auto"/>
        </w:rPr>
      </w:pPr>
    </w:p>
    <w:p>
      <w:pPr>
        <w:jc w:val="both"/>
        <w:ind w:left="2800" w:right="239" w:hanging="647"/>
        <w:spacing w:after="0" w:line="244" w:lineRule="auto"/>
        <w:tabs>
          <w:tab w:leader="none" w:pos="280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shall submit to the Board all Business Opportunities (as defined below) presented to the Executive or of which the Executive becomes aware.</w:t>
      </w:r>
    </w:p>
    <w:p>
      <w:pPr>
        <w:spacing w:after="0" w:line="173" w:lineRule="exact"/>
        <w:rPr>
          <w:rFonts w:ascii="Times New Roman" w:cs="Times New Roman" w:eastAsia="Times New Roman" w:hAnsi="Times New Roman"/>
          <w:sz w:val="22"/>
          <w:szCs w:val="22"/>
          <w:color w:val="auto"/>
        </w:rPr>
      </w:pPr>
    </w:p>
    <w:p>
      <w:pPr>
        <w:jc w:val="both"/>
        <w:ind w:left="2800" w:right="219" w:hanging="647"/>
        <w:spacing w:after="0" w:line="239" w:lineRule="auto"/>
        <w:tabs>
          <w:tab w:leader="none" w:pos="280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Prohibited Period (as defined below), Executive shall not, without the prior written approval of the Board, directly or indirectly, for Executive or on behalf of or in conjunction with any other person or entity of any nature: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48" w:name="page249"/>
    <w:bookmarkEnd w:id="248"/>
    <w:p>
      <w:pPr>
        <w:jc w:val="both"/>
        <w:ind w:left="3440" w:right="219" w:hanging="639"/>
        <w:spacing w:after="0" w:line="244" w:lineRule="auto"/>
        <w:tabs>
          <w:tab w:leader="none" w:pos="3440"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or participate within the Market Area (as defined below) in competition with any member of the Company Group in any aspect of the Business (as defined below), which prohibition shall prevent Executive from directly or indirectly: (i) owning a controlling interest in, managing, operating, or being an officer or director of, any business that competes with any member of the Company Group in the Market Area, or (ii) joining, becoming an employee or consultant of, or otherwise being affiliated with or providing services to, any person or entity engaged in, or planning to engage in, the Business in the Market Area in competition, or anticipated competition, with any member of the Company Group in any capacity (with respect to this clause (ii)) in which Executive's duties or responsibilities involve direct or indirect responsibilities with respect to the Business.</w:t>
      </w:r>
    </w:p>
    <w:p>
      <w:pPr>
        <w:spacing w:after="0" w:line="178" w:lineRule="exact"/>
        <w:rPr>
          <w:rFonts w:ascii="Times New Roman" w:cs="Times New Roman" w:eastAsia="Times New Roman" w:hAnsi="Times New Roman"/>
          <w:sz w:val="21"/>
          <w:szCs w:val="21"/>
          <w:color w:val="auto"/>
        </w:rPr>
      </w:pPr>
    </w:p>
    <w:p>
      <w:pPr>
        <w:ind w:left="3440" w:right="239" w:hanging="639"/>
        <w:spacing w:after="0" w:line="258" w:lineRule="auto"/>
        <w:tabs>
          <w:tab w:leader="none" w:pos="344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any Business Opportunity of, or relating to, any member of the Company Group located in the Market Area;</w:t>
      </w:r>
    </w:p>
    <w:p>
      <w:pPr>
        <w:spacing w:after="0" w:line="158" w:lineRule="exact"/>
        <w:rPr>
          <w:rFonts w:ascii="Times New Roman" w:cs="Times New Roman" w:eastAsia="Times New Roman" w:hAnsi="Times New Roman"/>
          <w:sz w:val="22"/>
          <w:szCs w:val="22"/>
          <w:color w:val="auto"/>
        </w:rPr>
      </w:pPr>
    </w:p>
    <w:p>
      <w:pPr>
        <w:jc w:val="both"/>
        <w:ind w:left="3440" w:right="219" w:hanging="639"/>
        <w:spacing w:after="0" w:line="234" w:lineRule="auto"/>
        <w:tabs>
          <w:tab w:leader="none" w:pos="344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canvass, approach, encourage, entice or induce any tenant of any member of the Company Group with whom or which Executive had contact on behalf of any member of the Company Group, about whom or which Executive obtained Confidential Information or for whom or which Executive had direct or indirect responsibilities on behalf of the Company Group to cease or lessen such tenant’s business with any member of the Company Group in the Market Area; or</w:t>
      </w:r>
    </w:p>
    <w:p>
      <w:pPr>
        <w:spacing w:after="0" w:line="183" w:lineRule="exact"/>
        <w:rPr>
          <w:rFonts w:ascii="Times New Roman" w:cs="Times New Roman" w:eastAsia="Times New Roman" w:hAnsi="Times New Roman"/>
          <w:sz w:val="22"/>
          <w:szCs w:val="22"/>
          <w:color w:val="auto"/>
        </w:rPr>
      </w:pPr>
    </w:p>
    <w:p>
      <w:pPr>
        <w:jc w:val="both"/>
        <w:ind w:left="3440" w:right="219" w:hanging="639"/>
        <w:spacing w:after="0" w:line="236" w:lineRule="auto"/>
        <w:tabs>
          <w:tab w:leader="none" w:pos="344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canvass, approach, encourage, entice or induce any employee or contractor of any member of the Company Group to terminate his, her or its employment or engagement with any member of the Company Group or hire or engage any employee or contractor of any member of the Company Group.</w:t>
      </w:r>
    </w:p>
    <w:p>
      <w:pPr>
        <w:spacing w:after="0" w:line="181" w:lineRule="exact"/>
        <w:rPr>
          <w:rFonts w:ascii="Times New Roman" w:cs="Times New Roman" w:eastAsia="Times New Roman" w:hAnsi="Times New Roman"/>
          <w:sz w:val="22"/>
          <w:szCs w:val="22"/>
          <w:color w:val="auto"/>
        </w:rPr>
      </w:pPr>
    </w:p>
    <w:p>
      <w:pPr>
        <w:jc w:val="both"/>
        <w:ind w:left="2800" w:right="219" w:hanging="647"/>
        <w:spacing w:after="0" w:line="234" w:lineRule="auto"/>
        <w:tabs>
          <w:tab w:leader="none" w:pos="280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covenants in this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and each provision and portion hereof, are severable and separate, and the unenforceability of any specific covenant (or portion thereof) shall not affect the provisions of any other covenant (or portion thereof). Moreover, in the event any arbitrator or court of competent jurisdiction shall determine that the scope, time or territorial restrictions set forth are unreasonable, then it is the intention of the parties that such restrictions be enforced to the fullest extent which such arbitrator or court deems reasonable, and this Agreement shall thereby be reformed.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49" w:name="page250"/>
    <w:bookmarkEnd w:id="249"/>
    <w:p>
      <w:pPr>
        <w:ind w:left="2800" w:hanging="647"/>
        <w:spacing w:after="0"/>
        <w:tabs>
          <w:tab w:leader="none" w:pos="280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shall have the following meanings:</w:t>
      </w:r>
    </w:p>
    <w:p>
      <w:pPr>
        <w:spacing w:after="0" w:line="200" w:lineRule="exact"/>
        <w:rPr>
          <w:rFonts w:ascii="Times New Roman" w:cs="Times New Roman" w:eastAsia="Times New Roman" w:hAnsi="Times New Roman"/>
          <w:sz w:val="22"/>
          <w:szCs w:val="22"/>
          <w:color w:val="auto"/>
        </w:rPr>
      </w:pPr>
    </w:p>
    <w:p>
      <w:pPr>
        <w:jc w:val="both"/>
        <w:ind w:left="3440" w:right="219" w:hanging="639"/>
        <w:spacing w:after="0" w:line="235" w:lineRule="auto"/>
        <w:tabs>
          <w:tab w:leader="none" w:pos="3440" w:val="left"/>
        </w:tabs>
        <w:numPr>
          <w:ilvl w:val="2"/>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shall mean the business and operations that are the same or similar to those performed by the Company and any other member of the Company Group for which Executive provides services or about which Executive obtains Confidential Information during the Employment Period, which business and operations include investing in, owning, managing, operating, acquiring, developing, disposing of and/or leasing commercial real estate properties and commercial loans and other structured investments.</w:t>
      </w:r>
    </w:p>
    <w:p>
      <w:pPr>
        <w:spacing w:after="0" w:line="173" w:lineRule="exact"/>
        <w:rPr>
          <w:rFonts w:ascii="Times New Roman" w:cs="Times New Roman" w:eastAsia="Times New Roman" w:hAnsi="Times New Roman"/>
          <w:sz w:val="22"/>
          <w:szCs w:val="22"/>
          <w:color w:val="auto"/>
        </w:rPr>
      </w:pPr>
    </w:p>
    <w:p>
      <w:pPr>
        <w:jc w:val="both"/>
        <w:ind w:left="3440" w:right="239" w:hanging="639"/>
        <w:spacing w:after="0" w:line="247" w:lineRule="auto"/>
        <w:tabs>
          <w:tab w:leader="none" w:pos="3440" w:val="left"/>
        </w:tabs>
        <w:numPr>
          <w:ilvl w:val="2"/>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Opportunity</w:t>
      </w:r>
      <w:r>
        <w:rPr>
          <w:rFonts w:ascii="Times New Roman" w:cs="Times New Roman" w:eastAsia="Times New Roman" w:hAnsi="Times New Roman"/>
          <w:sz w:val="22"/>
          <w:szCs w:val="22"/>
          <w:color w:val="auto"/>
        </w:rPr>
        <w:t>” shall mean any commercial, investment or other business opportunity relating to the Business.</w:t>
      </w:r>
    </w:p>
    <w:p>
      <w:pPr>
        <w:spacing w:after="0" w:line="163" w:lineRule="exact"/>
        <w:rPr>
          <w:rFonts w:ascii="Times New Roman" w:cs="Times New Roman" w:eastAsia="Times New Roman" w:hAnsi="Times New Roman"/>
          <w:sz w:val="22"/>
          <w:szCs w:val="22"/>
          <w:color w:val="auto"/>
        </w:rPr>
      </w:pPr>
    </w:p>
    <w:p>
      <w:pPr>
        <w:jc w:val="both"/>
        <w:ind w:left="3440" w:right="219" w:hanging="639"/>
        <w:spacing w:after="0" w:line="234" w:lineRule="auto"/>
        <w:tabs>
          <w:tab w:leader="none" w:pos="3440" w:val="left"/>
        </w:tabs>
        <w:numPr>
          <w:ilvl w:val="2"/>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Market Area</w:t>
      </w:r>
      <w:r>
        <w:rPr>
          <w:rFonts w:ascii="Times New Roman" w:cs="Times New Roman" w:eastAsia="Times New Roman" w:hAnsi="Times New Roman"/>
          <w:sz w:val="22"/>
          <w:szCs w:val="22"/>
          <w:color w:val="auto"/>
        </w:rPr>
        <w:t>” shall mean the geographic areas (i) in Volusia and Orange Counties in the State of Florida and (ii) included or within 25 miles of any metropolitan statistical area from which the Company derives 1% or more of the Company’s aggregate annualized revenue at any time during the final twelve (12) months in which Executive is or has been employed by any member of the Company Group; provided, however, in no event will the geographic area referenced in this clause (ii) include any areas within the State of California.</w:t>
      </w:r>
    </w:p>
    <w:p>
      <w:pPr>
        <w:spacing w:after="0" w:line="179" w:lineRule="exact"/>
        <w:rPr>
          <w:rFonts w:ascii="Times New Roman" w:cs="Times New Roman" w:eastAsia="Times New Roman" w:hAnsi="Times New Roman"/>
          <w:sz w:val="22"/>
          <w:szCs w:val="22"/>
          <w:color w:val="auto"/>
        </w:rPr>
      </w:pPr>
    </w:p>
    <w:p>
      <w:pPr>
        <w:jc w:val="both"/>
        <w:ind w:left="3440" w:right="239" w:hanging="639"/>
        <w:spacing w:after="0" w:line="239" w:lineRule="auto"/>
        <w:tabs>
          <w:tab w:leader="none" w:pos="3440" w:val="left"/>
        </w:tabs>
        <w:numPr>
          <w:ilvl w:val="2"/>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Prohibited Period</w:t>
      </w:r>
      <w:r>
        <w:rPr>
          <w:rFonts w:ascii="Times New Roman" w:cs="Times New Roman" w:eastAsia="Times New Roman" w:hAnsi="Times New Roman"/>
          <w:sz w:val="22"/>
          <w:szCs w:val="22"/>
          <w:color w:val="auto"/>
        </w:rPr>
        <w:t>” shall mean the period during which Executive is employed by any member of the Company Group and continuing for a period of twelve months following the date that Executive is no longer employed by any member of the Company Group.</w:t>
      </w:r>
    </w:p>
    <w:p>
      <w:pPr>
        <w:spacing w:after="0" w:line="177" w:lineRule="exact"/>
        <w:rPr>
          <w:rFonts w:ascii="Times New Roman" w:cs="Times New Roman" w:eastAsia="Times New Roman" w:hAnsi="Times New Roman"/>
          <w:sz w:val="22"/>
          <w:szCs w:val="22"/>
          <w:color w:val="auto"/>
        </w:rPr>
      </w:pPr>
    </w:p>
    <w:p>
      <w:pPr>
        <w:jc w:val="both"/>
        <w:ind w:left="2160" w:right="219" w:hanging="655"/>
        <w:spacing w:after="0" w:line="233" w:lineRule="auto"/>
        <w:tabs>
          <w:tab w:leader="none" w:pos="21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xml:space="preserve">. Because of the difficulty of measuring economic losses to the Company Group as a result of a breach or threatened breach of the covenants set forth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and because of the immediate and irreparable damage that would be caused to the members of the Company Group for which they would have no other adequate remedy, the Company and each other member of the Company Group shall be entitled to enforce the foregoing covenants, in the event of a breach or threatened breach, by injunctions and restraining orders from any court of competent jurisdiction, without the necessity of showing any actual damages or that money damages would not afford an adequate remedy, and without the necessity of posting any bond or other security. The aforementioned equitable relief shall not be the Company’s or any other member of the Company Group’s exclusive remedy for a breach but instead shall be in addition to all other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50" w:name="page251"/>
    <w:bookmarkEnd w:id="250"/>
    <w:p>
      <w:pPr>
        <w:ind w:left="2160" w:right="219"/>
        <w:spacing w:after="0" w:line="258" w:lineRule="auto"/>
        <w:rPr>
          <w:sz w:val="20"/>
          <w:szCs w:val="20"/>
          <w:color w:val="auto"/>
        </w:rPr>
      </w:pPr>
      <w:r>
        <w:rPr>
          <w:rFonts w:ascii="Times New Roman" w:cs="Times New Roman" w:eastAsia="Times New Roman" w:hAnsi="Times New Roman"/>
          <w:sz w:val="22"/>
          <w:szCs w:val="22"/>
          <w:color w:val="auto"/>
        </w:rPr>
        <w:t>rights and remedies available to the Company and each other member of the Company Group at law and equity.</w:t>
      </w:r>
    </w:p>
    <w:p>
      <w:pPr>
        <w:spacing w:after="0" w:line="185" w:lineRule="exact"/>
        <w:rPr>
          <w:sz w:val="20"/>
          <w:szCs w:val="20"/>
          <w:color w:val="auto"/>
        </w:rPr>
      </w:pPr>
    </w:p>
    <w:p>
      <w:pPr>
        <w:ind w:left="200" w:right="239" w:firstLine="657"/>
        <w:spacing w:after="0" w:line="258" w:lineRule="auto"/>
        <w:tabs>
          <w:tab w:leader="none" w:pos="149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14 of the Employment Agreement shall be deemed incorporated by reference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51" w:name="page252"/>
    <w:bookmarkEnd w:id="251"/>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Company and the Executive have executed this Amendment on the date first written above.</w:t>
      </w:r>
    </w:p>
    <w:p>
      <w:pPr>
        <w:spacing w:after="0" w:line="200" w:lineRule="exact"/>
        <w:rPr>
          <w:sz w:val="20"/>
          <w:szCs w:val="20"/>
          <w:color w:val="auto"/>
        </w:rPr>
      </w:pPr>
    </w:p>
    <w:p>
      <w:pPr>
        <w:spacing w:after="0" w:line="224" w:lineRule="exact"/>
        <w:rPr>
          <w:sz w:val="20"/>
          <w:szCs w:val="20"/>
          <w:color w:val="auto"/>
        </w:rPr>
      </w:pPr>
    </w:p>
    <w:tbl>
      <w:tblPr>
        <w:tblLayout w:type="fixed"/>
        <w:tblInd w:w="4420" w:type="dxa"/>
        <w:tblCellMar>
          <w:top w:w="0" w:type="dxa"/>
          <w:left w:w="0" w:type="dxa"/>
          <w:bottom w:w="0" w:type="dxa"/>
          <w:right w:w="0" w:type="dxa"/>
        </w:tblCellMar>
      </w:tblPr>
      <w:tr>
        <w:trPr>
          <w:trHeight w:val="286"/>
        </w:trPr>
        <w:tc>
          <w:tcPr>
            <w:tcW w:w="2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660" w:type="dxa"/>
            <w:vAlign w:val="bottom"/>
          </w:tcPr>
          <w:p>
            <w:pPr>
              <w:spacing w:after="0"/>
              <w:rPr>
                <w:sz w:val="24"/>
                <w:szCs w:val="24"/>
                <w:color w:val="auto"/>
              </w:rPr>
            </w:pPr>
          </w:p>
        </w:tc>
      </w:tr>
      <w:tr>
        <w:trPr>
          <w:trHeight w:val="676"/>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John P. Albright</w:t>
            </w: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76"/>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John P. Albright</w:t>
            </w:r>
          </w:p>
        </w:tc>
        <w:tc>
          <w:tcPr>
            <w:tcW w:w="6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 Maryland corporation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16459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4740"/>
        <w:spacing w:after="0"/>
        <w:rPr>
          <w:sz w:val="20"/>
          <w:szCs w:val="20"/>
          <w:color w:val="auto"/>
        </w:rPr>
      </w:pPr>
      <w:r>
        <w:rPr>
          <w:rFonts w:ascii="Times New Roman" w:cs="Times New Roman" w:eastAsia="Times New Roman" w:hAnsi="Times New Roman"/>
          <w:sz w:val="22"/>
          <w:szCs w:val="22"/>
          <w:color w:val="auto"/>
        </w:rPr>
        <w:t>Daniel E. Smith</w:t>
      </w:r>
    </w:p>
    <w:p>
      <w:pPr>
        <w:ind w:left="4740"/>
        <w:spacing w:after="0" w:line="230" w:lineRule="auto"/>
        <w:rPr>
          <w:sz w:val="20"/>
          <w:szCs w:val="20"/>
          <w:color w:val="auto"/>
        </w:rPr>
      </w:pPr>
      <w:r>
        <w:rPr>
          <w:rFonts w:ascii="Times New Roman" w:cs="Times New Roman" w:eastAsia="Times New Roman" w:hAnsi="Times New Roman"/>
          <w:sz w:val="22"/>
          <w:szCs w:val="22"/>
          <w:color w:val="auto"/>
        </w:rPr>
        <w:t>Senior Vice President,</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General Counsel &amp; Corporate Secretary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Second Amended and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52" w:name="page253"/>
    <w:bookmarkEnd w:id="252"/>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EMPLOYMENT AGREEMENT</w:t>
      </w:r>
    </w:p>
    <w:p>
      <w:pPr>
        <w:spacing w:after="0" w:line="237" w:lineRule="exact"/>
        <w:rPr>
          <w:sz w:val="20"/>
          <w:szCs w:val="20"/>
          <w:color w:val="auto"/>
        </w:rPr>
      </w:pPr>
    </w:p>
    <w:p>
      <w:pPr>
        <w:jc w:val="both"/>
        <w:ind w:left="340" w:right="219" w:firstLine="518"/>
        <w:spacing w:after="0" w:line="239" w:lineRule="auto"/>
        <w:rPr>
          <w:sz w:val="20"/>
          <w:szCs w:val="20"/>
          <w:color w:val="auto"/>
        </w:rPr>
      </w:pPr>
      <w:r>
        <w:rPr>
          <w:rFonts w:ascii="Times New Roman" w:cs="Times New Roman" w:eastAsia="Times New Roman" w:hAnsi="Times New Roman"/>
          <w:sz w:val="22"/>
          <w:szCs w:val="22"/>
          <w:color w:val="auto"/>
        </w:rPr>
        <w:t>This SECOND AMENDMENT TO EMPLOYMENT AGREEMENT (this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and entered into on October 22, 2024, by and between CTO REALTY GROWTH, INC., a Maryland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STEVEN R. GREATHOUSE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3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Company and the Executive are parties to (i) that certain Employment Agreement dated as of February 26, 2016, and (ii) that certain First Omnibus Amendment to Employment agreement and Award Agreement (together,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Company and the Executive desire to make certain modifications to the Employment Agreement as more fully set forth below.</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AMENDMENT</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In furtherance of the foregoing, the Company and the Executive hereby agree as follows:</w:t>
      </w:r>
    </w:p>
    <w:p>
      <w:pPr>
        <w:spacing w:after="0" w:line="233" w:lineRule="exact"/>
        <w:rPr>
          <w:sz w:val="20"/>
          <w:szCs w:val="20"/>
          <w:color w:val="auto"/>
        </w:rPr>
      </w:pPr>
    </w:p>
    <w:p>
      <w:pPr>
        <w:ind w:left="200" w:right="239" w:firstLine="657"/>
        <w:spacing w:after="0" w:line="258" w:lineRule="auto"/>
        <w:tabs>
          <w:tab w:leader="none" w:pos="149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Agreement is hereby amended by the deletion of Section 5.f. and its replacement with the following:</w:t>
      </w:r>
    </w:p>
    <w:p>
      <w:pPr>
        <w:spacing w:after="0" w:line="200" w:lineRule="exact"/>
        <w:rPr>
          <w:sz w:val="20"/>
          <w:szCs w:val="20"/>
          <w:color w:val="auto"/>
        </w:rPr>
      </w:pPr>
    </w:p>
    <w:p>
      <w:pPr>
        <w:spacing w:after="0" w:line="228" w:lineRule="exact"/>
        <w:rPr>
          <w:sz w:val="20"/>
          <w:szCs w:val="20"/>
          <w:color w:val="auto"/>
        </w:rPr>
      </w:pPr>
    </w:p>
    <w:p>
      <w:pPr>
        <w:jc w:val="both"/>
        <w:ind w:left="1180" w:right="219" w:hanging="323"/>
        <w:spacing w:after="0" w:line="233" w:lineRule="auto"/>
        <w:tabs>
          <w:tab w:leader="none" w:pos="118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280G</w:t>
      </w:r>
      <w:r>
        <w:rPr>
          <w:rFonts w:ascii="Times New Roman" w:cs="Times New Roman" w:eastAsia="Times New Roman" w:hAnsi="Times New Roman"/>
          <w:sz w:val="22"/>
          <w:szCs w:val="22"/>
          <w:color w:val="auto"/>
        </w:rPr>
        <w:t>. The Executive and the Company will work together in good faith to reduce or eliminate the impact, if any, of Section 280G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To that effect, if there is a change in ownership or control of the Company that would cause any payment or distribution by the Company or any other person, firm, corporation, partnership, company, association, or other entity to Executive or for Executive’s benefit (whether paid or payable or distributed or distributable pursuant to the terms of this Agreement or otherwise) (each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to be subject to the excise tax imposed by Section 4999 of the Code (such excise tax, together with any interest or penalties incurred by Executive with respect to such excise tax,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Executive will receive the greatest of the following, whichever gives Executive the highest net after-tax amount (after taking into account federal, state, local and social security taxes): (a) the Payments or (b) one dollar less than the amount of the Payments that would subject Executive to the Excise Tax.</w:t>
      </w:r>
    </w:p>
    <w:p>
      <w:pPr>
        <w:spacing w:after="0" w:line="207" w:lineRule="exact"/>
        <w:rPr>
          <w:sz w:val="20"/>
          <w:szCs w:val="20"/>
          <w:color w:val="auto"/>
        </w:rPr>
      </w:pPr>
    </w:p>
    <w:p>
      <w:pPr>
        <w:ind w:left="260" w:right="219" w:firstLine="597"/>
        <w:spacing w:after="0" w:line="258" w:lineRule="auto"/>
        <w:tabs>
          <w:tab w:leader="none" w:pos="150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Agreement is hereby amended by the deletion of Section 5.h. and the addition of the following new Section 13:</w:t>
      </w:r>
    </w:p>
    <w:p>
      <w:pPr>
        <w:spacing w:after="0" w:line="200" w:lineRule="exact"/>
        <w:rPr>
          <w:sz w:val="20"/>
          <w:szCs w:val="20"/>
          <w:color w:val="auto"/>
        </w:rPr>
      </w:pPr>
    </w:p>
    <w:p>
      <w:pPr>
        <w:spacing w:after="0" w:line="228" w:lineRule="exact"/>
        <w:rPr>
          <w:sz w:val="20"/>
          <w:szCs w:val="20"/>
          <w:color w:val="auto"/>
        </w:rPr>
      </w:pPr>
    </w:p>
    <w:p>
      <w:pPr>
        <w:ind w:left="1500" w:hanging="643"/>
        <w:spacing w:after="0"/>
        <w:tabs>
          <w:tab w:leader="none" w:pos="150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140" w:right="219" w:hanging="649"/>
        <w:spacing w:after="0" w:line="258" w:lineRule="auto"/>
        <w:tabs>
          <w:tab w:leader="none" w:pos="214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In the course of Executive’s employment with the Company and the performance of Executive’s duties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3" w:name="page254"/>
    <w:bookmarkEnd w:id="253"/>
    <w:p>
      <w:pPr>
        <w:jc w:val="both"/>
        <w:ind w:left="2140" w:right="219"/>
        <w:spacing w:after="0" w:line="238" w:lineRule="auto"/>
        <w:rPr>
          <w:sz w:val="20"/>
          <w:szCs w:val="20"/>
          <w:color w:val="auto"/>
        </w:rPr>
      </w:pPr>
      <w:r>
        <w:rPr>
          <w:rFonts w:ascii="Times New Roman" w:cs="Times New Roman" w:eastAsia="Times New Roman" w:hAnsi="Times New Roman"/>
          <w:sz w:val="22"/>
          <w:szCs w:val="22"/>
          <w:color w:val="auto"/>
        </w:rPr>
        <w:t xml:space="preserve">Company Group (as defined below) hereunder, Executive will be provided with, and will have access to, Confidential Information (as defined below). In consideration of Executive’s receipt and access to such Confidential Information, and as a condition of Executive’s employment hereunder, Executive shall comply with this </w:t>
      </w:r>
      <w:r>
        <w:rPr>
          <w:rFonts w:ascii="Times New Roman" w:cs="Times New Roman" w:eastAsia="Times New Roman" w:hAnsi="Times New Roman"/>
          <w:sz w:val="22"/>
          <w:szCs w:val="22"/>
          <w:u w:val="single" w:color="auto"/>
          <w:color w:val="auto"/>
        </w:rPr>
        <w:t>Section 13.a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800" w:right="219" w:hanging="647"/>
        <w:spacing w:after="0" w:line="232" w:lineRule="auto"/>
        <w:tabs>
          <w:tab w:leader="none" w:pos="28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Both during the Employment Period (as defined below) and thereafter, except as expressly permitted by this Agreement or by directive of the Board, Executive shall not disclose any Confidential Information to any person or entity and shall not use any Confidential Information except for the benefit of the Company Group. Executive shall follow all Company Group policies and protocols regarding the security of all documents and other materials containing Confidential Information (regardless of the medium on which Confidential Information is stored). Except to the extent required for the performance of Executive’s duties on behalf of the Company Group, Executive shall not remove from facilities of any member of the Company Group any equipment, drawings, notes, reports, manuals, invention records, computer software, tenant information, or other data or materials that relate in any way to the Confidential Information, whether paper or electronic and whether produced by Executive or obtained by the Company Group. The covenants of this </w:t>
      </w:r>
      <w:r>
        <w:rPr>
          <w:rFonts w:ascii="Times New Roman" w:cs="Times New Roman" w:eastAsia="Times New Roman" w:hAnsi="Times New Roman"/>
          <w:sz w:val="22"/>
          <w:szCs w:val="22"/>
          <w:u w:val="single" w:color="auto"/>
          <w:color w:val="auto"/>
        </w:rPr>
        <w:t>Section 13.a.i</w:t>
      </w:r>
      <w:r>
        <w:rPr>
          <w:rFonts w:ascii="Times New Roman" w:cs="Times New Roman" w:eastAsia="Times New Roman" w:hAnsi="Times New Roman"/>
          <w:sz w:val="22"/>
          <w:szCs w:val="22"/>
          <w:color w:val="auto"/>
        </w:rPr>
        <w:t xml:space="preserve"> shall apply to all Confidential Information, whether now known or later to become known to Executive during the period that Executive is employed by or affiliated with the Company or any other member of the Company Group.</w:t>
      </w:r>
    </w:p>
    <w:p>
      <w:pPr>
        <w:spacing w:after="0" w:line="183" w:lineRule="exact"/>
        <w:rPr>
          <w:rFonts w:ascii="Times New Roman" w:cs="Times New Roman" w:eastAsia="Times New Roman" w:hAnsi="Times New Roman"/>
          <w:sz w:val="22"/>
          <w:szCs w:val="22"/>
          <w:color w:val="auto"/>
        </w:rPr>
      </w:pPr>
    </w:p>
    <w:p>
      <w:pPr>
        <w:jc w:val="both"/>
        <w:ind w:left="2800" w:right="239" w:hanging="647"/>
        <w:spacing w:after="0" w:line="244" w:lineRule="auto"/>
        <w:tabs>
          <w:tab w:leader="none" w:pos="28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w:t>
      </w:r>
      <w:r>
        <w:rPr>
          <w:rFonts w:ascii="Times New Roman" w:cs="Times New Roman" w:eastAsia="Times New Roman" w:hAnsi="Times New Roman"/>
          <w:sz w:val="22"/>
          <w:szCs w:val="22"/>
          <w:u w:val="single" w:color="auto"/>
          <w:color w:val="auto"/>
        </w:rPr>
        <w:t>Section 13.a.i</w:t>
      </w:r>
      <w:r>
        <w:rPr>
          <w:rFonts w:ascii="Times New Roman" w:cs="Times New Roman" w:eastAsia="Times New Roman" w:hAnsi="Times New Roman"/>
          <w:sz w:val="22"/>
          <w:szCs w:val="22"/>
          <w:color w:val="auto"/>
        </w:rPr>
        <w:t xml:space="preserve"> to the contrary, Executive may make the following disclosures and uses of Confidential Information:</w:t>
      </w:r>
    </w:p>
    <w:p>
      <w:pPr>
        <w:spacing w:after="0" w:line="173" w:lineRule="exact"/>
        <w:rPr>
          <w:rFonts w:ascii="Times New Roman" w:cs="Times New Roman" w:eastAsia="Times New Roman" w:hAnsi="Times New Roman"/>
          <w:sz w:val="22"/>
          <w:szCs w:val="22"/>
          <w:color w:val="auto"/>
        </w:rPr>
      </w:pPr>
    </w:p>
    <w:p>
      <w:pPr>
        <w:jc w:val="both"/>
        <w:ind w:left="3440" w:right="219" w:hanging="639"/>
        <w:spacing w:after="0" w:line="244" w:lineRule="auto"/>
        <w:tabs>
          <w:tab w:leader="none" w:pos="34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other employees of a member of the Company Group who have a need to know Confidential Information in connection with the businesses of the Company Group;</w:t>
      </w:r>
    </w:p>
    <w:p>
      <w:pPr>
        <w:spacing w:after="0" w:line="173" w:lineRule="exact"/>
        <w:rPr>
          <w:rFonts w:ascii="Times New Roman" w:cs="Times New Roman" w:eastAsia="Times New Roman" w:hAnsi="Times New Roman"/>
          <w:sz w:val="22"/>
          <w:szCs w:val="22"/>
          <w:color w:val="auto"/>
        </w:rPr>
      </w:pPr>
    </w:p>
    <w:p>
      <w:pPr>
        <w:ind w:left="3440" w:right="239" w:hanging="639"/>
        <w:spacing w:after="0" w:line="258" w:lineRule="auto"/>
        <w:tabs>
          <w:tab w:leader="none" w:pos="34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and uses that are approved in writing by the Board;</w:t>
      </w:r>
    </w:p>
    <w:p>
      <w:pPr>
        <w:spacing w:after="0" w:line="158" w:lineRule="exact"/>
        <w:rPr>
          <w:rFonts w:ascii="Times New Roman" w:cs="Times New Roman" w:eastAsia="Times New Roman" w:hAnsi="Times New Roman"/>
          <w:sz w:val="22"/>
          <w:szCs w:val="22"/>
          <w:color w:val="auto"/>
        </w:rPr>
      </w:pPr>
    </w:p>
    <w:p>
      <w:pPr>
        <w:jc w:val="both"/>
        <w:ind w:left="3440" w:right="219" w:hanging="639"/>
        <w:spacing w:after="0" w:line="238" w:lineRule="auto"/>
        <w:tabs>
          <w:tab w:leader="none" w:pos="34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 in a form acceptable to the Company; and</w:t>
      </w:r>
    </w:p>
    <w:p>
      <w:pPr>
        <w:spacing w:after="0" w:line="176"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54" w:name="page255"/>
    <w:bookmarkEnd w:id="254"/>
    <w:p>
      <w:pPr>
        <w:jc w:val="both"/>
        <w:ind w:left="2800" w:right="219" w:hanging="647"/>
        <w:spacing w:after="0" w:line="232" w:lineRule="auto"/>
        <w:tabs>
          <w:tab w:leader="none" w:pos="280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of the Employment Period, the Executive shall promptly return to the Company all originals and copies of any documents, records, notebooks, files, correspondence, reports, memoranda or similar materials of or containing Confidential Information, proprietary information, or any other materials or property of any kind belonging to the Company (including keys and other tangible personal property of the Company), then in the Executive’s possession, whether prepared by the Executive or by others. The Executive agrees that, upon termination of his employment with the Company, for any reason, or on demand, the Executive will permit a representative of the Company to access all data stored on any personal computer, laptop, smartphone, tablet, telephone or other electronic device or storage media that the Executive has used in any fashion in connection with his work for the Company for the sole purpose of permanently removing, copying and/or deleting any data belonging to or related to the Company, its customers, prospective customers, business partners, its business or which otherwise contains Confidential Information or any other information belonging to the Company.</w:t>
      </w:r>
    </w:p>
    <w:p>
      <w:pPr>
        <w:spacing w:after="0" w:line="180" w:lineRule="exact"/>
        <w:rPr>
          <w:rFonts w:ascii="Times New Roman" w:cs="Times New Roman" w:eastAsia="Times New Roman" w:hAnsi="Times New Roman"/>
          <w:sz w:val="22"/>
          <w:szCs w:val="22"/>
          <w:color w:val="auto"/>
        </w:rPr>
      </w:pPr>
    </w:p>
    <w:p>
      <w:pPr>
        <w:jc w:val="both"/>
        <w:ind w:left="2800" w:right="219" w:hanging="647"/>
        <w:spacing w:after="0" w:line="243" w:lineRule="auto"/>
        <w:tabs>
          <w:tab w:leader="none" w:pos="2800"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means all confidential, competitively valuable, non-public or proprietary information that is conceived, made, developed or acquired by or disclosed to Executive (whether conveyed orally or in writing), individually or in conjunction with others, during the period that Executive is employed or engaged by the Company or any other member of the Company Group (whether during business hours or otherwise and whether on the Company’s premises or otherwise) including: (i) technical information of any member of the Company Group, its affiliates, its customers or other third parties, including computer programs, software, databases, data, ideas, know-how, formulae, compositions, processes, discoveries, machines, inventions (whether patentable or not), designs, developmental or experimental work, techniques, improvements, work in process, research or test results, original works of authorship, training programs and procedures, diagrams, charts, business plans, and similar items; (ii) information relating to any member of the Company Group’s businesses, properties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tenants or acquisition targets or their requirements, the identity of key contacts within tenants’ organizations or within the organization of acquisition prospects, or marketing and merchandising techniques, prospective names and marks); (iii) other valuable, confidential information and trade secrets of any member of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55" w:name="page256"/>
    <w:bookmarkEnd w:id="255"/>
    <w:p>
      <w:pPr>
        <w:ind w:left="2800"/>
        <w:spacing w:after="0"/>
        <w:rPr>
          <w:sz w:val="20"/>
          <w:szCs w:val="20"/>
          <w:color w:val="auto"/>
        </w:rPr>
      </w:pPr>
      <w:r>
        <w:rPr>
          <w:rFonts w:ascii="Times New Roman" w:cs="Times New Roman" w:eastAsia="Times New Roman" w:hAnsi="Times New Roman"/>
          <w:sz w:val="22"/>
          <w:szCs w:val="22"/>
          <w:color w:val="auto"/>
        </w:rPr>
        <w:t>Company Group, its affiliates, its tenants or other third parties; and</w:t>
      </w:r>
    </w:p>
    <w:p>
      <w:pPr>
        <w:spacing w:after="0" w:line="14" w:lineRule="exact"/>
        <w:rPr>
          <w:sz w:val="20"/>
          <w:szCs w:val="20"/>
          <w:color w:val="auto"/>
        </w:rPr>
      </w:pPr>
    </w:p>
    <w:p>
      <w:pPr>
        <w:jc w:val="both"/>
        <w:ind w:left="2800" w:right="219" w:firstLine="1"/>
        <w:spacing w:after="0" w:line="231" w:lineRule="auto"/>
        <w:tabs>
          <w:tab w:leader="none" w:pos="3227"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information that is competitively valuable to any member of the Company Group by virtue of not being publicly known. Moreover, all documents, videotapes, written presentations, brochures, drawings, memoranda, notes, records, files, correspondence, manuals, models, specifications, computer programs, e-mail, voice mail, electronic databases, maps, drawings, architectural renditions and all other writings or materials of any type including or embodying any of such information, ideas, concepts, improvements, discoveries, inventions and other similar forms of expression are and shall be the sole and exclusive property of the Company or the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Executive or any of Executive’s agents; (ii) was available to Executive on a non-confidential basis before its disclosure by a member of the Company Group; or (iii) becomes available to Executive on a non-confidential basis from a source other than a member of the Company Group;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source is not bound by a confidentiality agreement with, or other obligation with respect to confidentiality to, a member of the Company Group.</w:t>
      </w:r>
    </w:p>
    <w:p>
      <w:pPr>
        <w:spacing w:after="0" w:line="180" w:lineRule="exact"/>
        <w:rPr>
          <w:rFonts w:ascii="Times New Roman" w:cs="Times New Roman" w:eastAsia="Times New Roman" w:hAnsi="Times New Roman"/>
          <w:sz w:val="22"/>
          <w:szCs w:val="22"/>
          <w:color w:val="auto"/>
        </w:rPr>
      </w:pPr>
    </w:p>
    <w:p>
      <w:pPr>
        <w:jc w:val="both"/>
        <w:ind w:left="2800" w:right="219" w:hanging="647"/>
        <w:spacing w:after="0" w:line="243" w:lineRule="auto"/>
        <w:tabs>
          <w:tab w:leader="none" w:pos="2800"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nothing in this Agreement or in any other agreement between Executive and the Company or any other member of the Company Group shall prohibit or restrict Executive from lawfully: (i) initiating communications directly with, cooperating with, providing information to, causing information to be provided to, or otherwise assisting in an investigation by, any governmental authority (including the Securities and Exchange Commission and any other applicable governmental commission or regulatory agency) regarding a possible violation of any law; (ii) responding to any inquiry or legal process directed to Executive from any governmental authority; (iii) testifying, participating or otherwise assisting in any action or proceeding by any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56" w:name="page257"/>
    <w:bookmarkEnd w:id="256"/>
    <w:p>
      <w:pPr>
        <w:jc w:val="both"/>
        <w:ind w:left="2800" w:right="219"/>
        <w:spacing w:after="0" w:line="234" w:lineRule="auto"/>
        <w:rPr>
          <w:sz w:val="20"/>
          <w:szCs w:val="20"/>
          <w:color w:val="auto"/>
        </w:rPr>
      </w:pPr>
      <w:r>
        <w:rPr>
          <w:rFonts w:ascii="Times New Roman" w:cs="Times New Roman" w:eastAsia="Times New Roman" w:hAnsi="Times New Roman"/>
          <w:sz w:val="22"/>
          <w:szCs w:val="22"/>
          <w:color w:val="auto"/>
        </w:rPr>
        <w:t>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Executive to obtain prior authorization before engaging in any conduct described in this paragraph, or to notify the Company or any other member of the Company Group that Executive has engaged in any such conduct.</w:t>
      </w:r>
    </w:p>
    <w:p>
      <w:pPr>
        <w:spacing w:after="0" w:line="177" w:lineRule="exact"/>
        <w:rPr>
          <w:sz w:val="20"/>
          <w:szCs w:val="20"/>
          <w:color w:val="auto"/>
        </w:rPr>
      </w:pPr>
    </w:p>
    <w:p>
      <w:pPr>
        <w:jc w:val="both"/>
        <w:ind w:left="2800" w:right="239" w:hanging="647"/>
        <w:spacing w:after="0" w:line="247" w:lineRule="auto"/>
        <w:tabs>
          <w:tab w:leader="none" w:pos="2800"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means the Company, Alpine Income Property Trust, Inc. (“</w:t>
      </w:r>
      <w:r>
        <w:rPr>
          <w:rFonts w:ascii="Times New Roman" w:cs="Times New Roman" w:eastAsia="Times New Roman" w:hAnsi="Times New Roman"/>
          <w:sz w:val="22"/>
          <w:szCs w:val="22"/>
          <w:b w:val="1"/>
          <w:bCs w:val="1"/>
          <w:i w:val="1"/>
          <w:iCs w:val="1"/>
          <w:color w:val="auto"/>
        </w:rPr>
        <w:t>Alpine</w:t>
      </w:r>
      <w:r>
        <w:rPr>
          <w:rFonts w:ascii="Times New Roman" w:cs="Times New Roman" w:eastAsia="Times New Roman" w:hAnsi="Times New Roman"/>
          <w:sz w:val="22"/>
          <w:szCs w:val="22"/>
          <w:color w:val="auto"/>
        </w:rPr>
        <w:t>”) and each subsidiary of the Company and Alpine, collectively.</w:t>
      </w:r>
    </w:p>
    <w:p>
      <w:pPr>
        <w:spacing w:after="0" w:line="163" w:lineRule="exact"/>
        <w:rPr>
          <w:rFonts w:ascii="Times New Roman" w:cs="Times New Roman" w:eastAsia="Times New Roman" w:hAnsi="Times New Roman"/>
          <w:sz w:val="22"/>
          <w:szCs w:val="22"/>
          <w:color w:val="auto"/>
        </w:rPr>
      </w:pPr>
    </w:p>
    <w:p>
      <w:pPr>
        <w:jc w:val="both"/>
        <w:ind w:left="2800" w:right="239" w:hanging="647"/>
        <w:spacing w:after="0" w:line="247" w:lineRule="auto"/>
        <w:tabs>
          <w:tab w:leader="none" w:pos="2800"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Employment Period</w:t>
      </w:r>
      <w:r>
        <w:rPr>
          <w:rFonts w:ascii="Times New Roman" w:cs="Times New Roman" w:eastAsia="Times New Roman" w:hAnsi="Times New Roman"/>
          <w:sz w:val="22"/>
          <w:szCs w:val="22"/>
          <w:color w:val="auto"/>
        </w:rPr>
        <w:t>” means the period from February 26, 2016 through the termination of the Executive’s employment pursuant to this Agreement.</w:t>
      </w:r>
    </w:p>
    <w:p>
      <w:pPr>
        <w:spacing w:after="0" w:line="16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800" w:right="219" w:hanging="647"/>
        <w:spacing w:after="0" w:line="244" w:lineRule="auto"/>
        <w:tabs>
          <w:tab w:leader="none" w:pos="2800"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provide Executive access to Confidential Information for use only during the Employment Period, and Executive acknowledges and agrees that the Company Group will be entrusting Executive, in Executive's unique and special capacity, with developing the goodwill of the Company Group, and in consideration of the Company providing Executive with access to Confidential Information and as an express incentive for the Company to enter into this Agreement and employ Executive hereunder, Executive has voluntarily agreed to the covenants set forth in this </w:t>
      </w:r>
      <w:r>
        <w:rPr>
          <w:rFonts w:ascii="Times New Roman" w:cs="Times New Roman" w:eastAsia="Times New Roman" w:hAnsi="Times New Roman"/>
          <w:sz w:val="21"/>
          <w:szCs w:val="21"/>
          <w:u w:val="single" w:color="auto"/>
          <w:color w:val="auto"/>
        </w:rPr>
        <w:t>Section 13.b</w:t>
      </w:r>
      <w:r>
        <w:rPr>
          <w:rFonts w:ascii="Times New Roman" w:cs="Times New Roman" w:eastAsia="Times New Roman" w:hAnsi="Times New Roman"/>
          <w:sz w:val="21"/>
          <w:szCs w:val="21"/>
          <w:color w:val="auto"/>
        </w:rPr>
        <w:t>. Executive agrees and acknowledges that the limitations and restrictions set forth herein, including geographical and temporal restrictions on certain competitive activities, are reasonable in all respects, do not interfere with public interests, will not cause Executive undue hardship, and are material and substantial parts of this Agreement intended and necessary to prevent unfair competition and to protect the Company Group's Confidential Information, goodwill and legitimate business interests.</w:t>
      </w:r>
    </w:p>
    <w:p>
      <w:pPr>
        <w:spacing w:after="0" w:line="173" w:lineRule="exact"/>
        <w:rPr>
          <w:rFonts w:ascii="Times New Roman" w:cs="Times New Roman" w:eastAsia="Times New Roman" w:hAnsi="Times New Roman"/>
          <w:sz w:val="21"/>
          <w:szCs w:val="21"/>
          <w:color w:val="auto"/>
        </w:rPr>
      </w:pPr>
    </w:p>
    <w:p>
      <w:pPr>
        <w:jc w:val="both"/>
        <w:ind w:left="2800" w:right="239" w:hanging="647"/>
        <w:spacing w:after="0" w:line="244" w:lineRule="auto"/>
        <w:tabs>
          <w:tab w:leader="none" w:pos="280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shall submit to the Board all Business Opportunities (as defined below) presented to the Executive or of which the Executive becomes aware.</w:t>
      </w:r>
    </w:p>
    <w:p>
      <w:pPr>
        <w:spacing w:after="0" w:line="173" w:lineRule="exact"/>
        <w:rPr>
          <w:rFonts w:ascii="Times New Roman" w:cs="Times New Roman" w:eastAsia="Times New Roman" w:hAnsi="Times New Roman"/>
          <w:sz w:val="22"/>
          <w:szCs w:val="22"/>
          <w:color w:val="auto"/>
        </w:rPr>
      </w:pPr>
    </w:p>
    <w:p>
      <w:pPr>
        <w:jc w:val="both"/>
        <w:ind w:left="2800" w:right="219" w:hanging="647"/>
        <w:spacing w:after="0" w:line="239" w:lineRule="auto"/>
        <w:tabs>
          <w:tab w:leader="none" w:pos="280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Prohibited Period (as defined below), Executive shall not, without the prior written approval of the Board, directly or indirectly, for Executive or on behalf of or in conjunction with any other person or entity of any nature: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57" w:name="page258"/>
    <w:bookmarkEnd w:id="257"/>
    <w:p>
      <w:pPr>
        <w:jc w:val="both"/>
        <w:ind w:left="3440" w:right="219" w:hanging="639"/>
        <w:spacing w:after="0" w:line="244" w:lineRule="auto"/>
        <w:tabs>
          <w:tab w:leader="none" w:pos="3440"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or participate within the Market Area (as defined below) in competition with any member of the Company Group in any aspect of the Business (as defined below), which prohibition shall prevent Executive from directly or indirectly: (i) owning a controlling interest in, managing, operating, or being an officer or director of, any business that competes with any member of the Company Group in the Market Area, or (ii) joining, becoming an employee or consultant of, or otherwise being affiliated with or providing services to, any person or entity engaged in, or planning to engage in, the Business in the Market Area in competition, or anticipated competition, with any member of the Company Group in any capacity (with respect to this clause (ii)) in which Executive's duties or responsibilities involve direct or indirect responsibilities with respect to the Business.</w:t>
      </w:r>
    </w:p>
    <w:p>
      <w:pPr>
        <w:spacing w:after="0" w:line="178" w:lineRule="exact"/>
        <w:rPr>
          <w:rFonts w:ascii="Times New Roman" w:cs="Times New Roman" w:eastAsia="Times New Roman" w:hAnsi="Times New Roman"/>
          <w:sz w:val="21"/>
          <w:szCs w:val="21"/>
          <w:color w:val="auto"/>
        </w:rPr>
      </w:pPr>
    </w:p>
    <w:p>
      <w:pPr>
        <w:ind w:left="3440" w:right="239" w:hanging="639"/>
        <w:spacing w:after="0" w:line="258" w:lineRule="auto"/>
        <w:tabs>
          <w:tab w:leader="none" w:pos="344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any Business Opportunity of, or relating to, any member of the Company Group located in the Market Area;</w:t>
      </w:r>
    </w:p>
    <w:p>
      <w:pPr>
        <w:spacing w:after="0" w:line="158" w:lineRule="exact"/>
        <w:rPr>
          <w:rFonts w:ascii="Times New Roman" w:cs="Times New Roman" w:eastAsia="Times New Roman" w:hAnsi="Times New Roman"/>
          <w:sz w:val="22"/>
          <w:szCs w:val="22"/>
          <w:color w:val="auto"/>
        </w:rPr>
      </w:pPr>
    </w:p>
    <w:p>
      <w:pPr>
        <w:jc w:val="both"/>
        <w:ind w:left="3440" w:right="219" w:hanging="639"/>
        <w:spacing w:after="0" w:line="234" w:lineRule="auto"/>
        <w:tabs>
          <w:tab w:leader="none" w:pos="344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canvass, approach, encourage, entice or induce any tenant of any member of the Company Group with whom or which Executive had contact on behalf of any member of the Company Group, about whom or which Executive obtained Confidential Information or for whom or which Executive had direct or indirect responsibilities on behalf of the Company Group to cease or lessen such tenant’s business with any member of the Company Group in the Market Area; or</w:t>
      </w:r>
    </w:p>
    <w:p>
      <w:pPr>
        <w:spacing w:after="0" w:line="183" w:lineRule="exact"/>
        <w:rPr>
          <w:rFonts w:ascii="Times New Roman" w:cs="Times New Roman" w:eastAsia="Times New Roman" w:hAnsi="Times New Roman"/>
          <w:sz w:val="22"/>
          <w:szCs w:val="22"/>
          <w:color w:val="auto"/>
        </w:rPr>
      </w:pPr>
    </w:p>
    <w:p>
      <w:pPr>
        <w:jc w:val="both"/>
        <w:ind w:left="3440" w:right="219" w:hanging="639"/>
        <w:spacing w:after="0" w:line="236" w:lineRule="auto"/>
        <w:tabs>
          <w:tab w:leader="none" w:pos="344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canvass, approach, encourage, entice or induce any employee or contractor of any member of the Company Group to terminate his, her or its employment or engagement with any member of the Company Group or hire or engage any employee or contractor of any member of the Company Group.</w:t>
      </w:r>
    </w:p>
    <w:p>
      <w:pPr>
        <w:spacing w:after="0" w:line="181" w:lineRule="exact"/>
        <w:rPr>
          <w:rFonts w:ascii="Times New Roman" w:cs="Times New Roman" w:eastAsia="Times New Roman" w:hAnsi="Times New Roman"/>
          <w:sz w:val="22"/>
          <w:szCs w:val="22"/>
          <w:color w:val="auto"/>
        </w:rPr>
      </w:pPr>
    </w:p>
    <w:p>
      <w:pPr>
        <w:jc w:val="both"/>
        <w:ind w:left="2800" w:right="219" w:hanging="647"/>
        <w:spacing w:after="0" w:line="234" w:lineRule="auto"/>
        <w:tabs>
          <w:tab w:leader="none" w:pos="280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covenants in this </w:t>
      </w:r>
      <w:r>
        <w:rPr>
          <w:rFonts w:ascii="Times New Roman" w:cs="Times New Roman" w:eastAsia="Times New Roman" w:hAnsi="Times New Roman"/>
          <w:sz w:val="22"/>
          <w:szCs w:val="22"/>
          <w:u w:val="single" w:color="auto"/>
          <w:color w:val="auto"/>
        </w:rPr>
        <w:t>Section 13.b</w:t>
      </w:r>
      <w:r>
        <w:rPr>
          <w:rFonts w:ascii="Times New Roman" w:cs="Times New Roman" w:eastAsia="Times New Roman" w:hAnsi="Times New Roman"/>
          <w:sz w:val="22"/>
          <w:szCs w:val="22"/>
          <w:color w:val="auto"/>
        </w:rPr>
        <w:t>, and each provision and portion hereof, are severable and separate, and the unenforceability of any specific covenant (or portion thereof) shall not affect the provisions of any other covenant (or portion thereof). Moreover, in the event any arbitrator or court of competent jurisdiction shall determine that the scope, time or territorial restrictions set forth are unreasonable, then it is the intention of the parties that such restrictions be enforced to the fullest extent which such arbitrator or court deems reasonable, and this Agreement shall thereby be reformed.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58" w:name="page259"/>
    <w:bookmarkEnd w:id="258"/>
    <w:p>
      <w:pPr>
        <w:ind w:left="2800" w:hanging="647"/>
        <w:spacing w:after="0"/>
        <w:tabs>
          <w:tab w:leader="none" w:pos="2800"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shall have the following meanings:</w:t>
      </w:r>
    </w:p>
    <w:p>
      <w:pPr>
        <w:spacing w:after="0" w:line="200" w:lineRule="exact"/>
        <w:rPr>
          <w:rFonts w:ascii="Times New Roman" w:cs="Times New Roman" w:eastAsia="Times New Roman" w:hAnsi="Times New Roman"/>
          <w:sz w:val="22"/>
          <w:szCs w:val="22"/>
          <w:color w:val="auto"/>
        </w:rPr>
      </w:pPr>
    </w:p>
    <w:p>
      <w:pPr>
        <w:jc w:val="both"/>
        <w:ind w:left="3440" w:right="219" w:hanging="639"/>
        <w:spacing w:after="0" w:line="235" w:lineRule="auto"/>
        <w:tabs>
          <w:tab w:leader="none" w:pos="3440" w:val="left"/>
        </w:tabs>
        <w:numPr>
          <w:ilvl w:val="2"/>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shall mean the business and operations that are the same or similar to those performed by the Company and any other member of the Company Group for which Executive provides services or about which Executive obtains Confidential Information during the Employment Period, which business and operations include investing in, owning, managing, operating, acquiring, developing, disposing of and/or leasing commercial real estate properties and commercial loans and other structured investments.</w:t>
      </w:r>
    </w:p>
    <w:p>
      <w:pPr>
        <w:spacing w:after="0" w:line="173" w:lineRule="exact"/>
        <w:rPr>
          <w:rFonts w:ascii="Times New Roman" w:cs="Times New Roman" w:eastAsia="Times New Roman" w:hAnsi="Times New Roman"/>
          <w:sz w:val="22"/>
          <w:szCs w:val="22"/>
          <w:color w:val="auto"/>
        </w:rPr>
      </w:pPr>
    </w:p>
    <w:p>
      <w:pPr>
        <w:jc w:val="both"/>
        <w:ind w:left="3440" w:right="239" w:hanging="639"/>
        <w:spacing w:after="0" w:line="247" w:lineRule="auto"/>
        <w:tabs>
          <w:tab w:leader="none" w:pos="3440" w:val="left"/>
        </w:tabs>
        <w:numPr>
          <w:ilvl w:val="2"/>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Opportunity</w:t>
      </w:r>
      <w:r>
        <w:rPr>
          <w:rFonts w:ascii="Times New Roman" w:cs="Times New Roman" w:eastAsia="Times New Roman" w:hAnsi="Times New Roman"/>
          <w:sz w:val="22"/>
          <w:szCs w:val="22"/>
          <w:color w:val="auto"/>
        </w:rPr>
        <w:t>” shall mean any commercial, investment or other business opportunity relating to the Business.</w:t>
      </w:r>
    </w:p>
    <w:p>
      <w:pPr>
        <w:spacing w:after="0" w:line="163" w:lineRule="exact"/>
        <w:rPr>
          <w:rFonts w:ascii="Times New Roman" w:cs="Times New Roman" w:eastAsia="Times New Roman" w:hAnsi="Times New Roman"/>
          <w:sz w:val="22"/>
          <w:szCs w:val="22"/>
          <w:color w:val="auto"/>
        </w:rPr>
      </w:pPr>
    </w:p>
    <w:p>
      <w:pPr>
        <w:jc w:val="both"/>
        <w:ind w:left="3440" w:right="219" w:hanging="639"/>
        <w:spacing w:after="0" w:line="234" w:lineRule="auto"/>
        <w:tabs>
          <w:tab w:leader="none" w:pos="3440" w:val="left"/>
        </w:tabs>
        <w:numPr>
          <w:ilvl w:val="2"/>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Market Area</w:t>
      </w:r>
      <w:r>
        <w:rPr>
          <w:rFonts w:ascii="Times New Roman" w:cs="Times New Roman" w:eastAsia="Times New Roman" w:hAnsi="Times New Roman"/>
          <w:sz w:val="22"/>
          <w:szCs w:val="22"/>
          <w:color w:val="auto"/>
        </w:rPr>
        <w:t>” shall mean the geographic areas (i) in Volusia and Orange Counties in the State of Florida and (ii) included or within 25 miles of any metropolitan statistical area from which the Company derives 1% or more of the Company’s aggregate annualized revenue at any time during the final twelve (12) months in which Executive is or has been employed by any member of the Company Group; provided, however, in no event will the geographic area referenced in this clause (ii) include any areas within the State of California.</w:t>
      </w:r>
    </w:p>
    <w:p>
      <w:pPr>
        <w:spacing w:after="0" w:line="179" w:lineRule="exact"/>
        <w:rPr>
          <w:rFonts w:ascii="Times New Roman" w:cs="Times New Roman" w:eastAsia="Times New Roman" w:hAnsi="Times New Roman"/>
          <w:sz w:val="22"/>
          <w:szCs w:val="22"/>
          <w:color w:val="auto"/>
        </w:rPr>
      </w:pPr>
    </w:p>
    <w:p>
      <w:pPr>
        <w:jc w:val="both"/>
        <w:ind w:left="3440" w:right="239" w:hanging="639"/>
        <w:spacing w:after="0" w:line="239" w:lineRule="auto"/>
        <w:tabs>
          <w:tab w:leader="none" w:pos="3440" w:val="left"/>
        </w:tabs>
        <w:numPr>
          <w:ilvl w:val="2"/>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Prohibited Period</w:t>
      </w:r>
      <w:r>
        <w:rPr>
          <w:rFonts w:ascii="Times New Roman" w:cs="Times New Roman" w:eastAsia="Times New Roman" w:hAnsi="Times New Roman"/>
          <w:sz w:val="22"/>
          <w:szCs w:val="22"/>
          <w:color w:val="auto"/>
        </w:rPr>
        <w:t>” shall mean the period during which Executive is employed by any member of the Company Group and continuing for a period of twelve months following the date that Executive is no longer employed by any member of the Company Group.</w:t>
      </w:r>
    </w:p>
    <w:p>
      <w:pPr>
        <w:spacing w:after="0" w:line="177" w:lineRule="exact"/>
        <w:rPr>
          <w:rFonts w:ascii="Times New Roman" w:cs="Times New Roman" w:eastAsia="Times New Roman" w:hAnsi="Times New Roman"/>
          <w:sz w:val="22"/>
          <w:szCs w:val="22"/>
          <w:color w:val="auto"/>
        </w:rPr>
      </w:pPr>
    </w:p>
    <w:p>
      <w:pPr>
        <w:jc w:val="both"/>
        <w:ind w:left="2160" w:right="219" w:hanging="655"/>
        <w:spacing w:after="0" w:line="233" w:lineRule="auto"/>
        <w:tabs>
          <w:tab w:leader="none" w:pos="216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xml:space="preserve">. Because of the difficulty of measuring economic losses to the Company Group as a result of a breach or threatened breach of the covenants set forth in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and because of the immediate and irreparable damage that would be caused to the members of the Company Group for which they would have no other adequate remedy, the Company and each other member of the Company Group shall be entitled to enforce the foregoing covenants, in the event of a breach or threatened breach, by injunctions and restraining orders from any court of competent jurisdiction, without the necessity of showing any actual damages or that money damages would not afford an adequate remedy, and without the necessity of posting any bond or other security. The aforementioned equitable relief shall not be the Company’s or any other member of the Company Group’s exclusive remedy for a breach but instead shall be in addition to all other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59" w:name="page260"/>
    <w:bookmarkEnd w:id="259"/>
    <w:p>
      <w:pPr>
        <w:ind w:left="2160" w:right="219"/>
        <w:spacing w:after="0" w:line="258" w:lineRule="auto"/>
        <w:rPr>
          <w:sz w:val="20"/>
          <w:szCs w:val="20"/>
          <w:color w:val="auto"/>
        </w:rPr>
      </w:pPr>
      <w:r>
        <w:rPr>
          <w:rFonts w:ascii="Times New Roman" w:cs="Times New Roman" w:eastAsia="Times New Roman" w:hAnsi="Times New Roman"/>
          <w:sz w:val="22"/>
          <w:szCs w:val="22"/>
          <w:color w:val="auto"/>
        </w:rPr>
        <w:t>rights and remedies available to the Company and each other member of the Company Group at law and equity.</w:t>
      </w:r>
    </w:p>
    <w:p>
      <w:pPr>
        <w:spacing w:after="0" w:line="185" w:lineRule="exact"/>
        <w:rPr>
          <w:sz w:val="20"/>
          <w:szCs w:val="20"/>
          <w:color w:val="auto"/>
        </w:rPr>
      </w:pPr>
    </w:p>
    <w:p>
      <w:pPr>
        <w:ind w:left="200" w:right="239" w:firstLine="657"/>
        <w:spacing w:after="0" w:line="258" w:lineRule="auto"/>
        <w:tabs>
          <w:tab w:leader="none" w:pos="149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12 of the Employment Agreement shall be deemed incorporated by reference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60" w:name="page261"/>
    <w:bookmarkEnd w:id="260"/>
    <w:p>
      <w:pPr>
        <w:ind w:left="200" w:right="65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Company and the Executive have executed this Second Amendment on the date first written above.</w:t>
      </w:r>
    </w:p>
    <w:p>
      <w:pPr>
        <w:spacing w:after="0" w:line="200" w:lineRule="exact"/>
        <w:rPr>
          <w:sz w:val="20"/>
          <w:szCs w:val="20"/>
          <w:color w:val="auto"/>
        </w:rPr>
      </w:pPr>
    </w:p>
    <w:p>
      <w:pPr>
        <w:spacing w:after="0" w:line="2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7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-13335</wp:posOffset>
            </wp:positionV>
            <wp:extent cx="8724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872490" cy="88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2"/>
          <w:szCs w:val="22"/>
          <w:color w:val="auto"/>
        </w:rPr>
        <w:t>Steven R. Greathouse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 Maryland corporation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20574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4740"/>
        <w:spacing w:after="0"/>
        <w:rPr>
          <w:sz w:val="20"/>
          <w:szCs w:val="20"/>
          <w:color w:val="auto"/>
        </w:rPr>
      </w:pPr>
      <w:r>
        <w:rPr>
          <w:rFonts w:ascii="Times New Roman" w:cs="Times New Roman" w:eastAsia="Times New Roman" w:hAnsi="Times New Roman"/>
          <w:sz w:val="22"/>
          <w:szCs w:val="22"/>
          <w:color w:val="auto"/>
        </w:rPr>
        <w:t>Daniel E. Smith</w:t>
      </w:r>
    </w:p>
    <w:p>
      <w:pPr>
        <w:ind w:left="4740"/>
        <w:spacing w:after="0" w:line="230" w:lineRule="auto"/>
        <w:rPr>
          <w:sz w:val="20"/>
          <w:szCs w:val="20"/>
          <w:color w:val="auto"/>
        </w:rPr>
      </w:pPr>
      <w:r>
        <w:rPr>
          <w:rFonts w:ascii="Times New Roman" w:cs="Times New Roman" w:eastAsia="Times New Roman" w:hAnsi="Times New Roman"/>
          <w:sz w:val="22"/>
          <w:szCs w:val="22"/>
          <w:color w:val="auto"/>
        </w:rPr>
        <w:t>Senior Vice President,</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General Counsel &amp; Corporate Secretary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Second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61" w:name="page262"/>
    <w:bookmarkEnd w:id="261"/>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THIRD AMENDMENT TO EMPLOYMENT AGREEMENT</w:t>
      </w:r>
    </w:p>
    <w:p>
      <w:pPr>
        <w:spacing w:after="0" w:line="237" w:lineRule="exact"/>
        <w:rPr>
          <w:sz w:val="20"/>
          <w:szCs w:val="20"/>
          <w:color w:val="auto"/>
        </w:rPr>
      </w:pPr>
    </w:p>
    <w:p>
      <w:pPr>
        <w:ind w:left="340" w:right="619" w:firstLine="518"/>
        <w:spacing w:after="0" w:line="239" w:lineRule="auto"/>
        <w:rPr>
          <w:sz w:val="20"/>
          <w:szCs w:val="20"/>
          <w:color w:val="auto"/>
        </w:rPr>
      </w:pPr>
      <w:r>
        <w:rPr>
          <w:rFonts w:ascii="Times New Roman" w:cs="Times New Roman" w:eastAsia="Times New Roman" w:hAnsi="Times New Roman"/>
          <w:sz w:val="22"/>
          <w:szCs w:val="22"/>
          <w:color w:val="auto"/>
        </w:rPr>
        <w:t>This THIRD AMENDMENT TO EMPLOYMENT AGREEMENT (this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and entered into on October 22, 2024, by and between CTO REALTY GROWTH, INC., a Maryland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DANIEL E. SMITH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33" w:lineRule="exact"/>
        <w:rPr>
          <w:sz w:val="20"/>
          <w:szCs w:val="20"/>
          <w:color w:val="auto"/>
        </w:rPr>
      </w:pPr>
    </w:p>
    <w:p>
      <w:pPr>
        <w:ind w:left="200" w:right="419" w:firstLine="648"/>
        <w:spacing w:after="0" w:line="236" w:lineRule="auto"/>
        <w:rPr>
          <w:sz w:val="20"/>
          <w:szCs w:val="20"/>
          <w:color w:val="auto"/>
        </w:rPr>
      </w:pPr>
      <w:r>
        <w:rPr>
          <w:rFonts w:ascii="Times New Roman" w:cs="Times New Roman" w:eastAsia="Times New Roman" w:hAnsi="Times New Roman"/>
          <w:sz w:val="22"/>
          <w:szCs w:val="22"/>
          <w:color w:val="auto"/>
        </w:rPr>
        <w:t>The Company and the Executive are parties to (i) that certain Employment Agreement dated as of October 22, 2014, (ii) that certain Omnibus Amendment to Employment Agreement and Award Agreements, dated February 26, 2016, and (ii) that certain Second Omnibus Amendment to Employment Agreement and Award Agreements, dated August 4, 2017 (together,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Company and the Executive desire to make certain modifications to the Employment Agreement as more fully set forth below.</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AMENDMENT</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In furtherance of the foregoing, the Company and the Executive hereby agree as follows:</w:t>
      </w:r>
    </w:p>
    <w:p>
      <w:pPr>
        <w:spacing w:after="0" w:line="233" w:lineRule="exact"/>
        <w:rPr>
          <w:sz w:val="20"/>
          <w:szCs w:val="20"/>
          <w:color w:val="auto"/>
        </w:rPr>
      </w:pPr>
    </w:p>
    <w:p>
      <w:pPr>
        <w:ind w:left="200" w:right="239" w:firstLine="657"/>
        <w:spacing w:after="0" w:line="258" w:lineRule="auto"/>
        <w:tabs>
          <w:tab w:leader="none" w:pos="149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Agreement is hereby amended by the deletion of Section 5.f. and its replacement with the following:</w:t>
      </w:r>
    </w:p>
    <w:p>
      <w:pPr>
        <w:spacing w:after="0" w:line="200" w:lineRule="exact"/>
        <w:rPr>
          <w:sz w:val="20"/>
          <w:szCs w:val="20"/>
          <w:color w:val="auto"/>
        </w:rPr>
      </w:pPr>
    </w:p>
    <w:p>
      <w:pPr>
        <w:spacing w:after="0" w:line="228" w:lineRule="exact"/>
        <w:rPr>
          <w:sz w:val="20"/>
          <w:szCs w:val="20"/>
          <w:color w:val="auto"/>
        </w:rPr>
      </w:pPr>
    </w:p>
    <w:p>
      <w:pPr>
        <w:jc w:val="both"/>
        <w:ind w:left="1180" w:right="219" w:hanging="323"/>
        <w:spacing w:after="0" w:line="233" w:lineRule="auto"/>
        <w:tabs>
          <w:tab w:leader="none" w:pos="118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280G</w:t>
      </w:r>
      <w:r>
        <w:rPr>
          <w:rFonts w:ascii="Times New Roman" w:cs="Times New Roman" w:eastAsia="Times New Roman" w:hAnsi="Times New Roman"/>
          <w:sz w:val="22"/>
          <w:szCs w:val="22"/>
          <w:color w:val="auto"/>
        </w:rPr>
        <w:t>. The Executive and the Company will work together in good faith to reduce or eliminate the impact, if any, of Section 280G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To that effect, if there is a change in ownership or control of the Company that would cause any payment or distribution by the Company or any other person, firm, corporation, partnership, company, association, or other entity to Executive or for Executive’s benefit (whether paid or payable or distributed or distributable pursuant to the terms of this Agreement or otherwise) (each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to be subject to the excise tax imposed by Section 4999 of the Code (such excise tax, together with any interest or penalties incurred by Executive with respect to such excise tax,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Executive will receive the greatest of the following, whichever gives Executive the highest net after-tax amount (after taking into account federal, state, local and social security taxes): (a) the Payments or (b) one dollar less than the amount of the Payments that would subject Executive to the Excise Tax.</w:t>
      </w:r>
    </w:p>
    <w:p>
      <w:pPr>
        <w:spacing w:after="0" w:line="207" w:lineRule="exact"/>
        <w:rPr>
          <w:sz w:val="20"/>
          <w:szCs w:val="20"/>
          <w:color w:val="auto"/>
        </w:rPr>
      </w:pPr>
    </w:p>
    <w:p>
      <w:pPr>
        <w:ind w:left="260" w:right="219" w:firstLine="597"/>
        <w:spacing w:after="0" w:line="258" w:lineRule="auto"/>
        <w:tabs>
          <w:tab w:leader="none" w:pos="1502"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Agreement is hereby amended by the deletion of Section 5.h. and the addition of the following new Section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632460</wp:posOffset>
            </wp:positionV>
            <wp:extent cx="5452110"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2" w:name="page263"/>
    <w:bookmarkEnd w:id="262"/>
    <w:p>
      <w:pPr>
        <w:ind w:left="1500" w:hanging="643"/>
        <w:spacing w:after="0"/>
        <w:tabs>
          <w:tab w:leader="none" w:pos="15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140" w:right="219" w:hanging="649"/>
        <w:spacing w:after="0" w:line="235" w:lineRule="auto"/>
        <w:tabs>
          <w:tab w:leader="none" w:pos="2140"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In the course of Executive’s employment with the Company and the performance of Executive’s duties on behalf of the Company Group (as defined below) hereunder, Executive will be provided with, and will have access to, Confidential Information (as defined below). In consideration of Executive’s receipt and access to such Confidential Information, and as a condition of Executive’s employment hereunder, Executive shall comply with this </w:t>
      </w:r>
      <w:r>
        <w:rPr>
          <w:rFonts w:ascii="Times New Roman" w:cs="Times New Roman" w:eastAsia="Times New Roman" w:hAnsi="Times New Roman"/>
          <w:sz w:val="22"/>
          <w:szCs w:val="22"/>
          <w:u w:val="single" w:color="auto"/>
          <w:color w:val="auto"/>
        </w:rPr>
        <w:t>Section 13.a</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2800" w:right="219" w:hanging="647"/>
        <w:spacing w:after="0" w:line="232" w:lineRule="auto"/>
        <w:tabs>
          <w:tab w:leader="none" w:pos="2800"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Both during the Employment Period (as defined below) and thereafter, except as expressly permitted by this Agreement or by directive of the Board, Executive shall not disclose any Confidential Information to any person or entity and shall not use any Confidential Information except for the benefit of the Company Group. Executive shall follow all Company Group policies and protocols regarding the security of all documents and other materials containing Confidential Information (regardless of the medium on which Confidential Information is stored). Except to the extent required for the performance of Executive’s duties on behalf of the Company Group, Executive shall not remove from facilities of any member of the Company Group any equipment, drawings, notes, reports, manuals, invention records, computer software, tenant information, or other data or materials that relate in any way to the Confidential Information, whether paper or electronic and whether produced by Executive or obtained by the Company Group. The covenants of this </w:t>
      </w:r>
      <w:r>
        <w:rPr>
          <w:rFonts w:ascii="Times New Roman" w:cs="Times New Roman" w:eastAsia="Times New Roman" w:hAnsi="Times New Roman"/>
          <w:sz w:val="22"/>
          <w:szCs w:val="22"/>
          <w:u w:val="single" w:color="auto"/>
          <w:color w:val="auto"/>
        </w:rPr>
        <w:t>Section 13.a.i</w:t>
      </w:r>
      <w:r>
        <w:rPr>
          <w:rFonts w:ascii="Times New Roman" w:cs="Times New Roman" w:eastAsia="Times New Roman" w:hAnsi="Times New Roman"/>
          <w:sz w:val="22"/>
          <w:szCs w:val="22"/>
          <w:color w:val="auto"/>
        </w:rPr>
        <w:t xml:space="preserve"> shall apply to all Confidential Information, whether now known or later to become known to Executive during the period that Executive is employed by or affiliated with the Company or any other member of the Company Group.</w:t>
      </w:r>
    </w:p>
    <w:p>
      <w:pPr>
        <w:spacing w:after="0" w:line="183" w:lineRule="exact"/>
        <w:rPr>
          <w:rFonts w:ascii="Times New Roman" w:cs="Times New Roman" w:eastAsia="Times New Roman" w:hAnsi="Times New Roman"/>
          <w:sz w:val="22"/>
          <w:szCs w:val="22"/>
          <w:color w:val="auto"/>
        </w:rPr>
      </w:pPr>
    </w:p>
    <w:p>
      <w:pPr>
        <w:jc w:val="both"/>
        <w:ind w:left="2800" w:right="239" w:hanging="647"/>
        <w:spacing w:after="0" w:line="244" w:lineRule="auto"/>
        <w:tabs>
          <w:tab w:leader="none" w:pos="2800"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w:t>
      </w:r>
      <w:r>
        <w:rPr>
          <w:rFonts w:ascii="Times New Roman" w:cs="Times New Roman" w:eastAsia="Times New Roman" w:hAnsi="Times New Roman"/>
          <w:sz w:val="22"/>
          <w:szCs w:val="22"/>
          <w:u w:val="single" w:color="auto"/>
          <w:color w:val="auto"/>
        </w:rPr>
        <w:t>Section 13.a.i</w:t>
      </w:r>
      <w:r>
        <w:rPr>
          <w:rFonts w:ascii="Times New Roman" w:cs="Times New Roman" w:eastAsia="Times New Roman" w:hAnsi="Times New Roman"/>
          <w:sz w:val="22"/>
          <w:szCs w:val="22"/>
          <w:color w:val="auto"/>
        </w:rPr>
        <w:t xml:space="preserve"> to the contrary, Executive may make the following disclosures and uses of Confidential Information:</w:t>
      </w:r>
    </w:p>
    <w:p>
      <w:pPr>
        <w:spacing w:after="0" w:line="173" w:lineRule="exact"/>
        <w:rPr>
          <w:rFonts w:ascii="Times New Roman" w:cs="Times New Roman" w:eastAsia="Times New Roman" w:hAnsi="Times New Roman"/>
          <w:sz w:val="22"/>
          <w:szCs w:val="22"/>
          <w:color w:val="auto"/>
        </w:rPr>
      </w:pPr>
    </w:p>
    <w:p>
      <w:pPr>
        <w:jc w:val="both"/>
        <w:ind w:left="3440" w:right="219" w:hanging="639"/>
        <w:spacing w:after="0" w:line="244" w:lineRule="auto"/>
        <w:tabs>
          <w:tab w:leader="none" w:pos="3440" w:val="left"/>
        </w:tabs>
        <w:numPr>
          <w:ilvl w:val="3"/>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other employees of a member of the Company Group who have a need to know Confidential Information in connection with the businesses of the Company Group;</w:t>
      </w:r>
    </w:p>
    <w:p>
      <w:pPr>
        <w:spacing w:after="0" w:line="173" w:lineRule="exact"/>
        <w:rPr>
          <w:rFonts w:ascii="Times New Roman" w:cs="Times New Roman" w:eastAsia="Times New Roman" w:hAnsi="Times New Roman"/>
          <w:sz w:val="22"/>
          <w:szCs w:val="22"/>
          <w:color w:val="auto"/>
        </w:rPr>
      </w:pPr>
    </w:p>
    <w:p>
      <w:pPr>
        <w:ind w:left="3440" w:right="239" w:hanging="639"/>
        <w:spacing w:after="0" w:line="258" w:lineRule="auto"/>
        <w:tabs>
          <w:tab w:leader="none" w:pos="3440" w:val="left"/>
        </w:tabs>
        <w:numPr>
          <w:ilvl w:val="3"/>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and uses that are approved in writing by the Board;</w:t>
      </w:r>
    </w:p>
    <w:p>
      <w:pPr>
        <w:spacing w:after="0" w:line="158" w:lineRule="exact"/>
        <w:rPr>
          <w:rFonts w:ascii="Times New Roman" w:cs="Times New Roman" w:eastAsia="Times New Roman" w:hAnsi="Times New Roman"/>
          <w:sz w:val="22"/>
          <w:szCs w:val="22"/>
          <w:color w:val="auto"/>
        </w:rPr>
      </w:pPr>
    </w:p>
    <w:p>
      <w:pPr>
        <w:jc w:val="both"/>
        <w:ind w:left="3440" w:right="219" w:hanging="639"/>
        <w:spacing w:after="0" w:line="244" w:lineRule="auto"/>
        <w:tabs>
          <w:tab w:leader="none" w:pos="3440" w:val="left"/>
        </w:tabs>
        <w:numPr>
          <w:ilvl w:val="3"/>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a person or entity that has (x) been retained by a member of the Company Group to provide services to one or more members of the Company Group and (y) agreed in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63" w:name="page264"/>
    <w:bookmarkEnd w:id="263"/>
    <w:p>
      <w:pPr>
        <w:ind w:left="3440" w:right="219"/>
        <w:spacing w:after="0" w:line="258" w:lineRule="auto"/>
        <w:rPr>
          <w:sz w:val="20"/>
          <w:szCs w:val="20"/>
          <w:color w:val="auto"/>
        </w:rPr>
      </w:pPr>
      <w:r>
        <w:rPr>
          <w:rFonts w:ascii="Times New Roman" w:cs="Times New Roman" w:eastAsia="Times New Roman" w:hAnsi="Times New Roman"/>
          <w:sz w:val="22"/>
          <w:szCs w:val="22"/>
          <w:color w:val="auto"/>
        </w:rPr>
        <w:t>writing to abide by the terms of a confidentiality agreement in a form acceptable to the Company; and</w:t>
      </w:r>
    </w:p>
    <w:p>
      <w:pPr>
        <w:spacing w:after="0" w:line="158" w:lineRule="exact"/>
        <w:rPr>
          <w:sz w:val="20"/>
          <w:szCs w:val="20"/>
          <w:color w:val="auto"/>
        </w:rPr>
      </w:pPr>
    </w:p>
    <w:p>
      <w:pPr>
        <w:ind w:left="3440" w:hanging="639"/>
        <w:spacing w:after="0"/>
        <w:tabs>
          <w:tab w:leader="none" w:pos="344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required by applicable law.</w:t>
      </w:r>
    </w:p>
    <w:p>
      <w:pPr>
        <w:spacing w:after="0" w:line="206" w:lineRule="exact"/>
        <w:rPr>
          <w:rFonts w:ascii="Times New Roman" w:cs="Times New Roman" w:eastAsia="Times New Roman" w:hAnsi="Times New Roman"/>
          <w:sz w:val="22"/>
          <w:szCs w:val="22"/>
          <w:color w:val="auto"/>
        </w:rPr>
      </w:pPr>
    </w:p>
    <w:p>
      <w:pPr>
        <w:jc w:val="both"/>
        <w:ind w:left="2800" w:right="219" w:hanging="647"/>
        <w:spacing w:after="0" w:line="232" w:lineRule="auto"/>
        <w:tabs>
          <w:tab w:leader="none" w:pos="28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of the Employment Period, the Executive shall promptly return to the Company all originals and copies of any documents, records, notebooks, files, correspondence, reports, memoranda or similar materials of or containing Confidential Information, proprietary information, or any other materials or property of any kind belonging to the Company (including keys and other tangible personal property of the Company), then in the Executive’s possession, whether prepared by the Executive or by others. The Executive agrees that, upon termination of his employment with the Company, for any reason, or on demand, the Executive will permit a representative of the Company to access all data stored on any personal computer, laptop, smartphone, tablet, telephone or other electronic device or storage media that the Executive has used in any fashion in connection with his work for the Company for the sole purpose of permanently removing, copying and/or deleting any data belonging to or related to the Company, its customers, prospective customers, business partners, its business or which otherwise contains Confidential Information or any other information belonging to the Company.</w:t>
      </w:r>
    </w:p>
    <w:p>
      <w:pPr>
        <w:spacing w:after="0" w:line="180" w:lineRule="exact"/>
        <w:rPr>
          <w:rFonts w:ascii="Times New Roman" w:cs="Times New Roman" w:eastAsia="Times New Roman" w:hAnsi="Times New Roman"/>
          <w:sz w:val="22"/>
          <w:szCs w:val="22"/>
          <w:color w:val="auto"/>
        </w:rPr>
      </w:pPr>
    </w:p>
    <w:p>
      <w:pPr>
        <w:jc w:val="both"/>
        <w:ind w:left="2800" w:right="219" w:hanging="647"/>
        <w:spacing w:after="0" w:line="243" w:lineRule="auto"/>
        <w:tabs>
          <w:tab w:leader="none" w:pos="280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means all confidential, competitively valuable, non-public or proprietary information that is conceived, made, developed or acquired by or disclosed to Executive (whether conveyed orally or in writing), individually or in conjunction with others, during the period that Executive is employed or engaged by the Company or any other member of the Company Group (whether during business hours or otherwise and whether on the Company’s premises or otherwise) including: (i) technical information of any member of the Company Group, its affiliates, its customers or other third parties, including computer programs, software, databases, data, ideas, know-how, formulae, compositions, processes, discoveries, machines, inventions (whether patentable or not), designs, developmental or experimental work, techniques, improvements, work in process, research or test results, original works of authorship, training programs and procedures, diagrams, charts, business plans, and similar items; (ii) information relating to any member of the Company Group’s businesses, properties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64" w:name="page265"/>
    <w:bookmarkEnd w:id="264"/>
    <w:p>
      <w:pPr>
        <w:jc w:val="both"/>
        <w:ind w:left="2800" w:right="219"/>
        <w:spacing w:after="0" w:line="242" w:lineRule="auto"/>
        <w:rPr>
          <w:sz w:val="20"/>
          <w:szCs w:val="20"/>
          <w:color w:val="auto"/>
        </w:rPr>
      </w:pPr>
      <w:r>
        <w:rPr>
          <w:rFonts w:ascii="Times New Roman" w:cs="Times New Roman" w:eastAsia="Times New Roman" w:hAnsi="Times New Roman"/>
          <w:sz w:val="21"/>
          <w:szCs w:val="21"/>
          <w:color w:val="auto"/>
        </w:rPr>
        <w:t xml:space="preserve">tenants or acquisition targets or their requirements, the identity of key contacts within tenants’ organizations or within the organization of acquisition prospects, or marketing and merchandising techniques, prospective names and marks); (iii) other valuable, confidential information and trade secrets of any member of the Company Group, its affiliates, its tenants or other third parties; and (iv) any other information that is competitively valuable to any member of the Company Group by virtue of not being publicly known. Moreover, all documents, videotapes, written presentations, brochures, drawings, memoranda, notes, records, files, correspondence, manuals, models, specifications, computer programs, e-mail, voice mail, electronic databases, maps, drawings, architectural renditions and all other writings or materials of any type including or embodying any of such information, ideas, concepts, improvements, discoveries, inventions and other similar forms of expression are and shall be the sole and exclusive property of the Company or the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Executive or any of Executive’s agents; (ii) was available to Executive on a non-confidential basis before its disclosure by a member of the Company Group; or (iii) becomes available to Executive on a non-confidential basis from a source other than a member of the Company Group;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such source is not bound by a confidentiality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with, or other obligation with respect to confidentiality to, a member of the Company Group.</w:t>
      </w:r>
    </w:p>
    <w:p>
      <w:pPr>
        <w:spacing w:after="0" w:line="200" w:lineRule="exact"/>
        <w:rPr>
          <w:sz w:val="20"/>
          <w:szCs w:val="20"/>
          <w:color w:val="auto"/>
        </w:rPr>
      </w:pPr>
    </w:p>
    <w:p>
      <w:pPr>
        <w:spacing w:after="0" w:line="245" w:lineRule="exact"/>
        <w:rPr>
          <w:sz w:val="20"/>
          <w:szCs w:val="20"/>
          <w:color w:val="auto"/>
        </w:rPr>
      </w:pPr>
    </w:p>
    <w:p>
      <w:pPr>
        <w:jc w:val="both"/>
        <w:ind w:left="2800" w:right="219" w:hanging="647"/>
        <w:spacing w:after="0" w:line="244" w:lineRule="auto"/>
        <w:tabs>
          <w:tab w:leader="none" w:pos="2800"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nothing in this Agreement or in any other agreement between Executive and the Company or any other member of the Company Group shall prohibit or restrict Executive from lawfully: (i) initiating communications directly with, cooperating with, providing information to, causing information to be provided to, or otherwise assisting in an investigation by, any governmental authority (including the Securities and Exchange Commission and any other applicable governmental commission or regulatory agency) regarding a possible violation of any law; (ii) responding to any inquiry or legal process directed to Executive from any governmental authority; (iii) testifying, participating or otherwise assisting in any action or proceeding by any governmental authority relating to a possible violation of law; or (iv) making any other disclosures that are protected under the whistleblower provisions of any applicable law. Additionally, pursuant to the federal Defend Trade Secrets Act of</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65" w:name="page266"/>
    <w:bookmarkEnd w:id="265"/>
    <w:p>
      <w:pPr>
        <w:jc w:val="both"/>
        <w:ind w:left="2800" w:right="219"/>
        <w:spacing w:after="0" w:line="233" w:lineRule="auto"/>
        <w:rPr>
          <w:sz w:val="20"/>
          <w:szCs w:val="20"/>
          <w:color w:val="auto"/>
        </w:rPr>
      </w:pPr>
      <w:r>
        <w:rPr>
          <w:rFonts w:ascii="Times New Roman" w:cs="Times New Roman" w:eastAsia="Times New Roman" w:hAnsi="Times New Roman"/>
          <w:sz w:val="22"/>
          <w:szCs w:val="22"/>
          <w:color w:val="auto"/>
        </w:rPr>
        <w:t>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Executive to obtain prior authorization before engaging in any conduct described in this paragraph, or to notify the Company or any other member of the Company Group that Executive has engaged in any such conduct.</w:t>
      </w:r>
    </w:p>
    <w:p>
      <w:pPr>
        <w:spacing w:after="0" w:line="174" w:lineRule="exact"/>
        <w:rPr>
          <w:sz w:val="20"/>
          <w:szCs w:val="20"/>
          <w:color w:val="auto"/>
        </w:rPr>
      </w:pPr>
    </w:p>
    <w:p>
      <w:pPr>
        <w:jc w:val="both"/>
        <w:ind w:left="2800" w:right="239" w:hanging="647"/>
        <w:spacing w:after="0" w:line="247" w:lineRule="auto"/>
        <w:tabs>
          <w:tab w:leader="none" w:pos="280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means the Company, Alpine Income Property Trust, Inc. (“</w:t>
      </w:r>
      <w:r>
        <w:rPr>
          <w:rFonts w:ascii="Times New Roman" w:cs="Times New Roman" w:eastAsia="Times New Roman" w:hAnsi="Times New Roman"/>
          <w:sz w:val="22"/>
          <w:szCs w:val="22"/>
          <w:b w:val="1"/>
          <w:bCs w:val="1"/>
          <w:i w:val="1"/>
          <w:iCs w:val="1"/>
          <w:color w:val="auto"/>
        </w:rPr>
        <w:t>Alpine</w:t>
      </w:r>
      <w:r>
        <w:rPr>
          <w:rFonts w:ascii="Times New Roman" w:cs="Times New Roman" w:eastAsia="Times New Roman" w:hAnsi="Times New Roman"/>
          <w:sz w:val="22"/>
          <w:szCs w:val="22"/>
          <w:color w:val="auto"/>
        </w:rPr>
        <w:t>”) and each subsidiary of the Company and Alpine, collectively.</w:t>
      </w:r>
    </w:p>
    <w:p>
      <w:pPr>
        <w:spacing w:after="0" w:line="163" w:lineRule="exact"/>
        <w:rPr>
          <w:rFonts w:ascii="Times New Roman" w:cs="Times New Roman" w:eastAsia="Times New Roman" w:hAnsi="Times New Roman"/>
          <w:sz w:val="22"/>
          <w:szCs w:val="22"/>
          <w:color w:val="auto"/>
        </w:rPr>
      </w:pPr>
    </w:p>
    <w:p>
      <w:pPr>
        <w:jc w:val="both"/>
        <w:ind w:left="2800" w:right="239" w:hanging="647"/>
        <w:spacing w:after="0" w:line="247" w:lineRule="auto"/>
        <w:tabs>
          <w:tab w:leader="none" w:pos="280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Employment Period</w:t>
      </w:r>
      <w:r>
        <w:rPr>
          <w:rFonts w:ascii="Times New Roman" w:cs="Times New Roman" w:eastAsia="Times New Roman" w:hAnsi="Times New Roman"/>
          <w:sz w:val="22"/>
          <w:szCs w:val="22"/>
          <w:color w:val="auto"/>
        </w:rPr>
        <w:t>” means the period from October 22, 2014 through the termination of the Executive’s employment pursuant to this Agreement.</w:t>
      </w:r>
    </w:p>
    <w:p>
      <w:pPr>
        <w:spacing w:after="0" w:line="16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800" w:right="219" w:hanging="647"/>
        <w:spacing w:after="0" w:line="244" w:lineRule="auto"/>
        <w:tabs>
          <w:tab w:leader="none" w:pos="2800"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provide Executive access to Confidential Information for use only during the Employment Period, and Executive acknowledges and agrees that the Company Group will be entrusting Executive, in Executive's unique and special capacity, with developing the goodwill of the Company Group, and in consideration of the Company providing Executive with access to Confidential Information and as an express incentive for the Company to enter into this Agreement and employ Executive hereunder, Executive has voluntarily agreed to the covenants set forth in this </w:t>
      </w:r>
      <w:r>
        <w:rPr>
          <w:rFonts w:ascii="Times New Roman" w:cs="Times New Roman" w:eastAsia="Times New Roman" w:hAnsi="Times New Roman"/>
          <w:sz w:val="21"/>
          <w:szCs w:val="21"/>
          <w:u w:val="single" w:color="auto"/>
          <w:color w:val="auto"/>
        </w:rPr>
        <w:t>Section 13.b</w:t>
      </w:r>
      <w:r>
        <w:rPr>
          <w:rFonts w:ascii="Times New Roman" w:cs="Times New Roman" w:eastAsia="Times New Roman" w:hAnsi="Times New Roman"/>
          <w:sz w:val="21"/>
          <w:szCs w:val="21"/>
          <w:color w:val="auto"/>
        </w:rPr>
        <w:t>. Executive agrees and acknowledges that the limitations and restrictions set forth herein, including geographical and temporal restrictions on certain competitive activities, are reasonable in all respects, do not interfere with public interests, will not cause Executive undue hardship, and are material and substantial parts of this Agreement intended and necessary to prevent unfair competition and to protect the Company Group's Confidential Information, goodwill and legitimate business interests.</w:t>
      </w:r>
    </w:p>
    <w:p>
      <w:pPr>
        <w:spacing w:after="0" w:line="173" w:lineRule="exact"/>
        <w:rPr>
          <w:rFonts w:ascii="Times New Roman" w:cs="Times New Roman" w:eastAsia="Times New Roman" w:hAnsi="Times New Roman"/>
          <w:sz w:val="21"/>
          <w:szCs w:val="21"/>
          <w:color w:val="auto"/>
        </w:rPr>
      </w:pPr>
    </w:p>
    <w:p>
      <w:pPr>
        <w:jc w:val="both"/>
        <w:ind w:left="2800" w:right="239" w:hanging="647"/>
        <w:spacing w:after="0" w:line="244" w:lineRule="auto"/>
        <w:tabs>
          <w:tab w:leader="none" w:pos="280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shall submit to the Board all Business Opportunities (as defined below) presented to the Executive or of which the Executive becomes aware.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66" w:name="page267"/>
    <w:bookmarkEnd w:id="266"/>
    <w:p>
      <w:pPr>
        <w:jc w:val="both"/>
        <w:ind w:left="2800" w:right="219" w:hanging="647"/>
        <w:spacing w:after="0" w:line="239" w:lineRule="auto"/>
        <w:tabs>
          <w:tab w:leader="none" w:pos="280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Prohibited Period (as defined below), Executive shall not, without the prior written approval of the Board, directly or indirectly, for Executive or on behalf of or in conjunction with any other person or entity of any nature:</w:t>
      </w:r>
    </w:p>
    <w:p>
      <w:pPr>
        <w:spacing w:after="0" w:line="180" w:lineRule="exact"/>
        <w:rPr>
          <w:rFonts w:ascii="Times New Roman" w:cs="Times New Roman" w:eastAsia="Times New Roman" w:hAnsi="Times New Roman"/>
          <w:sz w:val="22"/>
          <w:szCs w:val="22"/>
          <w:color w:val="auto"/>
        </w:rPr>
      </w:pPr>
    </w:p>
    <w:p>
      <w:pPr>
        <w:jc w:val="both"/>
        <w:ind w:left="3440" w:right="219" w:hanging="639"/>
        <w:spacing w:after="0" w:line="244" w:lineRule="auto"/>
        <w:tabs>
          <w:tab w:leader="none" w:pos="3440" w:val="left"/>
        </w:tabs>
        <w:numPr>
          <w:ilvl w:val="1"/>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or participate within the Market Area (as defined below) in competition with any member of the Company Group in any aspect of the Business (as defined below), which prohibition shall prevent Executive from directly or indirectly: (i) owning a controlling interest in, managing, operating, or being an officer or director of, any business that competes with any member of the Company Group in the Market Area, or (ii) joining, becoming an employee or consultant of, or otherwise being affiliated with or providing services to, any person or entity engaged in, or planning to engage in, the Business in the Market Area in competition, or anticipated competition, with any member of the Company Group in any capacity (with respect to this clause (ii)) in which Executive's duties or responsibilities involve direct or indirect responsibilities with respect to the Business.</w:t>
      </w:r>
    </w:p>
    <w:p>
      <w:pPr>
        <w:spacing w:after="0" w:line="178" w:lineRule="exact"/>
        <w:rPr>
          <w:rFonts w:ascii="Times New Roman" w:cs="Times New Roman" w:eastAsia="Times New Roman" w:hAnsi="Times New Roman"/>
          <w:sz w:val="21"/>
          <w:szCs w:val="21"/>
          <w:color w:val="auto"/>
        </w:rPr>
      </w:pPr>
    </w:p>
    <w:p>
      <w:pPr>
        <w:ind w:left="3440" w:right="239" w:hanging="639"/>
        <w:spacing w:after="0" w:line="258" w:lineRule="auto"/>
        <w:tabs>
          <w:tab w:leader="none" w:pos="344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any Business Opportunity of, or relating to, any member of the Company Group located in the Market Area;</w:t>
      </w:r>
    </w:p>
    <w:p>
      <w:pPr>
        <w:spacing w:after="0" w:line="158" w:lineRule="exact"/>
        <w:rPr>
          <w:rFonts w:ascii="Times New Roman" w:cs="Times New Roman" w:eastAsia="Times New Roman" w:hAnsi="Times New Roman"/>
          <w:sz w:val="22"/>
          <w:szCs w:val="22"/>
          <w:color w:val="auto"/>
        </w:rPr>
      </w:pPr>
    </w:p>
    <w:p>
      <w:pPr>
        <w:jc w:val="both"/>
        <w:ind w:left="3440" w:right="219" w:hanging="639"/>
        <w:spacing w:after="0" w:line="234" w:lineRule="auto"/>
        <w:tabs>
          <w:tab w:leader="none" w:pos="344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canvass, approach, encourage, entice or induce any tenant of any member of the Company Group with whom or which Executive had contact on behalf of any member of the Company Group, about whom or which Executive obtained Confidential Information or for whom or which Executive had direct or indirect responsibilities on behalf of the Company Group to cease or lessen such tenant’s business with any member of the Company Group in the Market Area; or</w:t>
      </w:r>
    </w:p>
    <w:p>
      <w:pPr>
        <w:spacing w:after="0" w:line="183" w:lineRule="exact"/>
        <w:rPr>
          <w:rFonts w:ascii="Times New Roman" w:cs="Times New Roman" w:eastAsia="Times New Roman" w:hAnsi="Times New Roman"/>
          <w:sz w:val="22"/>
          <w:szCs w:val="22"/>
          <w:color w:val="auto"/>
        </w:rPr>
      </w:pPr>
    </w:p>
    <w:p>
      <w:pPr>
        <w:jc w:val="both"/>
        <w:ind w:left="3440" w:right="219" w:hanging="639"/>
        <w:spacing w:after="0" w:line="236" w:lineRule="auto"/>
        <w:tabs>
          <w:tab w:leader="none" w:pos="344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canvass, approach, encourage, entice or induce any employee or contractor of any member of the Company Group to terminate his, her or its employment or engagement with any member of the Company Group or hire or engage any employee or contractor of any member of the Company Group.</w:t>
      </w:r>
    </w:p>
    <w:p>
      <w:pPr>
        <w:spacing w:after="0" w:line="181" w:lineRule="exact"/>
        <w:rPr>
          <w:rFonts w:ascii="Times New Roman" w:cs="Times New Roman" w:eastAsia="Times New Roman" w:hAnsi="Times New Roman"/>
          <w:sz w:val="22"/>
          <w:szCs w:val="22"/>
          <w:color w:val="auto"/>
        </w:rPr>
      </w:pPr>
    </w:p>
    <w:p>
      <w:pPr>
        <w:jc w:val="both"/>
        <w:ind w:left="2800" w:right="219" w:hanging="647"/>
        <w:spacing w:after="0" w:line="238" w:lineRule="auto"/>
        <w:tabs>
          <w:tab w:leader="none" w:pos="280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covenants in this </w:t>
      </w:r>
      <w:r>
        <w:rPr>
          <w:rFonts w:ascii="Times New Roman" w:cs="Times New Roman" w:eastAsia="Times New Roman" w:hAnsi="Times New Roman"/>
          <w:sz w:val="22"/>
          <w:szCs w:val="22"/>
          <w:u w:val="single" w:color="auto"/>
          <w:color w:val="auto"/>
        </w:rPr>
        <w:t>Section 13.b</w:t>
      </w:r>
      <w:r>
        <w:rPr>
          <w:rFonts w:ascii="Times New Roman" w:cs="Times New Roman" w:eastAsia="Times New Roman" w:hAnsi="Times New Roman"/>
          <w:sz w:val="22"/>
          <w:szCs w:val="22"/>
          <w:color w:val="auto"/>
        </w:rPr>
        <w:t>, and each provision and portion hereof, are severable and separate, and the unenforceability of any specific covenant (or portion thereof) shall not affect the provisions of any other covenant (or portion thereof). Moreover, in the event any arbitrator or court of competent jurisdiction shall determine that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67" w:name="page268"/>
    <w:bookmarkEnd w:id="267"/>
    <w:p>
      <w:pPr>
        <w:jc w:val="both"/>
        <w:ind w:left="2800" w:right="239"/>
        <w:spacing w:after="0" w:line="239" w:lineRule="auto"/>
        <w:rPr>
          <w:sz w:val="20"/>
          <w:szCs w:val="20"/>
          <w:color w:val="auto"/>
        </w:rPr>
      </w:pPr>
      <w:r>
        <w:rPr>
          <w:rFonts w:ascii="Times New Roman" w:cs="Times New Roman" w:eastAsia="Times New Roman" w:hAnsi="Times New Roman"/>
          <w:sz w:val="22"/>
          <w:szCs w:val="22"/>
          <w:color w:val="auto"/>
        </w:rPr>
        <w:t>the scope, time or territorial restrictions set forth are unreasonable, then it is the intention of the parties that such restrictions be enforced to the fullest extent which such arbitrator or court deems reasonable, and this Agreement shall thereby be reformed.</w:t>
      </w:r>
    </w:p>
    <w:p>
      <w:pPr>
        <w:spacing w:after="0" w:line="180" w:lineRule="exact"/>
        <w:rPr>
          <w:sz w:val="20"/>
          <w:szCs w:val="20"/>
          <w:color w:val="auto"/>
        </w:rPr>
      </w:pPr>
    </w:p>
    <w:p>
      <w:pPr>
        <w:ind w:left="2800" w:hanging="647"/>
        <w:spacing w:after="0"/>
        <w:tabs>
          <w:tab w:leader="none" w:pos="280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shall have the following meanings:</w:t>
      </w:r>
    </w:p>
    <w:p>
      <w:pPr>
        <w:spacing w:after="0" w:line="200" w:lineRule="exact"/>
        <w:rPr>
          <w:rFonts w:ascii="Times New Roman" w:cs="Times New Roman" w:eastAsia="Times New Roman" w:hAnsi="Times New Roman"/>
          <w:sz w:val="22"/>
          <w:szCs w:val="22"/>
          <w:color w:val="auto"/>
        </w:rPr>
      </w:pPr>
    </w:p>
    <w:p>
      <w:pPr>
        <w:jc w:val="both"/>
        <w:ind w:left="3440" w:right="219" w:hanging="639"/>
        <w:spacing w:after="0" w:line="235" w:lineRule="auto"/>
        <w:tabs>
          <w:tab w:leader="none" w:pos="3440" w:val="left"/>
        </w:tabs>
        <w:numPr>
          <w:ilvl w:val="2"/>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shall mean the business and operations that are the same or similar to those performed by the Company and any other member of the Company Group for which Executive provides services or about which Executive obtains Confidential Information during the Employment Period, which business and operations include investing in, owning, managing, operating, acquiring, developing, disposing of and/or leasing commercial real estate properties and commercial loans and other structured investments.</w:t>
      </w:r>
    </w:p>
    <w:p>
      <w:pPr>
        <w:spacing w:after="0" w:line="173" w:lineRule="exact"/>
        <w:rPr>
          <w:rFonts w:ascii="Times New Roman" w:cs="Times New Roman" w:eastAsia="Times New Roman" w:hAnsi="Times New Roman"/>
          <w:sz w:val="22"/>
          <w:szCs w:val="22"/>
          <w:color w:val="auto"/>
        </w:rPr>
      </w:pPr>
    </w:p>
    <w:p>
      <w:pPr>
        <w:jc w:val="both"/>
        <w:ind w:left="3440" w:right="239" w:hanging="639"/>
        <w:spacing w:after="0" w:line="247" w:lineRule="auto"/>
        <w:tabs>
          <w:tab w:leader="none" w:pos="3440" w:val="left"/>
        </w:tabs>
        <w:numPr>
          <w:ilvl w:val="2"/>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Opportunity</w:t>
      </w:r>
      <w:r>
        <w:rPr>
          <w:rFonts w:ascii="Times New Roman" w:cs="Times New Roman" w:eastAsia="Times New Roman" w:hAnsi="Times New Roman"/>
          <w:sz w:val="22"/>
          <w:szCs w:val="22"/>
          <w:color w:val="auto"/>
        </w:rPr>
        <w:t>” shall mean any commercial, investment or other business opportunity relating to the Business.</w:t>
      </w:r>
    </w:p>
    <w:p>
      <w:pPr>
        <w:spacing w:after="0" w:line="163" w:lineRule="exact"/>
        <w:rPr>
          <w:rFonts w:ascii="Times New Roman" w:cs="Times New Roman" w:eastAsia="Times New Roman" w:hAnsi="Times New Roman"/>
          <w:sz w:val="22"/>
          <w:szCs w:val="22"/>
          <w:color w:val="auto"/>
        </w:rPr>
      </w:pPr>
    </w:p>
    <w:p>
      <w:pPr>
        <w:jc w:val="both"/>
        <w:ind w:left="3440" w:right="219" w:hanging="639"/>
        <w:spacing w:after="0" w:line="234" w:lineRule="auto"/>
        <w:tabs>
          <w:tab w:leader="none" w:pos="3440" w:val="left"/>
        </w:tabs>
        <w:numPr>
          <w:ilvl w:val="2"/>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Market Area</w:t>
      </w:r>
      <w:r>
        <w:rPr>
          <w:rFonts w:ascii="Times New Roman" w:cs="Times New Roman" w:eastAsia="Times New Roman" w:hAnsi="Times New Roman"/>
          <w:sz w:val="22"/>
          <w:szCs w:val="22"/>
          <w:color w:val="auto"/>
        </w:rPr>
        <w:t>” shall mean the geographic areas (i) in Volusia and Orange Counties in the State of Florida and (ii) included or within 25 miles of any metropolitan statistical area from which the Company derives 1% or more of the Company’s aggregate annualized revenue at any time during the final twelve (12) months in which Executive is or has been employed by any member of the Company Group; provided, however, in no event will the geographic area referenced in this clause (ii) include any areas within the State of California.</w:t>
      </w:r>
    </w:p>
    <w:p>
      <w:pPr>
        <w:spacing w:after="0" w:line="179" w:lineRule="exact"/>
        <w:rPr>
          <w:rFonts w:ascii="Times New Roman" w:cs="Times New Roman" w:eastAsia="Times New Roman" w:hAnsi="Times New Roman"/>
          <w:sz w:val="22"/>
          <w:szCs w:val="22"/>
          <w:color w:val="auto"/>
        </w:rPr>
      </w:pPr>
    </w:p>
    <w:p>
      <w:pPr>
        <w:jc w:val="both"/>
        <w:ind w:left="3440" w:right="239" w:hanging="639"/>
        <w:spacing w:after="0" w:line="239" w:lineRule="auto"/>
        <w:tabs>
          <w:tab w:leader="none" w:pos="3440" w:val="left"/>
        </w:tabs>
        <w:numPr>
          <w:ilvl w:val="2"/>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Prohibited Period</w:t>
      </w:r>
      <w:r>
        <w:rPr>
          <w:rFonts w:ascii="Times New Roman" w:cs="Times New Roman" w:eastAsia="Times New Roman" w:hAnsi="Times New Roman"/>
          <w:sz w:val="22"/>
          <w:szCs w:val="22"/>
          <w:color w:val="auto"/>
        </w:rPr>
        <w:t>” shall mean the period during which Executive is employed by any member of the Company Group and continuing for a period of twelve months following the date that Executive is no longer employed by any member of the Company Group.</w:t>
      </w:r>
    </w:p>
    <w:p>
      <w:pPr>
        <w:spacing w:after="0" w:line="177" w:lineRule="exact"/>
        <w:rPr>
          <w:rFonts w:ascii="Times New Roman" w:cs="Times New Roman" w:eastAsia="Times New Roman" w:hAnsi="Times New Roman"/>
          <w:sz w:val="22"/>
          <w:szCs w:val="22"/>
          <w:color w:val="auto"/>
        </w:rPr>
      </w:pPr>
    </w:p>
    <w:p>
      <w:pPr>
        <w:jc w:val="both"/>
        <w:ind w:left="2160" w:right="219" w:hanging="655"/>
        <w:spacing w:after="0" w:line="234" w:lineRule="auto"/>
        <w:tabs>
          <w:tab w:leader="none" w:pos="216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xml:space="preserve">. Because of the difficulty of measuring economic losses to the Company Group as a result of a breach or threatened breach of the covenants set forth in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and because of the immediate and irreparable damage that would be caused to the members of the Company Group for which they would have no other adequate remedy, the Company and each other member of the Company Group shall be entitled to enforce the foregoing covenants, in the event of a breach or threatened breach, by injunctions and restraining orders from any court of competent jurisdiction, without the necessity of showing any actual damages or that money</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68" w:name="page269"/>
    <w:bookmarkEnd w:id="268"/>
    <w:p>
      <w:pPr>
        <w:jc w:val="both"/>
        <w:ind w:left="2160" w:right="219"/>
        <w:spacing w:after="0" w:line="236" w:lineRule="auto"/>
        <w:rPr>
          <w:sz w:val="20"/>
          <w:szCs w:val="20"/>
          <w:color w:val="auto"/>
        </w:rPr>
      </w:pPr>
      <w:r>
        <w:rPr>
          <w:rFonts w:ascii="Times New Roman" w:cs="Times New Roman" w:eastAsia="Times New Roman" w:hAnsi="Times New Roman"/>
          <w:sz w:val="22"/>
          <w:szCs w:val="22"/>
          <w:color w:val="auto"/>
        </w:rPr>
        <w:t>damages would not afford an adequate remedy, and without the necessity of posting any bond or other security. The aforementioned equitable relief shall not be the Company’s or any other member of the Company Group’s exclusive remedy for a breach but instead shall be in addition to all other rights and remedies available to the Company and each other member of the Company Group at law and equity.</w:t>
      </w:r>
    </w:p>
    <w:p>
      <w:pPr>
        <w:spacing w:after="0" w:line="208" w:lineRule="exact"/>
        <w:rPr>
          <w:sz w:val="20"/>
          <w:szCs w:val="20"/>
          <w:color w:val="auto"/>
        </w:rPr>
      </w:pPr>
    </w:p>
    <w:p>
      <w:pPr>
        <w:ind w:left="200" w:right="239" w:firstLine="657"/>
        <w:spacing w:after="0" w:line="258" w:lineRule="auto"/>
        <w:tabs>
          <w:tab w:leader="none" w:pos="1496"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12 of the Employment Agreement shall be deemed incorporated by reference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69" w:name="page270"/>
    <w:bookmarkEnd w:id="269"/>
    <w:p>
      <w:pPr>
        <w:ind w:left="200" w:right="8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Company and the Executive have executed this Third Amendment on the date first written above.</w:t>
      </w:r>
    </w:p>
    <w:p>
      <w:pPr>
        <w:spacing w:after="0" w:line="200" w:lineRule="exact"/>
        <w:rPr>
          <w:sz w:val="20"/>
          <w:szCs w:val="20"/>
          <w:color w:val="auto"/>
        </w:rPr>
      </w:pPr>
    </w:p>
    <w:p>
      <w:pPr>
        <w:spacing w:after="0" w:line="2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8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-13970</wp:posOffset>
            </wp:positionV>
            <wp:extent cx="226314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2"/>
          <w:szCs w:val="22"/>
          <w:color w:val="auto"/>
        </w:rPr>
        <w:t>Daniel E. 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 Maryland 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20"/>
        <w:spacing w:after="0"/>
        <w:tabs>
          <w:tab w:leader="none" w:pos="6640" w:val="left"/>
          <w:tab w:leader="none" w:pos="7300" w:val="left"/>
        </w:tabs>
        <w:rPr>
          <w:sz w:val="20"/>
          <w:szCs w:val="20"/>
          <w:color w:val="auto"/>
        </w:rPr>
      </w:pPr>
      <w:r>
        <w:rPr>
          <w:rFonts w:ascii="Times New Roman" w:cs="Times New Roman" w:eastAsia="Times New Roman" w:hAnsi="Times New Roman"/>
          <w:sz w:val="22"/>
          <w:szCs w:val="22"/>
          <w:color w:val="auto"/>
        </w:rPr>
        <w:t>By: /s/ John P. Albright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-13335</wp:posOffset>
            </wp:positionV>
            <wp:extent cx="2042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2042160" cy="8255"/>
                    </a:xfrm>
                    <a:prstGeom prst="rect">
                      <a:avLst/>
                    </a:prstGeom>
                    <a:noFill/>
                  </pic:spPr>
                </pic:pic>
              </a:graphicData>
            </a:graphic>
          </wp:anchor>
        </w:drawing>
      </w:r>
    </w:p>
    <w:p>
      <w:pPr>
        <w:ind w:left="4740"/>
        <w:spacing w:after="0"/>
        <w:rPr>
          <w:sz w:val="20"/>
          <w:szCs w:val="20"/>
          <w:color w:val="auto"/>
        </w:rPr>
      </w:pPr>
      <w:r>
        <w:rPr>
          <w:rFonts w:ascii="Times New Roman" w:cs="Times New Roman" w:eastAsia="Times New Roman" w:hAnsi="Times New Roman"/>
          <w:sz w:val="22"/>
          <w:szCs w:val="22"/>
          <w:color w:val="auto"/>
        </w:rPr>
        <w:t>John P. Albright</w:t>
      </w:r>
    </w:p>
    <w:p>
      <w:pPr>
        <w:ind w:left="474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Third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70" w:name="page271"/>
    <w:bookmarkEnd w:id="27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CTO Realty Growth,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24, 2024</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1" w:name="page272"/>
    <w:bookmarkEnd w:id="27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Mays, certify that:</w:t>
      </w:r>
    </w:p>
    <w:p>
      <w:pPr>
        <w:spacing w:after="0" w:line="185" w:lineRule="exact"/>
        <w:rPr>
          <w:sz w:val="20"/>
          <w:szCs w:val="20"/>
          <w:color w:val="auto"/>
        </w:rPr>
      </w:pPr>
    </w:p>
    <w:p>
      <w:pPr>
        <w:ind w:left="700" w:hanging="650"/>
        <w:spacing w:after="0"/>
        <w:tabs>
          <w:tab w:leader="none" w:pos="7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CTO Realty Growth,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24, 2024</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4599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Philip R. Mays, Senior Vice President, Chief</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2" w:name="page273"/>
    <w:bookmarkEnd w:id="27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CTO Realty Growth, Inc. (the “Company”) on Form 10-Q for the period ended September 30, 2024,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24, 2024</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3" w:name="page274"/>
    <w:bookmarkEnd w:id="27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CTO Realty Growth, Inc. (the “Company”) on Form 10-Q for the period ended September 30, 2024,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24, 2024</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4688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Philip R. Mays, Senior Vice President, Chief</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75FF36"/>
    <w:multiLevelType w:val="hybridMultilevel"/>
    <w:lvl w:ilvl="0">
      <w:lvlJc w:val="left"/>
      <w:lvlText w:val="☒"/>
      <w:numFmt w:val="bullet"/>
      <w:start w:val="1"/>
    </w:lvl>
  </w:abstractNum>
  <w:abstractNum w:abstractNumId="1">
    <w:nsid w:val="3DD15094"/>
    <w:multiLevelType w:val="hybridMultilevel"/>
    <w:lvl w:ilvl="0">
      <w:lvlJc w:val="left"/>
      <w:lvlText w:val="☐"/>
      <w:numFmt w:val="bullet"/>
      <w:start w:val="1"/>
    </w:lvl>
  </w:abstractNum>
  <w:abstractNum w:abstractNumId="2">
    <w:nsid w:val="3DB012B3"/>
    <w:multiLevelType w:val="hybridMultilevel"/>
    <w:lvl w:ilvl="0">
      <w:lvlJc w:val="left"/>
      <w:lvlText w:val="(%1)"/>
      <w:numFmt w:val="decimal"/>
      <w:start w:val="1"/>
    </w:lvl>
  </w:abstractNum>
  <w:abstractNum w:abstractNumId="3">
    <w:nsid w:val="2708C9AF"/>
    <w:multiLevelType w:val="hybridMultilevel"/>
    <w:lvl w:ilvl="0">
      <w:lvlJc w:val="left"/>
      <w:lvlText w:val="●"/>
      <w:numFmt w:val="bullet"/>
      <w:start w:val="1"/>
    </w:lvl>
  </w:abstractNum>
  <w:abstractNum w:abstractNumId="4">
    <w:nsid w:val="5B25ACE2"/>
    <w:multiLevelType w:val="hybridMultilevel"/>
    <w:lvl w:ilvl="0">
      <w:lvlJc w:val="left"/>
      <w:lvlText w:val="●"/>
      <w:numFmt w:val="bullet"/>
      <w:start w:val="1"/>
    </w:lvl>
  </w:abstractNum>
  <w:abstractNum w:abstractNumId="5">
    <w:nsid w:val="175DFCF0"/>
    <w:multiLevelType w:val="hybridMultilevel"/>
    <w:lvl w:ilvl="0">
      <w:lvlJc w:val="left"/>
      <w:lvlText w:val="●"/>
      <w:numFmt w:val="bullet"/>
      <w:start w:val="1"/>
    </w:lvl>
  </w:abstractNum>
  <w:abstractNum w:abstractNumId="6">
    <w:nsid w:val="4F97E3E4"/>
    <w:multiLevelType w:val="hybridMultilevel"/>
    <w:lvl w:ilvl="0">
      <w:lvlJc w:val="left"/>
      <w:lvlText w:val="●"/>
      <w:numFmt w:val="bullet"/>
      <w:start w:val="1"/>
    </w:lvl>
  </w:abstractNum>
  <w:abstractNum w:abstractNumId="7">
    <w:nsid w:val="53B0A9E"/>
    <w:multiLevelType w:val="hybridMultilevel"/>
    <w:lvl w:ilvl="0">
      <w:lvlJc w:val="left"/>
      <w:lvlText w:val="(%1)"/>
      <w:numFmt w:val="decimal"/>
      <w:start w:val="1"/>
    </w:lvl>
  </w:abstractNum>
  <w:abstractNum w:abstractNumId="8">
    <w:nsid w:val="34FD6B4F"/>
    <w:multiLevelType w:val="hybridMultilevel"/>
    <w:lvl w:ilvl="0">
      <w:lvlJc w:val="left"/>
      <w:lvlText w:val="(%1)"/>
      <w:numFmt w:val="decimal"/>
      <w:start w:val="1"/>
    </w:lvl>
  </w:abstractNum>
  <w:abstractNum w:abstractNumId="9">
    <w:nsid w:val="5915FF32"/>
    <w:multiLevelType w:val="hybridMultilevel"/>
    <w:lvl w:ilvl="0">
      <w:lvlJc w:val="left"/>
      <w:lvlText w:val="(%1)"/>
      <w:numFmt w:val="decimal"/>
      <w:start w:val="2"/>
    </w:lvl>
  </w:abstractNum>
  <w:abstractNum w:abstractNumId="10">
    <w:nsid w:val="56438D15"/>
    <w:multiLevelType w:val="hybridMultilevel"/>
    <w:lvl w:ilvl="0">
      <w:lvlJc w:val="left"/>
      <w:lvlText w:val="(%1)"/>
      <w:numFmt w:val="decimal"/>
      <w:start w:val="1"/>
    </w:lvl>
  </w:abstractNum>
  <w:abstractNum w:abstractNumId="11">
    <w:nsid w:val="519E3149"/>
    <w:multiLevelType w:val="hybridMultilevel"/>
    <w:lvl w:ilvl="0">
      <w:lvlJc w:val="left"/>
      <w:lvlText w:val="(%1)"/>
      <w:numFmt w:val="lowerRoman"/>
      <w:start w:val="1"/>
    </w:lvl>
  </w:abstractNum>
  <w:abstractNum w:abstractNumId="12">
    <w:nsid w:val="2C6E4AFD"/>
    <w:multiLevelType w:val="hybridMultilevel"/>
    <w:lvl w:ilvl="0">
      <w:lvlJc w:val="left"/>
      <w:lvlText w:val="(%1)"/>
      <w:numFmt w:val="lowerRoman"/>
      <w:start w:val="4"/>
    </w:lvl>
  </w:abstractNum>
  <w:abstractNum w:abstractNumId="13">
    <w:nsid w:val="17A1B582"/>
    <w:multiLevelType w:val="hybridMultilevel"/>
    <w:lvl w:ilvl="0">
      <w:lvlJc w:val="left"/>
      <w:lvlText w:val="(%1)"/>
      <w:numFmt w:val="decimal"/>
      <w:start w:val="1"/>
    </w:lvl>
  </w:abstractNum>
  <w:abstractNum w:abstractNumId="14">
    <w:nsid w:val="4DF72E4E"/>
    <w:multiLevelType w:val="hybridMultilevel"/>
    <w:lvl w:ilvl="0">
      <w:lvlJc w:val="left"/>
      <w:lvlText w:val="(%1)"/>
      <w:numFmt w:val="decimal"/>
      <w:start w:val="1"/>
    </w:lvl>
  </w:abstractNum>
  <w:abstractNum w:abstractNumId="15">
    <w:nsid w:val="5046B5A9"/>
    <w:multiLevelType w:val="hybridMultilevel"/>
    <w:lvl w:ilvl="0">
      <w:lvlJc w:val="left"/>
      <w:lvlText w:val="(%1)"/>
      <w:numFmt w:val="decimal"/>
      <w:start w:val="1"/>
    </w:lvl>
  </w:abstractNum>
  <w:abstractNum w:abstractNumId="16">
    <w:nsid w:val="5D888A08"/>
    <w:multiLevelType w:val="hybridMultilevel"/>
    <w:lvl w:ilvl="0">
      <w:lvlJc w:val="left"/>
      <w:lvlText w:val="•"/>
      <w:numFmt w:val="bullet"/>
      <w:start w:val="1"/>
    </w:lvl>
  </w:abstractNum>
  <w:abstractNum w:abstractNumId="17">
    <w:nsid w:val="2A082C70"/>
    <w:multiLevelType w:val="hybridMultilevel"/>
    <w:lvl w:ilvl="0">
      <w:lvlJc w:val="left"/>
      <w:lvlText w:val="•"/>
      <w:numFmt w:val="bullet"/>
      <w:start w:val="1"/>
    </w:lvl>
  </w:abstractNum>
  <w:abstractNum w:abstractNumId="18">
    <w:nsid w:val="5EC6AFD4"/>
    <w:multiLevelType w:val="hybridMultilevel"/>
    <w:lvl w:ilvl="0">
      <w:lvlJc w:val="left"/>
      <w:lvlText w:val="(%1)"/>
      <w:numFmt w:val="lowerRoman"/>
      <w:start w:val="1"/>
    </w:lvl>
  </w:abstractNum>
  <w:abstractNum w:abstractNumId="19">
    <w:nsid w:val="19E21BB2"/>
    <w:multiLevelType w:val="hybridMultilevel"/>
    <w:lvl w:ilvl="0">
      <w:lvlJc w:val="left"/>
      <w:lvlText w:val="(%1)"/>
      <w:numFmt w:val="decimal"/>
      <w:start w:val="1"/>
    </w:lvl>
  </w:abstractNum>
  <w:abstractNum w:abstractNumId="20">
    <w:nsid w:val="75E0858A"/>
    <w:multiLevelType w:val="hybridMultilevel"/>
    <w:lvl w:ilvl="0">
      <w:lvlJc w:val="left"/>
      <w:lvlText w:val="●"/>
      <w:numFmt w:val="bullet"/>
      <w:start w:val="1"/>
    </w:lvl>
  </w:abstractNum>
  <w:abstractNum w:abstractNumId="21">
    <w:nsid w:val="57A61A29"/>
    <w:multiLevelType w:val="hybridMultilevel"/>
    <w:lvl w:ilvl="0">
      <w:lvlJc w:val="left"/>
      <w:lvlText w:val="(%1)"/>
      <w:numFmt w:val="decimal"/>
      <w:start w:val="1"/>
    </w:lvl>
  </w:abstractNum>
  <w:abstractNum w:abstractNumId="22">
    <w:nsid w:val="5399C654"/>
    <w:multiLevelType w:val="hybridMultilevel"/>
    <w:lvl w:ilvl="0">
      <w:lvlJc w:val="left"/>
      <w:lvlText w:val="(%1)"/>
      <w:numFmt w:val="decimal"/>
      <w:start w:val="1"/>
    </w:lvl>
  </w:abstractNum>
  <w:abstractNum w:abstractNumId="23">
    <w:nsid w:val="20EE1348"/>
    <w:multiLevelType w:val="hybridMultilevel"/>
    <w:lvl w:ilvl="0">
      <w:lvlJc w:val="left"/>
      <w:lvlText w:val="(%1)"/>
      <w:numFmt w:val="lowerLetter"/>
      <w:start w:val="1"/>
    </w:lvl>
  </w:abstractNum>
  <w:abstractNum w:abstractNumId="24">
    <w:nsid w:val="4427069A"/>
    <w:multiLevelType w:val="hybridMultilevel"/>
    <w:lvl w:ilvl="0">
      <w:lvlJc w:val="left"/>
      <w:lvlText w:val="*"/>
      <w:numFmt w:val="bullet"/>
      <w:start w:val="1"/>
    </w:lvl>
  </w:abstractNum>
  <w:abstractNum w:abstractNumId="25">
    <w:nsid w:val="B37E80A"/>
    <w:multiLevelType w:val="hybridMultilevel"/>
    <w:lvl w:ilvl="0">
      <w:lvlJc w:val="left"/>
      <w:lvlText w:val="**"/>
      <w:numFmt w:val="bullet"/>
      <w:start w:val="1"/>
    </w:lvl>
  </w:abstractNum>
  <w:abstractNum w:abstractNumId="26">
    <w:nsid w:val="2157F6BC"/>
    <w:multiLevelType w:val="hybridMultilevel"/>
    <w:lvl w:ilvl="0">
      <w:lvlJc w:val="left"/>
      <w:lvlText w:val="†"/>
      <w:numFmt w:val="bullet"/>
      <w:start w:val="1"/>
    </w:lvl>
  </w:abstractNum>
  <w:abstractNum w:abstractNumId="27">
    <w:nsid w:val="704E1DD5"/>
    <w:multiLevelType w:val="hybridMultilevel"/>
    <w:lvl w:ilvl="0">
      <w:lvlJc w:val="left"/>
      <w:lvlText w:val="(%1)"/>
      <w:numFmt w:val="lowerRoman"/>
      <w:start w:val="2"/>
    </w:lvl>
  </w:abstractNum>
  <w:abstractNum w:abstractNumId="28">
    <w:nsid w:val="57D2F10E"/>
    <w:multiLevelType w:val="hybridMultilevel"/>
    <w:lvl w:ilvl="0">
      <w:lvlJc w:val="left"/>
      <w:lvlText w:val="%1"/>
      <w:numFmt w:val="lowerLetter"/>
      <w:start w:val="1"/>
    </w:lvl>
    <w:lvl w:ilvl="1">
      <w:lvlJc w:val="left"/>
      <w:lvlText w:val="(%2)"/>
      <w:numFmt w:val="lowerLetter"/>
      <w:start w:val="1"/>
    </w:lvl>
  </w:abstractNum>
  <w:abstractNum w:abstractNumId="29">
    <w:nsid w:val="BFFAE18"/>
    <w:multiLevelType w:val="hybridMultilevel"/>
    <w:lvl w:ilvl="0">
      <w:lvlJc w:val="left"/>
      <w:lvlText w:val="(%1)"/>
      <w:numFmt w:val="lowerLetter"/>
      <w:start w:val="35"/>
    </w:lvl>
    <w:lvl w:ilvl="1">
      <w:lvlJc w:val="left"/>
      <w:lvlText w:val="(%2)"/>
      <w:numFmt w:val="lowerLetter"/>
      <w:start w:val="3"/>
    </w:lvl>
  </w:abstractNum>
  <w:abstractNum w:abstractNumId="30">
    <w:nsid w:val="E3E47A8"/>
    <w:multiLevelType w:val="hybridMultilevel"/>
    <w:lvl w:ilvl="0">
      <w:lvlJc w:val="left"/>
      <w:lvlText w:val="(%1)"/>
      <w:numFmt w:val="lowerLetter"/>
      <w:start w:val="1"/>
    </w:lvl>
  </w:abstractNum>
  <w:abstractNum w:abstractNumId="31">
    <w:nsid w:val="2E48F044"/>
    <w:multiLevelType w:val="hybridMultilevel"/>
    <w:lvl w:ilvl="0">
      <w:lvlJc w:val="left"/>
      <w:lvlText w:val="(%1)"/>
      <w:numFmt w:val="lowerLetter"/>
      <w:start w:val="3"/>
    </w:lvl>
  </w:abstractNum>
  <w:abstractNum w:abstractNumId="32">
    <w:nsid w:val="49D0FEAC"/>
    <w:multiLevelType w:val="hybridMultilevel"/>
    <w:lvl w:ilvl="0">
      <w:lvlJc w:val="left"/>
      <w:lvlText w:val="(%1)"/>
      <w:numFmt w:val="lowerLetter"/>
      <w:start w:val="1"/>
    </w:lvl>
  </w:abstractNum>
  <w:abstractNum w:abstractNumId="33">
    <w:nsid w:val="4BEE5A5B"/>
    <w:multiLevelType w:val="hybridMultilevel"/>
    <w:lvl w:ilvl="0">
      <w:lvlJc w:val="left"/>
      <w:lvlText w:val="(%1)"/>
      <w:numFmt w:val="lowerLetter"/>
      <w:start w:val="1"/>
    </w:lvl>
  </w:abstractNum>
  <w:abstractNum w:abstractNumId="34">
    <w:nsid w:val="5551B9F3"/>
    <w:multiLevelType w:val="hybridMultilevel"/>
    <w:lvl w:ilvl="0">
      <w:lvlJc w:val="left"/>
      <w:lvlText w:val="(%1)"/>
      <w:numFmt w:val="lowerRoman"/>
      <w:start w:val="3"/>
    </w:lvl>
  </w:abstractNum>
  <w:abstractNum w:abstractNumId="35">
    <w:nsid w:val="24F6AB8E"/>
    <w:multiLevelType w:val="hybridMultilevel"/>
    <w:lvl w:ilvl="0">
      <w:lvlJc w:val="left"/>
      <w:lvlText w:val="(%1)"/>
      <w:numFmt w:val="lowerLetter"/>
      <w:start w:val="1"/>
    </w:lvl>
  </w:abstractNum>
  <w:abstractNum w:abstractNumId="36">
    <w:nsid w:val="634C574C"/>
    <w:multiLevelType w:val="hybridMultilevel"/>
    <w:lvl w:ilvl="0">
      <w:lvlJc w:val="left"/>
      <w:lvlText w:val="%1"/>
      <w:numFmt w:val="lowerLetter"/>
      <w:start w:val="1"/>
    </w:lvl>
    <w:lvl w:ilvl="1">
      <w:lvlJc w:val="left"/>
      <w:lvlText w:val="(%2)"/>
      <w:numFmt w:val="lowerLetter"/>
      <w:start w:val="2"/>
    </w:lvl>
  </w:abstractNum>
  <w:abstractNum w:abstractNumId="37">
    <w:nsid w:val="24E99DD7"/>
    <w:multiLevelType w:val="hybridMultilevel"/>
    <w:lvl w:ilvl="0">
      <w:lvlJc w:val="left"/>
      <w:lvlText w:val="(%1)"/>
      <w:numFmt w:val="lowerLetter"/>
      <w:start w:val="1"/>
    </w:lvl>
    <w:lvl w:ilvl="1">
      <w:lvlJc w:val="left"/>
      <w:lvlText w:val="(%2)"/>
      <w:numFmt w:val="lowerLetter"/>
      <w:start w:val="4"/>
    </w:lvl>
  </w:abstractNum>
  <w:abstractNum w:abstractNumId="38">
    <w:nsid w:val="2A31B62D"/>
    <w:multiLevelType w:val="hybridMultilevel"/>
    <w:lvl w:ilvl="0">
      <w:lvlJc w:val="left"/>
      <w:lvlText w:val="(%1)"/>
      <w:numFmt w:val="lowerLetter"/>
      <w:start w:val="1"/>
    </w:lvl>
  </w:abstractNum>
  <w:abstractNum w:abstractNumId="39">
    <w:nsid w:val="1849C29B"/>
    <w:multiLevelType w:val="hybridMultilevel"/>
    <w:lvl w:ilvl="0">
      <w:lvlJc w:val="left"/>
      <w:lvlText w:val="(%1)"/>
      <w:numFmt w:val="lowerLetter"/>
      <w:start w:val="1"/>
    </w:lvl>
  </w:abstractNum>
  <w:abstractNum w:abstractNumId="40">
    <w:nsid w:val="7DFF9D09"/>
    <w:multiLevelType w:val="hybridMultilevel"/>
    <w:lvl w:ilvl="0">
      <w:lvlJc w:val="left"/>
      <w:lvlText w:val="(%1)"/>
      <w:numFmt w:val="lowerLetter"/>
      <w:start w:val="2"/>
    </w:lvl>
  </w:abstractNum>
  <w:abstractNum w:abstractNumId="41">
    <w:nsid w:val="754342"/>
    <w:multiLevelType w:val="hybridMultilevel"/>
    <w:lvl w:ilvl="0">
      <w:lvlJc w:val="left"/>
      <w:lvlText w:val="(%1)"/>
      <w:numFmt w:val="lowerLetter"/>
      <w:start w:val="1"/>
    </w:lvl>
  </w:abstractNum>
  <w:abstractNum w:abstractNumId="42">
    <w:nsid w:val="69E7F3E5"/>
    <w:multiLevelType w:val="hybridMultilevel"/>
    <w:lvl w:ilvl="0">
      <w:lvlJc w:val="left"/>
      <w:lvlText w:val="%1"/>
      <w:numFmt w:val="lowerLetter"/>
      <w:start w:val="1"/>
    </w:lvl>
    <w:lvl w:ilvl="1">
      <w:lvlJc w:val="left"/>
      <w:lvlText w:val="(%2)"/>
      <w:numFmt w:val="lowerLetter"/>
      <w:start w:val="1"/>
    </w:lvl>
  </w:abstractNum>
  <w:abstractNum w:abstractNumId="43">
    <w:nsid w:val="2A6DE806"/>
    <w:multiLevelType w:val="hybridMultilevel"/>
    <w:lvl w:ilvl="0">
      <w:lvlJc w:val="left"/>
      <w:lvlText w:val="(%1)"/>
      <w:numFmt w:val="lowerLetter"/>
      <w:start w:val="35"/>
    </w:lvl>
    <w:lvl w:ilvl="1">
      <w:lvlJc w:val="left"/>
      <w:lvlText w:val="(%2)"/>
      <w:numFmt w:val="lowerLetter"/>
      <w:start w:val="2"/>
    </w:lvl>
  </w:abstractNum>
  <w:abstractNum w:abstractNumId="44">
    <w:nsid w:val="1816F8C4"/>
    <w:multiLevelType w:val="hybridMultilevel"/>
    <w:lvl w:ilvl="0">
      <w:lvlJc w:val="left"/>
      <w:lvlText w:val="(%1)"/>
      <w:numFmt w:val="lowerLetter"/>
      <w:start w:val="1"/>
    </w:lvl>
  </w:abstractNum>
  <w:abstractNum w:abstractNumId="45">
    <w:nsid w:val="37DF2233"/>
    <w:multiLevelType w:val="hybridMultilevel"/>
    <w:lvl w:ilvl="0">
      <w:lvlJc w:val="left"/>
      <w:lvlText w:val="(%1)"/>
      <w:numFmt w:val="lowerLetter"/>
      <w:start w:val="3"/>
    </w:lvl>
  </w:abstractNum>
  <w:abstractNum w:abstractNumId="46">
    <w:nsid w:val="7AB49DAF"/>
    <w:multiLevelType w:val="hybridMultilevel"/>
    <w:lvl w:ilvl="0">
      <w:lvlJc w:val="left"/>
      <w:lvlText w:val="(%1)"/>
      <w:numFmt w:val="lowerRoman"/>
      <w:start w:val="2"/>
    </w:lvl>
  </w:abstractNum>
  <w:abstractNum w:abstractNumId="47">
    <w:nsid w:val="759F82CD"/>
    <w:multiLevelType w:val="hybridMultilevel"/>
    <w:lvl w:ilvl="0">
      <w:lvlJc w:val="left"/>
      <w:lvlText w:val="%1"/>
      <w:numFmt w:val="lowerLetter"/>
      <w:start w:val="1"/>
    </w:lvl>
    <w:lvl w:ilvl="1">
      <w:lvlJc w:val="left"/>
      <w:lvlText w:val="(%2)"/>
      <w:numFmt w:val="lowerLetter"/>
      <w:start w:val="24"/>
    </w:lvl>
  </w:abstractNum>
  <w:abstractNum w:abstractNumId="48">
    <w:nsid w:val="61E74EA3"/>
    <w:multiLevelType w:val="hybridMultilevel"/>
    <w:lvl w:ilvl="0">
      <w:lvlJc w:val="left"/>
      <w:lvlText w:val="(%1)"/>
      <w:numFmt w:val="lowerLetter"/>
      <w:start w:val="25"/>
    </w:lvl>
    <w:lvl w:ilvl="1">
      <w:lvlJc w:val="left"/>
      <w:lvlText w:val="(%2)"/>
      <w:numFmt w:val="lowerLetter"/>
      <w:start w:val="25"/>
    </w:lvl>
  </w:abstractNum>
  <w:abstractNum w:abstractNumId="49">
    <w:nsid w:val="597B4D84"/>
    <w:multiLevelType w:val="hybridMultilevel"/>
    <w:lvl w:ilvl="0">
      <w:lvlJc w:val="left"/>
      <w:lvlText w:val="(%1)"/>
      <w:numFmt w:val="lowerLetter"/>
      <w:start w:val="1"/>
    </w:lvl>
  </w:abstractNum>
  <w:abstractNum w:abstractNumId="50">
    <w:nsid w:val="F819E7F"/>
    <w:multiLevelType w:val="hybridMultilevel"/>
    <w:lvl w:ilvl="0">
      <w:lvlJc w:val="left"/>
      <w:lvlText w:val="(%1)"/>
      <w:numFmt w:val="lowerLetter"/>
      <w:start w:val="1"/>
    </w:lvl>
  </w:abstractNum>
  <w:abstractNum w:abstractNumId="51">
    <w:nsid w:val="57C7D42D"/>
    <w:multiLevelType w:val="hybridMultilevel"/>
    <w:lvl w:ilvl="0">
      <w:lvlJc w:val="left"/>
      <w:lvlText w:val="(%1)"/>
      <w:numFmt w:val="lowerLetter"/>
      <w:start w:val="5"/>
    </w:lvl>
  </w:abstractNum>
  <w:abstractNum w:abstractNumId="52">
    <w:nsid w:val="312167AD"/>
    <w:multiLevelType w:val="hybridMultilevel"/>
    <w:lvl w:ilvl="0">
      <w:lvlJc w:val="left"/>
      <w:lvlText w:val="(%1)"/>
      <w:numFmt w:val="lowerLetter"/>
      <w:start w:val="2"/>
    </w:lvl>
  </w:abstractNum>
  <w:abstractNum w:abstractNumId="53">
    <w:nsid w:val="631B64D4"/>
    <w:multiLevelType w:val="hybridMultilevel"/>
    <w:lvl w:ilvl="0">
      <w:lvlJc w:val="left"/>
      <w:lvlText w:val="(%1)"/>
      <w:numFmt w:val="upperLetter"/>
      <w:start w:val="1"/>
    </w:lvl>
  </w:abstractNum>
  <w:abstractNum w:abstractNumId="54">
    <w:nsid w:val="78B5E776"/>
    <w:multiLevelType w:val="hybridMultilevel"/>
    <w:lvl w:ilvl="0">
      <w:lvlJc w:val="left"/>
      <w:lvlText w:val="(%1)"/>
      <w:numFmt w:val="lowerLetter"/>
      <w:start w:val="1"/>
    </w:lvl>
  </w:abstractNum>
  <w:abstractNum w:abstractNumId="55">
    <w:nsid w:val="75486E47"/>
    <w:multiLevelType w:val="hybridMultilevel"/>
    <w:lvl w:ilvl="0">
      <w:lvlJc w:val="left"/>
      <w:lvlText w:val="(%1)"/>
      <w:numFmt w:val="lowerLetter"/>
      <w:start w:val="2"/>
    </w:lvl>
  </w:abstractNum>
  <w:abstractNum w:abstractNumId="56">
    <w:nsid w:val="6E534CDE"/>
    <w:multiLevelType w:val="hybridMultilevel"/>
    <w:lvl w:ilvl="0">
      <w:lvlJc w:val="left"/>
      <w:lvlText w:val="(%1)"/>
      <w:numFmt w:val="lowerLetter"/>
      <w:start w:val="9"/>
    </w:lvl>
  </w:abstractNum>
  <w:abstractNum w:abstractNumId="57">
    <w:nsid w:val="1A0DDE32"/>
    <w:multiLevelType w:val="hybridMultilevel"/>
    <w:lvl w:ilvl="0">
      <w:lvlJc w:val="left"/>
      <w:lvlText w:val="(%1)"/>
      <w:numFmt w:val="lowerLetter"/>
      <w:start w:val="1"/>
    </w:lvl>
  </w:abstractNum>
  <w:abstractNum w:abstractNumId="58">
    <w:nsid w:val="65968C1C"/>
    <w:multiLevelType w:val="hybridMultilevel"/>
    <w:lvl w:ilvl="0">
      <w:lvlJc w:val="left"/>
      <w:lvlText w:val="(%1)"/>
      <w:numFmt w:val="lowerLetter"/>
      <w:start w:val="4"/>
    </w:lvl>
  </w:abstractNum>
  <w:abstractNum w:abstractNumId="59">
    <w:nsid w:val="46263DEC"/>
    <w:multiLevelType w:val="hybridMultilevel"/>
    <w:lvl w:ilvl="0">
      <w:lvlJc w:val="left"/>
      <w:lvlText w:val="(%1)"/>
      <w:numFmt w:val="decimal"/>
      <w:start w:val="6"/>
    </w:lvl>
    <w:lvl w:ilvl="1">
      <w:lvlJc w:val="left"/>
      <w:lvlText w:val="(%2)"/>
      <w:numFmt w:val="lowerRoman"/>
      <w:start w:val="1"/>
    </w:lvl>
  </w:abstractNum>
  <w:abstractNum w:abstractNumId="60">
    <w:nsid w:val="260D8C4A"/>
    <w:multiLevelType w:val="hybridMultilevel"/>
    <w:lvl w:ilvl="0">
      <w:lvlJc w:val="left"/>
      <w:lvlText w:val="(%1)"/>
      <w:numFmt w:val="lowerRoman"/>
      <w:start w:val="5"/>
    </w:lvl>
  </w:abstractNum>
  <w:abstractNum w:abstractNumId="61">
    <w:nsid w:val="73D4D3C4"/>
    <w:multiLevelType w:val="hybridMultilevel"/>
    <w:lvl w:ilvl="0">
      <w:lvlJc w:val="left"/>
      <w:lvlText w:val="(%1)"/>
      <w:numFmt w:val="lowerRoman"/>
      <w:start w:val="1"/>
    </w:lvl>
  </w:abstractNum>
  <w:abstractNum w:abstractNumId="62">
    <w:nsid w:val="746F2E30"/>
    <w:multiLevelType w:val="hybridMultilevel"/>
    <w:lvl w:ilvl="0">
      <w:lvlJc w:val="left"/>
      <w:lvlText w:val="(%1)"/>
      <w:numFmt w:val="lowerLetter"/>
      <w:start w:val="4"/>
    </w:lvl>
  </w:abstractNum>
  <w:abstractNum w:abstractNumId="63">
    <w:nsid w:val="6FDE8AF6"/>
    <w:multiLevelType w:val="hybridMultilevel"/>
    <w:lvl w:ilvl="0">
      <w:lvlJc w:val="left"/>
      <w:lvlText w:val="(%1)"/>
      <w:numFmt w:val="lowerLetter"/>
      <w:start w:val="6"/>
    </w:lvl>
  </w:abstractNum>
  <w:abstractNum w:abstractNumId="64">
    <w:nsid w:val="3FC32E20"/>
    <w:multiLevelType w:val="hybridMultilevel"/>
    <w:lvl w:ilvl="0">
      <w:lvlJc w:val="left"/>
      <w:lvlText w:val="(%1)"/>
      <w:numFmt w:val="lowerLetter"/>
      <w:start w:val="13"/>
    </w:lvl>
  </w:abstractNum>
  <w:abstractNum w:abstractNumId="65">
    <w:nsid w:val="49C0E823"/>
    <w:multiLevelType w:val="hybridMultilevel"/>
    <w:lvl w:ilvl="0">
      <w:lvlJc w:val="left"/>
      <w:lvlText w:val="(%1)"/>
      <w:numFmt w:val="lowerRoman"/>
      <w:start w:val="1"/>
    </w:lvl>
  </w:abstractNum>
  <w:abstractNum w:abstractNumId="66">
    <w:nsid w:val="14D53685"/>
    <w:multiLevelType w:val="hybridMultilevel"/>
    <w:lvl w:ilvl="0">
      <w:lvlJc w:val="left"/>
      <w:lvlText w:val="(%1)"/>
      <w:numFmt w:val="lowerLetter"/>
      <w:start w:val="1"/>
    </w:lvl>
  </w:abstractNum>
  <w:abstractNum w:abstractNumId="67">
    <w:nsid w:val="230F856C"/>
    <w:multiLevelType w:val="hybridMultilevel"/>
    <w:lvl w:ilvl="0">
      <w:lvlJc w:val="left"/>
      <w:lvlText w:val="(%1)"/>
      <w:numFmt w:val="lowerLetter"/>
      <w:start w:val="2"/>
    </w:lvl>
  </w:abstractNum>
  <w:abstractNum w:abstractNumId="68">
    <w:nsid w:val="6EAA85FB"/>
    <w:multiLevelType w:val="hybridMultilevel"/>
    <w:lvl w:ilvl="0">
      <w:lvlJc w:val="left"/>
      <w:lvlText w:val="(%1)"/>
      <w:numFmt w:val="lowerLetter"/>
      <w:start w:val="3"/>
    </w:lvl>
  </w:abstractNum>
  <w:abstractNum w:abstractNumId="69">
    <w:nsid w:val="3F06ECB2"/>
    <w:multiLevelType w:val="hybridMultilevel"/>
    <w:lvl w:ilvl="0">
      <w:lvlJc w:val="left"/>
      <w:lvlText w:val="(%1)"/>
      <w:numFmt w:val="lowerLetter"/>
      <w:start w:val="1"/>
    </w:lvl>
  </w:abstractNum>
  <w:abstractNum w:abstractNumId="70">
    <w:nsid w:val="3B594807"/>
    <w:multiLevelType w:val="hybridMultilevel"/>
    <w:lvl w:ilvl="0">
      <w:lvlJc w:val="left"/>
      <w:lvlText w:val="(%1)"/>
      <w:numFmt w:val="lowerLetter"/>
      <w:start w:val="4"/>
    </w:lvl>
  </w:abstractNum>
  <w:abstractNum w:abstractNumId="71">
    <w:nsid w:val="6CAA2304"/>
    <w:multiLevelType w:val="hybridMultilevel"/>
    <w:lvl w:ilvl="0">
      <w:lvlJc w:val="left"/>
      <w:lvlText w:val="(%1)"/>
      <w:numFmt w:val="lowerLetter"/>
      <w:start w:val="1"/>
    </w:lvl>
  </w:abstractNum>
  <w:abstractNum w:abstractNumId="72">
    <w:nsid w:val="3F7C2FF4"/>
    <w:multiLevelType w:val="hybridMultilevel"/>
    <w:lvl w:ilvl="0">
      <w:lvlJc w:val="left"/>
      <w:lvlText w:val="(%1)"/>
      <w:numFmt w:val="lowerLetter"/>
      <w:start w:val="8"/>
    </w:lvl>
  </w:abstractNum>
  <w:abstractNum w:abstractNumId="73">
    <w:nsid w:val="25413BEC"/>
    <w:multiLevelType w:val="hybridMultilevel"/>
    <w:lvl w:ilvl="0">
      <w:lvlJc w:val="left"/>
      <w:lvlText w:val="(%1)"/>
      <w:numFmt w:val="lowerRoman"/>
      <w:start w:val="2"/>
    </w:lvl>
  </w:abstractNum>
  <w:abstractNum w:abstractNumId="74">
    <w:nsid w:val="17180B0B"/>
    <w:multiLevelType w:val="hybridMultilevel"/>
    <w:lvl w:ilvl="0">
      <w:lvlJc w:val="left"/>
      <w:lvlText w:val="(%1)"/>
      <w:numFmt w:val="lowerLetter"/>
      <w:start w:val="1"/>
    </w:lvl>
  </w:abstractNum>
  <w:abstractNum w:abstractNumId="75">
    <w:nsid w:val="579328B9"/>
    <w:multiLevelType w:val="hybridMultilevel"/>
    <w:lvl w:ilvl="0">
      <w:lvlJc w:val="left"/>
      <w:lvlText w:val="(%1)"/>
      <w:numFmt w:val="lowerLetter"/>
      <w:start w:val="2"/>
    </w:lvl>
  </w:abstractNum>
  <w:abstractNum w:abstractNumId="76">
    <w:nsid w:val="5D205E20"/>
    <w:multiLevelType w:val="hybridMultilevel"/>
    <w:lvl w:ilvl="0">
      <w:lvlJc w:val="left"/>
      <w:lvlText w:val="(%1)"/>
      <w:numFmt w:val="lowerLetter"/>
      <w:start w:val="8"/>
    </w:lvl>
  </w:abstractNum>
  <w:abstractNum w:abstractNumId="77">
    <w:nsid w:val="11CCA8BA"/>
    <w:multiLevelType w:val="hybridMultilevel"/>
    <w:lvl w:ilvl="0">
      <w:lvlJc w:val="left"/>
      <w:lvlText w:val="(%1)"/>
      <w:numFmt w:val="lowerLetter"/>
      <w:start w:val="1"/>
    </w:lvl>
  </w:abstractNum>
  <w:abstractNum w:abstractNumId="78">
    <w:nsid w:val="4D32AB86"/>
    <w:multiLevelType w:val="hybridMultilevel"/>
    <w:lvl w:ilvl="0">
      <w:lvlJc w:val="left"/>
      <w:lvlText w:val="(%1)"/>
      <w:numFmt w:val="lowerLetter"/>
      <w:start w:val="6"/>
    </w:lvl>
  </w:abstractNum>
  <w:abstractNum w:abstractNumId="79">
    <w:nsid w:val="3F07ACC3"/>
    <w:multiLevelType w:val="hybridMultilevel"/>
    <w:lvl w:ilvl="0">
      <w:lvlJc w:val="left"/>
      <w:lvlText w:val="(%1)"/>
      <w:numFmt w:val="lowerLetter"/>
      <w:start w:val="1"/>
    </w:lvl>
  </w:abstractNum>
  <w:abstractNum w:abstractNumId="80">
    <w:nsid w:val="6B47F63E"/>
    <w:multiLevelType w:val="hybridMultilevel"/>
    <w:lvl w:ilvl="0">
      <w:lvlJc w:val="left"/>
      <w:lvlText w:val="(%1)"/>
      <w:numFmt w:val="lowerLetter"/>
      <w:start w:val="3"/>
    </w:lvl>
  </w:abstractNum>
  <w:abstractNum w:abstractNumId="81">
    <w:nsid w:val="5CB44A05"/>
    <w:multiLevelType w:val="hybridMultilevel"/>
    <w:lvl w:ilvl="0">
      <w:lvlJc w:val="left"/>
      <w:lvlText w:val="(%1)"/>
      <w:numFmt w:val="lowerLetter"/>
      <w:start w:val="1"/>
    </w:lvl>
  </w:abstractNum>
  <w:abstractNum w:abstractNumId="82">
    <w:nsid w:val="16CF80F1"/>
    <w:multiLevelType w:val="hybridMultilevel"/>
    <w:lvl w:ilvl="0">
      <w:lvlJc w:val="left"/>
      <w:lvlText w:val="(%1)"/>
      <w:numFmt w:val="lowerRoman"/>
      <w:start w:val="4"/>
    </w:lvl>
  </w:abstractNum>
  <w:abstractNum w:abstractNumId="83">
    <w:nsid w:val="1C695DEC"/>
    <w:multiLevelType w:val="hybridMultilevel"/>
    <w:lvl w:ilvl="0">
      <w:lvlJc w:val="left"/>
      <w:lvlText w:val="(%1)"/>
      <w:numFmt w:val="lowerLetter"/>
      <w:start w:val="2"/>
    </w:lvl>
  </w:abstractNum>
  <w:abstractNum w:abstractNumId="84">
    <w:nsid w:val="3FCFAED9"/>
    <w:multiLevelType w:val="hybridMultilevel"/>
    <w:lvl w:ilvl="0">
      <w:lvlJc w:val="left"/>
      <w:lvlText w:val="(%1)"/>
      <w:numFmt w:val="lowerLetter"/>
      <w:start w:val="4"/>
    </w:lvl>
  </w:abstractNum>
  <w:abstractNum w:abstractNumId="85">
    <w:nsid w:val="F856867"/>
    <w:multiLevelType w:val="hybridMultilevel"/>
    <w:lvl w:ilvl="0">
      <w:lvlJc w:val="left"/>
      <w:lvlText w:val="(%1)"/>
      <w:numFmt w:val="lowerLetter"/>
      <w:start w:val="2"/>
    </w:lvl>
  </w:abstractNum>
  <w:abstractNum w:abstractNumId="86">
    <w:nsid w:val="11B1CC33"/>
    <w:multiLevelType w:val="hybridMultilevel"/>
    <w:lvl w:ilvl="0">
      <w:lvlJc w:val="left"/>
      <w:lvlText w:val="(%1)"/>
      <w:numFmt w:val="lowerLetter"/>
      <w:start w:val="1"/>
    </w:lvl>
  </w:abstractNum>
  <w:abstractNum w:abstractNumId="87">
    <w:nsid w:val="2E22FBB7"/>
    <w:multiLevelType w:val="hybridMultilevel"/>
    <w:lvl w:ilvl="0">
      <w:lvlJc w:val="left"/>
      <w:lvlText w:val="(%1)"/>
      <w:numFmt w:val="lowerLetter"/>
      <w:start w:val="2"/>
    </w:lvl>
  </w:abstractNum>
  <w:abstractNum w:abstractNumId="88">
    <w:nsid w:val="29934699"/>
    <w:multiLevelType w:val="hybridMultilevel"/>
    <w:lvl w:ilvl="0">
      <w:lvlJc w:val="left"/>
      <w:lvlText w:val="(%1)"/>
      <w:numFmt w:val="lowerLetter"/>
      <w:start w:val="7"/>
    </w:lvl>
  </w:abstractNum>
  <w:abstractNum w:abstractNumId="89">
    <w:nsid w:val="77485850"/>
    <w:multiLevelType w:val="hybridMultilevel"/>
    <w:lvl w:ilvl="0">
      <w:lvlJc w:val="left"/>
      <w:lvlText w:val="(%1)"/>
      <w:numFmt w:val="lowerLetter"/>
      <w:start w:val="2"/>
    </w:lvl>
  </w:abstractNum>
  <w:abstractNum w:abstractNumId="90">
    <w:nsid w:val="744939A3"/>
    <w:multiLevelType w:val="hybridMultilevel"/>
    <w:lvl w:ilvl="0">
      <w:lvlJc w:val="left"/>
      <w:lvlText w:val="(%1)"/>
      <w:numFmt w:val="lowerLetter"/>
      <w:start w:val="3"/>
    </w:lvl>
  </w:abstractNum>
  <w:abstractNum w:abstractNumId="91">
    <w:nsid w:val="4FA0D2E3"/>
    <w:multiLevelType w:val="hybridMultilevel"/>
    <w:lvl w:ilvl="0">
      <w:lvlJc w:val="left"/>
      <w:lvlText w:val="(%1)"/>
      <w:numFmt w:val="lowerLetter"/>
      <w:start w:val="1"/>
    </w:lvl>
  </w:abstractNum>
  <w:abstractNum w:abstractNumId="92">
    <w:nsid w:val="6B1D2C14"/>
    <w:multiLevelType w:val="hybridMultilevel"/>
    <w:lvl w:ilvl="0">
      <w:lvlJc w:val="left"/>
      <w:lvlText w:val="(%1)"/>
      <w:numFmt w:val="lowerLetter"/>
      <w:start w:val="3"/>
    </w:lvl>
    <w:lvl w:ilvl="1">
      <w:lvlJc w:val="left"/>
      <w:lvlText w:val="(%2)"/>
      <w:numFmt w:val="lowerRoman"/>
      <w:start w:val="1"/>
    </w:lvl>
  </w:abstractNum>
  <w:abstractNum w:abstractNumId="93">
    <w:nsid w:val="68B867D3"/>
    <w:multiLevelType w:val="hybridMultilevel"/>
    <w:lvl w:ilvl="0">
      <w:lvlJc w:val="left"/>
      <w:lvlText w:val="(%1)"/>
      <w:numFmt w:val="lowerRoman"/>
      <w:start w:val="9"/>
    </w:lvl>
  </w:abstractNum>
  <w:abstractNum w:abstractNumId="94">
    <w:nsid w:val="3F7F5DD9"/>
    <w:multiLevelType w:val="hybridMultilevel"/>
    <w:lvl w:ilvl="0">
      <w:lvlJc w:val="left"/>
      <w:lvlText w:val="(%1)"/>
      <w:numFmt w:val="lowerLetter"/>
      <w:start w:val="1"/>
    </w:lvl>
  </w:abstractNum>
  <w:abstractNum w:abstractNumId="95">
    <w:nsid w:val="2AE05A34"/>
    <w:multiLevelType w:val="hybridMultilevel"/>
    <w:lvl w:ilvl="0">
      <w:lvlJc w:val="left"/>
      <w:lvlText w:val="(%1)"/>
      <w:numFmt w:val="lowerLetter"/>
      <w:start w:val="3"/>
    </w:lvl>
  </w:abstractNum>
  <w:abstractNum w:abstractNumId="96">
    <w:nsid w:val="32794FF7"/>
    <w:multiLevelType w:val="hybridMultilevel"/>
    <w:lvl w:ilvl="0">
      <w:lvlJc w:val="left"/>
      <w:lvlText w:val="(%1)"/>
      <w:numFmt w:val="lowerLetter"/>
      <w:start w:val="1"/>
    </w:lvl>
  </w:abstractNum>
  <w:abstractNum w:abstractNumId="97">
    <w:nsid w:val="5454945E"/>
    <w:multiLevelType w:val="hybridMultilevel"/>
    <w:lvl w:ilvl="0">
      <w:lvlJc w:val="left"/>
      <w:lvlText w:val="%1"/>
      <w:numFmt w:val="lowerLetter"/>
      <w:start w:val="1"/>
    </w:lvl>
    <w:lvl w:ilvl="1">
      <w:lvlJc w:val="left"/>
      <w:lvlText w:val="(%2)"/>
      <w:numFmt w:val="lowerLetter"/>
      <w:start w:val="3"/>
    </w:lvl>
  </w:abstractNum>
  <w:abstractNum w:abstractNumId="98">
    <w:nsid w:val="4DEFDFA0"/>
    <w:multiLevelType w:val="hybridMultilevel"/>
    <w:lvl w:ilvl="0">
      <w:lvlJc w:val="left"/>
      <w:lvlText w:val="(%1)"/>
      <w:numFmt w:val="lowerLetter"/>
      <w:start w:val="35"/>
    </w:lvl>
    <w:lvl w:ilvl="1">
      <w:lvlJc w:val="left"/>
      <w:lvlText w:val="(%2)"/>
      <w:numFmt w:val="lowerLetter"/>
      <w:start w:val="4"/>
    </w:lvl>
  </w:abstractNum>
  <w:abstractNum w:abstractNumId="99">
    <w:nsid w:val="2123D5F2"/>
    <w:multiLevelType w:val="hybridMultilevel"/>
    <w:lvl w:ilvl="0">
      <w:lvlJc w:val="left"/>
      <w:lvlText w:val="(%1)"/>
      <w:numFmt w:val="lowerLetter"/>
      <w:start w:val="24"/>
    </w:lvl>
    <w:lvl w:ilvl="1">
      <w:lvlJc w:val="left"/>
      <w:lvlText w:val="(%2)"/>
      <w:numFmt w:val="lowerLetter"/>
      <w:start w:val="7"/>
    </w:lvl>
  </w:abstractNum>
  <w:abstractNum w:abstractNumId="100">
    <w:nsid w:val="135B8110"/>
    <w:multiLevelType w:val="hybridMultilevel"/>
    <w:lvl w:ilvl="0">
      <w:lvlJc w:val="left"/>
      <w:lvlText w:val="(%1)"/>
      <w:numFmt w:val="lowerLetter"/>
      <w:start w:val="8"/>
    </w:lvl>
  </w:abstractNum>
  <w:abstractNum w:abstractNumId="101">
    <w:nsid w:val="94927A8"/>
    <w:multiLevelType w:val="hybridMultilevel"/>
    <w:lvl w:ilvl="0">
      <w:lvlJc w:val="left"/>
      <w:lvlText w:val="(%1)"/>
      <w:numFmt w:val="lowerLetter"/>
      <w:start w:val="10"/>
    </w:lvl>
  </w:abstractNum>
  <w:abstractNum w:abstractNumId="102">
    <w:nsid w:val="DCDF8F6"/>
    <w:multiLevelType w:val="hybridMultilevel"/>
    <w:lvl w:ilvl="0">
      <w:lvlJc w:val="left"/>
      <w:lvlText w:val="(%1)"/>
      <w:numFmt w:val="lowerLetter"/>
      <w:start w:val="1"/>
    </w:lvl>
    <w:lvl w:ilvl="1">
      <w:lvlJc w:val="left"/>
      <w:lvlText w:val="(%2)"/>
      <w:numFmt w:val="lowerRoman"/>
      <w:start w:val="1"/>
    </w:lvl>
  </w:abstractNum>
  <w:abstractNum w:abstractNumId="103">
    <w:nsid w:val="52D7B105"/>
    <w:multiLevelType w:val="hybridMultilevel"/>
    <w:lvl w:ilvl="0">
      <w:lvlJc w:val="left"/>
      <w:lvlText w:val="(%1)"/>
      <w:numFmt w:val="lowerLetter"/>
      <w:start w:val="2"/>
    </w:lvl>
  </w:abstractNum>
  <w:abstractNum w:abstractNumId="104">
    <w:nsid w:val="2E8A6394"/>
    <w:multiLevelType w:val="hybridMultilevel"/>
    <w:lvl w:ilvl="0">
      <w:lvlJc w:val="left"/>
      <w:lvlText w:val="(%1)"/>
      <w:numFmt w:val="lowerLetter"/>
      <w:start w:val="1"/>
    </w:lvl>
  </w:abstractNum>
  <w:abstractNum w:abstractNumId="105">
    <w:nsid w:val="24E60401"/>
    <w:multiLevelType w:val="hybridMultilevel"/>
    <w:lvl w:ilvl="0">
      <w:lvlJc w:val="left"/>
      <w:lvlText w:val="(%1)"/>
      <w:numFmt w:val="lowerLetter"/>
      <w:start w:val="5"/>
    </w:lvl>
  </w:abstractNum>
  <w:abstractNum w:abstractNumId="106">
    <w:nsid w:val="2A6AD9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7">
    <w:nsid w:val="BAAC1B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8">
    <w:nsid w:val="36B2ACBC"/>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09">
    <w:nsid w:val="779D8544"/>
    <w:multiLevelType w:val="hybridMultilevel"/>
    <w:lvl w:ilvl="0">
      <w:lvlJc w:val="left"/>
      <w:lvlText w:val="(%1)"/>
      <w:numFmt w:val="lowerLetter"/>
      <w:start w:val="3"/>
    </w:lvl>
  </w:abstractNum>
  <w:abstractNum w:abstractNumId="110">
    <w:nsid w:val="4AB26E78"/>
    <w:multiLevelType w:val="hybridMultilevel"/>
    <w:lvl w:ilvl="0">
      <w:lvlJc w:val="left"/>
      <w:lvlText w:val="(%1)"/>
      <w:numFmt w:val="lowerLetter"/>
      <w:start w:val="2"/>
    </w:lvl>
  </w:abstractNum>
  <w:abstractNum w:abstractNumId="111">
    <w:nsid w:val="21FAA2FA"/>
    <w:multiLevelType w:val="hybridMultilevel"/>
    <w:lvl w:ilvl="0">
      <w:lvlJc w:val="left"/>
      <w:lvlText w:val="(%1)"/>
      <w:numFmt w:val="lowerLetter"/>
      <w:start w:val="1"/>
    </w:lvl>
  </w:abstractNum>
  <w:abstractNum w:abstractNumId="112">
    <w:nsid w:val="5451CF49"/>
    <w:multiLevelType w:val="hybridMultilevel"/>
    <w:lvl w:ilvl="0">
      <w:lvlJc w:val="left"/>
      <w:lvlText w:val="(%1)"/>
      <w:numFmt w:val="lowerLetter"/>
      <w:start w:val="2"/>
    </w:lvl>
  </w:abstractNum>
  <w:abstractNum w:abstractNumId="113">
    <w:nsid w:val="6181EF69"/>
    <w:multiLevelType w:val="hybridMultilevel"/>
    <w:lvl w:ilvl="0">
      <w:lvlJc w:val="left"/>
      <w:lvlText w:val="(%1)"/>
      <w:numFmt w:val="lowerLetter"/>
      <w:start w:val="2"/>
    </w:lvl>
  </w:abstractNum>
  <w:abstractNum w:abstractNumId="114">
    <w:nsid w:val="3E6400E6"/>
    <w:multiLevelType w:val="hybridMultilevel"/>
    <w:lvl w:ilvl="0">
      <w:lvlJc w:val="left"/>
      <w:lvlText w:val="(%1)"/>
      <w:numFmt w:val="lowerLetter"/>
      <w:start w:val="3"/>
    </w:lvl>
  </w:abstractNum>
  <w:abstractNum w:abstractNumId="115">
    <w:nsid w:val="14217E23"/>
    <w:multiLevelType w:val="hybridMultilevel"/>
    <w:lvl w:ilvl="0">
      <w:lvlJc w:val="left"/>
      <w:lvlText w:val="(%1)"/>
      <w:numFmt w:val="lowerLetter"/>
      <w:start w:val="6"/>
    </w:lvl>
  </w:abstractNum>
  <w:abstractNum w:abstractNumId="116">
    <w:nsid w:val="710757D0"/>
    <w:multiLevelType w:val="hybridMultilevel"/>
    <w:lvl w:ilvl="0">
      <w:lvlJc w:val="left"/>
      <w:lvlText w:val="(%1)"/>
      <w:numFmt w:val="lowerRoman"/>
      <w:start w:val="2"/>
    </w:lvl>
  </w:abstractNum>
  <w:abstractNum w:abstractNumId="117">
    <w:nsid w:val="5015CD1A"/>
    <w:multiLevelType w:val="hybridMultilevel"/>
    <w:lvl w:ilvl="0">
      <w:lvlJc w:val="left"/>
      <w:lvlText w:val="(%1)"/>
      <w:numFmt w:val="lowerLetter"/>
      <w:start w:val="1"/>
    </w:lvl>
    <w:lvl w:ilvl="1">
      <w:lvlJc w:val="left"/>
      <w:lvlText w:val="(%2)"/>
      <w:numFmt w:val="lowerLetter"/>
      <w:start w:val="9"/>
    </w:lvl>
  </w:abstractNum>
  <w:abstractNum w:abstractNumId="118">
    <w:nsid w:val="424479DA"/>
    <w:multiLevelType w:val="hybridMultilevel"/>
    <w:lvl w:ilvl="0">
      <w:lvlJc w:val="left"/>
      <w:lvlText w:val="(%1)"/>
      <w:numFmt w:val="lowerRoman"/>
      <w:start w:val="2"/>
    </w:lvl>
    <w:lvl w:ilvl="1">
      <w:lvlJc w:val="left"/>
      <w:lvlText w:val="(%2)"/>
      <w:numFmt w:val="upperLetter"/>
      <w:start w:val="1"/>
    </w:lvl>
  </w:abstractNum>
  <w:abstractNum w:abstractNumId="119">
    <w:nsid w:val="1A9A9E69"/>
    <w:multiLevelType w:val="hybridMultilevel"/>
    <w:lvl w:ilvl="0">
      <w:lvlJc w:val="left"/>
      <w:lvlText w:val="(%1)"/>
      <w:numFmt w:val="lowerLetter"/>
      <w:start w:val="2"/>
    </w:lvl>
  </w:abstractNum>
  <w:abstractNum w:abstractNumId="120">
    <w:nsid w:val="475E256A"/>
    <w:multiLevelType w:val="hybridMultilevel"/>
    <w:lvl w:ilvl="0">
      <w:lvlJc w:val="left"/>
      <w:lvlText w:val="(%1)"/>
      <w:numFmt w:val="lowerRoman"/>
      <w:start w:val="1"/>
    </w:lvl>
  </w:abstractNum>
  <w:abstractNum w:abstractNumId="121">
    <w:nsid w:val="368DB37E"/>
    <w:multiLevelType w:val="hybridMultilevel"/>
    <w:lvl w:ilvl="0">
      <w:lvlJc w:val="left"/>
      <w:lvlText w:val="(%1)"/>
      <w:numFmt w:val="lowerLetter"/>
      <w:start w:val="2"/>
    </w:lvl>
  </w:abstractNum>
  <w:abstractNum w:abstractNumId="122">
    <w:nsid w:val="6A3B714C"/>
    <w:multiLevelType w:val="hybridMultilevel"/>
    <w:lvl w:ilvl="0">
      <w:lvlJc w:val="left"/>
      <w:lvlText w:val="(%1)"/>
      <w:numFmt w:val="lowerLetter"/>
      <w:start w:val="1"/>
    </w:lvl>
    <w:lvl w:ilvl="1">
      <w:lvlJc w:val="left"/>
      <w:lvlText w:val="(%2)"/>
      <w:numFmt w:val="lowerRoman"/>
      <w:start w:val="1"/>
    </w:lvl>
  </w:abstractNum>
  <w:abstractNum w:abstractNumId="123">
    <w:nsid w:val="327B517E"/>
    <w:multiLevelType w:val="hybridMultilevel"/>
    <w:lvl w:ilvl="0">
      <w:lvlJc w:val="left"/>
      <w:lvlText w:val="(%1)"/>
      <w:numFmt w:val="lowerLetter"/>
      <w:start w:val="1"/>
    </w:lvl>
  </w:abstractNum>
  <w:abstractNum w:abstractNumId="124">
    <w:nsid w:val="1F461B51"/>
    <w:multiLevelType w:val="hybridMultilevel"/>
    <w:lvl w:ilvl="0">
      <w:lvlJc w:val="left"/>
      <w:lvlText w:val="(%1)"/>
      <w:numFmt w:val="lowerRoman"/>
      <w:start w:val="1"/>
    </w:lvl>
  </w:abstractNum>
  <w:abstractNum w:abstractNumId="125">
    <w:nsid w:val="29BACF25"/>
    <w:multiLevelType w:val="hybridMultilevel"/>
    <w:lvl w:ilvl="0">
      <w:lvlJc w:val="left"/>
      <w:lvlText w:val="(%1)"/>
      <w:numFmt w:val="lowerLetter"/>
      <w:start w:val="1"/>
    </w:lvl>
    <w:lvl w:ilvl="1">
      <w:lvlJc w:val="left"/>
      <w:lvlText w:val="(%2)"/>
      <w:numFmt w:val="lowerRoman"/>
      <w:start w:val="1"/>
    </w:lvl>
  </w:abstractNum>
  <w:abstractNum w:abstractNumId="126">
    <w:nsid w:val="5D5BABB3"/>
    <w:multiLevelType w:val="hybridMultilevel"/>
    <w:lvl w:ilvl="0">
      <w:lvlJc w:val="left"/>
      <w:lvlText w:val="(%1)"/>
      <w:numFmt w:val="lowerLetter"/>
      <w:start w:val="3"/>
    </w:lvl>
  </w:abstractNum>
  <w:abstractNum w:abstractNumId="127">
    <w:nsid w:val="51BF6B4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28">
    <w:nsid w:val="7E0F6384"/>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29">
    <w:nsid w:val="2B4B8B53"/>
    <w:multiLevelType w:val="hybridMultilevel"/>
    <w:lvl w:ilvl="0">
      <w:lvlJc w:val="left"/>
      <w:lvlText w:val="(%1)"/>
      <w:numFmt w:val="lowerLetter"/>
      <w:start w:val="25"/>
    </w:lvl>
    <w:lvl w:ilvl="1">
      <w:lvlJc w:val="left"/>
      <w:lvlText w:val="(%2)"/>
      <w:numFmt w:val="lowerLetter"/>
      <w:start w:val="6"/>
    </w:lvl>
    <w:lvl w:ilvl="2">
      <w:lvlJc w:val="left"/>
      <w:lvlText w:val="%3"/>
      <w:numFmt w:val="lowerLetter"/>
      <w:start w:val="1"/>
    </w:lvl>
  </w:abstractNum>
  <w:abstractNum w:abstractNumId="130">
    <w:nsid w:val="72E3413A"/>
    <w:multiLevelType w:val="hybridMultilevel"/>
    <w:lvl w:ilvl="0">
      <w:lvlJc w:val="left"/>
      <w:lvlText w:val="(%1)"/>
      <w:numFmt w:val="lowerLetter"/>
      <w:start w:val="1"/>
    </w:lvl>
  </w:abstractNum>
  <w:abstractNum w:abstractNumId="131">
    <w:nsid w:val="116AE494"/>
    <w:multiLevelType w:val="hybridMultilevel"/>
    <w:lvl w:ilvl="0">
      <w:lvlJc w:val="left"/>
      <w:lvlText w:val="(%1)"/>
      <w:numFmt w:val="lowerLetter"/>
      <w:start w:val="6"/>
    </w:lvl>
  </w:abstractNum>
  <w:abstractNum w:abstractNumId="132">
    <w:nsid w:val="3494B2FB"/>
    <w:multiLevelType w:val="hybridMultilevel"/>
    <w:lvl w:ilvl="0">
      <w:lvlJc w:val="left"/>
      <w:lvlText w:val="%1."/>
      <w:numFmt w:val="decimal"/>
      <w:start w:val="1"/>
    </w:lvl>
  </w:abstractNum>
  <w:abstractNum w:abstractNumId="133">
    <w:nsid w:val="B13A31"/>
    <w:multiLevelType w:val="hybridMultilevel"/>
    <w:lvl w:ilvl="0">
      <w:lvlJc w:val="left"/>
      <w:lvlText w:val="(%1)"/>
      <w:numFmt w:val="lowerLetter"/>
      <w:start w:val="1"/>
    </w:lvl>
  </w:abstractNum>
  <w:abstractNum w:abstractNumId="134">
    <w:nsid w:val="64429599"/>
    <w:multiLevelType w:val="hybridMultilevel"/>
    <w:lvl w:ilvl="0">
      <w:lvlJc w:val="left"/>
      <w:lvlText w:val="%1."/>
      <w:numFmt w:val="decimal"/>
      <w:start w:val="1"/>
    </w:lvl>
  </w:abstractNum>
  <w:abstractNum w:abstractNumId="135">
    <w:nsid w:val="631F1690"/>
    <w:multiLevelType w:val="hybridMultilevel"/>
    <w:lvl w:ilvl="0">
      <w:lvlJc w:val="left"/>
      <w:lvlText w:val="(%1)"/>
      <w:numFmt w:val="lowerLetter"/>
      <w:start w:val="1"/>
    </w:lvl>
  </w:abstractNum>
  <w:abstractNum w:abstractNumId="136">
    <w:nsid w:val="25973E32"/>
    <w:multiLevelType w:val="hybridMultilevel"/>
    <w:lvl w:ilvl="0">
      <w:lvlJc w:val="left"/>
      <w:lvlText w:val="%1."/>
      <w:numFmt w:val="decimal"/>
      <w:start w:val="1"/>
    </w:lvl>
  </w:abstractNum>
  <w:abstractNum w:abstractNumId="137">
    <w:nsid w:val="EAD6F57"/>
    <w:multiLevelType w:val="hybridMultilevel"/>
    <w:lvl w:ilvl="0">
      <w:lvlJc w:val="left"/>
      <w:lvlText w:val="%1."/>
      <w:numFmt w:val="upperLetter"/>
      <w:start w:val="1"/>
    </w:lvl>
  </w:abstractNum>
  <w:abstractNum w:abstractNumId="138">
    <w:nsid w:val="6EC9D844"/>
    <w:multiLevelType w:val="hybridMultilevel"/>
    <w:lvl w:ilvl="0">
      <w:lvlJc w:val="left"/>
      <w:lvlText w:val="%1"/>
      <w:numFmt w:val="upperLetter"/>
      <w:start w:val="1"/>
    </w:lvl>
    <w:lvl w:ilvl="1">
      <w:lvlJc w:val="left"/>
      <w:lvlText w:val="%2."/>
      <w:numFmt w:val="decimal"/>
      <w:start w:val="3"/>
    </w:lvl>
  </w:abstractNum>
  <w:abstractNum w:abstractNumId="139">
    <w:nsid w:val="5C49EAEE"/>
    <w:multiLevelType w:val="hybridMultilevel"/>
    <w:lvl w:ilvl="0">
      <w:lvlJc w:val="left"/>
      <w:lvlText w:val="%1."/>
      <w:numFmt w:val="upperLetter"/>
      <w:start w:val="2"/>
    </w:lvl>
    <w:lvl w:ilvl="1">
      <w:lvlJc w:val="left"/>
      <w:lvlText w:val="%2"/>
      <w:numFmt w:val="decimal"/>
      <w:start w:val="1"/>
    </w:lvl>
  </w:abstractNum>
  <w:abstractNum w:abstractNumId="140">
    <w:nsid w:val="64AF49B"/>
    <w:multiLevelType w:val="hybridMultilevel"/>
    <w:lvl w:ilvl="0">
      <w:lvlJc w:val="left"/>
      <w:lvlText w:val="%1"/>
      <w:numFmt w:val="upperLetter"/>
      <w:start w:val="1"/>
    </w:lvl>
    <w:lvl w:ilvl="1">
      <w:lvlJc w:val="left"/>
      <w:lvlText w:val="%2."/>
      <w:numFmt w:val="decimal"/>
      <w:start w:val="3"/>
    </w:lvl>
  </w:abstractNum>
  <w:abstractNum w:abstractNumId="141">
    <w:nsid w:val="397C46BC"/>
    <w:multiLevelType w:val="hybridMultilevel"/>
    <w:lvl w:ilvl="0">
      <w:lvlJc w:val="left"/>
      <w:lvlText w:val="%1."/>
      <w:numFmt w:val="upperLetter"/>
      <w:start w:val="3"/>
    </w:lvl>
    <w:lvl w:ilvl="1">
      <w:lvlJc w:val="left"/>
      <w:lvlText w:val="%2"/>
      <w:numFmt w:val="decimal"/>
      <w:start w:val="1"/>
    </w:lvl>
  </w:abstractNum>
  <w:abstractNum w:abstractNumId="142">
    <w:nsid w:val="7E448DE9"/>
    <w:multiLevelType w:val="hybridMultilevel"/>
    <w:lvl w:ilvl="0">
      <w:lvlJc w:val="left"/>
      <w:lvlText w:val="%1."/>
      <w:numFmt w:val="upperLetter"/>
      <w:start w:val="4"/>
    </w:lvl>
  </w:abstractNum>
  <w:abstractNum w:abstractNumId="143">
    <w:nsid w:val="5A9CC3E5"/>
    <w:multiLevelType w:val="hybridMultilevel"/>
    <w:lvl w:ilvl="0">
      <w:lvlJc w:val="left"/>
      <w:lvlText w:val="%1"/>
      <w:numFmt w:val="upperLetter"/>
      <w:start w:val="1"/>
    </w:lvl>
    <w:lvl w:ilvl="1">
      <w:lvlJc w:val="left"/>
      <w:lvlText w:val="%2."/>
      <w:numFmt w:val="decimal"/>
      <w:start w:val="21"/>
    </w:lvl>
  </w:abstractNum>
  <w:abstractNum w:abstractNumId="144">
    <w:nsid w:val="1AFE3625"/>
    <w:multiLevelType w:val="hybridMultilevel"/>
    <w:lvl w:ilvl="0">
      <w:lvlJc w:val="left"/>
      <w:lvlText w:val="%1."/>
      <w:numFmt w:val="upperLetter"/>
      <w:start w:val="5"/>
    </w:lvl>
    <w:lvl w:ilvl="1">
      <w:lvlJc w:val="left"/>
      <w:lvlText w:val="%2."/>
      <w:numFmt w:val="decimal"/>
      <w:start w:val="1"/>
    </w:lvl>
  </w:abstractNum>
  <w:abstractNum w:abstractNumId="145">
    <w:nsid w:val="3CA88ECF"/>
    <w:multiLevelType w:val="hybridMultilevel"/>
    <w:lvl w:ilvl="0">
      <w:lvlJc w:val="left"/>
      <w:lvlText w:val="%1."/>
      <w:numFmt w:val="decimal"/>
      <w:start w:val="4"/>
    </w:lvl>
  </w:abstractNum>
  <w:abstractNum w:abstractNumId="146">
    <w:nsid w:val="6EBE4208"/>
    <w:multiLevelType w:val="hybridMultilevel"/>
    <w:lvl w:ilvl="0">
      <w:lvlJc w:val="left"/>
      <w:lvlText w:val="%1"/>
      <w:numFmt w:val="lowerRoman"/>
      <w:start w:val="1"/>
    </w:lvl>
    <w:lvl w:ilvl="1">
      <w:lvlJc w:val="left"/>
      <w:lvlText w:val="%2."/>
      <w:numFmt w:val="decimal"/>
      <w:start w:val="1"/>
    </w:lvl>
  </w:abstractNum>
  <w:abstractNum w:abstractNumId="147">
    <w:nsid w:val="C058DF5"/>
    <w:multiLevelType w:val="hybridMultilevel"/>
    <w:lvl w:ilvl="0">
      <w:lvlJc w:val="left"/>
      <w:lvlText w:val="(%1)"/>
      <w:numFmt w:val="lowerRoman"/>
      <w:start w:val="3"/>
    </w:lvl>
    <w:lvl w:ilvl="1">
      <w:lvlJc w:val="left"/>
      <w:lvlText w:val="%2"/>
      <w:numFmt w:val="decimal"/>
      <w:start w:val="1"/>
    </w:lvl>
  </w:abstractNum>
  <w:abstractNum w:abstractNumId="148">
    <w:nsid w:val="CBE5BE9"/>
    <w:multiLevelType w:val="hybridMultilevel"/>
    <w:lvl w:ilvl="0">
      <w:lvlJc w:val="left"/>
      <w:lvlText w:val="%1."/>
      <w:numFmt w:val="decimal"/>
      <w:start w:val="4"/>
    </w:lvl>
  </w:abstractNum>
  <w:abstractNum w:abstractNumId="149">
    <w:nsid w:val="3102BBE2"/>
    <w:multiLevelType w:val="hybridMultilevel"/>
    <w:lvl w:ilvl="0">
      <w:lvlJc w:val="left"/>
      <w:lvlText w:val="%1."/>
      <w:numFmt w:val="decimal"/>
      <w:start w:val="8"/>
    </w:lvl>
  </w:abstractNum>
  <w:abstractNum w:abstractNumId="150">
    <w:nsid w:val="26A02C5E"/>
    <w:multiLevelType w:val="hybridMultilevel"/>
    <w:lvl w:ilvl="0">
      <w:lvlJc w:val="left"/>
      <w:lvlText w:val="%1."/>
      <w:numFmt w:val="decimal"/>
      <w:start w:val="1"/>
    </w:lvl>
  </w:abstractNum>
  <w:abstractNum w:abstractNumId="151">
    <w:nsid w:val="541C8153"/>
    <w:multiLevelType w:val="hybridMultilevel"/>
    <w:lvl w:ilvl="0">
      <w:lvlJc w:val="left"/>
      <w:lvlText w:val="%1."/>
      <w:numFmt w:val="decimal"/>
      <w:start w:val="3"/>
    </w:lvl>
  </w:abstractNum>
  <w:abstractNum w:abstractNumId="152">
    <w:nsid w:val="67906F60"/>
    <w:multiLevelType w:val="hybridMultilevel"/>
    <w:lvl w:ilvl="0">
      <w:lvlJc w:val="left"/>
      <w:lvlText w:val="*"/>
      <w:numFmt w:val="bullet"/>
      <w:start w:val="1"/>
    </w:lvl>
  </w:abstractNum>
  <w:abstractNum w:abstractNumId="153">
    <w:nsid w:val="10DB9DAA"/>
    <w:multiLevelType w:val="hybridMultilevel"/>
    <w:lvl w:ilvl="0">
      <w:lvlJc w:val="left"/>
      <w:lvlText w:val="%1"/>
      <w:numFmt w:val="decimal"/>
      <w:start w:val="1"/>
    </w:lvl>
    <w:lvl w:ilvl="1">
      <w:lvlJc w:val="left"/>
      <w:lvlText w:val="%2."/>
      <w:numFmt w:val="upperLetter"/>
      <w:start w:val="1"/>
    </w:lvl>
  </w:abstractNum>
  <w:abstractNum w:abstractNumId="154">
    <w:nsid w:val="697D2D2"/>
    <w:multiLevelType w:val="hybridMultilevel"/>
    <w:lvl w:ilvl="0">
      <w:lvlJc w:val="left"/>
      <w:lvlText w:val="%1."/>
      <w:numFmt w:val="decimal"/>
      <w:start w:val="1"/>
    </w:lvl>
    <w:lvl w:ilvl="1">
      <w:lvlJc w:val="left"/>
      <w:lvlText w:val="%2"/>
      <w:numFmt w:val="upperLetter"/>
      <w:start w:val="1"/>
    </w:lvl>
  </w:abstractNum>
  <w:abstractNum w:abstractNumId="155">
    <w:nsid w:val="6D68AB2"/>
    <w:multiLevelType w:val="hybridMultilevel"/>
    <w:lvl w:ilvl="0">
      <w:lvlJc w:val="left"/>
      <w:lvlText w:val="%1."/>
      <w:numFmt w:val="decimal"/>
      <w:start w:val="4"/>
    </w:lvl>
  </w:abstractNum>
  <w:abstractNum w:abstractNumId="156">
    <w:nsid w:val="3A966CD0"/>
    <w:multiLevelType w:val="hybridMultilevel"/>
    <w:lvl w:ilvl="0">
      <w:lvlJc w:val="left"/>
      <w:lvlText w:val="%1."/>
      <w:numFmt w:val="upperLetter"/>
      <w:start w:val="1"/>
    </w:lvl>
  </w:abstractNum>
  <w:abstractNum w:abstractNumId="157">
    <w:nsid w:val="63F37E85"/>
    <w:multiLevelType w:val="hybridMultilevel"/>
    <w:lvl w:ilvl="0">
      <w:lvlJc w:val="left"/>
      <w:lvlText w:val="%1."/>
      <w:numFmt w:val="decimal"/>
      <w:start w:val="2"/>
    </w:lvl>
  </w:abstractNum>
  <w:abstractNum w:abstractNumId="158">
    <w:nsid w:val="5895F5FA"/>
    <w:multiLevelType w:val="hybridMultilevel"/>
    <w:lvl w:ilvl="0">
      <w:lvlJc w:val="left"/>
      <w:lvlText w:val="%1."/>
      <w:numFmt w:val="upperLetter"/>
      <w:start w:val="4"/>
    </w:lvl>
    <w:lvl w:ilvl="1">
      <w:lvlJc w:val="left"/>
      <w:lvlText w:val="%2."/>
      <w:numFmt w:val="decimal"/>
      <w:start w:val="1"/>
    </w:lvl>
  </w:abstractNum>
  <w:abstractNum w:abstractNumId="159">
    <w:nsid w:val="38A5D054"/>
    <w:multiLevelType w:val="hybridMultilevel"/>
    <w:lvl w:ilvl="0">
      <w:lvlJc w:val="left"/>
      <w:lvlText w:val="%1"/>
      <w:numFmt w:val="upperLetter"/>
      <w:start w:val="1"/>
    </w:lvl>
    <w:lvl w:ilvl="1">
      <w:lvlJc w:val="left"/>
      <w:lvlText w:val="%2."/>
      <w:numFmt w:val="decimal"/>
      <w:start w:val="2"/>
    </w:lvl>
  </w:abstractNum>
  <w:abstractNum w:abstractNumId="160">
    <w:nsid w:val="F3F09D8"/>
    <w:multiLevelType w:val="hybridMultilevel"/>
    <w:lvl w:ilvl="0">
      <w:lvlJc w:val="left"/>
      <w:lvlText w:val="%1."/>
      <w:numFmt w:val="upperLetter"/>
      <w:start w:val="5"/>
    </w:lvl>
    <w:lvl w:ilvl="1">
      <w:lvlJc w:val="left"/>
      <w:lvlText w:val="%2."/>
      <w:numFmt w:val="decimal"/>
      <w:start w:val="1"/>
    </w:lvl>
  </w:abstractNum>
  <w:abstractNum w:abstractNumId="161">
    <w:nsid w:val="4B793735"/>
    <w:multiLevelType w:val="hybridMultilevel"/>
    <w:lvl w:ilvl="0">
      <w:lvlJc w:val="left"/>
      <w:lvlText w:val="%1."/>
      <w:numFmt w:val="decimal"/>
      <w:start w:val="2"/>
    </w:lvl>
  </w:abstractNum>
  <w:abstractNum w:abstractNumId="162">
    <w:nsid w:val="4A10B4E8"/>
    <w:multiLevelType w:val="hybridMultilevel"/>
    <w:lvl w:ilvl="0">
      <w:lvlJc w:val="left"/>
      <w:lvlText w:val="%1."/>
      <w:numFmt w:val="upperLetter"/>
      <w:start w:val="7"/>
    </w:lvl>
  </w:abstractNum>
  <w:abstractNum w:abstractNumId="163">
    <w:nsid w:val="43D3BCD4"/>
    <w:multiLevelType w:val="hybridMultilevel"/>
    <w:lvl w:ilvl="0">
      <w:lvlJc w:val="left"/>
      <w:lvlText w:val="%1."/>
      <w:numFmt w:val="decimal"/>
      <w:start w:val="2"/>
    </w:lvl>
  </w:abstractNum>
  <w:abstractNum w:abstractNumId="164">
    <w:nsid w:val="4C2A7166"/>
    <w:multiLevelType w:val="hybridMultilevel"/>
    <w:lvl w:ilvl="0">
      <w:lvlJc w:val="left"/>
      <w:lvlText w:val="%1."/>
      <w:numFmt w:val="upperLetter"/>
      <w:start w:val="8"/>
    </w:lvl>
  </w:abstractNum>
  <w:abstractNum w:abstractNumId="165">
    <w:nsid w:val="2E534A82"/>
    <w:multiLevelType w:val="hybridMultilevel"/>
    <w:lvl w:ilvl="0">
      <w:lvlJc w:val="left"/>
      <w:lvlText w:val="%1."/>
      <w:numFmt w:val="decimal"/>
      <w:start w:val="2"/>
    </w:lvl>
  </w:abstractNum>
  <w:abstractNum w:abstractNumId="166">
    <w:nsid w:val="26F2D364"/>
    <w:multiLevelType w:val="hybridMultilevel"/>
    <w:lvl w:ilvl="0">
      <w:lvlJc w:val="left"/>
      <w:lvlText w:val="%1."/>
      <w:numFmt w:val="decimal"/>
      <w:start w:val="1"/>
    </w:lvl>
    <w:lvl w:ilvl="1">
      <w:lvlJc w:val="left"/>
      <w:lvlText w:val="%2."/>
      <w:numFmt w:val="lowerLetter"/>
      <w:start w:val="1"/>
    </w:lvl>
  </w:abstractNum>
  <w:abstractNum w:abstractNumId="167">
    <w:nsid w:val="71C1AF98"/>
    <w:multiLevelType w:val="hybridMultilevel"/>
    <w:lvl w:ilvl="0">
      <w:lvlJc w:val="left"/>
      <w:lvlText w:val="%1"/>
      <w:numFmt w:val="decimal"/>
      <w:start w:val="1"/>
    </w:lvl>
    <w:lvl w:ilvl="1">
      <w:lvlJc w:val="left"/>
      <w:lvlText w:val="%2."/>
      <w:numFmt w:val="lowerLetter"/>
      <w:start w:val="2"/>
    </w:lvl>
  </w:abstractNum>
  <w:abstractNum w:abstractNumId="168">
    <w:nsid w:val="3D00B9D9"/>
    <w:multiLevelType w:val="hybridMultilevel"/>
    <w:lvl w:ilvl="0">
      <w:lvlJc w:val="left"/>
      <w:lvlText w:val="%1."/>
      <w:numFmt w:val="decimal"/>
      <w:start w:val="3"/>
    </w:lvl>
    <w:lvl w:ilvl="1">
      <w:lvlJc w:val="left"/>
      <w:lvlText w:val="%2."/>
      <w:numFmt w:val="lowerLetter"/>
      <w:start w:val="1"/>
    </w:lvl>
  </w:abstractNum>
  <w:abstractNum w:abstractNumId="169">
    <w:nsid w:val="15BCABA8"/>
    <w:multiLevelType w:val="hybridMultilevel"/>
    <w:lvl w:ilvl="0">
      <w:lvlJc w:val="left"/>
      <w:lvlText w:val="%1."/>
      <w:numFmt w:val="lowerLetter"/>
      <w:start w:val="4"/>
    </w:lvl>
  </w:abstractNum>
  <w:abstractNum w:abstractNumId="170">
    <w:nsid w:val="4E0B9A87"/>
    <w:multiLevelType w:val="hybridMultilevel"/>
    <w:lvl w:ilvl="0">
      <w:lvlJc w:val="left"/>
      <w:lvlText w:val="%1."/>
      <w:numFmt w:val="decimal"/>
      <w:start w:val="4"/>
    </w:lvl>
    <w:lvl w:ilvl="1">
      <w:lvlJc w:val="left"/>
      <w:lvlText w:val="%2."/>
      <w:numFmt w:val="lowerLetter"/>
      <w:start w:val="1"/>
    </w:lvl>
  </w:abstractNum>
  <w:abstractNum w:abstractNumId="171">
    <w:nsid w:val="434BAE75"/>
    <w:multiLevelType w:val="hybridMultilevel"/>
    <w:lvl w:ilvl="0">
      <w:lvlJc w:val="left"/>
      <w:lvlText w:val="%1"/>
      <w:numFmt w:val="lowerLetter"/>
      <w:start w:val="1"/>
    </w:lvl>
    <w:lvl w:ilvl="1">
      <w:lvlJc w:val="left"/>
      <w:lvlText w:val="(%2)"/>
      <w:numFmt w:val="lowerRoman"/>
      <w:start w:val="1"/>
    </w:lvl>
  </w:abstractNum>
  <w:abstractNum w:abstractNumId="172">
    <w:nsid w:val="4F38F265"/>
    <w:multiLevelType w:val="hybridMultilevel"/>
    <w:lvl w:ilvl="0">
      <w:lvlJc w:val="left"/>
      <w:lvlText w:val="%1."/>
      <w:numFmt w:val="lowerLetter"/>
      <w:start w:val="2"/>
    </w:lvl>
    <w:lvl w:ilvl="1">
      <w:lvlJc w:val="left"/>
      <w:lvlText w:val="%2"/>
      <w:numFmt w:val="lowerRoman"/>
      <w:start w:val="1"/>
    </w:lvl>
  </w:abstractNum>
  <w:abstractNum w:abstractNumId="173">
    <w:nsid w:val="4C50287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74">
    <w:nsid w:val="1DE8725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75">
    <w:nsid w:val="6A37288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6">
    <w:nsid w:val="8F8B73F"/>
    <w:multiLevelType w:val="hybridMultilevel"/>
    <w:lvl w:ilvl="0">
      <w:lvlJc w:val="left"/>
      <w:lvlText w:val="(%1)"/>
      <w:numFmt w:val="lowerRoman"/>
      <w:start w:val="2"/>
    </w:lvl>
    <w:lvl w:ilvl="1">
      <w:lvlJc w:val="left"/>
      <w:lvlText w:val="(%2)"/>
      <w:numFmt w:val="upperLetter"/>
      <w:start w:val="1"/>
    </w:lvl>
  </w:abstractNum>
  <w:abstractNum w:abstractNumId="177">
    <w:nsid w:val="CA6B462"/>
    <w:multiLevelType w:val="hybridMultilevel"/>
    <w:lvl w:ilvl="0">
      <w:lvlJc w:val="left"/>
      <w:lvlText w:val="(%1)"/>
      <w:numFmt w:val="lowerRoman"/>
      <w:start w:val="4"/>
    </w:lvl>
    <w:lvl w:ilvl="1">
      <w:lvlJc w:val="left"/>
      <w:lvlText w:val="(%2)"/>
      <w:numFmt w:val="lowerRoman"/>
      <w:start w:val="3"/>
    </w:lvl>
  </w:abstractNum>
  <w:abstractNum w:abstractNumId="178">
    <w:nsid w:val="763CB680"/>
    <w:multiLevelType w:val="hybridMultilevel"/>
    <w:lvl w:ilvl="0">
      <w:lvlJc w:val="left"/>
      <w:lvlText w:val="%1"/>
      <w:numFmt w:val="lowerLetter"/>
      <w:start w:val="1"/>
    </w:lvl>
    <w:lvl w:ilvl="1">
      <w:lvlJc w:val="left"/>
      <w:lvlText w:val="(%2)"/>
      <w:numFmt w:val="lowerRoman"/>
      <w:start w:val="5"/>
    </w:lvl>
  </w:abstractNum>
  <w:abstractNum w:abstractNumId="179">
    <w:nsid w:val="15B71329"/>
    <w:multiLevelType w:val="hybridMultilevel"/>
    <w:lvl w:ilvl="0">
      <w:lvlJc w:val="left"/>
      <w:lvlText w:val="%1."/>
      <w:numFmt w:val="lowerLetter"/>
      <w:start w:val="2"/>
    </w:lvl>
    <w:lvl w:ilvl="1">
      <w:lvlJc w:val="left"/>
      <w:lvlText w:val="(%2)"/>
      <w:numFmt w:val="lowerRoman"/>
      <w:start w:val="1"/>
    </w:lvl>
  </w:abstractNum>
  <w:abstractNum w:abstractNumId="180">
    <w:nsid w:val="3DA97044"/>
    <w:multiLevelType w:val="hybridMultilevel"/>
    <w:lvl w:ilvl="0">
      <w:lvlJc w:val="left"/>
      <w:lvlText w:val="(%1)"/>
      <w:numFmt w:val="lowerRoman"/>
      <w:start w:val="2"/>
    </w:lvl>
    <w:lvl w:ilvl="1">
      <w:lvlJc w:val="left"/>
      <w:lvlText w:val="(%2)"/>
      <w:numFmt w:val="upperLetter"/>
      <w:start w:val="1"/>
    </w:lvl>
  </w:abstractNum>
  <w:abstractNum w:abstractNumId="181">
    <w:nsid w:val="1CDCE2DE"/>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82">
    <w:nsid w:val="69D3947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83">
    <w:nsid w:val="2539DFA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3"/>
    </w:lvl>
  </w:abstractNum>
  <w:abstractNum w:abstractNumId="184">
    <w:nsid w:val="2DB88089"/>
    <w:multiLevelType w:val="hybridMultilevel"/>
    <w:lvl w:ilvl="0">
      <w:lvlJc w:val="left"/>
      <w:lvlText w:val="%1"/>
      <w:numFmt w:val="decimal"/>
      <w:start w:val="1"/>
    </w:lvl>
    <w:lvl w:ilvl="1">
      <w:lvlJc w:val="left"/>
      <w:lvlText w:val="%2."/>
      <w:numFmt w:val="lowerLetter"/>
      <w:start w:val="4"/>
    </w:lvl>
  </w:abstractNum>
  <w:abstractNum w:abstractNumId="185">
    <w:nsid w:val="706B674E"/>
    <w:multiLevelType w:val="hybridMultilevel"/>
    <w:lvl w:ilvl="0">
      <w:lvlJc w:val="left"/>
      <w:lvlText w:val="%1."/>
      <w:numFmt w:val="decimal"/>
      <w:start w:val="9"/>
    </w:lvl>
    <w:lvl w:ilvl="1">
      <w:lvlJc w:val="left"/>
      <w:lvlText w:val="%2"/>
      <w:numFmt w:val="lowerLetter"/>
      <w:start w:val="1"/>
    </w:lvl>
  </w:abstractNum>
  <w:abstractNum w:abstractNumId="186">
    <w:nsid w:val="2C106A57"/>
    <w:multiLevelType w:val="hybridMultilevel"/>
    <w:lvl w:ilvl="0">
      <w:lvlJc w:val="left"/>
      <w:lvlText w:val="%1."/>
      <w:numFmt w:val="decimal"/>
      <w:start w:val="10"/>
    </w:lvl>
    <w:lvl w:ilvl="1">
      <w:lvlJc w:val="left"/>
      <w:lvlText w:val="%2."/>
      <w:numFmt w:val="lowerLetter"/>
      <w:start w:val="1"/>
    </w:lvl>
  </w:abstractNum>
  <w:abstractNum w:abstractNumId="187">
    <w:nsid w:val="684EED5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88">
    <w:nsid w:val="545EE5D3"/>
    <w:multiLevelType w:val="hybridMultilevel"/>
    <w:lvl w:ilvl="0">
      <w:lvlJc w:val="left"/>
      <w:lvlText w:val="%1"/>
      <w:numFmt w:val="lowerLetter"/>
      <w:start w:val="1"/>
    </w:lvl>
    <w:lvl w:ilvl="1">
      <w:lvlJc w:val="left"/>
      <w:lvlText w:val="(%2)"/>
      <w:numFmt w:val="lowerRoman"/>
      <w:start w:val="2"/>
    </w:lvl>
  </w:abstractNum>
  <w:abstractNum w:abstractNumId="189">
    <w:nsid w:val="4A66051"/>
    <w:multiLevelType w:val="hybridMultilevel"/>
    <w:lvl w:ilvl="0">
      <w:lvlJc w:val="left"/>
      <w:lvlText w:val="%1."/>
      <w:numFmt w:val="lowerLetter"/>
      <w:start w:val="5"/>
    </w:lvl>
    <w:lvl w:ilvl="1">
      <w:lvlJc w:val="left"/>
      <w:lvlText w:val="%2"/>
      <w:numFmt w:val="lowerRoman"/>
      <w:start w:val="1"/>
    </w:lvl>
  </w:abstractNum>
  <w:abstractNum w:abstractNumId="190">
    <w:nsid w:val="20F4BDAD"/>
    <w:multiLevelType w:val="hybridMultilevel"/>
    <w:lvl w:ilvl="0">
      <w:lvlJc w:val="left"/>
      <w:lvlText w:val="(%1)"/>
      <w:numFmt w:val="lowerRoman"/>
      <w:start w:val="1"/>
    </w:lvl>
    <w:lvl w:ilvl="1">
      <w:lvlJc w:val="left"/>
      <w:lvlText w:val="(%2)"/>
      <w:numFmt w:val="upperLetter"/>
      <w:start w:val="1"/>
    </w:lvl>
  </w:abstractNum>
  <w:abstractNum w:abstractNumId="191">
    <w:nsid w:val="639DEFAC"/>
    <w:multiLevelType w:val="hybridMultilevel"/>
    <w:lvl w:ilvl="0">
      <w:lvlJc w:val="left"/>
      <w:lvlText w:val="%1."/>
      <w:numFmt w:val="lowerLetter"/>
      <w:start w:val="6"/>
    </w:lvl>
  </w:abstractNum>
  <w:abstractNum w:abstractNumId="192">
    <w:nsid w:val="501F9786"/>
    <w:multiLevelType w:val="hybridMultilevel"/>
    <w:lvl w:ilvl="0">
      <w:lvlJc w:val="left"/>
      <w:lvlText w:val="%1."/>
      <w:numFmt w:val="decimal"/>
      <w:start w:val="1"/>
    </w:lvl>
  </w:abstractNum>
  <w:abstractNum w:abstractNumId="193">
    <w:nsid w:val="6B057295"/>
    <w:multiLevelType w:val="hybridMultilevel"/>
    <w:lvl w:ilvl="0">
      <w:lvlJc w:val="left"/>
      <w:lvlText w:val="%1."/>
      <w:numFmt w:val="decimal"/>
      <w:start w:val="1"/>
    </w:lvl>
  </w:abstractNum>
  <w:abstractNum w:abstractNumId="194">
    <w:nsid w:val="2771AC80"/>
    <w:multiLevelType w:val="hybridMultilevel"/>
    <w:lvl w:ilvl="0">
      <w:lvlJc w:val="left"/>
      <w:lvlText w:val="%1."/>
      <w:numFmt w:val="lowerLetter"/>
      <w:start w:val="6"/>
    </w:lvl>
  </w:abstractNum>
  <w:abstractNum w:abstractNumId="195">
    <w:nsid w:val="1C4A08EC"/>
    <w:multiLevelType w:val="hybridMultilevel"/>
    <w:lvl w:ilvl="0">
      <w:lvlJc w:val="left"/>
      <w:lvlText w:val="%1."/>
      <w:numFmt w:val="decimal"/>
      <w:start w:val="2"/>
    </w:lvl>
  </w:abstractNum>
  <w:abstractNum w:abstractNumId="196">
    <w:nsid w:val="1958BD17"/>
    <w:multiLevelType w:val="hybridMultilevel"/>
    <w:lvl w:ilvl="0">
      <w:lvlJc w:val="left"/>
      <w:lvlText w:val="%1."/>
      <w:numFmt w:val="decimal"/>
      <w:start w:val="7"/>
    </w:lvl>
    <w:lvl w:ilvl="1">
      <w:lvlJc w:val="left"/>
      <w:lvlText w:val="%2."/>
      <w:numFmt w:val="lowerLetter"/>
      <w:start w:val="1"/>
    </w:lvl>
  </w:abstractNum>
  <w:abstractNum w:abstractNumId="197">
    <w:nsid w:val="4E647FE4"/>
    <w:multiLevelType w:val="hybridMultilevel"/>
    <w:lvl w:ilvl="0">
      <w:lvlJc w:val="left"/>
      <w:lvlText w:val="(%1)"/>
      <w:numFmt w:val="lowerRoman"/>
      <w:start w:val="1"/>
    </w:lvl>
    <w:lvl w:ilvl="1">
      <w:lvlJc w:val="left"/>
      <w:lvlText w:val="(%2)"/>
      <w:numFmt w:val="upperLetter"/>
      <w:start w:val="1"/>
    </w:lvl>
  </w:abstractNum>
  <w:abstractNum w:abstractNumId="198">
    <w:nsid w:val="E0BB885"/>
    <w:multiLevelType w:val="hybridMultilevel"/>
    <w:lvl w:ilvl="0">
      <w:lvlJc w:val="left"/>
      <w:lvlText w:val="(%1)"/>
      <w:numFmt w:val="lowerRoman"/>
      <w:start w:val="3"/>
    </w:lvl>
  </w:abstractNum>
  <w:abstractNum w:abstractNumId="199">
    <w:nsid w:val="565976F1"/>
    <w:multiLevelType w:val="hybridMultilevel"/>
    <w:lvl w:ilvl="0">
      <w:lvlJc w:val="left"/>
      <w:lvlText w:val="%1"/>
      <w:numFmt w:val="lowerRoman"/>
      <w:start w:val="1"/>
    </w:lvl>
    <w:lvl w:ilvl="1">
      <w:lvlJc w:val="left"/>
      <w:lvlText w:val="(%2)"/>
      <w:numFmt w:val="lowerRoman"/>
      <w:start w:val="4"/>
    </w:lvl>
  </w:abstractNum>
  <w:abstractNum w:abstractNumId="200">
    <w:nsid w:val="64212B8C"/>
    <w:multiLevelType w:val="hybridMultilevel"/>
    <w:lvl w:ilvl="0">
      <w:lvlJc w:val="left"/>
      <w:lvlText w:val="(%1)"/>
      <w:numFmt w:val="lowerRoman"/>
      <w:start w:val="5"/>
    </w:lvl>
    <w:lvl w:ilvl="1">
      <w:lvlJc w:val="left"/>
      <w:lvlText w:val="%2"/>
      <w:numFmt w:val="lowerRoman"/>
      <w:start w:val="1"/>
    </w:lvl>
  </w:abstractNum>
  <w:abstractNum w:abstractNumId="201">
    <w:nsid w:val="5C17530C"/>
    <w:multiLevelType w:val="hybridMultilevel"/>
    <w:lvl w:ilvl="0">
      <w:lvlJc w:val="left"/>
      <w:lvlText w:val="%1"/>
      <w:numFmt w:val="lowerLetter"/>
      <w:start w:val="1"/>
    </w:lvl>
    <w:lvl w:ilvl="1">
      <w:lvlJc w:val="left"/>
      <w:lvlText w:val="(%2)"/>
      <w:numFmt w:val="lowerRoman"/>
      <w:start w:val="6"/>
    </w:lvl>
  </w:abstractNum>
  <w:abstractNum w:abstractNumId="202">
    <w:nsid w:val="19A52566"/>
    <w:multiLevelType w:val="hybridMultilevel"/>
    <w:lvl w:ilvl="0">
      <w:lvlJc w:val="left"/>
      <w:lvlText w:val="%1."/>
      <w:numFmt w:val="lowerLetter"/>
      <w:start w:val="2"/>
    </w:lvl>
    <w:lvl w:ilvl="1">
      <w:lvlJc w:val="left"/>
      <w:lvlText w:val="(%2)"/>
      <w:numFmt w:val="lowerRoman"/>
      <w:start w:val="1"/>
    </w:lvl>
  </w:abstractNum>
  <w:abstractNum w:abstractNumId="203">
    <w:nsid w:val="335A1DF1"/>
    <w:multiLevelType w:val="hybridMultilevel"/>
    <w:lvl w:ilvl="0">
      <w:lvlJc w:val="left"/>
      <w:lvlText w:val="%1"/>
      <w:numFmt w:val="lowerRoman"/>
      <w:start w:val="1"/>
    </w:lvl>
    <w:lvl w:ilvl="1">
      <w:lvlJc w:val="left"/>
      <w:lvlText w:val="(%2)"/>
      <w:numFmt w:val="upperLetter"/>
      <w:start w:val="1"/>
    </w:lvl>
  </w:abstractNum>
  <w:abstractNum w:abstractNumId="204">
    <w:nsid w:val="28677B7C"/>
    <w:multiLevelType w:val="hybridMultilevel"/>
    <w:lvl w:ilvl="0">
      <w:lvlJc w:val="left"/>
      <w:lvlText w:val="(%1)"/>
      <w:numFmt w:val="lowerRoman"/>
      <w:start w:val="4"/>
    </w:lvl>
    <w:lvl w:ilvl="1">
      <w:lvlJc w:val="left"/>
      <w:lvlText w:val="%2"/>
      <w:numFmt w:val="upperLetter"/>
      <w:start w:val="1"/>
    </w:lvl>
  </w:abstractNum>
  <w:abstractNum w:abstractNumId="205">
    <w:nsid w:val="378D97C0"/>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206">
    <w:nsid w:val="1D91467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07">
    <w:nsid w:val="316032BB"/>
    <w:multiLevelType w:val="hybridMultilevel"/>
    <w:lvl w:ilvl="0">
      <w:lvlJc w:val="left"/>
      <w:lvlText w:val="%1."/>
      <w:numFmt w:val="decimal"/>
      <w:start w:val="8"/>
    </w:lvl>
  </w:abstractNum>
  <w:abstractNum w:abstractNumId="208">
    <w:nsid w:val="44344C22"/>
    <w:multiLevelType w:val="hybridMultilevel"/>
    <w:lvl w:ilvl="0">
      <w:lvlJc w:val="left"/>
      <w:lvlText w:val="%1."/>
      <w:numFmt w:val="decimal"/>
      <w:start w:val="1"/>
    </w:lvl>
  </w:abstractNum>
  <w:abstractNum w:abstractNumId="209">
    <w:nsid w:val="13CDFCFC"/>
    <w:multiLevelType w:val="hybridMultilevel"/>
    <w:lvl w:ilvl="0">
      <w:lvlJc w:val="left"/>
      <w:lvlText w:val="%1."/>
      <w:numFmt w:val="lowerLetter"/>
      <w:start w:val="6"/>
    </w:lvl>
  </w:abstractNum>
  <w:abstractNum w:abstractNumId="210">
    <w:nsid w:val="471745E4"/>
    <w:multiLevelType w:val="hybridMultilevel"/>
    <w:lvl w:ilvl="0">
      <w:lvlJc w:val="left"/>
      <w:lvlText w:val="%1."/>
      <w:numFmt w:val="decimal"/>
      <w:start w:val="2"/>
    </w:lvl>
  </w:abstractNum>
  <w:abstractNum w:abstractNumId="211">
    <w:nsid w:val="1DDBC66"/>
    <w:multiLevelType w:val="hybridMultilevel"/>
    <w:lvl w:ilvl="0">
      <w:lvlJc w:val="left"/>
      <w:lvlText w:val="%1."/>
      <w:numFmt w:val="decimal"/>
      <w:start w:val="13"/>
    </w:lvl>
    <w:lvl w:ilvl="1">
      <w:lvlJc w:val="left"/>
      <w:lvlText w:val="%2."/>
      <w:numFmt w:val="lowerLetter"/>
      <w:start w:val="1"/>
    </w:lvl>
  </w:abstractNum>
  <w:abstractNum w:abstractNumId="212">
    <w:nsid w:val="30AADFDA"/>
    <w:multiLevelType w:val="hybridMultilevel"/>
    <w:lvl w:ilvl="0">
      <w:lvlJc w:val="left"/>
      <w:lvlText w:val="(%1)"/>
      <w:numFmt w:val="lowerRoman"/>
      <w:start w:val="1"/>
    </w:lvl>
    <w:lvl w:ilvl="1">
      <w:lvlJc w:val="left"/>
      <w:lvlText w:val="(%2)"/>
      <w:numFmt w:val="upperLetter"/>
      <w:start w:val="1"/>
    </w:lvl>
  </w:abstractNum>
  <w:abstractNum w:abstractNumId="213">
    <w:nsid w:val="30EADA61"/>
    <w:multiLevelType w:val="hybridMultilevel"/>
    <w:lvl w:ilvl="0">
      <w:lvlJc w:val="left"/>
      <w:lvlText w:val="(%1)"/>
      <w:numFmt w:val="lowerRoman"/>
      <w:start w:val="3"/>
    </w:lvl>
  </w:abstractNum>
  <w:abstractNum w:abstractNumId="214">
    <w:nsid w:val="27179C0B"/>
    <w:multiLevelType w:val="hybridMultilevel"/>
    <w:lvl w:ilvl="0">
      <w:lvlJc w:val="left"/>
      <w:lvlText w:val="%1"/>
      <w:numFmt w:val="lowerRoman"/>
      <w:start w:val="1"/>
    </w:lvl>
    <w:lvl w:ilvl="1">
      <w:lvlJc w:val="left"/>
      <w:lvlText w:val="(%2)"/>
      <w:numFmt w:val="lowerRoman"/>
      <w:start w:val="4"/>
    </w:lvl>
  </w:abstractNum>
  <w:abstractNum w:abstractNumId="215">
    <w:nsid w:val="5E636063"/>
    <w:multiLevelType w:val="hybridMultilevel"/>
    <w:lvl w:ilvl="0">
      <w:lvlJc w:val="left"/>
      <w:lvlText w:val="(%1)"/>
      <w:numFmt w:val="lowerRoman"/>
      <w:start w:val="5"/>
    </w:lvl>
    <w:lvl w:ilvl="1">
      <w:lvlJc w:val="left"/>
      <w:lvlText w:val="%2"/>
      <w:numFmt w:val="lowerRoman"/>
      <w:start w:val="1"/>
    </w:lvl>
  </w:abstractNum>
  <w:abstractNum w:abstractNumId="216">
    <w:nsid w:val="215641AF"/>
    <w:multiLevelType w:val="hybridMultilevel"/>
    <w:lvl w:ilvl="0">
      <w:lvlJc w:val="left"/>
      <w:lvlText w:val="%1"/>
      <w:numFmt w:val="lowerLetter"/>
      <w:start w:val="1"/>
    </w:lvl>
    <w:lvl w:ilvl="1">
      <w:lvlJc w:val="left"/>
      <w:lvlText w:val="(%2)"/>
      <w:numFmt w:val="lowerRoman"/>
      <w:start w:val="6"/>
    </w:lvl>
  </w:abstractNum>
  <w:abstractNum w:abstractNumId="217">
    <w:nsid w:val="53280662"/>
    <w:multiLevelType w:val="hybridMultilevel"/>
    <w:lvl w:ilvl="0">
      <w:lvlJc w:val="left"/>
      <w:lvlText w:val="%1."/>
      <w:numFmt w:val="lowerLetter"/>
      <w:start w:val="2"/>
    </w:lvl>
    <w:lvl w:ilvl="1">
      <w:lvlJc w:val="left"/>
      <w:lvlText w:val="(%2)"/>
      <w:numFmt w:val="lowerRoman"/>
      <w:start w:val="1"/>
    </w:lvl>
  </w:abstractNum>
  <w:abstractNum w:abstractNumId="218">
    <w:nsid w:val="46B24DBC"/>
    <w:multiLevelType w:val="hybridMultilevel"/>
    <w:lvl w:ilvl="0">
      <w:lvlJc w:val="left"/>
      <w:lvlText w:val="%1"/>
      <w:numFmt w:val="lowerRoman"/>
      <w:start w:val="1"/>
    </w:lvl>
    <w:lvl w:ilvl="1">
      <w:lvlJc w:val="left"/>
      <w:lvlText w:val="(%2)"/>
      <w:numFmt w:val="upperLetter"/>
      <w:start w:val="1"/>
    </w:lvl>
  </w:abstractNum>
  <w:abstractNum w:abstractNumId="219">
    <w:nsid w:val="75B52783"/>
    <w:multiLevelType w:val="hybridMultilevel"/>
    <w:lvl w:ilvl="0">
      <w:lvlJc w:val="left"/>
      <w:lvlText w:val="(%1)"/>
      <w:numFmt w:val="lowerRoman"/>
      <w:start w:val="4"/>
    </w:lvl>
    <w:lvl w:ilvl="1">
      <w:lvlJc w:val="left"/>
      <w:lvlText w:val="%2"/>
      <w:numFmt w:val="upperLetter"/>
      <w:start w:val="1"/>
    </w:lvl>
  </w:abstractNum>
  <w:abstractNum w:abstractNumId="220">
    <w:nsid w:val="57CE66B4"/>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221">
    <w:nsid w:val="67A70B6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22">
    <w:nsid w:val="5953172F"/>
    <w:multiLevelType w:val="hybridMultilevel"/>
    <w:lvl w:ilvl="0">
      <w:lvlJc w:val="left"/>
      <w:lvlText w:val="%1."/>
      <w:numFmt w:val="decimal"/>
      <w:start w:val="3"/>
    </w:lvl>
  </w:abstractNum>
  <w:abstractNum w:abstractNumId="223">
    <w:nsid w:val="27EDFE3A"/>
    <w:multiLevelType w:val="hybridMultilevel"/>
    <w:lvl w:ilvl="0">
      <w:lvlJc w:val="left"/>
      <w:lvlText w:val="%1."/>
      <w:numFmt w:val="decimal"/>
      <w:start w:val="1"/>
    </w:lvl>
  </w:abstractNum>
  <w:abstractNum w:abstractNumId="224">
    <w:nsid w:val="52AC7DFF"/>
    <w:multiLevelType w:val="hybridMultilevel"/>
    <w:lvl w:ilvl="0">
      <w:lvlJc w:val="left"/>
      <w:lvlText w:val="%1."/>
      <w:numFmt w:val="lowerLetter"/>
      <w:start w:val="6"/>
    </w:lvl>
  </w:abstractNum>
  <w:abstractNum w:abstractNumId="225">
    <w:nsid w:val="C4C3AF"/>
    <w:multiLevelType w:val="hybridMultilevel"/>
    <w:lvl w:ilvl="0">
      <w:lvlJc w:val="left"/>
      <w:lvlText w:val="%1."/>
      <w:numFmt w:val="decimal"/>
      <w:start w:val="2"/>
    </w:lvl>
  </w:abstractNum>
  <w:abstractNum w:abstractNumId="226">
    <w:nsid w:val="44380727"/>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7">
    <w:nsid w:val="6C053B16"/>
    <w:multiLevelType w:val="hybridMultilevel"/>
    <w:lvl w:ilvl="0">
      <w:lvlJc w:val="left"/>
      <w:lvlText w:val="%1"/>
      <w:numFmt w:val="lowerRoman"/>
      <w:start w:val="1"/>
    </w:lvl>
    <w:lvl w:ilvl="1">
      <w:lvlJc w:val="left"/>
      <w:lvlText w:val="(%2)"/>
      <w:numFmt w:val="upperLetter"/>
      <w:start w:val="4"/>
    </w:lvl>
  </w:abstractNum>
  <w:abstractNum w:abstractNumId="228">
    <w:nsid w:val="4F294393"/>
    <w:multiLevelType w:val="hybridMultilevel"/>
    <w:lvl w:ilvl="0">
      <w:lvlJc w:val="left"/>
      <w:lvlText w:val="(%1)"/>
      <w:numFmt w:val="lowerRoman"/>
      <w:start w:val="3"/>
    </w:lvl>
    <w:lvl w:ilvl="1">
      <w:lvlJc w:val="left"/>
      <w:lvlText w:val="%2"/>
      <w:numFmt w:val="upperLetter"/>
      <w:start w:val="1"/>
    </w:lvl>
  </w:abstractNum>
  <w:abstractNum w:abstractNumId="229">
    <w:nsid w:val="5243BFAC"/>
    <w:multiLevelType w:val="hybridMultilevel"/>
    <w:lvl w:ilvl="0">
      <w:lvlJc w:val="left"/>
      <w:lvlText w:val="(%1)"/>
      <w:numFmt w:val="lowerRoman"/>
      <w:start w:val="5"/>
    </w:lvl>
  </w:abstractNum>
  <w:abstractNum w:abstractNumId="230">
    <w:nsid w:val="425EB207"/>
    <w:multiLevelType w:val="hybridMultilevel"/>
    <w:lvl w:ilvl="0">
      <w:lvlJc w:val="left"/>
      <w:lvlText w:val="%1"/>
      <w:numFmt w:val="lowerLetter"/>
      <w:start w:val="1"/>
    </w:lvl>
    <w:lvl w:ilvl="1">
      <w:lvlJc w:val="left"/>
      <w:lvlText w:val="(%2)"/>
      <w:numFmt w:val="lowerRoman"/>
      <w:start w:val="6"/>
    </w:lvl>
  </w:abstractNum>
  <w:abstractNum w:abstractNumId="231">
    <w:nsid w:val="334A6F1F"/>
    <w:multiLevelType w:val="hybridMultilevel"/>
    <w:lvl w:ilvl="0">
      <w:lvlJc w:val="left"/>
      <w:lvlText w:val="%1."/>
      <w:numFmt w:val="lowerLetter"/>
      <w:start w:val="2"/>
    </w:lvl>
    <w:lvl w:ilvl="1">
      <w:lvlJc w:val="left"/>
      <w:lvlText w:val="(%2)"/>
      <w:numFmt w:val="lowerRoman"/>
      <w:start w:val="1"/>
    </w:lvl>
  </w:abstractNum>
  <w:abstractNum w:abstractNumId="232">
    <w:nsid w:val="2E5B12B8"/>
    <w:multiLevelType w:val="hybridMultilevel"/>
    <w:lvl w:ilvl="0">
      <w:lvlJc w:val="left"/>
      <w:lvlText w:val="(%1)"/>
      <w:numFmt w:val="lowerRoman"/>
      <w:start w:val="3"/>
    </w:lvl>
    <w:lvl w:ilvl="1">
      <w:lvlJc w:val="left"/>
      <w:lvlText w:val="(%2)"/>
      <w:numFmt w:val="upperLetter"/>
      <w:start w:val="1"/>
    </w:lvl>
  </w:abstractNum>
  <w:abstractNum w:abstractNumId="233">
    <w:nsid w:val="5C03D76D"/>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234">
    <w:nsid w:val="66A48D1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35">
    <w:nsid w:val="56C28E34"/>
    <w:multiLevelType w:val="hybridMultilevel"/>
    <w:lvl w:ilvl="0">
      <w:lvlJc w:val="left"/>
      <w:lvlText w:val="%1."/>
      <w:numFmt w:val="decimal"/>
      <w:start w:val="3"/>
    </w:lvl>
  </w:abstractNum>
  <w:abstractNum w:abstractNumId="236">
    <w:nsid w:val="13916F2D"/>
    <w:multiLevelType w:val="hybridMultilevel"/>
    <w:lvl w:ilvl="0">
      <w:lvlJc w:val="left"/>
      <w:lvlText w:val="%1."/>
      <w:numFmt w:val="decimal"/>
      <w:start w:val="1"/>
    </w:lvl>
    <w:lvl w:ilvl="1">
      <w:lvlJc w:val="left"/>
      <w:lvlText w:val="(%2)"/>
      <w:numFmt w:val="lowerLetter"/>
      <w:start w:val="1"/>
    </w:lvl>
  </w:abstractNum>
  <w:abstractNum w:abstractNumId="237">
    <w:nsid w:val="435D38D"/>
    <w:multiLevelType w:val="hybridMultilevel"/>
    <w:lvl w:ilvl="0">
      <w:lvlJc w:val="left"/>
      <w:lvlText w:val="%1."/>
      <w:numFmt w:val="decimal"/>
      <w:start w:val="1"/>
    </w:lvl>
    <w:lvl w:ilvl="1">
      <w:lvlJc w:val="left"/>
      <w:lvlText w:val="(%2)"/>
      <w:numFmt w:val="lowerLetter"/>
      <w:start w:val="1"/>
    </w:lvl>
  </w:abstractNum>
  <w:abstractNum w:abstractNumId="238">
    <w:nsid w:val="822C0EF"/>
    <w:multiLevelType w:val="hybridMultilevel"/>
    <w:lvl w:ilvl="0">
      <w:lvlJc w:val="left"/>
      <w:lvlText w:val="(%1)"/>
      <w:numFmt w:val="decimal"/>
      <w:start w:val="1"/>
    </w:lvl>
  </w:abstractNum>
  <w:abstractNum w:abstractNumId="239">
    <w:nsid w:val="57C5BB4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77" Type="http://schemas.openxmlformats.org/officeDocument/2006/relationships/hyperlink" Target="https://www.sec.gov/Archives/edgar/data/23795/000110465924087287/tm2421006d1_ex2-1.htm" TargetMode="External"/><Relationship Id="rId78" Type="http://schemas.openxmlformats.org/officeDocument/2006/relationships/hyperlink" Target="https://www.sec.gov/Archives/edgar/data/0000023795/000119312521023648/d113606dex31.htm" TargetMode="External"/><Relationship Id="rId79" Type="http://schemas.openxmlformats.org/officeDocument/2006/relationships/hyperlink" Target="https://www.sec.gov/Archives/edgar/data/23795/000119312521206336/d124719dex32.htm" TargetMode="External"/><Relationship Id="rId80" Type="http://schemas.openxmlformats.org/officeDocument/2006/relationships/hyperlink" Target="https://www.sec.gov/Archives/edgar/data/23795/000110465924043097/tm2410761d1_ex3-1.htm" TargetMode="External"/><Relationship Id="rId81" Type="http://schemas.openxmlformats.org/officeDocument/2006/relationships/hyperlink" Target="https://www.sec.gov/Archives/edgar/data/23795/000155837023001536/cto-20230216xex3d1.htm" TargetMode="External"/><Relationship Id="rId82" Type="http://schemas.openxmlformats.org/officeDocument/2006/relationships/hyperlink" Target="https://www.sec.gov/Archives/edgar/data/0000023795/000119312521023648/d113606dex42.htm" TargetMode="External"/><Relationship Id="rId83" Type="http://schemas.openxmlformats.org/officeDocument/2006/relationships/hyperlink" Target="https://www.sec.gov/Archives/edgar/data/23795/000155837024009918/cto-20240718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2024-10-24T15:37:50Z</dcterms:created>
  <dcterms:modified xsi:type="dcterms:W3CDTF">2024-10-24T15:37:50Z</dcterms:modified>
</cp:coreProperties>
</file>