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6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112395</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9" w:lineRule="exact"/>
        <w:rPr>
          <w:sz w:val="24"/>
          <w:szCs w:val="24"/>
          <w:color w:val="auto"/>
        </w:rPr>
      </w:pPr>
    </w:p>
    <w:p>
      <w:pPr>
        <w:ind w:left="430" w:right="180" w:hanging="430"/>
        <w:spacing w:after="0" w:line="273" w:lineRule="auto"/>
        <w:tabs>
          <w:tab w:leader="none" w:pos="43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2022</w:t>
      </w:r>
    </w:p>
    <w:p>
      <w:pPr>
        <w:spacing w:after="0" w:line="2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2" w:lineRule="exact"/>
        <w:rPr>
          <w:sz w:val="24"/>
          <w:szCs w:val="24"/>
          <w:color w:val="auto"/>
        </w:rPr>
      </w:pPr>
    </w:p>
    <w:p>
      <w:pPr>
        <w:ind w:left="430" w:right="180" w:hanging="430"/>
        <w:spacing w:after="0" w:line="287" w:lineRule="auto"/>
        <w:tabs>
          <w:tab w:leader="none" w:pos="43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30"/>
        <w:spacing w:after="0"/>
        <w:tabs>
          <w:tab w:leader="none" w:pos="609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3342005</wp:posOffset>
            </wp:positionH>
            <wp:positionV relativeFrom="paragraph">
              <wp:posOffset>-3175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5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Commission file number 001-11350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90170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40"/>
          <w:szCs w:val="40"/>
          <w:b w:val="1"/>
          <w:bCs w:val="1"/>
          <w:color w:val="auto"/>
        </w:rPr>
        <w:t>CTO REALTY GROWTH, INC.</w:t>
      </w:r>
    </w:p>
    <w:p>
      <w:pPr>
        <w:spacing w:after="0" w:line="57"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60325</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68"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right"/>
              <w:ind w:right="1981"/>
              <w:spacing w:after="0"/>
              <w:rPr>
                <w:sz w:val="20"/>
                <w:szCs w:val="20"/>
                <w:color w:val="auto"/>
              </w:rPr>
            </w:pPr>
            <w:r>
              <w:rPr>
                <w:rFonts w:ascii="Times New Roman" w:cs="Times New Roman" w:eastAsia="Times New Roman" w:hAnsi="Times New Roman"/>
                <w:sz w:val="16"/>
                <w:szCs w:val="16"/>
                <w:b w:val="1"/>
                <w:bCs w:val="1"/>
                <w:color w:val="auto"/>
              </w:rPr>
              <w:t>59-0483700</w:t>
            </w: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center"/>
              <w:ind w:right="1581"/>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0" w:type="dxa"/>
            <w:vAlign w:val="bottom"/>
          </w:tcPr>
          <w:p>
            <w:pPr>
              <w:spacing w:after="0"/>
              <w:rPr>
                <w:sz w:val="18"/>
                <w:szCs w:val="18"/>
                <w:color w:val="auto"/>
              </w:rPr>
            </w:pPr>
          </w:p>
        </w:tc>
        <w:tc>
          <w:tcPr>
            <w:tcW w:w="4180" w:type="dxa"/>
            <w:vAlign w:val="bottom"/>
            <w:gridSpan w:val="4"/>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1"/>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74"/>
        </w:trPr>
        <w:tc>
          <w:tcPr>
            <w:tcW w:w="20" w:type="dxa"/>
            <w:vAlign w:val="bottom"/>
          </w:tcPr>
          <w:p>
            <w:pPr>
              <w:spacing w:after="0"/>
              <w:rPr>
                <w:sz w:val="23"/>
                <w:szCs w:val="23"/>
                <w:color w:val="auto"/>
              </w:rPr>
            </w:pPr>
          </w:p>
        </w:tc>
        <w:tc>
          <w:tcPr>
            <w:tcW w:w="4180" w:type="dxa"/>
            <w:vAlign w:val="bottom"/>
            <w:gridSpan w:val="4"/>
          </w:tcPr>
          <w:p>
            <w:pPr>
              <w:jc w:val="center"/>
              <w:ind w:left="761"/>
              <w:spacing w:after="0"/>
              <w:rPr>
                <w:sz w:val="20"/>
                <w:szCs w:val="20"/>
                <w:color w:val="auto"/>
              </w:rPr>
            </w:pPr>
            <w:r>
              <w:rPr>
                <w:rFonts w:ascii="Times New Roman" w:cs="Times New Roman" w:eastAsia="Times New Roman" w:hAnsi="Times New Roman"/>
                <w:sz w:val="16"/>
                <w:szCs w:val="16"/>
                <w:b w:val="1"/>
                <w:bCs w:val="1"/>
                <w:color w:val="auto"/>
              </w:rPr>
              <w:t>1140 N. Williamson Blvd., Suite 140</w:t>
            </w:r>
          </w:p>
        </w:tc>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60" w:type="dxa"/>
            <w:vAlign w:val="bottom"/>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4180" w:type="dxa"/>
            <w:vAlign w:val="bottom"/>
            <w:gridSpan w:val="4"/>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rPr>
              <w:t>Daytona Beach, Florida</w:t>
            </w:r>
          </w:p>
        </w:tc>
        <w:tc>
          <w:tcPr>
            <w:tcW w:w="2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tcPr>
          <w:p>
            <w:pPr>
              <w:jc w:val="right"/>
              <w:ind w:right="2181"/>
              <w:spacing w:after="0"/>
              <w:rPr>
                <w:sz w:val="20"/>
                <w:szCs w:val="20"/>
                <w:color w:val="auto"/>
              </w:rPr>
            </w:pPr>
            <w:r>
              <w:rPr>
                <w:rFonts w:ascii="Times New Roman" w:cs="Times New Roman" w:eastAsia="Times New Roman" w:hAnsi="Times New Roman"/>
                <w:sz w:val="16"/>
                <w:szCs w:val="16"/>
                <w:b w:val="1"/>
                <w:bCs w:val="1"/>
                <w:color w:val="auto"/>
              </w:rPr>
              <w:t>32114</w:t>
            </w:r>
          </w:p>
        </w:tc>
      </w:tr>
      <w:tr>
        <w:trPr>
          <w:trHeight w:val="212"/>
        </w:trPr>
        <w:tc>
          <w:tcPr>
            <w:tcW w:w="20" w:type="dxa"/>
            <w:vAlign w:val="bottom"/>
          </w:tcPr>
          <w:p>
            <w:pPr>
              <w:spacing w:after="0"/>
              <w:rPr>
                <w:sz w:val="18"/>
                <w:szCs w:val="18"/>
                <w:color w:val="auto"/>
              </w:rPr>
            </w:pPr>
          </w:p>
        </w:tc>
        <w:tc>
          <w:tcPr>
            <w:tcW w:w="4180" w:type="dxa"/>
            <w:vAlign w:val="bottom"/>
            <w:gridSpan w:val="4"/>
          </w:tcPr>
          <w:p>
            <w:pPr>
              <w:jc w:val="center"/>
              <w:ind w:left="78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jc w:val="center"/>
              <w:ind w:right="1581"/>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33"/>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80" w:type="dxa"/>
            <w:vAlign w:val="bottom"/>
          </w:tcPr>
          <w:p>
            <w:pPr>
              <w:jc w:val="center"/>
              <w:ind w:right="284"/>
              <w:spacing w:after="0"/>
              <w:rPr>
                <w:sz w:val="20"/>
                <w:szCs w:val="20"/>
                <w:color w:val="auto"/>
              </w:rPr>
            </w:pPr>
            <w:r>
              <w:rPr>
                <w:rFonts w:ascii="Times New Roman" w:cs="Times New Roman" w:eastAsia="Times New Roman" w:hAnsi="Times New Roman"/>
                <w:sz w:val="16"/>
                <w:szCs w:val="16"/>
                <w:b w:val="1"/>
                <w:bCs w:val="1"/>
                <w:color w:val="auto"/>
              </w:rPr>
              <w:t>(386) 274-2202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6940" w:type="dxa"/>
            <w:vAlign w:val="bottom"/>
            <w:gridSpan w:val="8"/>
          </w:tcPr>
          <w:p>
            <w:pPr>
              <w:jc w:val="center"/>
              <w:ind w:left="3161"/>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260" w:type="dxa"/>
            <w:vAlign w:val="bottom"/>
          </w:tcPr>
          <w:p>
            <w:pPr>
              <w:spacing w:after="0"/>
              <w:rPr>
                <w:sz w:val="18"/>
                <w:szCs w:val="18"/>
                <w:color w:val="auto"/>
              </w:rPr>
            </w:pPr>
          </w:p>
        </w:tc>
      </w:tr>
      <w:tr>
        <w:trPr>
          <w:trHeight w:val="162"/>
        </w:trPr>
        <w:tc>
          <w:tcPr>
            <w:tcW w:w="3820" w:type="dxa"/>
            <w:vAlign w:val="bottom"/>
            <w:gridSpan w:val="4"/>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291"/>
        </w:trPr>
        <w:tc>
          <w:tcPr>
            <w:tcW w:w="42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4180" w:type="dxa"/>
            <w:vAlign w:val="bottom"/>
            <w:gridSpan w:val="4"/>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760" w:type="dxa"/>
            <w:vAlign w:val="bottom"/>
            <w:gridSpan w:val="4"/>
          </w:tcPr>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260" w:type="dxa"/>
            <w:vAlign w:val="bottom"/>
          </w:tcPr>
          <w:p>
            <w:pPr>
              <w:jc w:val="center"/>
              <w:ind w:right="61"/>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8"/>
        </w:trPr>
        <w:tc>
          <w:tcPr>
            <w:tcW w:w="20" w:type="dxa"/>
            <w:vAlign w:val="bottom"/>
          </w:tcPr>
          <w:p>
            <w:pPr>
              <w:spacing w:after="0"/>
              <w:rPr>
                <w:sz w:val="13"/>
                <w:szCs w:val="13"/>
                <w:color w:val="auto"/>
              </w:rPr>
            </w:pPr>
          </w:p>
        </w:tc>
        <w:tc>
          <w:tcPr>
            <w:tcW w:w="336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40" w:type="dxa"/>
            <w:vAlign w:val="bottom"/>
            <w:tcBorders>
              <w:top w:val="single" w:sz="8" w:color="auto"/>
            </w:tcBorders>
            <w:gridSpan w:val="2"/>
          </w:tcPr>
          <w:p>
            <w:pPr>
              <w:jc w:val="center"/>
              <w:ind w:right="640"/>
              <w:spacing w:after="0" w:line="158" w:lineRule="exact"/>
              <w:rPr>
                <w:sz w:val="20"/>
                <w:szCs w:val="20"/>
                <w:color w:val="auto"/>
              </w:rPr>
            </w:pPr>
            <w:r>
              <w:rPr>
                <w:rFonts w:ascii="Times New Roman" w:cs="Times New Roman" w:eastAsia="Times New Roman" w:hAnsi="Times New Roman"/>
                <w:sz w:val="14"/>
                <w:szCs w:val="14"/>
                <w:b w:val="1"/>
                <w:bCs w:val="1"/>
                <w:color w:val="auto"/>
              </w:rPr>
              <w:t>CTO</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tcPr>
          <w:p>
            <w:pPr>
              <w:jc w:val="center"/>
              <w:ind w:right="61"/>
              <w:spacing w:after="0" w:line="158" w:lineRule="exact"/>
              <w:rPr>
                <w:sz w:val="20"/>
                <w:szCs w:val="20"/>
                <w:color w:val="auto"/>
              </w:rPr>
            </w:pPr>
            <w:r>
              <w:rPr>
                <w:rFonts w:ascii="Times New Roman" w:cs="Times New Roman" w:eastAsia="Times New Roman" w:hAnsi="Times New Roman"/>
                <w:sz w:val="14"/>
                <w:szCs w:val="14"/>
                <w:b w:val="1"/>
                <w:bCs w:val="1"/>
                <w:color w:val="auto"/>
              </w:rPr>
              <w:t>NYSE</w:t>
            </w:r>
          </w:p>
        </w:tc>
      </w:tr>
      <w:tr>
        <w:trPr>
          <w:trHeight w:val="162"/>
        </w:trPr>
        <w:tc>
          <w:tcPr>
            <w:tcW w:w="20" w:type="dxa"/>
            <w:vAlign w:val="bottom"/>
          </w:tcPr>
          <w:p>
            <w:pPr>
              <w:spacing w:after="0"/>
              <w:rPr>
                <w:sz w:val="14"/>
                <w:szCs w:val="14"/>
                <w:color w:val="auto"/>
              </w:rPr>
            </w:pPr>
          </w:p>
        </w:tc>
        <w:tc>
          <w:tcPr>
            <w:tcW w:w="41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6.375% Series A Cumulative Redeemable</w:t>
            </w: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1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Preferred Stock, $0.01 par value per share</w:t>
            </w:r>
          </w:p>
        </w:tc>
        <w:tc>
          <w:tcPr>
            <w:tcW w:w="276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CTO PrA</w:t>
            </w:r>
          </w:p>
        </w:tc>
        <w:tc>
          <w:tcPr>
            <w:tcW w:w="32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185" w:lineRule="exact"/>
        <w:rPr>
          <w:sz w:val="24"/>
          <w:szCs w:val="24"/>
          <w:color w:val="auto"/>
        </w:rPr>
      </w:pPr>
    </w:p>
    <w:p>
      <w:pPr>
        <w:ind w:left="10" w:right="160" w:firstLine="441"/>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left="10" w:right="180" w:firstLine="441"/>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ind w:left="10" w:right="160" w:firstLine="441"/>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97"/>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 w:lineRule="exact"/>
        <w:rPr>
          <w:sz w:val="24"/>
          <w:szCs w:val="24"/>
          <w:color w:val="auto"/>
        </w:rPr>
      </w:pPr>
    </w:p>
    <w:p>
      <w:pPr>
        <w:ind w:left="10" w:right="140" w:firstLine="441"/>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450" w:right="128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21, 2022, there were 6,034,355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595630</wp:posOffset>
            </wp:positionV>
            <wp:extent cx="6497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218440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201295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9"/>
          </w:tcPr>
          <w:p>
            <w:pPr>
              <w:ind w:left="1060"/>
              <w:spacing w:after="0"/>
              <w:rPr>
                <w:sz w:val="20"/>
                <w:szCs w:val="20"/>
                <w:color w:val="auto"/>
              </w:rPr>
            </w:pPr>
            <w:r>
              <w:rPr>
                <w:rFonts w:ascii="Times New Roman" w:cs="Times New Roman" w:eastAsia="Times New Roman" w:hAnsi="Times New Roman"/>
                <w:sz w:val="18"/>
                <w:szCs w:val="18"/>
                <w:color w:val="auto"/>
              </w:rPr>
              <w:t>INDEX</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846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56"/>
        </w:trPr>
        <w:tc>
          <w:tcPr>
            <w:tcW w:w="8460" w:type="dxa"/>
            <w:vAlign w:val="bottom"/>
            <w:gridSpan w:val="24"/>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1580" w:type="dxa"/>
            <w:vAlign w:val="bottom"/>
            <w:tcBorders>
              <w:top w:val="single" w:sz="8" w:color="0000EE"/>
              <w:bottom w:val="single" w:sz="8" w:color="0000EE"/>
            </w:tcBorders>
            <w:gridSpan w:val="7"/>
          </w:tcPr>
          <w:p>
            <w:pPr>
              <w:ind w:left="80"/>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680" w:type="dxa"/>
            <w:vAlign w:val="bottom"/>
            <w:tcBorders>
              <w:top w:val="single" w:sz="8" w:color="0000EE"/>
            </w:tcBorders>
            <w:gridSpan w:val="4"/>
          </w:tcPr>
          <w:p>
            <w:pPr>
              <w:spacing w:after="0"/>
              <w:rPr>
                <w:sz w:val="24"/>
                <w:szCs w:val="24"/>
                <w:color w:val="auto"/>
              </w:rPr>
            </w:pPr>
          </w:p>
        </w:tc>
        <w:tc>
          <w:tcPr>
            <w:tcW w:w="550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61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Consolidated Balance Sheets – March 31, 2022 (Unaudited) and December 31, 2021</w:t>
            </w:r>
          </w:p>
        </w:tc>
        <w:tc>
          <w:tcPr>
            <w:tcW w:w="204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2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months ended March 31, 2022 and 2021 (Unaudited)</w:t>
            </w:r>
          </w:p>
        </w:tc>
        <w:tc>
          <w:tcPr>
            <w:tcW w:w="86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 Three months ended March 31, 2022 and 2021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280" w:type="dxa"/>
            <w:vAlign w:val="bottom"/>
            <w:tcBorders>
              <w:top w:val="single" w:sz="8" w:color="0000EE"/>
            </w:tcBorders>
            <w:gridSpan w:val="17"/>
          </w:tcPr>
          <w:p>
            <w:pPr>
              <w:spacing w:after="0"/>
              <w:rPr>
                <w:sz w:val="17"/>
                <w:szCs w:val="17"/>
                <w:color w:val="auto"/>
              </w:rPr>
            </w:pPr>
          </w:p>
        </w:tc>
        <w:tc>
          <w:tcPr>
            <w:tcW w:w="86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1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months ended March 31, 2022 and 2021</w:t>
            </w:r>
          </w:p>
        </w:tc>
        <w:tc>
          <w:tcPr>
            <w:tcW w:w="104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7140" w:type="dxa"/>
            <w:vAlign w:val="bottom"/>
            <w:gridSpan w:val="1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3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 Three months ended March 31, 2022 and 2021 (Unaudited)</w:t>
            </w:r>
          </w:p>
        </w:tc>
        <w:tc>
          <w:tcPr>
            <w:tcW w:w="8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81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2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22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412"/>
        </w:trPr>
        <w:tc>
          <w:tcPr>
            <w:tcW w:w="51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332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12"/>
        </w:trPr>
        <w:tc>
          <w:tcPr>
            <w:tcW w:w="25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90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412"/>
        </w:trPr>
        <w:tc>
          <w:tcPr>
            <w:tcW w:w="26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80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760" w:type="dxa"/>
            <w:vAlign w:val="bottom"/>
            <w:gridSpan w:val="21"/>
          </w:tcPr>
          <w:p>
            <w:pPr>
              <w:ind w:left="80"/>
              <w:spacing w:after="0"/>
              <w:rPr>
                <w:sz w:val="20"/>
                <w:szCs w:val="20"/>
                <w:color w:val="auto"/>
              </w:rPr>
            </w:pPr>
            <w:r>
              <w:rPr>
                <w:rFonts w:ascii="Times New Roman" w:cs="Times New Roman" w:eastAsia="Times New Roman" w:hAnsi="Times New Roman"/>
                <w:sz w:val="18"/>
                <w:szCs w:val="18"/>
                <w:color w:val="0000EE"/>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1A.</w:t>
            </w:r>
          </w:p>
        </w:tc>
        <w:tc>
          <w:tcPr>
            <w:tcW w:w="980" w:type="dxa"/>
            <w:vAlign w:val="bottom"/>
            <w:tcBorders>
              <w:top w:val="single" w:sz="8" w:color="0000EE"/>
              <w:bottom w:val="single" w:sz="8" w:color="0000EE"/>
            </w:tcBorders>
            <w:gridSpan w:val="4"/>
          </w:tcPr>
          <w:p>
            <w:pPr>
              <w:ind w:left="80"/>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636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31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2020" w:type="dxa"/>
            <w:vAlign w:val="bottom"/>
            <w:tcBorders>
              <w:top w:val="single" w:sz="8" w:color="0000EE"/>
            </w:tcBorders>
            <w:gridSpan w:val="2"/>
          </w:tcPr>
          <w:p>
            <w:pPr>
              <w:spacing w:after="0"/>
              <w:rPr>
                <w:sz w:val="24"/>
                <w:szCs w:val="24"/>
                <w:color w:val="auto"/>
              </w:rPr>
            </w:pPr>
          </w:p>
        </w:tc>
        <w:tc>
          <w:tcPr>
            <w:tcW w:w="334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84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1840" w:type="dxa"/>
            <w:vAlign w:val="bottom"/>
            <w:tcBorders>
              <w:top w:val="single" w:sz="8" w:color="0000EE"/>
            </w:tcBorders>
            <w:gridSpan w:val="8"/>
          </w:tcPr>
          <w:p>
            <w:pPr>
              <w:ind w:left="80"/>
              <w:spacing w:after="0"/>
              <w:rPr>
                <w:sz w:val="20"/>
                <w:szCs w:val="20"/>
                <w:color w:val="auto"/>
              </w:rPr>
            </w:pPr>
            <w:r>
              <w:rPr>
                <w:rFonts w:ascii="Times New Roman" w:cs="Times New Roman" w:eastAsia="Times New Roman" w:hAnsi="Times New Roman"/>
                <w:sz w:val="18"/>
                <w:szCs w:val="18"/>
                <w:color w:val="0000EE"/>
              </w:rPr>
              <w:t>Other Information</w:t>
            </w:r>
          </w:p>
        </w:tc>
        <w:tc>
          <w:tcPr>
            <w:tcW w:w="59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680" w:type="dxa"/>
            <w:vAlign w:val="bottom"/>
            <w:tcBorders>
              <w:top w:val="single" w:sz="8" w:color="0000EE"/>
              <w:bottom w:val="single" w:sz="8" w:color="0000EE"/>
            </w:tcBorders>
            <w:gridSpan w:val="3"/>
          </w:tcPr>
          <w:p>
            <w:pPr>
              <w:ind w:left="80"/>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6380" w:type="dxa"/>
            <w:vAlign w:val="bottom"/>
            <w:gridSpan w:val="16"/>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2"/>
        </w:trPr>
        <w:tc>
          <w:tcPr>
            <w:tcW w:w="11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360" w:type="dxa"/>
            <w:vAlign w:val="bottom"/>
            <w:gridSpan w:val="20"/>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227"/>
        </w:trPr>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120" w:type="dxa"/>
            <w:vAlign w:val="bottom"/>
            <w:tcBorders>
              <w:bottom w:val="single" w:sz="8" w:color="auto"/>
            </w:tcBorders>
          </w:tcPr>
          <w:p>
            <w:pPr>
              <w:spacing w:after="0"/>
              <w:rPr>
                <w:sz w:val="19"/>
                <w:szCs w:val="19"/>
                <w:color w:val="auto"/>
              </w:rPr>
            </w:pPr>
          </w:p>
        </w:tc>
      </w:tr>
      <w:tr>
        <w:trPr>
          <w:trHeight w:val="17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7"/>
                <w:szCs w:val="17"/>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3"/>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27"/>
        </w:trPr>
        <w:tc>
          <w:tcPr>
            <w:tcW w:w="6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2022</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97"/>
        </w:trPr>
        <w:tc>
          <w:tcPr>
            <w:tcW w:w="6120" w:type="dxa"/>
            <w:vAlign w:val="bottom"/>
            <w:shd w:val="clear" w:color="auto" w:fill="CCEEFF"/>
          </w:tcPr>
          <w:p>
            <w:pPr>
              <w:ind w:left="2720"/>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Real Estate: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Land, at Cost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205,241</w:t>
            </w:r>
          </w:p>
        </w:tc>
        <w:tc>
          <w:tcPr>
            <w:tcW w:w="1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189,589</w:t>
            </w:r>
          </w:p>
        </w:tc>
      </w:tr>
      <w:tr>
        <w:trPr>
          <w:trHeight w:val="203"/>
        </w:trPr>
        <w:tc>
          <w:tcPr>
            <w:tcW w:w="6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Building and Improvements, at Cost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343,717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325,418</w:t>
            </w:r>
          </w:p>
        </w:tc>
      </w:tr>
      <w:tr>
        <w:trPr>
          <w:trHeight w:val="203"/>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Furnishings and Equipment, at Cost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r>
      <w:tr>
        <w:trPr>
          <w:trHeight w:val="203"/>
        </w:trPr>
        <w:tc>
          <w:tcPr>
            <w:tcW w:w="6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Construction in Process, at Cost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5,163</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3,150</w:t>
            </w:r>
          </w:p>
        </w:tc>
      </w:tr>
      <w:tr>
        <w:trPr>
          <w:trHeight w:val="196"/>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Real Estate, at Cost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554,857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518,864</w:t>
            </w:r>
          </w:p>
        </w:tc>
      </w:tr>
      <w:tr>
        <w:trPr>
          <w:trHeight w:val="203"/>
        </w:trPr>
        <w:tc>
          <w:tcPr>
            <w:tcW w:w="6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(27,844)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(24,169)</w:t>
            </w:r>
          </w:p>
        </w:tc>
      </w:tr>
      <w:tr>
        <w:trPr>
          <w:trHeight w:val="196"/>
        </w:trPr>
        <w:tc>
          <w:tcPr>
            <w:tcW w:w="61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Real Estate—Net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527,013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494,695</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Land and Development Costs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Lease Assets—Net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81,925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79,492</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Assets Held for Sale—See Note 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6,720</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in Alpine Income Property Trust, Inc.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41,037</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Mitigation Credits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3,702</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Mitigation Credit Rights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Commercial Loan and Master Lease Investments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39,095</w:t>
            </w:r>
          </w:p>
        </w:tc>
      </w:tr>
      <w:tr>
        <w:trPr>
          <w:trHeight w:val="202"/>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8,615</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26,385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22,734</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Refundable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Assets—See Note 12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23,127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14,897</w:t>
            </w:r>
          </w:p>
        </w:tc>
      </w:tr>
      <w:tr>
        <w:trPr>
          <w:trHeight w:val="236"/>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754,219</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733,139</w:t>
            </w:r>
          </w:p>
        </w:tc>
      </w:tr>
      <w:tr>
        <w:trPr>
          <w:trHeight w:val="183"/>
        </w:trPr>
        <w:tc>
          <w:tcPr>
            <w:tcW w:w="6120" w:type="dxa"/>
            <w:vAlign w:val="bottom"/>
            <w:shd w:val="clear" w:color="auto" w:fill="CCEEFF"/>
          </w:tcPr>
          <w:p>
            <w:pPr>
              <w:ind w:left="1260"/>
              <w:spacing w:after="0" w:line="182"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3"/>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r>
      <w:tr>
        <w:trPr>
          <w:trHeight w:val="203"/>
        </w:trPr>
        <w:tc>
          <w:tcPr>
            <w:tcW w:w="6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and Other Liabilities—See Note 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13,121</w:t>
            </w:r>
          </w:p>
        </w:tc>
      </w:tr>
      <w:tr>
        <w:trPr>
          <w:trHeight w:val="203"/>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Revenue—See Note 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4,505</w:t>
            </w:r>
          </w:p>
        </w:tc>
      </w:tr>
      <w:tr>
        <w:trPr>
          <w:trHeight w:val="203"/>
        </w:trPr>
        <w:tc>
          <w:tcPr>
            <w:tcW w:w="6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Intangible Lease Liabilities—Net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5,601</w:t>
            </w:r>
          </w:p>
        </w:tc>
      </w:tr>
      <w:tr>
        <w:trPr>
          <w:trHeight w:val="203"/>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Deferred Income Taxes—Net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w:t>
            </w:r>
          </w:p>
        </w:tc>
      </w:tr>
      <w:tr>
        <w:trPr>
          <w:trHeight w:val="203"/>
        </w:trPr>
        <w:tc>
          <w:tcPr>
            <w:tcW w:w="6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Long-Term Debt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298,079</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278,273</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323,680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302,659</w:t>
            </w:r>
          </w:p>
        </w:tc>
      </w:tr>
      <w:tr>
        <w:trPr>
          <w:trHeight w:val="196"/>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Contingencies—See Note 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1"/>
        </w:trPr>
        <w:tc>
          <w:tcPr>
            <w:tcW w:w="612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Preferred Stock – 100,000,000 shares authorized; $0.01 par value, 6.375% Series A</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Cumulative Redeemable Preferred Stock, $25.00 Per Share Liquidation Preference,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6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3,000,000 shares issued and outstanding at March 31, 2022 and December 31, 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182"/>
        </w:trPr>
        <w:tc>
          <w:tcPr>
            <w:tcW w:w="612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Common Stock – 500,000,000 shares authorized; $0.01 par value, 6,011,611 shares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02"/>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issued and outstanding at March 31, 2022 and 5,916,226 shares issued and outstanding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4"/>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at December 31, 2021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03"/>
        </w:trPr>
        <w:tc>
          <w:tcPr>
            <w:tcW w:w="6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85,414</w:t>
            </w:r>
          </w:p>
        </w:tc>
      </w:tr>
      <w:tr>
        <w:trPr>
          <w:trHeight w:val="203"/>
        </w:trPr>
        <w:tc>
          <w:tcPr>
            <w:tcW w:w="6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Retained Earnings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339,828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343,459</w:t>
            </w:r>
          </w:p>
        </w:tc>
      </w:tr>
      <w:tr>
        <w:trPr>
          <w:trHeight w:val="203"/>
        </w:trPr>
        <w:tc>
          <w:tcPr>
            <w:tcW w:w="6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9,529</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1,517</w:t>
            </w:r>
          </w:p>
        </w:tc>
      </w:tr>
      <w:tr>
        <w:trPr>
          <w:trHeight w:val="196"/>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430,539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430,480</w:t>
            </w:r>
          </w:p>
        </w:tc>
      </w:tr>
      <w:tr>
        <w:trPr>
          <w:trHeight w:val="196"/>
        </w:trPr>
        <w:tc>
          <w:tcPr>
            <w:tcW w:w="6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754,219</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733,139</w:t>
            </w: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Fee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From Commercial Loan and Master Lease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Revenues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Properties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 Estate Operations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Direct Cost of Revenues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Gains and Income (Loss)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(Loss)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(Loss) Before Income Tax Benefit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Information—See Note 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and Diluted Net Income (Loss) Attributable to Common Stockholders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5,908,892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5,879,085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Borders>
              <w:bottom w:val="single" w:sz="8" w:color="auto"/>
            </w:tcBorders>
          </w:tcPr>
          <w:p>
            <w:pPr>
              <w:spacing w:after="0"/>
              <w:rPr>
                <w:sz w:val="20"/>
                <w:szCs w:val="20"/>
                <w:color w:val="auto"/>
              </w:rPr>
            </w:pPr>
          </w:p>
        </w:tc>
      </w:tr>
      <w:tr>
        <w:trPr>
          <w:trHeight w:val="210"/>
        </w:trPr>
        <w:tc>
          <w:tcPr>
            <w:tcW w:w="50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Flow Hedging Derivative - Interest Rate Swaps</w:t>
            </w:r>
          </w:p>
        </w:tc>
        <w:tc>
          <w:tcPr>
            <w:tcW w:w="1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10"/>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1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09"/>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r>
      <w:tr>
        <w:trPr>
          <w:trHeight w:val="20"/>
        </w:trPr>
        <w:tc>
          <w:tcPr>
            <w:tcW w:w="5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three months ended March 31, 2022:</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6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8"/>
        </w:trPr>
        <w:tc>
          <w:tcPr>
            <w:tcW w:w="2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January 1, 2022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85,414</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343,459</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1,517</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430,480</w:t>
            </w: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 Attributable to the Company</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w:t>
            </w:r>
          </w:p>
        </w:tc>
      </w:tr>
      <w:tr>
        <w:trPr>
          <w:trHeight w:val="117"/>
        </w:trPr>
        <w:tc>
          <w:tcPr>
            <w:tcW w:w="296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Adjustment to Equity Component of Convertible Debt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Upon Adoption of ASU 2020-06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(7,034)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(3,012)</w:t>
            </w: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Vested Restricted Stock and Performance Shares</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(845)</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(845)</w:t>
            </w:r>
          </w:p>
        </w:tc>
      </w:tr>
      <w:tr>
        <w:trPr>
          <w:trHeight w:val="117"/>
        </w:trPr>
        <w:tc>
          <w:tcPr>
            <w:tcW w:w="296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Exercise of Stock Options and Stock Issuance to</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Directors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Issuance, Net of Equity Issuance Costs</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2,789</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619</w:t>
            </w: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Stock Dividends Declared for the Period</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(1,195)</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(1,195)</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 Stock Dividends Declared for the Period</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(6,660)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(6,660)</w:t>
            </w: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ind w:left="4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8,012</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8,012</w:t>
            </w:r>
          </w:p>
        </w:tc>
      </w:tr>
      <w:tr>
        <w:trPr>
          <w:trHeight w:val="128"/>
        </w:trPr>
        <w:tc>
          <w:tcPr>
            <w:tcW w:w="296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2022</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ind w:left="4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81,092</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339,828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9,529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430,539</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For the three months ended March 31, 2021:</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Treasury</w:t>
            </w:r>
          </w:p>
        </w:tc>
        <w:tc>
          <w:tcPr>
            <w:tcW w:w="10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6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3"/>
                <w:szCs w:val="13"/>
                <w:color w:val="auto"/>
              </w:rPr>
            </w:pPr>
          </w:p>
        </w:tc>
        <w:tc>
          <w:tcPr>
            <w:tcW w:w="6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8"/>
        </w:trPr>
        <w:tc>
          <w:tcPr>
            <w:tcW w:w="2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January 1, 2021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ind w:left="5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7,250</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(77,541)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83,183</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339,917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(1,910)</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350,899</w:t>
            </w: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Income Attributable to the Company</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7,785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7,785</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Vested Restricted Stock and Performance Shares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(436)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(436)</w:t>
            </w:r>
          </w:p>
        </w:tc>
      </w:tr>
      <w:tr>
        <w:trPr>
          <w:trHeight w:val="117"/>
        </w:trPr>
        <w:tc>
          <w:tcPr>
            <w:tcW w:w="29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Exercise of Stock Options and Stock Issuance to</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Directors</w:t>
            </w:r>
          </w:p>
        </w:tc>
        <w:tc>
          <w:tcPr>
            <w:tcW w:w="8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w:t>
            </w:r>
          </w:p>
        </w:tc>
      </w:tr>
      <w:tr>
        <w:trPr>
          <w:trHeight w:val="117"/>
        </w:trPr>
        <w:tc>
          <w:tcPr>
            <w:tcW w:w="296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Par Value $0.01 per Share and Treasury Stock</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2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Derecognized at January 29, 2021</w:t>
            </w:r>
          </w:p>
        </w:tc>
        <w:tc>
          <w:tcPr>
            <w:tcW w:w="80" w:type="dxa"/>
            <w:vAlign w:val="bottom"/>
          </w:tcPr>
          <w:p>
            <w:pPr>
              <w:spacing w:after="0"/>
              <w:rPr>
                <w:sz w:val="13"/>
                <w:szCs w:val="13"/>
                <w:color w:val="auto"/>
              </w:rPr>
            </w:pP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(7,190)</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77,541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(70,351)</w:t>
            </w: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 Issuance, Net of Equity Issuance Costs</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r>
      <w:tr>
        <w:trPr>
          <w:trHeight w:val="135"/>
        </w:trPr>
        <w:tc>
          <w:tcPr>
            <w:tcW w:w="29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 Stock Dividends Declared for the Period</w:t>
            </w:r>
          </w:p>
        </w:tc>
        <w:tc>
          <w:tcPr>
            <w:tcW w:w="80" w:type="dxa"/>
            <w:vAlign w:val="bottom"/>
          </w:tcPr>
          <w:p>
            <w:pPr>
              <w:spacing w:after="0"/>
              <w:rPr>
                <w:sz w:val="11"/>
                <w:szCs w:val="11"/>
                <w:color w:val="auto"/>
              </w:rPr>
            </w:pPr>
          </w:p>
        </w:tc>
        <w:tc>
          <w:tcPr>
            <w:tcW w:w="740" w:type="dxa"/>
            <w:vAlign w:val="bottom"/>
            <w:gridSpan w:val="2"/>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(6,057)</w:t>
            </w: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(6,057)</w:t>
            </w:r>
          </w:p>
        </w:tc>
      </w:tr>
      <w:tr>
        <w:trPr>
          <w:trHeight w:val="135"/>
        </w:trPr>
        <w:tc>
          <w:tcPr>
            <w:tcW w:w="2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1,237</w:t>
            </w:r>
          </w:p>
        </w:tc>
      </w:tr>
      <w:tr>
        <w:trPr>
          <w:trHeight w:val="128"/>
        </w:trPr>
        <w:tc>
          <w:tcPr>
            <w:tcW w:w="2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ind w:left="5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13,341</w:t>
            </w:r>
          </w:p>
        </w:tc>
        <w:tc>
          <w:tcPr>
            <w:tcW w:w="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341,645</w:t>
            </w: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(673)</w:t>
            </w: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354,373</w:t>
            </w:r>
          </w:p>
        </w:tc>
      </w:tr>
      <w:tr>
        <w:trPr>
          <w:trHeight w:val="20"/>
        </w:trPr>
        <w:tc>
          <w:tcPr>
            <w:tcW w:w="2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Attributable to the Company</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7,785</w:t>
            </w:r>
          </w:p>
        </w:tc>
        <w:tc>
          <w:tcPr>
            <w:tcW w:w="20" w:type="dxa"/>
            <w:vAlign w:val="bottom"/>
          </w:tcPr>
          <w:p>
            <w:pPr>
              <w:spacing w:after="0"/>
              <w:rPr>
                <w:sz w:val="12"/>
                <w:szCs w:val="12"/>
                <w:color w:val="auto"/>
              </w:rPr>
            </w:pPr>
          </w:p>
        </w:tc>
      </w:tr>
      <w:tr>
        <w:trPr>
          <w:trHeight w:val="126"/>
        </w:trPr>
        <w:tc>
          <w:tcPr>
            <w:tcW w:w="594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Attributable to the Company to Net Cash Provided by</w:t>
            </w: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4,830</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Liabilities to Income Property Revenue</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Discount on Convertible Debt</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(Gain) on Disposition of Assets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Loss on Disposition of Commercial Loan and Master Lease Investments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Accretion of Commercial Loan and Master Lease Investment Origination Fees</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Imputed Interest</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(558)</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Unrealized (Gain) Loss on Investment Securities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(4,834)</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958</w:t>
            </w:r>
          </w:p>
        </w:tc>
        <w:tc>
          <w:tcPr>
            <w:tcW w:w="20" w:type="dxa"/>
            <w:vAlign w:val="bottom"/>
          </w:tcPr>
          <w:p>
            <w:pPr>
              <w:spacing w:after="0"/>
              <w:rPr>
                <w:sz w:val="12"/>
                <w:szCs w:val="12"/>
                <w:color w:val="auto"/>
              </w:rPr>
            </w:pPr>
          </w:p>
        </w:tc>
      </w:tr>
      <w:tr>
        <w:trPr>
          <w:trHeight w:val="148"/>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Land and Development Costs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Mitigation Credits and Mitigation Credit Rights</w:t>
            </w:r>
          </w:p>
        </w:tc>
        <w:tc>
          <w:tcPr>
            <w:tcW w:w="14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Pr>
          <w:p>
            <w:pPr>
              <w:spacing w:after="0"/>
              <w:rPr>
                <w:sz w:val="12"/>
                <w:szCs w:val="12"/>
                <w:color w:val="auto"/>
              </w:rPr>
            </w:pPr>
          </w:p>
        </w:tc>
      </w:tr>
      <w:tr>
        <w:trPr>
          <w:trHeight w:val="148"/>
        </w:trPr>
        <w:tc>
          <w:tcPr>
            <w:tcW w:w="59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and Other Liabilities</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Pr>
          <w:p>
            <w:pPr>
              <w:spacing w:after="0"/>
              <w:rPr>
                <w:sz w:val="12"/>
                <w:szCs w:val="12"/>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11,428</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6,338</w:t>
            </w:r>
          </w:p>
        </w:tc>
        <w:tc>
          <w:tcPr>
            <w:tcW w:w="20" w:type="dxa"/>
            <w:vAlign w:val="bottom"/>
          </w:tcPr>
          <w:p>
            <w:pPr>
              <w:spacing w:after="0"/>
              <w:rPr>
                <w:sz w:val="12"/>
                <w:szCs w:val="12"/>
                <w:color w:val="auto"/>
              </w:rPr>
            </w:pP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Real Estate and Intangible Lease Assets and Liabilities</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(23,864)</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(39,115)</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Contribution to Joint Ventures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Plant, and Equipment, Net, and Assets Held for Sale</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6,754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4,702</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 and Master Lease Investments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Investment Securities</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(34,422)</w:t>
            </w:r>
          </w:p>
        </w:tc>
        <w:tc>
          <w:tcPr>
            <w:tcW w:w="20" w:type="dxa"/>
            <w:vAlign w:val="bottom"/>
          </w:tcPr>
          <w:p>
            <w:pPr>
              <w:spacing w:after="0"/>
              <w:rPr>
                <w:sz w:val="12"/>
                <w:szCs w:val="12"/>
                <w:color w:val="auto"/>
              </w:rPr>
            </w:pP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84,000</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(77,183)</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for Exercise of Stock Options and Common Stock Issuance</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Vesting of Restricted Stock</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Net</w:t>
            </w:r>
          </w:p>
        </w:tc>
        <w:tc>
          <w:tcPr>
            <w:tcW w:w="1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9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Preferred Stock</w:t>
            </w:r>
          </w:p>
        </w:tc>
        <w:tc>
          <w:tcPr>
            <w:tcW w:w="1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(1,195)</w:t>
            </w: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9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 - Common Stock</w:t>
            </w:r>
          </w:p>
        </w:tc>
        <w:tc>
          <w:tcPr>
            <w:tcW w:w="140" w:type="dxa"/>
            <w:vAlign w:val="bottom"/>
          </w:tcPr>
          <w:p>
            <w:pPr>
              <w:spacing w:after="0"/>
              <w:rPr>
                <w:sz w:val="12"/>
                <w:szCs w:val="12"/>
                <w:color w:val="auto"/>
              </w:rPr>
            </w:pPr>
          </w:p>
        </w:tc>
        <w:tc>
          <w:tcPr>
            <w:tcW w:w="14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(6,417)</w:t>
            </w: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(5,929)</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92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(6,926)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(441)</w:t>
            </w:r>
          </w:p>
        </w:tc>
        <w:tc>
          <w:tcPr>
            <w:tcW w:w="20" w:type="dxa"/>
            <w:vAlign w:val="bottom"/>
          </w:tcPr>
          <w:p>
            <w:pPr>
              <w:spacing w:after="0"/>
              <w:rPr>
                <w:sz w:val="12"/>
                <w:szCs w:val="12"/>
                <w:color w:val="auto"/>
              </w:rPr>
            </w:pPr>
          </w:p>
        </w:tc>
      </w:tr>
      <w:tr>
        <w:trPr>
          <w:trHeight w:val="142"/>
        </w:trPr>
        <w:tc>
          <w:tcPr>
            <w:tcW w:w="59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4,486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(28,525)</w:t>
            </w:r>
          </w:p>
        </w:tc>
        <w:tc>
          <w:tcPr>
            <w:tcW w:w="20" w:type="dxa"/>
            <w:vAlign w:val="bottom"/>
          </w:tcPr>
          <w:p>
            <w:pPr>
              <w:spacing w:after="0"/>
              <w:rPr>
                <w:sz w:val="12"/>
                <w:szCs w:val="12"/>
                <w:color w:val="auto"/>
              </w:rPr>
            </w:pPr>
          </w:p>
        </w:tc>
      </w:tr>
      <w:tr>
        <w:trPr>
          <w:trHeight w:val="148"/>
        </w:trPr>
        <w:tc>
          <w:tcPr>
            <w:tcW w:w="59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31,349</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33,825</w:t>
            </w:r>
          </w:p>
        </w:tc>
        <w:tc>
          <w:tcPr>
            <w:tcW w:w="20" w:type="dxa"/>
            <w:vAlign w:val="bottom"/>
          </w:tcPr>
          <w:p>
            <w:pPr>
              <w:spacing w:after="0"/>
              <w:rPr>
                <w:sz w:val="12"/>
                <w:szCs w:val="12"/>
                <w:color w:val="auto"/>
              </w:rPr>
            </w:pPr>
          </w:p>
        </w:tc>
      </w:tr>
      <w:tr>
        <w:trPr>
          <w:trHeight w:val="182"/>
        </w:trPr>
        <w:tc>
          <w:tcPr>
            <w:tcW w:w="594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35,835</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5,300</w:t>
            </w:r>
          </w:p>
        </w:tc>
        <w:tc>
          <w:tcPr>
            <w:tcW w:w="20" w:type="dxa"/>
            <w:vAlign w:val="bottom"/>
          </w:tcPr>
          <w:p>
            <w:pPr>
              <w:spacing w:after="0"/>
              <w:rPr>
                <w:sz w:val="15"/>
                <w:szCs w:val="15"/>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30"/>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9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9,450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4,691</w:t>
            </w:r>
          </w:p>
        </w:tc>
        <w:tc>
          <w:tcPr>
            <w:tcW w:w="20" w:type="dxa"/>
            <w:vAlign w:val="bottom"/>
          </w:tcPr>
          <w:p>
            <w:pPr>
              <w:spacing w:after="0"/>
              <w:rPr>
                <w:sz w:val="12"/>
                <w:szCs w:val="12"/>
                <w:color w:val="auto"/>
              </w:rPr>
            </w:pPr>
          </w:p>
        </w:tc>
      </w:tr>
      <w:tr>
        <w:trPr>
          <w:trHeight w:val="149"/>
        </w:trPr>
        <w:tc>
          <w:tcPr>
            <w:tcW w:w="594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26,385</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20" w:type="dxa"/>
            <w:vAlign w:val="bottom"/>
          </w:tcPr>
          <w:p>
            <w:pPr>
              <w:spacing w:after="0"/>
              <w:rPr>
                <w:sz w:val="12"/>
                <w:szCs w:val="12"/>
                <w:color w:val="auto"/>
              </w:rPr>
            </w:pPr>
          </w:p>
        </w:tc>
      </w:tr>
      <w:tr>
        <w:trPr>
          <w:trHeight w:val="142"/>
        </w:trPr>
        <w:tc>
          <w:tcPr>
            <w:tcW w:w="594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35,835</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5,300</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5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 w:type="dxa"/>
            <w:vAlign w:val="bottom"/>
          </w:tcPr>
          <w:p>
            <w:pPr>
              <w:spacing w:after="0"/>
              <w:rPr>
                <w:sz w:val="12"/>
                <w:szCs w:val="12"/>
                <w:color w:val="auto"/>
              </w:rPr>
            </w:pPr>
          </w:p>
        </w:tc>
      </w:tr>
      <w:tr>
        <w:trPr>
          <w:trHeight w:val="142"/>
        </w:trPr>
        <w:tc>
          <w:tcPr>
            <w:tcW w:w="59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Taxes, Net of Refunds Received</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2"/>
                <w:szCs w:val="12"/>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(1,087)</w:t>
            </w: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(1,395)</w:t>
            </w:r>
          </w:p>
        </w:tc>
        <w:tc>
          <w:tcPr>
            <w:tcW w:w="20" w:type="dxa"/>
            <w:vAlign w:val="bottom"/>
          </w:tcPr>
          <w:p>
            <w:pPr>
              <w:spacing w:after="0"/>
              <w:rPr>
                <w:sz w:val="12"/>
                <w:szCs w:val="12"/>
                <w:color w:val="auto"/>
              </w:rPr>
            </w:pPr>
          </w:p>
        </w:tc>
      </w:tr>
      <w:tr>
        <w:trPr>
          <w:trHeight w:val="149"/>
        </w:trPr>
        <w:tc>
          <w:tcPr>
            <w:tcW w:w="5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on Cash Flow Hedges</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8,012</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w:t>
            </w:r>
          </w:p>
        </w:tc>
        <w:tc>
          <w:tcPr>
            <w:tcW w:w="20" w:type="dxa"/>
            <w:vAlign w:val="bottom"/>
          </w:tcPr>
          <w:p>
            <w:pPr>
              <w:spacing w:after="0"/>
              <w:rPr>
                <w:sz w:val="12"/>
                <w:szCs w:val="12"/>
                <w:color w:val="auto"/>
              </w:rPr>
            </w:pPr>
          </w:p>
        </w:tc>
      </w:tr>
      <w:tr>
        <w:trPr>
          <w:trHeight w:val="148"/>
        </w:trPr>
        <w:tc>
          <w:tcPr>
            <w:tcW w:w="5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 to Equity Component of Convertible Debt Upon Adoption of ASU 2020-06</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59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 and Unpaid</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 w:type="dxa"/>
            <w:vAlign w:val="bottom"/>
          </w:tcPr>
          <w:p>
            <w:pPr>
              <w:spacing w:after="0"/>
              <w:rPr>
                <w:sz w:val="12"/>
                <w:szCs w:val="12"/>
                <w:color w:val="auto"/>
              </w:rPr>
            </w:pPr>
          </w:p>
        </w:tc>
      </w:tr>
      <w:tr>
        <w:trPr>
          <w:trHeight w:val="149"/>
        </w:trPr>
        <w:tc>
          <w:tcPr>
            <w:tcW w:w="594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Assumption of Mortgage Note Payable</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17,800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DESCRIPTION OF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We are a publicly traded, primarily retail-oriented, real estate investment trust (“REIT”) that was founded in 1910. We own and manage, sometimes utilizing third-party property management companies, 21 commercial real estate properties in nine states in the United States. As of March 31, 2022, we owned seven single-tenant and 14 multi-tenant income-producing properties comprising 2.8 million square feet of gross leasable space.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our income property portfolio, as of March 31, 2022, our business included the following: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Management Services:</w:t>
      </w:r>
    </w:p>
    <w:p>
      <w:pPr>
        <w:spacing w:after="0" w:line="225" w:lineRule="exact"/>
        <w:rPr>
          <w:sz w:val="20"/>
          <w:szCs w:val="20"/>
          <w:color w:val="auto"/>
        </w:rPr>
      </w:pPr>
    </w:p>
    <w:p>
      <w:pPr>
        <w:ind w:left="840" w:right="79" w:hanging="331"/>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fee-based management business that is engaged in managing Alpine Income Property Trust, Inc. (“PINE”), see Note 5, “Related Party Management Services Business”.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Commercial Loan and Master Lease Investments:</w:t>
      </w:r>
    </w:p>
    <w:p>
      <w:pPr>
        <w:spacing w:after="0" w:line="225" w:lineRule="exact"/>
        <w:rPr>
          <w:sz w:val="20"/>
          <w:szCs w:val="20"/>
          <w:color w:val="auto"/>
        </w:rPr>
      </w:pPr>
    </w:p>
    <w:p>
      <w:pPr>
        <w:jc w:val="both"/>
        <w:ind w:left="840" w:right="79" w:hanging="331"/>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portfolio of three commercial loan investments and one commercial property, which is included in the 21 commercial real estate properties above, whose lease is classified as commercial loan and master lease investment.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Real Estate Operations:</w:t>
      </w:r>
    </w:p>
    <w:p>
      <w:pPr>
        <w:spacing w:after="0" w:line="225" w:lineRule="exact"/>
        <w:rPr>
          <w:sz w:val="20"/>
          <w:szCs w:val="20"/>
          <w:color w:val="auto"/>
        </w:rPr>
      </w:pPr>
    </w:p>
    <w:p>
      <w:pPr>
        <w:ind w:left="840" w:right="79" w:hanging="331"/>
        <w:spacing w:after="0" w:line="282"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portfolio of subsurface mineral interests associated with approximately 365,000 surface acres in 19 counties in the State of Florida (“Subsurface Interests”); and</w:t>
      </w:r>
    </w:p>
    <w:p>
      <w:pPr>
        <w:spacing w:after="0" w:line="161" w:lineRule="exact"/>
        <w:rPr>
          <w:rFonts w:ascii="Times New Roman" w:cs="Times New Roman" w:eastAsia="Times New Roman" w:hAnsi="Times New Roman"/>
          <w:sz w:val="18"/>
          <w:szCs w:val="18"/>
          <w:color w:val="auto"/>
        </w:rPr>
      </w:pPr>
    </w:p>
    <w:p>
      <w:pPr>
        <w:jc w:val="both"/>
        <w:ind w:left="840" w:right="79" w:hanging="331"/>
        <w:spacing w:after="0" w:line="255"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(hereinafter defined in Note 7, “Investment in Joint Ventures”) completed on September 30, 2021, the Company held a 30% retained interest in the entity that owns the Mitigation Bank.</w:t>
      </w:r>
    </w:p>
    <w:p>
      <w:pPr>
        <w:spacing w:after="0" w:line="18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Our business also includes our investment in PINE. As of March 31, 2022, the fair value of our investment totaled $38.6 million, or 15.2%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 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Information</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pursuant to the rules and regulations of the Securities and Exchange Commission. These unaudited consolidated financial statements do not include all of the information and notes required by accounting principles generally accepted in the United States of America (“U.S. GAAP”) for complete financial statements, and should be read in conjunction with the Company’s Annual Report on Form 10-K for the year ended December 31, 2021, which provides a more complete understanding of the Company’s accounting policies, financial position, operating results, business properties, and other matters. The unaudited consolidated financial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statements reflect all adjustments which are, in the opinion of management, necessary to present fairly the financial position of the Company and the results of operations for the interim periods.</w:t>
      </w:r>
    </w:p>
    <w:p>
      <w:pPr>
        <w:spacing w:after="0" w:line="162"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2022 are not necessarily indicative of results to be expected for the year ending December 31,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Any real estate entities or properties included in the consolidated financial statements have been consolidated only for the periods that such entities or properties were owned or under control by us. All inter-company balances and transactions have been eliminated in the consolidated financial statements. As of March 31, 2022, the Company has an equity investment in PINE.</w:t>
      </w:r>
    </w:p>
    <w:p>
      <w:pPr>
        <w:spacing w:after="0" w:line="183"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Prior to the Interest Purchase (hereinafter defined in Note 7, “Investment in Joint Ventures”) completed on September 30, 2021, the Company held a 30% retained interest in the entity that owns the Mitigation Bank. Additionally, the Company held a 33.5% retained interest in the entity that held approximately 1,600 acres of undeveloped land in Daytona Beach, Florida (the “Land JV”) prior the sale of all of its remaining land holdings, which sale was completed on December 10, 2021, for $66.3 million to Timberline Acquisition Partners, LLC an affiliate of Timberline Real Estate Partners (the “Land JV Sale”).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0"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the Company’s investments in income properties, could change materially due to continued volatility in the real estate and financial markets, or as a result of a significant dislocation in those markets.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Cessation of LIBOR. </w:t>
      </w:r>
      <w:r>
        <w:rPr>
          <w:rFonts w:ascii="Times New Roman" w:cs="Times New Roman" w:eastAsia="Times New Roman" w:hAnsi="Times New Roman"/>
          <w:sz w:val="18"/>
          <w:szCs w:val="18"/>
          <w:color w:val="auto"/>
        </w:rPr>
        <w:t>In January 2021, the Financial Accounting Standards Board (“FASB”) issued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Standards Update (“ASU”) 2021-01 which is in response to concerns about structural risks of interbank offered rates (“IBORs”), and, particularly, the risk of cessation of the London Interbank Offered Rate (“LIBOR”), regulators in numerous jurisdictions around the world have undertaken reference rate reform initiatives to identify alternative reference rates that are more observable or transaction based and less susceptible to manipulation. The amendments in ASU 2021-01 are effective immediately and clarify that certain optional expedients and exceptions in Topic 848 for contract modifications and hedge accounting apply to derivatives that are affected by the discounting transition. The Company believes that its interest rate swaps, hereinafter described in Note 17, “Interest Rate Swaps”, meet the scope of Topic 848-10-15-3A and therefore, Company will be able to continue to apply a perfectly effective assessment method for each interest rate swap by electing the corresponding optional expedient for subsequent assessments.</w:t>
      </w:r>
    </w:p>
    <w:p>
      <w:pPr>
        <w:spacing w:after="0" w:line="185"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Debt with Conversion and Other Options. </w:t>
      </w:r>
      <w:r>
        <w:rPr>
          <w:rFonts w:ascii="Times New Roman" w:cs="Times New Roman" w:eastAsia="Times New Roman" w:hAnsi="Times New Roman"/>
          <w:sz w:val="18"/>
          <w:szCs w:val="18"/>
          <w:color w:val="auto"/>
        </w:rPr>
        <w:t>In August 2020, the FASB issued ASU 2020-06 related to simplifying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instruments by removing certain separation models for convertible instruments. Among other things, the amendments in the update also provide for improvements in the consistency in EPS calculations by amending the guidance by requiring that an entity use the if-converted method for convertible instruments. The amendments in ASU 2020-06 are effective for reporting periods beginning after December 15, 2021. Effective January 1, 2022, the Company adopted ASU 2020-06 whereby diluted EPS includes the dilutive impact, if any, of the 2025 Notes (hereinafter defined) using the if-converted method. Further, the Company elected, upon adoption, to utilize the modified retrospective approach, negating the required restatement of EPS for periods prior to adoption.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includes cash on hand, bank demand accounts, and money market accounts having original maturities of 90 days or less. The Company’s bank balances as of March 31, 2022 and December 31, 2021 include certain amounts over the Federal Deposit Insurance Corporation limits.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Restricted cash totaled $26.4 million at March 31, 2022, of which $24.3 million is being held in various escrow accounts to be reinvested through the like-kind exchange structure into other income properties, $0.6 million is being held in an escrow account in connection with the Mitigation Bank as required by the applicable state and federal permitting authorities, and the remaining $1.5 million is being held in various escrow accounts related to certain tenant improvements and commissions payable.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 and Hedging Activity</w:t>
      </w:r>
    </w:p>
    <w:p>
      <w:pPr>
        <w:spacing w:after="0" w:line="22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The Company accounts for its cash flow hedging derivatives in accordance with FASB 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Topic 815-20,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Depending upon the hedge’s value at each balance sheet date, the derivatives are included in either other assets or accrued and other liabilities on the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we will continue to do so on a quarterly basis.</w:t>
      </w:r>
    </w:p>
    <w:p>
      <w:pPr>
        <w:spacing w:after="0" w:line="180"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accounts payable, and accrued and other liabilities at March 31, 2022 and December 31, 2021, approximate fair value because of the short maturity of these instruments. The carrying value of the Company’s Credit Facility (hereinafter defined) as of March 31, 2022 and December 31, 2021, approximates current market rates for revolving credit arrangements with similar risks and maturities. The face value of the Company’s fixed rate commercial loan and master lease investments, the 2026 Term Loan (hereinafter defined), the 2027 Term Loan (hereinafter defined), mortgage note, and convertible debt held as of March 31, 2022 and December 31, 2021 are measured at fair value based on current market rates for financial instruments with similar risks and maturities (see Note 9, “Fair Value of Financial Instruments”).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U.S. GAAP. The framework specifies a hierarchy of valuation inputs which was established to increase consistency, clarity and comparability in fair value measurements and related disclosures. U.S. GAAP describes a fair value hierarchy based upon three levels of inputs that may be used to measure fair value, two of which are considered observable and one that is considered unobservable. The following describes the three levels:</w:t>
      </w:r>
    </w:p>
    <w:p>
      <w:pPr>
        <w:spacing w:after="0" w:line="183" w:lineRule="exact"/>
        <w:rPr>
          <w:sz w:val="20"/>
          <w:szCs w:val="20"/>
          <w:color w:val="auto"/>
        </w:rPr>
      </w:pPr>
    </w:p>
    <w:p>
      <w:pPr>
        <w:ind w:left="840" w:hanging="331"/>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198" w:lineRule="exact"/>
        <w:rPr>
          <w:rFonts w:ascii="Times New Roman" w:cs="Times New Roman" w:eastAsia="Times New Roman" w:hAnsi="Times New Roman"/>
          <w:sz w:val="18"/>
          <w:szCs w:val="18"/>
          <w:color w:val="auto"/>
        </w:rPr>
      </w:pPr>
    </w:p>
    <w:p>
      <w:pPr>
        <w:jc w:val="both"/>
        <w:ind w:left="840" w:right="79" w:hanging="331"/>
        <w:spacing w:after="0" w:line="250"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840" w:right="79" w:hanging="331"/>
        <w:spacing w:after="0" w:line="250"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Interest Income from Commercial Loan and Master Lease Investments</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 and master lease investments includes interest payments made by the borrower and the accretion of purchase discounts and loan origination fees, offset by the amortization of loan costs. Interest payments are accrued based on the actual coupon rate and the outstanding principal balance and purchase discounts and loan origination fees are accreted into income using the effective yield method, adjusted for prepayments.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Mitigation Credits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Mitigation credits are stated at historical cost. As these assets are sold, the related revenues and cost of sales are reported as revenues from, and direct costs of, real estate operations, respectively, in the consolidated statements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Accounts receivable related to income properties, which are classified in other assets on the consolidated balance sheets, primarily consist of accrued tenant reimbursable expenses and other tenant receivables. Receivables related to income property tenants totaled $1.7 million and $0.9 million as of March 31, 2022 and December 31, 2021, respectively. The $0.8 million increase is primarily attributable to an increase in estimated accrued receivables for variable lease payments including common area maintenance, insurance, real estate taxes and other operating expenses.</w:t>
      </w:r>
    </w:p>
    <w:p>
      <w:pPr>
        <w:spacing w:after="0" w:line="18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Accounts receivable related to real estate operations, which are classified in other assets on the consolidated balance sheets, totaled $1.1 million as of March 31, 2022 and December 31, 2021. The accounts receivable as of March 31, 2022 and December 31, 2021 are primarily related to the reimbursement of certain infrastructure costs completed by the Company in conjunction with two land sale transactions that closed during the fourth quarter of 2015 as more fully described in Note 12, “Other Assets.”</w:t>
      </w:r>
    </w:p>
    <w:p>
      <w:pPr>
        <w:spacing w:after="0" w:line="183"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$0.3 million was due from the buyer of the golf operations for the rounds surcharge the Company paid to the City of Daytona Beach.</w:t>
      </w:r>
    </w:p>
    <w:p>
      <w:pPr>
        <w:spacing w:after="0" w:line="16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collectability of the aforementioned receivables shall be considered and adjusted through an allowance for credit losses pursuant to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As of March 31, 2022 and December 31, 2021, the Company recorded an allowance for doubtful accounts of $0.5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for Acquisitions of Real Estate Subject to a Lease</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ASU 2017-01,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Real Estate</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When income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 (loss) on disposition of assets. In accordance with the FASB guidance, gains or losses on sales of real estate are generally recognized using the full accrual method.</w:t>
      </w:r>
    </w:p>
    <w:p>
      <w:pPr>
        <w:spacing w:after="0" w:line="183"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 xml:space="preserve">Gains and losses on land sales, in addition to the sale of Subsurface Interests and mitigation credits, are accounted for as required by FASB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from such sales when the Company transfers the promised goods in the contract based on the transaction price allocated to the performance obligations within the contract. As market information becomes available, the underlying cost basis is analyzed and recorded at the lower of cost or market.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Internal Revenue Code of 1986, as amended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taxable REIT subsidiaries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195"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for the Company’s TRSs. Deferred income taxes result primarily from the net tax effect of temporary differences between the carrying amounts of assets and liabilities for financial reporting purposes and the amounts used for income tax purposes (see Note 21, “Income Taxes”). In June 2006, the FASB issued additional guidance, which clarifies the accounting for uncertainty in income taxes recognized in a company’s financial statements included in income taxes. The interpretation prescribes a recognition threshold and measurement attribute for the financial statement recognition and measurement of a tax position taken or expected to be taken in a tax return. The interpretation also provides guidance on de-recognition, classification, interest and penalties, accounting in interim periods, and disclosure and transition. In accordance with FASB guidance included in income taxes, the Company has analyzed its various federal and state filing positions and believes that its income tax filing positions and deductions are well documented and supported. Additionally, the Company believes that its accruals for tax liabilities are adequate. Therefore, no reserves for uncertain income tax positions have been recorded pursuant to the FASB guidance.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INCOME PROPERTIES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retail, office, and commercial income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and reimbursements from tenants for common area maintenance, insurance, real estate taxes, and other operating expenses.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4"/>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00" w:type="dxa"/>
            <w:vAlign w:val="bottom"/>
          </w:tcPr>
          <w:p>
            <w:pPr>
              <w:spacing w:after="0"/>
              <w:rPr>
                <w:sz w:val="18"/>
                <w:szCs w:val="18"/>
                <w:color w:val="auto"/>
              </w:rPr>
            </w:pPr>
          </w:p>
        </w:tc>
        <w:tc>
          <w:tcPr>
            <w:tcW w:w="1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10"/>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Leasing Revenue</w:t>
            </w: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r>
      <w:tr>
        <w:trPr>
          <w:trHeight w:val="216"/>
        </w:trPr>
        <w:tc>
          <w:tcPr>
            <w:tcW w:w="4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r>
      <w:tr>
        <w:trPr>
          <w:trHeight w:val="216"/>
        </w:trPr>
        <w:tc>
          <w:tcPr>
            <w:tcW w:w="4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Leasing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11,449</w:t>
            </w: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Minimum future base rental revenue on non-cancelable leases subsequent to March 31, 2022, for the next five years ended December 31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00" w:type="dxa"/>
            <w:vAlign w:val="bottom"/>
          </w:tcPr>
          <w:p>
            <w:pPr>
              <w:spacing w:after="0"/>
              <w:rPr>
                <w:sz w:val="19"/>
                <w:szCs w:val="19"/>
                <w:color w:val="auto"/>
              </w:rPr>
            </w:pPr>
          </w:p>
        </w:tc>
        <w:tc>
          <w:tcPr>
            <w:tcW w:w="17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40,077</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51,224</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49,231</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47,631</w:t>
            </w: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41,211</w:t>
            </w:r>
          </w:p>
        </w:tc>
      </w:tr>
      <w:tr>
        <w:trPr>
          <w:trHeight w:val="21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34,104</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 (Cumulative)</w:t>
            </w:r>
          </w:p>
        </w:tc>
        <w:tc>
          <w:tcPr>
            <w:tcW w:w="4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123,230</w:t>
            </w:r>
          </w:p>
        </w:tc>
      </w:tr>
      <w:tr>
        <w:trPr>
          <w:trHeight w:val="21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386,708</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2022 Acquisitions. </w:t>
      </w:r>
      <w:r>
        <w:rPr>
          <w:rFonts w:ascii="Times New Roman" w:cs="Times New Roman" w:eastAsia="Times New Roman" w:hAnsi="Times New Roman"/>
          <w:sz w:val="18"/>
          <w:szCs w:val="18"/>
          <w:color w:val="auto"/>
        </w:rPr>
        <w:t>During the three months ended March 31, 2022, the Company acquired Price Plaza Shopping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 a multi-tenant income property located in Katy, Texas for a purchase price of $39.1 million, or a total acquisition cost of $39.2 million including capitalized acquisition costs. Price Plaza Shopping Center comprises 205,813 square feet, was 95% leased at acquisition, and had a weighted average remaining lease term of 5.7 years at acquisition. In connection with the acquisition of Price Plaza Shopping Center, the company assumed a $17.8 million fixed-rate mortgage note, as further discussed in Note 16, “Long-Term Debt.”</w:t>
      </w:r>
    </w:p>
    <w:p>
      <w:pPr>
        <w:spacing w:after="0" w:line="18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Of the $39.2 million total acquisition cost, $15.6 million was allocated to land, $17.9 million was allocated to buildings and improvements, and $5.9 million was allocated to intangible assets pertaining to the in-place lease value, leasing costs, and above market lease value and $0.2 million was allocated to intangible liabilities for the below market lease value. The amortization period for the intangible assets and liabilities was 5.7 years at acquisition.</w:t>
      </w:r>
    </w:p>
    <w:p>
      <w:pPr>
        <w:spacing w:after="0" w:line="164" w:lineRule="exact"/>
        <w:rPr>
          <w:sz w:val="20"/>
          <w:szCs w:val="20"/>
          <w:color w:val="auto"/>
        </w:rPr>
      </w:pPr>
    </w:p>
    <w:p>
      <w:pPr>
        <w:jc w:val="both"/>
        <w:ind w:left="60" w:right="59" w:firstLine="324"/>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2022 Dispositions. </w:t>
      </w:r>
      <w:r>
        <w:rPr>
          <w:rFonts w:ascii="Times New Roman" w:cs="Times New Roman" w:eastAsia="Times New Roman" w:hAnsi="Times New Roman"/>
          <w:sz w:val="18"/>
          <w:szCs w:val="18"/>
          <w:color w:val="auto"/>
        </w:rPr>
        <w:t>During the three months ended March 31, 2022, the Company sold two income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 Party City, a single-tenant income property located in Oceanside, New York for $6.9 million resulting in a $0.06 million loss and (ii) the Carpenter Hotel ground lease, a single-tenant income property located in Austin, Texas for $17.1 million resulting in a $0.2 million loss. The lease with Carpenter Hotel included two tenant repurchase options.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$16.25 million investment was recorded in the accompanying consolidated balance sheets as a commercial loan and master lease investment prior to its disposition during the three months ended March 31, 2022. The sale of the properties reflect a total disposition volume of $24.0 million, resulting in aggregate losses of $0.2 million.</w:t>
      </w:r>
    </w:p>
    <w:p>
      <w:pPr>
        <w:spacing w:after="0" w:line="121" w:lineRule="exact"/>
        <w:rPr>
          <w:sz w:val="20"/>
          <w:szCs w:val="20"/>
          <w:color w:val="auto"/>
        </w:rPr>
      </w:pPr>
    </w:p>
    <w:p>
      <w:pPr>
        <w:jc w:val="both"/>
        <w:ind w:left="60" w:right="59" w:firstLine="324"/>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2021 Acquisitions. </w:t>
      </w:r>
      <w:r>
        <w:rPr>
          <w:rFonts w:ascii="Times New Roman" w:cs="Times New Roman" w:eastAsia="Times New Roman" w:hAnsi="Times New Roman"/>
          <w:sz w:val="18"/>
          <w:szCs w:val="18"/>
          <w:color w:val="auto"/>
        </w:rPr>
        <w:t>During the three months ended March 31, 2021, the Company acquired two income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Jordan Landing, a multi-tenant income property located in West Jordan, Utah for a purchase price of $20.0 million, or a total acquisition cost of $20.1 million including capitalized acquisition costs, which income property comprises 170,996 square feet, was 100% leased at acquisition, and had a weighted average remaining lease term of 7.9 years at acquisition and (ii) Eastern Commons, a multi-tenant income property located in Henderson, Nevada for a purchase price of $18.5 million, or a total acquisition cost of $18.6 million including capitalized acquisition costs, which income property comprises 133,304 square feet, was 96% leased at acquisition, and had a weighted average remaining lease term of 6.9 years at acquisition.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firstLine="324"/>
        <w:spacing w:after="0" w:line="233" w:lineRule="auto"/>
        <w:rPr>
          <w:sz w:val="20"/>
          <w:szCs w:val="20"/>
          <w:color w:val="auto"/>
        </w:rPr>
      </w:pPr>
      <w:r>
        <w:rPr>
          <w:rFonts w:ascii="Times New Roman" w:cs="Times New Roman" w:eastAsia="Times New Roman" w:hAnsi="Times New Roman"/>
          <w:sz w:val="18"/>
          <w:szCs w:val="18"/>
          <w:color w:val="auto"/>
        </w:rPr>
        <w:t>The two multi-tenant income properties acquired during the three months ended March 31, 2021, represent an aggregate purchase price of $38.5 million, or a total acquisition cost of $38.6 million including capitalized acquisition costs. Of the total $38.6 million acquisition cost, $18.4 million was allocated to land, $14.3 million was allocated to buildings and improvements, and $5.9 million was allocated to intangible assets pertaining to the in-place lease value, leasing costs, and above market lease value. The weighted average amortization period for the intangible assets and liabilities was 7.6 years at acquisition.</w:t>
      </w:r>
    </w:p>
    <w:p>
      <w:pPr>
        <w:spacing w:after="0" w:line="142" w:lineRule="exact"/>
        <w:rPr>
          <w:sz w:val="20"/>
          <w:szCs w:val="20"/>
          <w:color w:val="auto"/>
        </w:rPr>
      </w:pPr>
    </w:p>
    <w:p>
      <w:pPr>
        <w:jc w:val="both"/>
        <w:ind w:left="60" w:right="59" w:firstLine="324"/>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2021 Dispositions. </w:t>
      </w:r>
      <w:r>
        <w:rPr>
          <w:rFonts w:ascii="Times New Roman" w:cs="Times New Roman" w:eastAsia="Times New Roman" w:hAnsi="Times New Roman"/>
          <w:sz w:val="18"/>
          <w:szCs w:val="18"/>
          <w:color w:val="auto"/>
        </w:rPr>
        <w:t>During the three months ended March 31, 2021, the Company sold two income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World of Beer/Fuzzy’s Taco Shop, a multi-tenant income property located in Brandon, Florida for $2.3 million resulting in a $0.6 million gain and (ii) Moe’s Southwest Grill, a single-tenant income property located in Jacksonville, Florida for $2.5 million resulting in a $0.1 million gain. The sale of the properties reflect a total disposition volume of $4.9 million, resulting in aggregate gains of $0.7 million.</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 AND MASTER LEASE INVESTMENTS</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Our investments in commercial loans or similar structured finance investments, such as mezzanine loans or other subordinated debt, have been and are expected to continue to be secured by real estate or the borrower’s pledge of its ownership interest in the entity that owns the real estate. The loans we invest in or originate are for commercial real estate located in the United States and its territories, and are current or performing with either a fixed or floating rate. Some of these loans may be syndicated in either a pari-passu or senior/subordinated structure. Commercial first mortgage loans generally provide for a higher recovery rate due to their senior position in the underlying collateral. Commercial mezzanine loans are typically secured by a pledge of the borrower’s equity ownership in the underlying commercial real estate. Unlike a mortgage, a mezzanine loan is not secured by a lien on the property. An investor’s rights in a mezzanine loan are usually governed by an intercreditor agreement that provides holders with the rights to cure defaults and exercise control on certain decisions of any senior debt secured by the same commercial property.</w:t>
      </w:r>
    </w:p>
    <w:p>
      <w:pPr>
        <w:spacing w:after="0" w:line="192"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2022 Activity</w:t>
      </w:r>
      <w:r>
        <w:rPr>
          <w:rFonts w:ascii="Times New Roman" w:cs="Times New Roman" w:eastAsia="Times New Roman" w:hAnsi="Times New Roman"/>
          <w:sz w:val="18"/>
          <w:szCs w:val="18"/>
          <w:color w:val="auto"/>
        </w:rPr>
        <w:t>. On January 26, 2022, the Company originated a construction loan secured by the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to be constructed thereon for the second phase of The Exchange at Gwinnett project located in Buford, Georgia for $8.7 million. The construction loan matures on January 26, 2024, has a one-year extension option, bears a fixed interest rate of 7.25%, and requires payments of interest only prior to maturity. At closing, a loan origination fee of $0.1 million was received by the Company. Funding of the loan will occur as the borrower completes the underlying construction. As of March 31, 2022, the Company has not disbursed any funds to the borrower.</w:t>
      </w:r>
    </w:p>
    <w:p>
      <w:pPr>
        <w:spacing w:after="0" w:line="18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 xml:space="preserve">On March 11, 2022, the Company sold the Carpenter Hotel ground lease located in Austin, Texas for $17.1 million. The lease with Carpenter Hotel included two tenant repurchase options.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initial $16.25 million investment was recorded in the consolidated balance sheets as a commercial loan and master lease investment at the time of acquisition. The carrying value at the time of sale totaled $17.3 million.</w:t>
      </w:r>
    </w:p>
    <w:p>
      <w:pPr>
        <w:spacing w:after="0" w:line="180"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Company’s commercial loan and master lease investments were comprised of the following at March 31, 2022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0" w:type="dxa"/>
            <w:vAlign w:val="bottom"/>
          </w:tcPr>
          <w:p>
            <w:pPr>
              <w:spacing w:after="0"/>
              <w:rPr>
                <w:sz w:val="1"/>
                <w:szCs w:val="1"/>
                <w:color w:val="auto"/>
              </w:rPr>
            </w:pPr>
          </w:p>
        </w:tc>
      </w:tr>
      <w:tr>
        <w:trPr>
          <w:trHeight w:val="148"/>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00" w:type="dxa"/>
            <w:vAlign w:val="bottom"/>
            <w:gridSpan w:val="2"/>
            <w:vMerge w:val="continue"/>
          </w:tcPr>
          <w:p>
            <w:pPr>
              <w:spacing w:after="0"/>
              <w:rPr>
                <w:sz w:val="12"/>
                <w:szCs w:val="12"/>
                <w:color w:val="auto"/>
              </w:rPr>
            </w:pPr>
          </w:p>
        </w:tc>
        <w:tc>
          <w:tcPr>
            <w:tcW w:w="1040" w:type="dxa"/>
            <w:vAlign w:val="bottom"/>
            <w:gridSpan w:val="3"/>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Face</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Face</w:t>
            </w:r>
          </w:p>
        </w:tc>
        <w:tc>
          <w:tcPr>
            <w:tcW w:w="8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gridSpan w:val="2"/>
            <w:vMerge w:val="continue"/>
          </w:tcPr>
          <w:p>
            <w:pPr>
              <w:spacing w:after="0"/>
              <w:rPr>
                <w:sz w:val="15"/>
                <w:szCs w:val="15"/>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40" w:type="dxa"/>
            <w:vAlign w:val="bottom"/>
            <w:gridSpan w:val="3"/>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42"/>
        </w:trPr>
        <w:tc>
          <w:tcPr>
            <w:tcW w:w="37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Westland Gateway Plaza – Hialeah, FL</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September 2020</w:t>
            </w: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21,085</w:t>
            </w: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21,085</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21,151</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3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Mortgage Note – 4311 Maple Avenue – Dallas, TX</w:t>
            </w:r>
          </w:p>
        </w:tc>
        <w:tc>
          <w:tcPr>
            <w:tcW w:w="11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October 2020</w:t>
            </w:r>
          </w:p>
        </w:tc>
        <w:tc>
          <w:tcPr>
            <w:tcW w:w="1040" w:type="dxa"/>
            <w:vAlign w:val="bottom"/>
            <w:gridSpan w:val="3"/>
          </w:tcPr>
          <w:p>
            <w:pPr>
              <w:jc w:val="center"/>
              <w:ind w:right="136"/>
              <w:spacing w:after="0" w:line="149" w:lineRule="exact"/>
              <w:rPr>
                <w:sz w:val="20"/>
                <w:szCs w:val="20"/>
                <w:color w:val="auto"/>
              </w:rPr>
            </w:pPr>
            <w:r>
              <w:rPr>
                <w:rFonts w:ascii="Times New Roman" w:cs="Times New Roman" w:eastAsia="Times New Roman" w:hAnsi="Times New Roman"/>
                <w:sz w:val="14"/>
                <w:szCs w:val="14"/>
                <w:color w:val="auto"/>
              </w:rPr>
              <w:t>April 2023</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26"/>
        </w:trPr>
        <w:tc>
          <w:tcPr>
            <w:tcW w:w="38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Note – 110 N Beach Street – Daytona Beach, FL</w:t>
            </w:r>
          </w:p>
        </w:tc>
        <w:tc>
          <w:tcPr>
            <w:tcW w:w="110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June 2021</w:t>
            </w:r>
          </w:p>
        </w:tc>
        <w:tc>
          <w:tcPr>
            <w:tcW w:w="1040" w:type="dxa"/>
            <w:vAlign w:val="bottom"/>
            <w:gridSpan w:val="3"/>
            <w:shd w:val="clear" w:color="auto" w:fill="CCEEFF"/>
          </w:tcPr>
          <w:p>
            <w:pPr>
              <w:jc w:val="center"/>
              <w:ind w:right="136"/>
              <w:spacing w:after="0" w:line="126" w:lineRule="exact"/>
              <w:rPr>
                <w:sz w:val="20"/>
                <w:szCs w:val="20"/>
                <w:color w:val="auto"/>
              </w:rPr>
            </w:pPr>
            <w:r>
              <w:rPr>
                <w:rFonts w:ascii="Times New Roman" w:cs="Times New Roman" w:eastAsia="Times New Roman" w:hAnsi="Times New Roman"/>
                <w:sz w:val="14"/>
                <w:szCs w:val="14"/>
                <w:color w:val="auto"/>
              </w:rPr>
              <w:t>December</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3860" w:type="dxa"/>
            <w:vAlign w:val="bottom"/>
            <w:gridSpan w:val="2"/>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Construction Loan – The Exchange At Gwinnett – Buford, GA</w:t>
            </w: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January 2022</w:t>
            </w:r>
          </w:p>
        </w:tc>
        <w:tc>
          <w:tcPr>
            <w:tcW w:w="1040" w:type="dxa"/>
            <w:vAlign w:val="bottom"/>
            <w:gridSpan w:val="3"/>
          </w:tcPr>
          <w:p>
            <w:pPr>
              <w:jc w:val="center"/>
              <w:ind w:right="136"/>
              <w:spacing w:after="0" w:line="149" w:lineRule="exact"/>
              <w:rPr>
                <w:sz w:val="20"/>
                <w:szCs w:val="20"/>
                <w:color w:val="auto"/>
              </w:rPr>
            </w:pPr>
            <w:r>
              <w:rPr>
                <w:rFonts w:ascii="Times New Roman" w:cs="Times New Roman" w:eastAsia="Times New Roman" w:hAnsi="Times New Roman"/>
                <w:sz w:val="14"/>
                <w:szCs w:val="14"/>
                <w:color w:val="auto"/>
              </w:rPr>
              <w:t>January 2024</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8,700</w:t>
            </w:r>
          </w:p>
        </w:tc>
        <w:tc>
          <w:tcPr>
            <w:tcW w:w="16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7.25%</w:t>
            </w:r>
          </w:p>
        </w:tc>
        <w:tc>
          <w:tcPr>
            <w:tcW w:w="0" w:type="dxa"/>
            <w:vAlign w:val="bottom"/>
          </w:tcPr>
          <w:p>
            <w:pPr>
              <w:spacing w:after="0"/>
              <w:rPr>
                <w:sz w:val="1"/>
                <w:szCs w:val="1"/>
                <w:color w:val="auto"/>
              </w:rPr>
            </w:pPr>
          </w:p>
        </w:tc>
      </w:tr>
      <w:tr>
        <w:trPr>
          <w:trHeight w:val="142"/>
        </w:trPr>
        <w:tc>
          <w:tcPr>
            <w:tcW w:w="37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30,549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21,849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21,830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Company’s commercial loan and master lease investments were comprised of the following at December 31, 2021 (in thousands):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8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0" w:type="dxa"/>
            <w:vAlign w:val="bottom"/>
          </w:tcPr>
          <w:p>
            <w:pPr>
              <w:spacing w:after="0"/>
              <w:rPr>
                <w:sz w:val="1"/>
                <w:szCs w:val="1"/>
                <w:color w:val="auto"/>
              </w:rPr>
            </w:pPr>
          </w:p>
        </w:tc>
      </w:tr>
      <w:tr>
        <w:trPr>
          <w:trHeight w:val="148"/>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Face</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Face</w:t>
            </w: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80" w:type="dxa"/>
            <w:vAlign w:val="bottom"/>
            <w:gridSpan w:val="2"/>
            <w:vMerge w:val="continue"/>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5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142"/>
        </w:trPr>
        <w:tc>
          <w:tcPr>
            <w:tcW w:w="374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Carpenter Hotel – 400 Josephine Street, Austin, TX</w:t>
            </w:r>
          </w:p>
        </w:tc>
        <w:tc>
          <w:tcPr>
            <w:tcW w:w="1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July 2019</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16,250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17,189</w:t>
            </w: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8"/>
        </w:trPr>
        <w:tc>
          <w:tcPr>
            <w:tcW w:w="3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Westland Gateway Plaza – Hialeah, FL</w:t>
            </w:r>
          </w:p>
        </w:tc>
        <w:tc>
          <w:tcPr>
            <w:tcW w:w="1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September 2020</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21,085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21,085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21,148</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48"/>
        </w:trPr>
        <w:tc>
          <w:tcPr>
            <w:tcW w:w="38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Mortgage Note – 4311 Maple Avenue – Dallas, TX</w:t>
            </w:r>
          </w:p>
        </w:tc>
        <w:tc>
          <w:tcPr>
            <w:tcW w:w="116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October 2020</w:t>
            </w:r>
          </w:p>
        </w:tc>
        <w:tc>
          <w:tcPr>
            <w:tcW w:w="84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April 2023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66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26"/>
        </w:trPr>
        <w:tc>
          <w:tcPr>
            <w:tcW w:w="3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Mortgage Note – 110 N Beach Street – Daytona Beach, FL</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June 2021</w:t>
            </w:r>
          </w:p>
        </w:tc>
        <w:tc>
          <w:tcPr>
            <w:tcW w:w="84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4"/>
                <w:szCs w:val="14"/>
                <w:color w:val="auto"/>
              </w:rPr>
              <w:t>December</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gridSpan w:val="2"/>
            <w:vMerge w:val="continue"/>
          </w:tcPr>
          <w:p>
            <w:pPr>
              <w:spacing w:after="0"/>
              <w:rPr>
                <w:sz w:val="14"/>
                <w:szCs w:val="14"/>
                <w:color w:val="auto"/>
              </w:rPr>
            </w:pPr>
          </w:p>
        </w:tc>
        <w:tc>
          <w:tcPr>
            <w:tcW w:w="1160" w:type="dxa"/>
            <w:vAlign w:val="bottom"/>
            <w:tcBorders>
              <w:bottom w:val="single" w:sz="8" w:color="CCEEFF"/>
            </w:tcBorders>
            <w:gridSpan w:val="2"/>
            <w:vMerge w:val="continue"/>
          </w:tcPr>
          <w:p>
            <w:pPr>
              <w:spacing w:after="0"/>
              <w:rPr>
                <w:sz w:val="14"/>
                <w:szCs w:val="14"/>
                <w:color w:val="auto"/>
              </w:rPr>
            </w:pP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38,099</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38,099</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39,095</w:t>
            </w: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 and master lease investments portfolio at March 31, 2022 and December 31, 2021 consisted of the following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 w:type="dxa"/>
            <w:vAlign w:val="bottom"/>
          </w:tcPr>
          <w:p>
            <w:pPr>
              <w:spacing w:after="0"/>
              <w:rPr>
                <w:sz w:val="18"/>
                <w:szCs w:val="18"/>
                <w:color w:val="auto"/>
              </w:rPr>
            </w:pPr>
          </w:p>
        </w:tc>
      </w:tr>
      <w:tr>
        <w:trPr>
          <w:trHeight w:val="20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21,849</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38,099</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Imputed Interest over Rent Payments Received</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r>
      <w:tr>
        <w:trPr>
          <w:trHeight w:val="20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Commercial Loan and Master Lease Investments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2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RELATED PARTY MANAGEMENT SERVICES BUSINESS</w:t>
      </w:r>
    </w:p>
    <w:p>
      <w:pPr>
        <w:spacing w:after="0" w:line="214" w:lineRule="exact"/>
        <w:rPr>
          <w:sz w:val="20"/>
          <w:szCs w:val="20"/>
          <w:color w:val="auto"/>
        </w:rPr>
      </w:pPr>
    </w:p>
    <w:p>
      <w:pPr>
        <w:jc w:val="both"/>
        <w:ind w:left="60" w:right="59" w:firstLine="441"/>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Alpine Income Property Trust. </w:t>
      </w:r>
      <w:r>
        <w:rPr>
          <w:rFonts w:ascii="Times New Roman" w:cs="Times New Roman" w:eastAsia="Times New Roman" w:hAnsi="Times New Roman"/>
          <w:sz w:val="18"/>
          <w:szCs w:val="18"/>
          <w:color w:val="auto"/>
        </w:rPr>
        <w:t>Pursuant to the Company’s management agreement with PINE,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generates a base management fee equal to 0.375% per quarter of PINE’s total equity (as defined in the management agreement and based on a 1.5% annual rate), calculated and payable in cash, quarterly in arrears. The structure of the base fee provides the Company with an opportunity for the base fee to grow should PINE’s independent board members determine to raise additional equity capital in the future. The Company also has an opportunity to achieve additional cash flows as manager of PINE pursuant an annual incentive fee based on PINE’s total stockholder return exceeding an 8% cumulative annual hurdle rate (the “Outperformance Amount”) subject to a high-water mark price. PINE would pay the Company an incentive fee with respect to each annual measurement period in an amount equal to the greater of (i) $0.00 and (ii) the product of (a) 15% multiplied by (b) the Outperformance Amount multiplied by (c) the weighted average shares. No incentive fee was earned for the year ended December 31, 2021.</w:t>
      </w:r>
    </w:p>
    <w:p>
      <w:pPr>
        <w:spacing w:after="0" w:line="174" w:lineRule="exact"/>
        <w:rPr>
          <w:sz w:val="20"/>
          <w:szCs w:val="20"/>
          <w:color w:val="auto"/>
        </w:rPr>
      </w:pPr>
    </w:p>
    <w:p>
      <w:pPr>
        <w:jc w:val="both"/>
        <w:ind w:left="60" w:right="59" w:firstLine="441"/>
        <w:spacing w:after="0" w:line="23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earned management fee revenue from PINE totaling $0.9 million and $0.6 million, respectively. Dividend income for the three months ended March 31, 2022 and 2021 totaled $0.6 million and $0.5 million, respectively. Management fee revenue from PINE, included in management services, and dividend income, included in investment and other income (loss), are reflected in the accompanying consolidated statements of operations.</w:t>
      </w:r>
    </w:p>
    <w:p>
      <w:pPr>
        <w:spacing w:after="0" w:line="174" w:lineRule="exact"/>
        <w:rPr>
          <w:sz w:val="20"/>
          <w:szCs w:val="20"/>
          <w:color w:val="auto"/>
        </w:rPr>
      </w:pPr>
    </w:p>
    <w:p>
      <w:pPr>
        <w:jc w:val="both"/>
        <w:ind w:left="60" w:right="79" w:firstLine="441"/>
        <w:spacing w:after="0" w:line="250" w:lineRule="auto"/>
        <w:rPr>
          <w:sz w:val="20"/>
          <w:szCs w:val="20"/>
          <w:color w:val="auto"/>
        </w:rPr>
      </w:pPr>
      <w:r>
        <w:rPr>
          <w:rFonts w:ascii="Times New Roman" w:cs="Times New Roman" w:eastAsia="Times New Roman" w:hAnsi="Times New Roman"/>
          <w:sz w:val="18"/>
          <w:szCs w:val="18"/>
          <w:color w:val="auto"/>
        </w:rPr>
        <w:t>The following table represents amounts due (to) from PINE as of March 31, 2022 and December 31, 2021 which are included in other assets on the consolidated balance sheets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 Fee due From PINE</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Receivable</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0"/>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26, 2019, as part of the initial public offering (the “IPO”) of PINE on the NYSE, the Company sold PINE 15 properties for aggregate cash consideration of $125.9 million. In connection with the IPO, the Company contributed to the PINE Operating Partnership five properties in exchange for an aggregate of 1,223,854 OP Units, which had an initial value of $23.3 million. Additionally, on November 26, 2019, the Company purchased 394,737 shares of PINE common stock for a total purchase price of $7.5 million in a private placement and 421,053 shares of PINE common stock in the IPO for a total purchase price of $8.0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October 26, 2021, the Board authorized the purchase by the Company of up to $5.0 million in shares of common stock of PINE, at a weighted average price not to exceed $17.75 per share. During the three months ended March 31, 2022, the Company purchased 4,765 shares of PINE common stock on the open market for a total of $0.1 million, or an average price of $18.47 per share. During the year ended December 31, 2021, the Company purchased 8,088 shares of PINE common stock on the open market for a total of $0.1 million, or an average price of $17.65 per share. As of March 31, 2022, CTO owns, in the aggregate, 1,223,854 OP Units and 828,643 shares of PINE common stock, representing an investment totaling $38.6 million, or 15.2% of PINE’s outstanding equity.</w:t>
      </w:r>
    </w:p>
    <w:p>
      <w:pPr>
        <w:spacing w:after="0" w:line="22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2022, PINE exercised its right, pursuant to an Exclusivity and Right of First Offer Agreement between the Company and PINE (the “ROFO Agreement”), to purchase one single-tenant income property from the Company for a purchase price of $6.9 million, which sale was completed on January 7, 2022. During the year ended December 31, 2021, PINE exercised its right to purchase the following properties from the Company pursuant to the ROFO Agreement: (i) a portfolio of six net leased properties (the “CMBS Portfolio”) for an aggregate purchase price of $44.5 million, and (ii) one single-tenant income property for a purchase price of $11.5 million. In connection with the sale of the CMBS Portfolio, PINE assumed the related $30.0 million mortgage note payable which resulted in a loss on the extinguishment of debt of $0.5 million due to the write off of unamortized debt issuance costs. These sales were completed during the three months ended June 30, 2021.</w:t>
      </w:r>
    </w:p>
    <w:p>
      <w:pPr>
        <w:spacing w:after="0" w:line="22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Land JV. </w:t>
      </w:r>
      <w:r>
        <w:rPr>
          <w:rFonts w:ascii="Times New Roman" w:cs="Times New Roman" w:eastAsia="Times New Roman" w:hAnsi="Times New Roman"/>
          <w:sz w:val="18"/>
          <w:szCs w:val="18"/>
          <w:color w:val="auto"/>
        </w:rPr>
        <w:t>Prior to the Land JV Sale on December 10, 2021, pursuant to the terms of the operating agreement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Land JV, the initial amount of the management fee was $20,000 per month. The management fee was evaluated quarterly and as land sales occurred in the Land JV, the basis for the Company’s management fee was reduced as the management fee was based on the value of real property that remained in the Land JV. The monthly management fee as of March 31, 2021 was $10,000 per month. During the three months ended March 31, 2021, the Company earned management fee revenue from the Land JV totaling $0.03 million which is included in management fee income in the accompanying consolidated statements of operations and was collected in full during the period earned. As a result of the Land JV Sale, no management fee revenues were earned during the three months ended March 31,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REAL ESTATE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Land and development costs at March 31, 2022 and December 31, 2021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20" w:type="dxa"/>
            <w:vAlign w:val="bottom"/>
            <w:tcBorders>
              <w:bottom w:val="single" w:sz="8" w:color="auto"/>
            </w:tcBorders>
          </w:tcPr>
          <w:p>
            <w:pPr>
              <w:spacing w:after="0"/>
              <w:rPr>
                <w:sz w:val="20"/>
                <w:szCs w:val="20"/>
                <w:color w:val="auto"/>
              </w:rPr>
            </w:pPr>
          </w:p>
        </w:tc>
      </w:tr>
      <w:tr>
        <w:trPr>
          <w:trHeight w:val="210"/>
        </w:trPr>
        <w:tc>
          <w:tcPr>
            <w:tcW w:w="49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3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Development Costs</w:t>
            </w: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Subsurface Interests</w:t>
            </w:r>
          </w:p>
        </w:tc>
        <w:tc>
          <w:tcPr>
            <w:tcW w:w="1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1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Land and Development Costs</w:t>
            </w: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694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0"/>
        </w:trPr>
        <w:tc>
          <w:tcPr>
            <w:tcW w:w="49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Mitigation Credits. </w:t>
      </w:r>
      <w:r>
        <w:rPr>
          <w:rFonts w:ascii="Times New Roman" w:cs="Times New Roman" w:eastAsia="Times New Roman" w:hAnsi="Times New Roman"/>
          <w:sz w:val="18"/>
          <w:szCs w:val="18"/>
          <w:color w:val="auto"/>
        </w:rPr>
        <w:t>The Company owns mitigation credits and mitigation credit rights with an aggregate cost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$24.7 million as of March 31, 2022 and December 31, 2021. During the three months ended September 30, 2021, the Company completed the Interest Purchase, hereinafter defined in Note 7, “Investment in Joint Ventures”. As a result of the Interest Purchase, as of September 30, 2021, the Company owns 100% of the Mitigation Bank, and therefore its underlying assets, which includes an inventory of mitigation credits. Certain of the mitigation credits are currently available for sale with the remainder to become available as they are released to the Mitigation Bank by the applicable state and federal authorities pursuant to the completion of phases of the approved mitigation plans (“Mitigation Credit Rights”). At the time of the Interest Purchase on September 30, 2021, the Company’s cost basis in the newly acquired mitigation credits and Mitigation Credit Rights totaled $0.9 million and $21.6 million, respectively, which is comprised of (i) $15.6 million of the $18.0 million Interest Purchase allocated to the mitigation credit assets and (ii) the $6.9 million previously recorded value of the retained interest in the entity that owns the Mitigation Bank.</w:t>
      </w:r>
    </w:p>
    <w:p>
      <w:pPr>
        <w:spacing w:after="0" w:line="234"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Revenues and the cost of sales of mitigation credit sales are reported as revenues from, and direct costs of, real estate operations, respectively, in the consolidated statements of operations. There were no mitigation credit sales during the three months ended March 31, 2022 or March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Subsurface Interests. </w:t>
      </w:r>
      <w:r>
        <w:rPr>
          <w:rFonts w:ascii="Times New Roman" w:cs="Times New Roman" w:eastAsia="Times New Roman" w:hAnsi="Times New Roman"/>
          <w:sz w:val="18"/>
          <w:szCs w:val="18"/>
          <w:color w:val="auto"/>
        </w:rPr>
        <w:t>As of March 31, 2022, the Company owns 365,000 acres of Subsurface Interests.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certain of the Subsurface Interests to mineral exploration firms for exploration. The Company’s subsurface operations consist of revenue from the leasing of exploration rights and in some instances, additional revenues from royalties applicable to production from the leased acreage, which revenues are included within real estate operations in the consolidated statements of operations. During the three months ended March 31, 2022, the Company sold approximately 4,750 acres of subsurface oil, gas, and mineral rights for a sales price of $0.4 million. During the three months ended March 31, 2021, the Company sold approximately 25,000 acres of subsurface oil, gas, and mineral rights for a sales price of $1.9 million. Revenues received from oil royalties totaled $0.01 million during each of the three months ended March 31, 2022 and 2021.</w:t>
      </w:r>
    </w:p>
    <w:p>
      <w:pPr>
        <w:spacing w:after="0" w:line="231"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is not prohibited from selling any or all of its Subsurface Interests. The Company may release surface entry rights or other rights upon request of a surface owner for a negotiated release fee typically based on a percentage of the surface value. Should the Company complete a transaction to sell all or a portion of its Subsurface Interests or complete a release transaction, the Company may utilize the like-kind exchange structure in acquiring one or more replacement investments including income-producing properties. Cash payments for the release of surface entry rights totaled $0.02 million and $0.01 million during the three months ended March 31, 2022 and 2021,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INVESTMENT IN JOINT VENTURES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had no investments in joint ventures as of March 31, 2022 or December 31, 2021.</w:t>
      </w:r>
    </w:p>
    <w:p>
      <w:pPr>
        <w:spacing w:after="0" w:line="22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Land JV. </w:t>
      </w:r>
      <w:r>
        <w:rPr>
          <w:rFonts w:ascii="Times New Roman" w:cs="Times New Roman" w:eastAsia="Times New Roman" w:hAnsi="Times New Roman"/>
          <w:sz w:val="18"/>
          <w:szCs w:val="18"/>
          <w:color w:val="auto"/>
        </w:rPr>
        <w:t>The Company’s previously held retained interest in the Land JV represented a notional 33.5% stake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the value of which was realized in the form of distributions based on the timing and the amount of proceeds achieved when the land was ultimately sold by the Land JV. On December 10, 2021, the Land JV completed the sale of all of its remaining land holdings.</w:t>
      </w:r>
    </w:p>
    <w:p>
      <w:pPr>
        <w:spacing w:after="0" w:line="18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Company served as the manager of the Land JV and was responsible for day-to-day operations at the direction of the partners of the Land JV prior to the Land JV Sale. All major decisions and certain other actions that could be taken by the Company, as manager, were approved by the unanimous consent of the JV Partners. Pursuant to the Land JV’s operating agreement, the Land JV paid the Company, as manager, a management fee in the initial amount of $20,000 per month. The management fee was evaluated quarterly, and as land sales occurred in the Land JV, the basis for the Company’s management fee was reduced as the management fee was based on the value of real property that remained in the Land JV. The final monthly management fee was received in December 2021 and totaled $10,000.</w:t>
      </w:r>
    </w:p>
    <w:p>
      <w:pPr>
        <w:spacing w:after="0" w:line="18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 xml:space="preserve">Prior to the Land JV Sale, the investment in joint ventures on the Company’s consolidated balance sheets included the Company’s previously held ownership interest in the Land JV. We concluded the Land JV to be a variable interest entity and therefore, it was accounted for under the equity method of accounting as the Company was not the primary beneficiary as defined in FASB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The significant factors related to this determination included, but were not limited to, the Land JV being jointly controlled by the members through the use of unanimous approval for all material actions. Under the guidance of FASB ASC 323, </w:t>
      </w:r>
      <w:r>
        <w:rPr>
          <w:rFonts w:ascii="Times New Roman" w:cs="Times New Roman" w:eastAsia="Times New Roman" w:hAnsi="Times New Roman"/>
          <w:sz w:val="18"/>
          <w:szCs w:val="18"/>
          <w:i w:val="1"/>
          <w:iCs w:val="1"/>
          <w:color w:val="auto"/>
        </w:rPr>
        <w:t>Investments-Equity Method and Joint Ventures</w:t>
      </w:r>
      <w:r>
        <w:rPr>
          <w:rFonts w:ascii="Times New Roman" w:cs="Times New Roman" w:eastAsia="Times New Roman" w:hAnsi="Times New Roman"/>
          <w:sz w:val="18"/>
          <w:szCs w:val="18"/>
          <w:color w:val="auto"/>
        </w:rPr>
        <w:t>, the Company used the equity method to account for the Land JV investment.</w:t>
      </w:r>
    </w:p>
    <w:p>
      <w:pPr>
        <w:spacing w:after="0" w:line="18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impairment charges on its previously held retained interest in the Land JV totaling $17.6 million. The aggregate $17.6 million impairment on the previously held retained interest in the Land JV is comprised of a $16.5 million charge during the three months ended June 30, 2021 and a $1.1 million charge during the three months ended December 31, 2021, which is a result of eliminating the investment in joint ventures based on the final proceeds received through distributions of the Land JV in connection with the Land JV Sale.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summarized financial information of the Land JV for the three months ended March 31,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1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Cost of Revenues</w:t>
            </w: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0"/>
        </w:trPr>
        <w:tc>
          <w:tcPr>
            <w:tcW w:w="6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Company’s share of the Land JV’s net loss was zero for the three months ended March 31, 2021. Pursuant to ASC 323, certain adjustments are made when calculating the Company’s share of net income (loss) of the Land JV, including adjustments required to reflect the investor’s share of changes in investee’s capital to reflect distributions from the Land JV. Additionally, basis differences are also considered. The Company recorded the initial retained interest in the Land JV of $48.9 million at the estimated fair market value based on the relationship of the $97.0 million sales price of the 66.5% equity interest to the 33.5% retained interest. The Land JV recorded the assets contributed by the Company at carry-over basis pursuant to ASC 845 which states that transfers of nonmonetary assets should typically be recorded at the transferor’s historical cost basis. Accordingly, the Company’s basis difference in the 33.5% retained equity interest was evaluated each quarter upon determining the Company’s share of the Land JV’s net income (loss). As a result of the Land JV Sale, the liquidation of the Land JV’s assets, and the dissolution of the underlying entities, such evaluation was no longer required subsequent to December 31, 2021.</w:t>
      </w:r>
    </w:p>
    <w:p>
      <w:pPr>
        <w:spacing w:after="0" w:line="190"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Mitigation Bank. </w:t>
      </w:r>
      <w:r>
        <w:rPr>
          <w:rFonts w:ascii="Times New Roman" w:cs="Times New Roman" w:eastAsia="Times New Roman" w:hAnsi="Times New Roman"/>
          <w:sz w:val="18"/>
          <w:szCs w:val="18"/>
          <w:color w:val="auto"/>
        </w:rPr>
        <w:t>The mitigation bank transaction completed in June 2018 consisted of the sale of a 70%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entity that owns the Mitigation Bank (the “Mitigation Bank JV”). The purchaser of the 70% interest in the Mitigation Bank JV was comprised of certain funds and accounts managed by an investment advisor subsidiary of BlackRock, Inc. (“BlackRock”). The Company retained a 30% non-controlling interest in the Mitigation Bank JV. A third-party was retained by the Mitigation Bank JV as the day-to-day manager of the Mitigation Bank JV property, responsible for the maintenance, generation, tracking, and other aspects of wetland mitigation credits. Prior to September 30, 2021, the investment in joint ventures included on the Company’s consolidated balance sheets included $6.9 million related to the fair market value of the 30% retained interest in the Mitigation Bank JV.</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 xml:space="preserve">On September 30, 2021, the Company, through a wholly owned and fully consolidated TRS, purchased the remaining 70% interest in the Mitigation Bank JV from BlackRock for $18.0 million (the “Interest Purchase”) resulting in a net cash payment by the Company of $16.1 million after utilizing the available cash in the Mitigation Bank JV of $1.9 million. As a result of the Interest Purchase, the Mitigation Bank JV is now wholly owned by the Company and is referred to as the Mitigation Bank. Pursuant to ASU 2017-01, </w:t>
      </w:r>
      <w:r>
        <w:rPr>
          <w:rFonts w:ascii="Times New Roman" w:cs="Times New Roman" w:eastAsia="Times New Roman" w:hAnsi="Times New Roman"/>
          <w:sz w:val="18"/>
          <w:szCs w:val="18"/>
          <w:i w:val="1"/>
          <w:iCs w:val="1"/>
          <w:color w:val="auto"/>
        </w:rPr>
        <w:t>Business Combinations: Clarifying the Definition of a Business</w:t>
      </w:r>
      <w:r>
        <w:rPr>
          <w:rFonts w:ascii="Times New Roman" w:cs="Times New Roman" w:eastAsia="Times New Roman" w:hAnsi="Times New Roman"/>
          <w:sz w:val="18"/>
          <w:szCs w:val="18"/>
          <w:color w:val="auto"/>
        </w:rPr>
        <w:t>, the Interest Purchase represents an asset acquisition as substantially all of the fair value of the gross assets acquired are concentrated in a group of similar identifiable assets, i.e. the mitigation credits and mitigation credit rights. Accordingly, the Company recorded the Interest Purchase by allocating the total cost of the asset group to the individual assets acquired. The Company’s total cost of the Interest Purchase totaled $24.9 million which is comprised of (i) the $18.0 million Interest Purchase and (ii) the $6.9 million previously recorded value of the retained interest in the entity that owns the Mitigation Bank. In connection with the Interest Purchase, the previously recorded value of $6.9 million of the retained interest was eliminated and the $24.9 million total cost was allocated as follows: (i) $1.8 million to cash and cash equivalents, (ii) $0.6 million to restricted cash, (iii) $0.9 million to the mitigation credits, and (iv) $21.6 million to the mitigation credit rights.</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During the period from June 2018 through the date of the Interest Purchase on September 30, 2021, the operations of the Mitigation Bank JV are summarized as follows. The operating agreement of the Mitigation Bank JV (the “Operating Agreement”) was executed in conjunction with the mitigation bank transaction and stipulated that the Company should have arranged for sales of the Mitigation Bank JV’s mitigation credits to unrelated third parties totaling no less than $6.0 million of revenue to the Mitigation Bank JV, net of commissions, by the end of 2020, utilizing a maximum of 60 mitigation credits (the “Minimum Sales Requirement”). The Operating Agreement stipulated that if the Minimum Sales Requirement was not achieved, then BlackRock had the right, but was not required, to cause the Company to purchase the number of mitigation credits necessary to reach the Minimum Sales Requirement (the “Minimum Sales Guarantee”). As a result of not having achieved the Minimum Sales Requirement prior to December 31, 2020, during the nine months ended September 30, 2021, the Company had active discussions with BlackRock whereby BlackRock did not cause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Company to effectuate the Minimum Sales Guarantee; rather, the Company purchased the remaining 70% interest in the Mitigation Bank JV from BlackRock.</w:t>
      </w:r>
    </w:p>
    <w:p>
      <w:pPr>
        <w:spacing w:after="0" w:line="162"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provides summarized financial information of the Mitigation Bank JV for the three months ended March 31,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65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Cost of Revenues</w:t>
            </w: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Company’s share of the Mitigation Bank JV’s net loss was zero for the three months ended March 31, 2021. Pursuant to ASC 323, certain adjustments are made when calculating the Company’s share of net income (loss), including adjustments required to reflect the investor’s share of changes in investee’s capital to reflect distributions from the Mitigation Bank JV. Additionally, basis differences are also considered. The Company recorded the initial retained interest in the Mitigation Bank JV of $6.8 million in June 2018 at the estimated fair market value based on the relationship of the $15.3 million sales price of the 70% equity interest to the 30% retained interest. The Mitigation Bank JV recorded the assets contributed by the Company at carry-over basis pursuant to ASC 845 which states that transfers of nonmonetary assets should typically be recorded at the transferor’s historical cost basis. Accordingly, the Company’s basis difference in the 30% retained equity interest was evaluated each quarter upon determining the Company’s share of the Mitigation Bank JV’s net income (loss). As a result of the Interest Purchase, such evaluation was no longer required subsequent to December 31, 2021.</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8. INVESTMENT SECURITIES</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acquired 815,790 shares of PINE common stock in connection with the IPO. During the three months ended March 31, 2022, the Company purchased 4,765 shares of PINE common stock on the open market for a total of $0.1 million, or an average price of $18.47 per share. During the year ended December 31, 2021, the Company purchased 8,088 shares of PINE common stock on the open market for a total of $0.1 million, or an average price of $17.65 per share. As of March 31, 2022, the Company owns, in the aggregate and on a fully diluted basis, 2.05 million shares of PINE, or 15.2% of PINE’s total shares outstanding for an investment value of $38.6 million, which total includes 1.2 million OP Units, or 9.1%, which the Company received in exchange for the contribution of certain income properties to the PINE Operating Partnership, in addition to 828,643 shares of common stock owned by the Company, or 7.0%. The Company has elected the fair value option related to the aggregate investment in securities of PINE pursuant to ASC 825, otherwise such investments would have been accounted for under the equity method.</w:t>
      </w:r>
    </w:p>
    <w:p>
      <w:pPr>
        <w:spacing w:after="0" w:line="19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Company calculates the unrealized gain or loss based on the closing stock price of PINE at each respective balance sheet date. The unrealized, non-cash gains and losses resulting from the changes in the closing stock price of PINE are included in investment and other income (loss) in the consolidated statements of operations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The Company’s available-for-sale securities as of March 31, 2022 and December 31, 2021 are summarized below (in thousands):</w:t>
      </w:r>
    </w:p>
    <w:tbl>
      <w:tblPr>
        <w:tblLayout w:type="fixed"/>
        <w:tblInd w:w="40" w:type="dxa"/>
        <w:tblCellMar>
          <w:top w:w="0" w:type="dxa"/>
          <w:left w:w="0" w:type="dxa"/>
          <w:bottom w:w="0" w:type="dxa"/>
          <w:right w:w="0" w:type="dxa"/>
        </w:tblCellMar>
      </w:tblPr>
      <w:tr>
        <w:trPr>
          <w:trHeight w:val="207"/>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Gains in</w:t>
            </w:r>
          </w:p>
        </w:tc>
        <w:tc>
          <w:tcPr>
            <w:tcW w:w="1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Losses in</w:t>
            </w:r>
          </w:p>
        </w:tc>
        <w:tc>
          <w:tcPr>
            <w:tcW w:w="180" w:type="dxa"/>
            <w:vAlign w:val="bottom"/>
          </w:tcPr>
          <w:p>
            <w:pPr>
              <w:spacing w:after="0"/>
              <w:rPr>
                <w:sz w:val="18"/>
                <w:szCs w:val="18"/>
                <w:color w:val="auto"/>
              </w:rPr>
            </w:pPr>
          </w:p>
        </w:tc>
        <w:tc>
          <w:tcPr>
            <w:tcW w:w="11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2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2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 1 Inputs)</w:t>
            </w:r>
          </w:p>
        </w:tc>
      </w:tr>
      <w:tr>
        <w:trPr>
          <w:trHeight w:val="209"/>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15,579</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38,587</w:t>
            </w:r>
          </w:p>
        </w:tc>
      </w:tr>
      <w:tr>
        <w:trPr>
          <w:trHeight w:val="209"/>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2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16,511</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Units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w:t>
            </w:r>
          </w:p>
        </w:tc>
      </w:tr>
      <w:tr>
        <w:trPr>
          <w:trHeight w:val="21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41,037</w:t>
            </w:r>
          </w:p>
        </w:tc>
      </w:tr>
      <w:tr>
        <w:trPr>
          <w:trHeight w:val="209"/>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41,037</w:t>
            </w:r>
          </w:p>
        </w:tc>
      </w:tr>
      <w:tr>
        <w:trPr>
          <w:trHeight w:val="20"/>
        </w:trPr>
        <w:tc>
          <w:tcPr>
            <w:tcW w:w="2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FAIR VALUE OF FINANCIAL INSTRUMENTS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March 31, 2022 and December 31,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20"/>
                <w:szCs w:val="20"/>
                <w:color w:val="auto"/>
              </w:rPr>
            </w:pPr>
          </w:p>
        </w:tc>
        <w:tc>
          <w:tcPr>
            <w:tcW w:w="21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87"/>
        </w:trPr>
        <w:tc>
          <w:tcPr>
            <w:tcW w:w="4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20"/>
                <w:szCs w:val="20"/>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22,734</w:t>
            </w:r>
          </w:p>
        </w:tc>
      </w:tr>
      <w:tr>
        <w:trPr>
          <w:trHeight w:val="198"/>
        </w:trPr>
        <w:tc>
          <w:tcPr>
            <w:tcW w:w="43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Commercial Loan and Master Lease Investments - Level</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39,109</w:t>
            </w:r>
          </w:p>
        </w:tc>
      </w:t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298,079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301,902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278,273</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288,000</w:t>
            </w:r>
          </w:p>
        </w:tc>
      </w:tr>
    </w:tbl>
    <w:p>
      <w:pPr>
        <w:spacing w:after="0" w:line="17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To determine estimated fair values of the financial instruments listed above, market rates of interest, which include credit assumptions, were used to discount contractual cash flows. 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fair value of assets measured on a recurring basis by level as of March 31, 2022 and December 31, 2021 (in thousands). See Note 17, “Interest Rate Swaps” for further disclosure related to the Company’s interest rate swaps.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at Reporting Date Using</w:t>
            </w:r>
          </w:p>
        </w:tc>
      </w:tr>
      <w:tr>
        <w:trPr>
          <w:trHeight w:val="183"/>
        </w:trPr>
        <w:tc>
          <w:tcPr>
            <w:tcW w:w="4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Quoted Prices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14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Markets for</w:t>
            </w:r>
          </w:p>
        </w:tc>
        <w:tc>
          <w:tcPr>
            <w:tcW w:w="14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4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Unobservable</w:t>
            </w:r>
          </w:p>
        </w:tc>
      </w:tr>
      <w:tr>
        <w:trPr>
          <w:trHeight w:val="215"/>
        </w:trPr>
        <w:tc>
          <w:tcPr>
            <w:tcW w:w="4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Inputs (Level 3)</w:t>
            </w:r>
          </w:p>
        </w:tc>
      </w:tr>
      <w:tr>
        <w:trPr>
          <w:trHeight w:val="19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03"/>
        </w:trPr>
        <w:tc>
          <w:tcPr>
            <w:tcW w:w="412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Cash Flow Hedge - 2026 Term Loan Interest Rate Swap </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2,984</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Cash Flow Hedge - 2026 Term Loan Interest Rate Swap </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Cash Flow Hedge - 2027 Term Loan Interest Rate Swap </w:t>
            </w:r>
            <w:r>
              <w:rPr>
                <w:rFonts w:ascii="Times New Roman" w:cs="Times New Roman" w:eastAsia="Times New Roman" w:hAnsi="Times New Roman"/>
                <w:sz w:val="23"/>
                <w:szCs w:val="23"/>
                <w:color w:val="auto"/>
                <w:vertAlign w:val="superscript"/>
              </w:rPr>
              <w:t>(3)</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1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Cash Flow Hedge - 2026 Term Loan Interest Rate Swap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Cash Flow Hedge - 2026 Term Loan Interest Rate Swap </w:t>
            </w:r>
            <w:r>
              <w:rPr>
                <w:rFonts w:ascii="Times New Roman" w:cs="Times New Roman" w:eastAsia="Times New Roman" w:hAnsi="Times New Roman"/>
                <w:sz w:val="23"/>
                <w:szCs w:val="23"/>
                <w:color w:val="auto"/>
                <w:vertAlign w:val="superscript"/>
              </w:rPr>
              <w:t>(2)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1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6"/>
                <w:szCs w:val="16"/>
                <w:color w:val="auto"/>
              </w:rPr>
              <w:t xml:space="preserve">Cash Flow Hedge - 2027 Term Loan Interest Rate Swap </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41,037</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41,037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63500</wp:posOffset>
            </wp:positionV>
            <wp:extent cx="14141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5" w:lineRule="exact"/>
        <w:rPr>
          <w:sz w:val="20"/>
          <w:szCs w:val="20"/>
          <w:color w:val="auto"/>
        </w:rPr>
      </w:pPr>
    </w:p>
    <w:p>
      <w:pPr>
        <w:ind w:left="380" w:right="79" w:hanging="330"/>
        <w:spacing w:after="0" w:line="186" w:lineRule="auto"/>
        <w:tabs>
          <w:tab w:leader="none" w:pos="3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Effective March 10, 2021, the Company redesignated the interest rate swap, entered into as of August 31, 2020, to fix LIBOR and achieve a fixed interest rate of 0.22% plus the applicable spread on the $50.0 million 2026 Term Loan, hereinafter defined.</w:t>
      </w:r>
    </w:p>
    <w:p>
      <w:pPr>
        <w:spacing w:after="0" w:line="1" w:lineRule="exact"/>
        <w:rPr>
          <w:rFonts w:ascii="Times New Roman" w:cs="Times New Roman" w:eastAsia="Times New Roman" w:hAnsi="Times New Roman"/>
          <w:sz w:val="22"/>
          <w:szCs w:val="22"/>
          <w:color w:val="auto"/>
          <w:vertAlign w:val="superscript"/>
        </w:rPr>
      </w:pPr>
    </w:p>
    <w:p>
      <w:pPr>
        <w:ind w:left="380" w:right="79" w:hanging="330"/>
        <w:spacing w:after="0" w:line="182" w:lineRule="auto"/>
        <w:tabs>
          <w:tab w:leader="none" w:pos="380"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Effective August 31, 2021, the Company utilized an interest rate swap to fix LIBOR and achieve a fixed interest rate of 0.77% plus the applicable spread on the remaining $15.0 million outstanding principal balance on the 2026 Term Loan, hereinafter defined.</w:t>
      </w:r>
    </w:p>
    <w:p>
      <w:pPr>
        <w:ind w:left="380" w:right="79" w:hanging="330"/>
        <w:spacing w:after="0" w:line="180" w:lineRule="auto"/>
        <w:tabs>
          <w:tab w:leader="none" w:pos="3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Effective November 5, 2021 the Company redesignated the interest rate swap, entered into as of March 31, 2020, to fix LIBOR and achieve a fixed interest rate of 0.73% plus the applicable spread on the $100.0 million 2027 Term Loan, hereinafter defined.</w:t>
      </w:r>
    </w:p>
    <w:p>
      <w:pPr>
        <w:spacing w:after="0" w:line="1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assets were measured on a non-recurring basis as of March 31, 2022 or December 31, 2021.</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INTANGIBLE ASSETS AND LIABILITIES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March 31, 2022 and December 31, 2021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2"/>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6"/>
                <w:szCs w:val="16"/>
                <w:color w:val="auto"/>
              </w:rPr>
            </w:pPr>
          </w:p>
        </w:tc>
        <w:tc>
          <w:tcPr>
            <w:tcW w:w="1540" w:type="dxa"/>
            <w:vAlign w:val="bottom"/>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r>
      <w:tr>
        <w:trPr>
          <w:trHeight w:val="238"/>
        </w:trPr>
        <w:tc>
          <w:tcPr>
            <w:tcW w:w="50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63,206</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59,293</w:t>
            </w: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20" w:type="dxa"/>
            <w:vAlign w:val="bottom"/>
          </w:tcPr>
          <w:p>
            <w:pPr>
              <w:spacing w:after="0"/>
              <w:rPr>
                <w:sz w:val="18"/>
                <w:szCs w:val="18"/>
                <w:color w:val="auto"/>
              </w:rPr>
            </w:pPr>
          </w:p>
        </w:tc>
      </w:tr>
      <w:tr>
        <w:trPr>
          <w:trHeight w:val="216"/>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20" w:type="dxa"/>
            <w:vAlign w:val="bottom"/>
          </w:tcPr>
          <w:p>
            <w:pPr>
              <w:spacing w:after="0"/>
              <w:rPr>
                <w:sz w:val="18"/>
                <w:szCs w:val="18"/>
                <w:color w:val="auto"/>
              </w:rPr>
            </w:pPr>
          </w:p>
        </w:tc>
      </w:tr>
      <w:tr>
        <w:trPr>
          <w:trHeight w:val="21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100,965</w:t>
            </w:r>
          </w:p>
        </w:tc>
        <w:tc>
          <w:tcPr>
            <w:tcW w:w="20" w:type="dxa"/>
            <w:vAlign w:val="bottom"/>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Pr>
          <w:p>
            <w:pPr>
              <w:spacing w:after="0"/>
              <w:rPr>
                <w:sz w:val="18"/>
                <w:szCs w:val="18"/>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(24,908)</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(21,473)</w:t>
            </w:r>
          </w:p>
        </w:tc>
        <w:tc>
          <w:tcPr>
            <w:tcW w:w="20" w:type="dxa"/>
            <w:vAlign w:val="bottom"/>
          </w:tcPr>
          <w:p>
            <w:pPr>
              <w:spacing w:after="0"/>
              <w:rPr>
                <w:sz w:val="18"/>
                <w:szCs w:val="18"/>
                <w:color w:val="auto"/>
              </w:rPr>
            </w:pPr>
          </w:p>
        </w:tc>
      </w:tr>
      <w:tr>
        <w:trPr>
          <w:trHeight w:val="210"/>
        </w:trPr>
        <w:tc>
          <w:tcPr>
            <w:tcW w:w="50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81,925</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20" w:type="dxa"/>
            <w:vAlign w:val="bottom"/>
          </w:tcPr>
          <w:p>
            <w:pPr>
              <w:spacing w:after="0"/>
              <w:rPr>
                <w:sz w:val="18"/>
                <w:szCs w:val="18"/>
                <w:color w:val="auto"/>
              </w:rPr>
            </w:pPr>
          </w:p>
        </w:tc>
      </w:tr>
      <w:tr>
        <w:trPr>
          <w:trHeight w:val="178"/>
        </w:trPr>
        <w:tc>
          <w:tcPr>
            <w:tcW w:w="5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Intangible Lease Liabilities (Included in Accrued and Other</w:t>
            </w:r>
          </w:p>
        </w:tc>
        <w:tc>
          <w:tcPr>
            <w:tcW w:w="3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3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(7,146)</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20" w:type="dxa"/>
            <w:vAlign w:val="bottom"/>
          </w:tcPr>
          <w:p>
            <w:pPr>
              <w:spacing w:after="0"/>
              <w:rPr>
                <w:sz w:val="18"/>
                <w:szCs w:val="18"/>
                <w:color w:val="auto"/>
              </w:rPr>
            </w:pPr>
          </w:p>
        </w:tc>
      </w:tr>
      <w:tr>
        <w:trPr>
          <w:trHeight w:val="20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3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w:t>
            </w: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20" w:type="dxa"/>
            <w:vAlign w:val="bottom"/>
          </w:tcPr>
          <w:p>
            <w:pPr>
              <w:spacing w:after="0"/>
              <w:rPr>
                <w:sz w:val="18"/>
                <w:szCs w:val="18"/>
                <w:color w:val="auto"/>
              </w:rPr>
            </w:pPr>
          </w:p>
        </w:tc>
      </w:tr>
      <w:tr>
        <w:trPr>
          <w:trHeight w:val="216"/>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0" w:type="dxa"/>
            <w:vAlign w:val="bottom"/>
          </w:tcPr>
          <w:p>
            <w:pPr>
              <w:spacing w:after="0"/>
              <w:rPr>
                <w:sz w:val="18"/>
                <w:szCs w:val="18"/>
                <w:color w:val="auto"/>
              </w:rPr>
            </w:pPr>
          </w:p>
        </w:tc>
      </w:tr>
      <w:tr>
        <w:trPr>
          <w:trHeight w:val="209"/>
        </w:trPr>
        <w:tc>
          <w:tcPr>
            <w:tcW w:w="5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20" w:type="dxa"/>
            <w:vAlign w:val="bottom"/>
          </w:tcPr>
          <w:p>
            <w:pPr>
              <w:spacing w:after="0"/>
              <w:rPr>
                <w:sz w:val="18"/>
                <w:szCs w:val="18"/>
                <w:color w:val="auto"/>
              </w:rPr>
            </w:pPr>
          </w:p>
        </w:tc>
      </w:tr>
      <w:tr>
        <w:trPr>
          <w:trHeight w:val="21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76,382</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73,891</w:t>
            </w:r>
          </w:p>
        </w:tc>
        <w:tc>
          <w:tcPr>
            <w:tcW w:w="2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441"/>
        <w:spacing w:after="0" w:line="233" w:lineRule="auto"/>
        <w:rPr>
          <w:sz w:val="20"/>
          <w:szCs w:val="20"/>
          <w:color w:val="auto"/>
        </w:rPr>
      </w:pPr>
      <w:r>
        <w:rPr>
          <w:rFonts w:ascii="Times New Roman" w:cs="Times New Roman" w:eastAsia="Times New Roman" w:hAnsi="Times New Roman"/>
          <w:sz w:val="18"/>
          <w:szCs w:val="18"/>
          <w:color w:val="auto"/>
        </w:rPr>
        <w:t>During the three months ended March 31, 2022, the value of in-place leases increased by $3.9 million, the value of above-market in-place leases increased by $0.8 million, the value of intangible leasing costs increased by $1.2 million, and the value of below-market in-place leases increased by $0.2 million. Such changes reflect the acquisition of one multi-tenant income property, net of two single-tenant income properties sold during the three months ended March 31, 2022. Net accumulated amortization increased by $3.2 million, for a net increase during the three months ended March 31, 2022 of $2.5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months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2022 and 2021 (in thousands):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Borders>
              <w:bottom w:val="single" w:sz="8" w:color="auto"/>
            </w:tcBorders>
          </w:tcPr>
          <w:p>
            <w:pPr>
              <w:spacing w:after="0"/>
              <w:rPr>
                <w:sz w:val="18"/>
                <w:szCs w:val="18"/>
                <w:color w:val="auto"/>
              </w:rPr>
            </w:pPr>
          </w:p>
        </w:tc>
      </w:tr>
      <w:tr>
        <w:trPr>
          <w:trHeight w:val="187"/>
        </w:trPr>
        <w:tc>
          <w:tcPr>
            <w:tcW w:w="5080" w:type="dxa"/>
            <w:vAlign w:val="bottom"/>
          </w:tcPr>
          <w:p>
            <w:pPr>
              <w:spacing w:after="0"/>
              <w:rPr>
                <w:sz w:val="16"/>
                <w:szCs w:val="16"/>
                <w:color w:val="auto"/>
              </w:rPr>
            </w:pPr>
          </w:p>
        </w:tc>
        <w:tc>
          <w:tcPr>
            <w:tcW w:w="13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Pr>
          <w:p>
            <w:pPr>
              <w:spacing w:after="0"/>
              <w:rPr>
                <w:sz w:val="16"/>
                <w:szCs w:val="16"/>
                <w:color w:val="auto"/>
              </w:rPr>
            </w:pPr>
          </w:p>
        </w:tc>
      </w:tr>
      <w:tr>
        <w:trPr>
          <w:trHeight w:val="238"/>
        </w:trPr>
        <w:tc>
          <w:tcPr>
            <w:tcW w:w="508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2,695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16"/>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to Income Properties Revenue</w:t>
            </w:r>
          </w:p>
        </w:tc>
        <w:tc>
          <w:tcPr>
            <w:tcW w:w="1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09"/>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Amortization of Intangible Assets and Liabilities</w:t>
            </w: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3,176</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0"/>
        </w:trPr>
        <w:tc>
          <w:tcPr>
            <w:tcW w:w="50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Future</w:t>
            </w:r>
          </w:p>
        </w:tc>
        <w:tc>
          <w:tcPr>
            <w:tcW w:w="16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Future Accretion</w:t>
            </w:r>
          </w:p>
        </w:tc>
        <w:tc>
          <w:tcPr>
            <w:tcW w:w="100" w:type="dxa"/>
            <w:vAlign w:val="bottom"/>
          </w:tcPr>
          <w:p>
            <w:pPr>
              <w:spacing w:after="0"/>
              <w:rPr>
                <w:sz w:val="18"/>
                <w:szCs w:val="18"/>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to Income</w:t>
            </w: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Intangible Assets</w:t>
            </w:r>
          </w:p>
        </w:tc>
      </w:tr>
      <w:tr>
        <w:trPr>
          <w:trHeight w:val="23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4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0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and Liabilities</w:t>
            </w:r>
          </w:p>
        </w:tc>
      </w:tr>
      <w:tr>
        <w:trPr>
          <w:trHeight w:val="210"/>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13,141</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13,214</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11,044</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r>
      <w:tr>
        <w:trPr>
          <w:trHeight w:val="21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r>
      <w:tr>
        <w:trPr>
          <w:trHeight w:val="21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76,382</w:t>
            </w:r>
          </w:p>
        </w:tc>
      </w:tr>
      <w:tr>
        <w:trPr>
          <w:trHeight w:val="20"/>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2022, the weighted average amortization period of total intangible assets and liabilities was 7.7 years and 8.5 years,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IMPAIRMENT OF LONG-LIVED ASSETS</w:t>
      </w:r>
    </w:p>
    <w:p>
      <w:pPr>
        <w:spacing w:after="0" w:line="216"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assesses the impairment of long-lived assets whenever events or changes in 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executed purchase and sale agreements on specific properties, third party valuations, discounted cash flow models, and other model-based techniques.</w:t>
      </w:r>
    </w:p>
    <w:p>
      <w:pPr>
        <w:spacing w:after="0" w:line="183"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on the Company’s income property portfolio during the three months ended March 31, 2022 or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OTHER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assets consisted of the following as of March 31, 2022 and December 31, 2021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00" w:type="dxa"/>
            <w:vAlign w:val="bottom"/>
            <w:tcBorders>
              <w:bottom w:val="single" w:sz="8" w:color="auto"/>
            </w:tcBorders>
          </w:tcPr>
          <w:p>
            <w:pPr>
              <w:spacing w:after="0"/>
              <w:rPr>
                <w:sz w:val="20"/>
                <w:szCs w:val="20"/>
                <w:color w:val="auto"/>
              </w:rPr>
            </w:pPr>
          </w:p>
        </w:tc>
      </w:tr>
      <w:tr>
        <w:trPr>
          <w:trHeight w:val="187"/>
        </w:trPr>
        <w:tc>
          <w:tcPr>
            <w:tcW w:w="6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Property Tenant Receivables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Property Straight-line Rent Adjustment and COVID-19 Deferral Balance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 Right-of-Use Asset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Golf Rounds Surcharge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Reimbursement Receivables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Alpine Income Property Trust, Inc.</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0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14,897</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Property Straight-Line Rent Adjustment. </w:t>
      </w:r>
      <w:r>
        <w:rPr>
          <w:rFonts w:ascii="Times New Roman" w:cs="Times New Roman" w:eastAsia="Times New Roman" w:hAnsi="Times New Roman"/>
          <w:sz w:val="18"/>
          <w:szCs w:val="18"/>
          <w:color w:val="auto"/>
        </w:rPr>
        <w:t>As of March 31, 2022 and December 31, 2021, the straight-line 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includes a balance of $0.1 million of deferred rent related to the COVID-19 Pandemic. Pursuant to the interpretive guidance issued by the FASB in April 2020 on lease modifications, for leases in which deferred rent agreements were reached, the Company has continued to account for the lease concessions by recognizing the normal straight-line rental income and as the deferred rents are repaid by the tenant, the straight-line receivable will be reduced.</w:t>
      </w:r>
    </w:p>
    <w:p>
      <w:pPr>
        <w:spacing w:after="0" w:line="183"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Infrastructure Reimbursement Receivables. </w:t>
      </w:r>
      <w:r>
        <w:rPr>
          <w:rFonts w:ascii="Times New Roman" w:cs="Times New Roman" w:eastAsia="Times New Roman" w:hAnsi="Times New Roman"/>
          <w:sz w:val="18"/>
          <w:szCs w:val="18"/>
          <w:color w:val="auto"/>
        </w:rPr>
        <w:t>As of March 31, 2022 and December 31, 2021, the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receivables were all related to the land sales within the Tomoka Town Center. The balance as of March 31, 2022 consisted of $0.8 million due from Tanger for infrastructure reimbursement to be repaid in five remaining annual installments of approximately $0.2 million each, net of a discount of $0.1 million, and $0.3 million due from Sam’s Club for infrastructure reimbursement to be repaid in three remaining annual installments of $0.1 million each, net of a discount of $0.03 million.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27"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On April 1, 2021, the Company filed a shelf registration statement on Form S-3, relating to the registration and potential issuance of its common stock, preferred stock, debt securities, warrants, rights, and units with a maximum aggregate offering price of up to $350.0 million. The Securities and Exchange Commission declared the Form S-3 effective on April 19, 2021.</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14"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On April 30, 2021, the Company implemented a $150.0 million “at-the-market” equity offering program (the “ATM Program”) pursuant to which the Company may sell, from time to time, shares of the Company’s common stock. During the three months ended March 31, 2022, the Company sold 43,793 shares under the ATM Program for gross proceeds of $2.9 million at a weighted average price of $65.47 per share, generating net proceeds of $2.8 million after deducting transaction fees totaling less than $0.1 million.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14"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Code commencing with its taxable year ended December 31, 2020. In order to maintain its qualification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w:t>
      </w:r>
    </w:p>
    <w:p>
      <w:pPr>
        <w:spacing w:after="0" w:line="151" w:lineRule="exact"/>
        <w:rPr>
          <w:sz w:val="20"/>
          <w:szCs w:val="20"/>
          <w:color w:val="auto"/>
        </w:rPr>
      </w:pPr>
    </w:p>
    <w:p>
      <w:pPr>
        <w:jc w:val="both"/>
        <w:ind w:left="60" w:right="59" w:firstLine="441"/>
        <w:spacing w:after="0" w:line="250" w:lineRule="auto"/>
        <w:rPr>
          <w:sz w:val="20"/>
          <w:szCs w:val="20"/>
          <w:color w:val="auto"/>
        </w:rPr>
      </w:pPr>
      <w:r>
        <w:rPr>
          <w:rFonts w:ascii="Times New Roman" w:cs="Times New Roman" w:eastAsia="Times New Roman" w:hAnsi="Times New Roman"/>
          <w:sz w:val="18"/>
          <w:szCs w:val="18"/>
          <w:color w:val="auto"/>
        </w:rPr>
        <w:t>The following table outlines dividends declared and paid for each issuance of CTO’s stock during the three months ended March 31, 2022 and 2021 (in thousands, except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40" w:type="dxa"/>
            <w:vAlign w:val="bottom"/>
            <w:tcBorders>
              <w:bottom w:val="single" w:sz="8" w:color="auto"/>
            </w:tcBorders>
          </w:tcPr>
          <w:p>
            <w:pPr>
              <w:spacing w:after="0"/>
              <w:rPr>
                <w:sz w:val="20"/>
                <w:szCs w:val="20"/>
                <w:color w:val="auto"/>
              </w:rPr>
            </w:pPr>
          </w:p>
        </w:tc>
      </w:tr>
      <w:tr>
        <w:trPr>
          <w:trHeight w:val="187"/>
        </w:trPr>
        <w:tc>
          <w:tcPr>
            <w:tcW w:w="3880" w:type="dxa"/>
            <w:vAlign w:val="bottom"/>
          </w:tcPr>
          <w:p>
            <w:pPr>
              <w:spacing w:after="0"/>
              <w:rPr>
                <w:sz w:val="16"/>
                <w:szCs w:val="16"/>
                <w:color w:val="auto"/>
              </w:rPr>
            </w:pPr>
          </w:p>
        </w:tc>
        <w:tc>
          <w:tcPr>
            <w:tcW w:w="16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Pr>
          <w:p>
            <w:pPr>
              <w:jc w:val="right"/>
              <w:ind w:right="69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388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880" w:type="dxa"/>
            <w:vAlign w:val="bottom"/>
          </w:tcPr>
          <w:p>
            <w:pPr>
              <w:jc w:val="center"/>
              <w:ind w:right="2610"/>
              <w:spacing w:after="0"/>
              <w:rPr>
                <w:sz w:val="20"/>
                <w:szCs w:val="20"/>
                <w:color w:val="auto"/>
              </w:rPr>
            </w:pPr>
            <w:r>
              <w:rPr>
                <w:rFonts w:ascii="Times New Roman" w:cs="Times New Roman" w:eastAsia="Times New Roman" w:hAnsi="Times New Roman"/>
                <w:sz w:val="18"/>
                <w:szCs w:val="18"/>
                <w:color w:val="auto"/>
                <w:w w:val="99"/>
              </w:rPr>
              <w:t>Dividends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8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jc w:val="center"/>
              <w:ind w:right="2650"/>
              <w:spacing w:after="0"/>
              <w:rPr>
                <w:sz w:val="20"/>
                <w:szCs w:val="20"/>
                <w:color w:val="auto"/>
              </w:rPr>
            </w:pPr>
            <w:r>
              <w:rPr>
                <w:rFonts w:ascii="Times New Roman" w:cs="Times New Roman" w:eastAsia="Times New Roman" w:hAnsi="Times New Roman"/>
                <w:sz w:val="18"/>
                <w:szCs w:val="18"/>
                <w:color w:val="auto"/>
              </w:rPr>
              <w:t>Per Share</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880" w:type="dxa"/>
            <w:vAlign w:val="bottom"/>
            <w:shd w:val="clear" w:color="auto" w:fill="CCEEFF"/>
          </w:tcPr>
          <w:p>
            <w:pPr>
              <w:jc w:val="center"/>
              <w:ind w:right="2630"/>
              <w:spacing w:after="0"/>
              <w:rPr>
                <w:sz w:val="20"/>
                <w:szCs w:val="20"/>
                <w:color w:val="auto"/>
              </w:rPr>
            </w:pPr>
            <w:r>
              <w:rPr>
                <w:rFonts w:ascii="Times New Roman" w:cs="Times New Roman" w:eastAsia="Times New Roman" w:hAnsi="Times New Roman"/>
                <w:sz w:val="18"/>
                <w:szCs w:val="18"/>
                <w:color w:val="auto"/>
                <w:w w:val="99"/>
              </w:rPr>
              <w:t>Common Stock</w:t>
            </w:r>
          </w:p>
        </w:tc>
        <w:tc>
          <w:tcPr>
            <w:tcW w:w="1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6"/>
        </w:trPr>
        <w:tc>
          <w:tcPr>
            <w:tcW w:w="3880" w:type="dxa"/>
            <w:vAlign w:val="bottom"/>
          </w:tcPr>
          <w:p>
            <w:pPr>
              <w:jc w:val="center"/>
              <w:ind w:right="2610"/>
              <w:spacing w:after="0"/>
              <w:rPr>
                <w:sz w:val="20"/>
                <w:szCs w:val="20"/>
                <w:color w:val="auto"/>
              </w:rPr>
            </w:pPr>
            <w:r>
              <w:rPr>
                <w:rFonts w:ascii="Times New Roman" w:cs="Times New Roman" w:eastAsia="Times New Roman" w:hAnsi="Times New Roman"/>
                <w:sz w:val="18"/>
                <w:szCs w:val="18"/>
                <w:color w:val="auto"/>
                <w:w w:val="99"/>
              </w:rPr>
              <w:t>Dividends</w:t>
            </w:r>
          </w:p>
        </w:tc>
        <w:tc>
          <w:tcPr>
            <w:tcW w:w="16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280" w:type="dxa"/>
            <w:vAlign w:val="bottom"/>
          </w:tcPr>
          <w:p>
            <w:pPr>
              <w:spacing w:after="0"/>
              <w:rPr>
                <w:sz w:val="18"/>
                <w:szCs w:val="18"/>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r>
      <w:tr>
        <w:trPr>
          <w:trHeight w:val="216"/>
        </w:trPr>
        <w:tc>
          <w:tcPr>
            <w:tcW w:w="3880" w:type="dxa"/>
            <w:vAlign w:val="bottom"/>
            <w:shd w:val="clear" w:color="auto" w:fill="CCEEFF"/>
          </w:tcPr>
          <w:p>
            <w:pPr>
              <w:jc w:val="center"/>
              <w:ind w:right="2650"/>
              <w:spacing w:after="0"/>
              <w:rPr>
                <w:sz w:val="20"/>
                <w:szCs w:val="20"/>
                <w:color w:val="auto"/>
              </w:rPr>
            </w:pPr>
            <w:r>
              <w:rPr>
                <w:rFonts w:ascii="Times New Roman" w:cs="Times New Roman" w:eastAsia="Times New Roman" w:hAnsi="Times New Roman"/>
                <w:sz w:val="18"/>
                <w:szCs w:val="18"/>
                <w:color w:val="auto"/>
              </w:rPr>
              <w:t>Per Share</w:t>
            </w:r>
          </w:p>
        </w:tc>
        <w:tc>
          <w:tcPr>
            <w:tcW w:w="16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2025 NOTES</w:t>
      </w:r>
    </w:p>
    <w:p>
      <w:pPr>
        <w:spacing w:after="0" w:line="227"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Effective January 1, 2022, the Company adopted ASU 2020-06 whereby diluted EPS includes the dilutive impact of the 2025 Notes (hereinafter defined) using the if-converted method. Upon adoption, the Company recorded a $7.0 million adjustment to reduce additional paid-in capital to eliminate the non-cash equity component of the 2025 Notes with corresponding offsets including (i) a $4.0 million cumulative effect adjustment to the opening balance of retained earnings and (ii) a $3.0 million adjustment to eliminate the non-cash portion of the convertible notes discount, net of accumulated amortization (the “2025 Notes Adjustment”). The 2025 Notes Adjustment was made on January 1, 2022 and is reflected in the accompanying consolidated statements of stockholders’ equity.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COMMON STOCK AND EARNINGS PER SHARE</w:t>
      </w:r>
    </w:p>
    <w:p>
      <w:pPr>
        <w:spacing w:after="0" w:line="216" w:lineRule="exact"/>
        <w:rPr>
          <w:sz w:val="20"/>
          <w:szCs w:val="20"/>
          <w:color w:val="auto"/>
        </w:rPr>
      </w:pPr>
    </w:p>
    <w:p>
      <w:pPr>
        <w:jc w:val="both"/>
        <w:ind w:left="60" w:right="59" w:firstLine="441"/>
        <w:spacing w:after="0" w:line="232"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attributable to common stockholders during the period by the weighted average number of shares of common stock outstanding during the period. Diluted earnings per common share is based on the assumption of the conversion of stock options and vesting of restricted stock at the beginning of each period using the treasury stock method at average cost for the periods. Effective as of January 1, 2022, diluted earnings per common share also reflects the 2025 Notes on an if-converted basis.</w:t>
      </w:r>
    </w:p>
    <w:p>
      <w:pPr>
        <w:spacing w:after="0" w:line="188" w:lineRule="exact"/>
        <w:rPr>
          <w:sz w:val="20"/>
          <w:szCs w:val="20"/>
          <w:color w:val="auto"/>
        </w:rPr>
      </w:pPr>
    </w:p>
    <w:p>
      <w:pPr>
        <w:jc w:val="both"/>
        <w:ind w:left="60" w:right="59" w:firstLine="441"/>
        <w:spacing w:after="0" w:line="250"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for each of the periods presented (in thousands, except share and per share data):</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87"/>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9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Earnings: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3"/>
        </w:trPr>
        <w:tc>
          <w:tcPr>
            <w:tcW w:w="6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Used in Basic EPS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Add Back: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 Used in Diluted EPS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Shares: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5,908,892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5,879,085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Common Shares Applicable to Dilutive Effect of 2025 Notes </w:t>
            </w:r>
            <w:r>
              <w:rPr>
                <w:rFonts w:ascii="Times New Roman" w:cs="Times New Roman" w:eastAsia="Times New Roman" w:hAnsi="Times New Roman"/>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5,908,892</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5,879,085</w:t>
            </w: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5" w:lineRule="exact"/>
        <w:rPr>
          <w:sz w:val="20"/>
          <w:szCs w:val="20"/>
          <w:color w:val="auto"/>
        </w:rPr>
      </w:pPr>
    </w:p>
    <w:p>
      <w:pPr>
        <w:jc w:val="both"/>
        <w:ind w:left="380" w:right="79" w:hanging="330"/>
        <w:spacing w:after="0" w:line="204" w:lineRule="auto"/>
        <w:tabs>
          <w:tab w:leader="none" w:pos="3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or loss that would result from the assumed conversion. For the three months ended March 31, 2022, a total of $0.6 million was not included, as the impact of the 2025 Notes (hereinafter defined), if-converted, would be antidilutive due to the net loss of $1.0 million.</w:t>
      </w:r>
    </w:p>
    <w:p>
      <w:pPr>
        <w:spacing w:after="0" w:line="2" w:lineRule="exact"/>
        <w:rPr>
          <w:rFonts w:ascii="Times New Roman" w:cs="Times New Roman" w:eastAsia="Times New Roman" w:hAnsi="Times New Roman"/>
          <w:sz w:val="19"/>
          <w:szCs w:val="19"/>
          <w:color w:val="auto"/>
          <w:vertAlign w:val="superscript"/>
        </w:rPr>
      </w:pPr>
    </w:p>
    <w:p>
      <w:pPr>
        <w:jc w:val="both"/>
        <w:ind w:left="380" w:right="79" w:hanging="330"/>
        <w:spacing w:after="0" w:line="208" w:lineRule="auto"/>
        <w:tabs>
          <w:tab w:leader="none" w:pos="3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total of 1.0 million shares representing the dilutive impact of the Company’s 2025 Notes (hereinafter defined), upon adoption of ASU 2020-06 effective January 1, 2022, were not included in the computation of diluted net income (loss) attributable to common stockholders for the three months ended March 31, 2022 because they were antidilutive due to the net loss of $1.0 million.</w:t>
      </w:r>
    </w:p>
    <w:p>
      <w:pPr>
        <w:spacing w:after="0" w:line="181"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There were no potentially dilutive securities for the three months ended March 31, 2022 or 2021 related to the Company’s stock options and restricted stock. The effect of 8,259 and 19,490 potentially dilutive stock options and restricted stock units were not included for the three months ended March 31, 2022 and 2021, respectively, as the effect would be anti-dilutive.</w:t>
      </w:r>
    </w:p>
    <w:p>
      <w:pPr>
        <w:spacing w:after="0" w:line="180"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Effective January 1, 2022, the Company adopted ASU 2020-06 whereby diluted EPS includes the dilutive impact, if any, of the 2025 Notes (hereinafter defined) using the if-converted method, irrespective of intended cash settlement. The Company intends to settle its 3.875% Convertible Senior Notes due 2025 (the “2025 Notes”) in cash upon conversion with any excess conversion value to be settled in shares of our common stock. The Company elected, upon adoption, to utilize the modified retrospective approach, negating the required restatement of EPS for periods prior to adoption. The Company overcame the presumption of share settlement prior to the adoption of ASU 2020-06, and therefore, there was no dilutive impact for the year ended December 31, 2021. The effect of 1.0 million potentially dilutive 2025 Notes, if-converted, were not included for the three months ended March 31, 2022, as the effect would be anti-dilutive.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SHARE REPURCHASES</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 February 2020, the Company’s Board approved a $10.0 million stock repurchase program (the “$10.0 Million Repurchase Program”). During the year ended December 31, 2021, the Company repurchased 40,553 shares of its common stock on the open market for a total cost of $2.2 million, or an average price per share of $54.48. The Company did not repurchase any shares of its common stock during the three months ended March 31, 2022 or 2021. The $10.0 Million Repurchase Program has $3.7 million remaining and does not have an expiration date.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LONG-TERM DEBT</w:t>
      </w:r>
    </w:p>
    <w:p>
      <w:pPr>
        <w:spacing w:after="0" w:line="22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As of March 31, 2022, long-term debt, at face value, totaled $299.8 million, which was comprised of (i) $66.0 million outstanding under our revolving credit facility (the “Credit Facility”), (ii) the $65.0 million term loan (the “2026 Term Loan”), (iii) the $100.0 million term loan (the “2027 Term Loan”), (iv) the $17.8 million fixed-rate mortgage note assumed in connection with the acquisition of Price Plaza Shopping Center during the three months ended March 31, 2022, and (v) the $51.0 million principal amount of 2025 Notes.</w:t>
      </w:r>
    </w:p>
    <w:p>
      <w:pPr>
        <w:spacing w:after="0" w:line="18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long-term debt, at face value, of $299.8 million at March 31, 2022, represented an increase of $16.8 million from the balance of $283.0 million at December 31, 2021. The $16.8 million increase in long-term debt was due to the impact of (i) the net repayments on the Credit Facility totaling $1.0 million and (ii) the assumption of the $17.8 million fixed-rate mortgage note in connection with the acquisition of Price Plaza Shopping Center.</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2022,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Face Value Debt</w:t>
            </w:r>
          </w:p>
        </w:tc>
        <w:tc>
          <w:tcPr>
            <w:tcW w:w="18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0" w:type="dxa"/>
            <w:vAlign w:val="bottom"/>
          </w:tcPr>
          <w:p>
            <w:pPr>
              <w:spacing w:after="0"/>
              <w:rPr>
                <w:sz w:val="1"/>
                <w:szCs w:val="1"/>
                <w:color w:val="auto"/>
              </w:rPr>
            </w:pPr>
          </w:p>
        </w:tc>
      </w:tr>
      <w:tr>
        <w:trPr>
          <w:trHeight w:val="191"/>
        </w:trPr>
        <w:tc>
          <w:tcPr>
            <w:tcW w:w="224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30-day LIBOR +</w:t>
            </w: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42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May 2023</w:t>
            </w:r>
          </w:p>
        </w:tc>
        <w:tc>
          <w:tcPr>
            <w:tcW w:w="17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[1.35% - 1.95%]</w:t>
            </w:r>
          </w:p>
        </w:tc>
        <w:tc>
          <w:tcPr>
            <w:tcW w:w="0" w:type="dxa"/>
            <w:vAlign w:val="bottom"/>
          </w:tcPr>
          <w:p>
            <w:pPr>
              <w:spacing w:after="0"/>
              <w:rPr>
                <w:sz w:val="1"/>
                <w:szCs w:val="1"/>
                <w:color w:val="auto"/>
              </w:rPr>
            </w:pPr>
          </w:p>
        </w:tc>
      </w:tr>
      <w:tr>
        <w:trPr>
          <w:trHeight w:val="198"/>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(1)</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30-day LIBOR +</w:t>
            </w:r>
          </w:p>
        </w:tc>
        <w:tc>
          <w:tcPr>
            <w:tcW w:w="0" w:type="dxa"/>
            <w:vAlign w:val="bottom"/>
          </w:tcPr>
          <w:p>
            <w:pPr>
              <w:spacing w:after="0"/>
              <w:rPr>
                <w:sz w:val="1"/>
                <w:szCs w:val="1"/>
                <w:color w:val="auto"/>
              </w:rPr>
            </w:pPr>
          </w:p>
        </w:tc>
      </w:tr>
      <w:tr>
        <w:trPr>
          <w:trHeight w:val="234"/>
        </w:trPr>
        <w:tc>
          <w:tcPr>
            <w:tcW w:w="396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20"/>
                <w:szCs w:val="20"/>
                <w:color w:val="auto"/>
              </w:rPr>
            </w:pPr>
          </w:p>
        </w:tc>
        <w:tc>
          <w:tcPr>
            <w:tcW w:w="16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March 2026</w:t>
            </w:r>
          </w:p>
        </w:tc>
        <w:tc>
          <w:tcPr>
            <w:tcW w:w="1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[1.35% - 1.95%]</w:t>
            </w:r>
          </w:p>
        </w:tc>
        <w:tc>
          <w:tcPr>
            <w:tcW w:w="0" w:type="dxa"/>
            <w:vAlign w:val="bottom"/>
          </w:tcPr>
          <w:p>
            <w:pPr>
              <w:spacing w:after="0"/>
              <w:rPr>
                <w:sz w:val="1"/>
                <w:szCs w:val="1"/>
                <w:color w:val="auto"/>
              </w:rPr>
            </w:pPr>
          </w:p>
        </w:tc>
      </w:tr>
      <w:tr>
        <w:trPr>
          <w:trHeight w:val="198"/>
        </w:trPr>
        <w:tc>
          <w:tcPr>
            <w:tcW w:w="3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(2)</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30-day LIBOR +</w:t>
            </w:r>
          </w:p>
        </w:tc>
        <w:tc>
          <w:tcPr>
            <w:tcW w:w="0" w:type="dxa"/>
            <w:vAlign w:val="bottom"/>
          </w:tcPr>
          <w:p>
            <w:pPr>
              <w:spacing w:after="0"/>
              <w:rPr>
                <w:sz w:val="1"/>
                <w:szCs w:val="1"/>
                <w:color w:val="auto"/>
              </w:rPr>
            </w:pPr>
          </w:p>
        </w:tc>
      </w:tr>
      <w:tr>
        <w:trPr>
          <w:trHeight w:val="234"/>
        </w:trPr>
        <w:tc>
          <w:tcPr>
            <w:tcW w:w="3960" w:type="dxa"/>
            <w:vAlign w:val="bottom"/>
            <w:gridSpan w:val="2"/>
            <w:vMerge w:val="continue"/>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January 2027</w:t>
            </w:r>
          </w:p>
        </w:tc>
        <w:tc>
          <w:tcPr>
            <w:tcW w:w="17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[1.35% - 1.95%]</w:t>
            </w:r>
          </w:p>
        </w:tc>
        <w:tc>
          <w:tcPr>
            <w:tcW w:w="0" w:type="dxa"/>
            <w:vAlign w:val="bottom"/>
          </w:tcPr>
          <w:p>
            <w:pPr>
              <w:spacing w:after="0"/>
              <w:rPr>
                <w:sz w:val="1"/>
                <w:szCs w:val="1"/>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3.875% Convertible Senior Notes due 2025</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c>
          <w:tcPr>
            <w:tcW w:w="18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2025</w:t>
            </w:r>
          </w:p>
        </w:tc>
        <w:tc>
          <w:tcPr>
            <w:tcW w:w="17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3.875%</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4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2026</w:t>
            </w:r>
          </w:p>
        </w:tc>
        <w:tc>
          <w:tcPr>
            <w:tcW w:w="17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7"/>
              </w:rPr>
              <w:t>4.060%</w:t>
            </w:r>
          </w:p>
        </w:tc>
        <w:tc>
          <w:tcPr>
            <w:tcW w:w="0" w:type="dxa"/>
            <w:vAlign w:val="bottom"/>
          </w:tcPr>
          <w:p>
            <w:pPr>
              <w:spacing w:after="0"/>
              <w:rPr>
                <w:sz w:val="1"/>
                <w:szCs w:val="1"/>
                <w:color w:val="auto"/>
              </w:rPr>
            </w:pPr>
          </w:p>
        </w:tc>
      </w:tr>
      <w:tr>
        <w:trPr>
          <w:trHeight w:val="20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Face Value Debt</w:t>
            </w:r>
          </w:p>
        </w:tc>
        <w:tc>
          <w:tcPr>
            <w:tcW w:w="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299,834</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59" w:hanging="330"/>
        <w:spacing w:after="0" w:line="208" w:lineRule="auto"/>
        <w:tabs>
          <w:tab w:leader="none" w:pos="397"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utilized interest rate swaps on the $65.0 million 2026 Term Loan balance, including (i) its redesignation of the existing $50.0 million interest rate swap, entered into as of August 31, 2020, and (ii) a $15.0 million interest rate swap effective August 31, 2021, to fix LIBOR and achieve a weighted average fixed interest rate of 0.35% plus the applicable spread (see Note 17, “Interest Rate Swaps” for further disclosure related to the Company’s interest rate swaps).</w:t>
      </w:r>
    </w:p>
    <w:p>
      <w:pPr>
        <w:spacing w:after="0" w:line="2" w:lineRule="exact"/>
        <w:rPr>
          <w:rFonts w:ascii="Times New Roman" w:cs="Times New Roman" w:eastAsia="Times New Roman" w:hAnsi="Times New Roman"/>
          <w:sz w:val="19"/>
          <w:szCs w:val="19"/>
          <w:color w:val="auto"/>
          <w:vertAlign w:val="superscript"/>
        </w:rPr>
      </w:pPr>
    </w:p>
    <w:p>
      <w:pPr>
        <w:jc w:val="both"/>
        <w:ind w:left="380" w:right="79" w:hanging="330"/>
        <w:spacing w:after="0" w:line="208" w:lineRule="auto"/>
        <w:tabs>
          <w:tab w:leader="none" w:pos="3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Effective November 5, 2021 the Company redesignated the interest rate swap, entered into as of March 31, 2020, to fix LIBOR and achieve a fixed interest rate of 0.73% plus the applicable spread on the $100.0 million 2027 Term Loan balance (see Note 17, “Interest Rate Swaps” for further disclosure related to the Company’s interest rate swaps).</w:t>
      </w:r>
    </w:p>
    <w:p>
      <w:pPr>
        <w:spacing w:after="0" w:line="112" w:lineRule="exact"/>
        <w:rPr>
          <w:sz w:val="20"/>
          <w:szCs w:val="20"/>
          <w:color w:val="auto"/>
        </w:rPr>
      </w:pPr>
    </w:p>
    <w:p>
      <w:pPr>
        <w:jc w:val="both"/>
        <w:ind w:left="60" w:right="59"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The Credit Facility, with Bank of Montreal (“BMO”) as the administrative agent for the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thereunder, is unsecured with regard to our income property portfolio but is guaranteed by certain wholly owned subsidiaries of the Company. The Credit Facility bank group is led by BMO and also includes Truist Bank and Wells Fargo. On September 7, 2017, the Company executed the second amendment and restatement of the Credit Facility (the “2017 Amended Credit Facility”). As a result of the March 2021 Revolver Amendment, as defined below, The Huntington National Bank was added as a lender to the Company’s Credit Facility.</w:t>
      </w:r>
    </w:p>
    <w:p>
      <w:pPr>
        <w:spacing w:after="0" w:line="184"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May 24, 2019, the Company executed the second amendment to the 2017 Amended Credit Facility (the “May 2019 Revolver Amendment”). As a result of the May 2019 Revolver Amendment, the Credit Facility had a total borrowing capacity of $200.0 million with the ability to increase that capacity up to $300.0 million during the term, subject to lender approval. The Credit Facility provides the lenders with a security interest in the equity of the Company subsidiaries that own the properties included in the borrowing base. The indebtedness outstanding under the Credit Facility accrues interest at a rate ranging from the 30-day LIBOR plus 135 basis points to the 30-day LIBOR plus 195 basis points based on the total balance outstanding under the Credit Facility as a percentage of the total asset value of the Company, as defined in the 2017 Amended Credit Facility, as amended by the May 2019 Revolver Amendment. The Credit Facility also accrues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fee of 15 to 25 basis points for any unused portion of the borrowing capacity based on whether the unused portion is greater or less than 50% of the total borrowing capacity. Pursuant to the May 2019 Revolver Amendment, the Credit Facility matures on May 24, 2023, with the ability to extend the term for 1 year.</w:t>
      </w:r>
    </w:p>
    <w:p>
      <w:pPr>
        <w:spacing w:after="0" w:line="176"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On November 26, 2019, the Company entered into the third amendment to the 2017 Amended Credit Facility (the “November 2019 Revolver Amendment”), which further amends the 2017 Amended Credit Facility. The November 2019 Revolver Amendment included, among other things, an adjustment of certain financial maintenance covenants, including a temporary reduction of the minimum fixed charge coverage ratio to allow the Company to redeploy the proceeds received from the sale of certain income properties to PINE, and an increase in the maximum amount the Company may invest in stock and stock equivalents of real estate investment trusts to allow the Company to invest in PINE’s common stock and OP Units.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July 1, 2020, the Company entered into the fourth amendment to the 2017 Amended Credit Facility (the “July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2020 Revolver Amendment”) whereby the tangible net worth covenant was adjusted to be more reflective of market terms.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July 2020 Revolver Amendment was effective as of March 31, 2020.</w:t>
      </w:r>
    </w:p>
    <w:p>
      <w:pPr>
        <w:spacing w:after="0" w:line="207"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On November 12, 2020, the Company entered into the fifth amendment to the 2017 Amended Credit Facility (the “November 2020 Revolver Amendment”). The November 2020 Revolver Amendment provided that, among other things,</w:t>
      </w:r>
    </w:p>
    <w:p>
      <w:pPr>
        <w:jc w:val="both"/>
        <w:ind w:left="60" w:right="59" w:hanging="10"/>
        <w:spacing w:after="0" w:line="253" w:lineRule="auto"/>
        <w:tabs>
          <w:tab w:leader="none" w:pos="2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comply with certain adjusted additional financial maintenance requirements, including (x) a new restricted payments covenant which limits the type and amount of cash distributions that may be made by the Company and (y) an adjusted fix charges ratio, which now excludes certain onetime expenses for purposes of calculation and (ii) the Company must, from and after the date that the Company elects to qualify as a REIT, maintain its status as a REIT.</w:t>
      </w:r>
    </w:p>
    <w:p>
      <w:pPr>
        <w:spacing w:after="0" w:line="189"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March 10, 2021, the Company entered into the sixth amendment to the 2017 Amended Credit Facility (the “March 2021 Revolver Amendment”). The March 2021 Revolver Amendment included, among other things, (i) increase of the revolving credit commitment from $200.0 million to $210.0 million, (ii) addition of the 2026 Term Loan in the aggregate amount of $50.0 million, (iii) updates to certain financing rate provisions provided therein, and (iv) joinder of The Huntington National Bank as a 2026 Term Loan lender and Credit Facility lender. The March 2021 Revolver Amendment also includes accordion options that allow the Company to request additional 2026 Term Loan lender commitments up to a total of $150.0 million and additional Credit Facility lender commitments up to a total of $300.0 million. During the three months ended June 30, 2021, the Company exercised the 2026 Term Loan accordion option for $15.0 million, increasing total lender commitments to $65.0 million.</w:t>
      </w:r>
    </w:p>
    <w:p>
      <w:pPr>
        <w:spacing w:after="0" w:line="188"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On November 5, 2021, the Company entered into the seventh amendment to the 2017 Amended Credit Facility (the “November 2021 Revolver Amendment”). The November 2021 Revolver Amendment included, among other things, (i) addition of the 2027 Term Loan in the aggregate amount of $100.0 million and (ii) joinder of KeyBank National Association, Raymond James Bank, and Synovus Bank as 2027 Term Loan lenders. The November 2021 Revolver Amendment also includes an accordion option that allows the Company to request additional term loan lender commitments up to a total of $400.0 million in the aggregate.</w:t>
      </w:r>
    </w:p>
    <w:p>
      <w:pPr>
        <w:spacing w:after="0" w:line="187"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At March 31, 2022, the current commitment level under the Credit Facility was $210.0 million. The undrawn commitment under the Credit Facility totaled $144.0 million. As of March 31, 2022, the Credit Facility had a $66.0 million balance outstanding.</w:t>
      </w:r>
    </w:p>
    <w:p>
      <w:pPr>
        <w:spacing w:after="0" w:line="17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The Credit Facility is subject to customary restrictive covenants including, but not limited to, limitations on the Company’s ability to: (a) incur indebtedness; (b) make certain investments; (c) incur certain liens; (d) engage in certain affiliate transactions; and (e) engage in certain major transactions such as mergers. In addition, the Company is subject to various financial maintenance covenants including, but not limited to, a maximum indebtedness ratio, a maximum secured indebtedness ratio, and a minimum fixed charge coverage ratio. The Credit Facility also contains affirmative covenants and events of default including, but not limited to, a cross default to the Company’s other indebtedness and upon the occurrence of a change in control. The Company’s failure to comply with these covenants or the occurrence of an event of default could result in acceleration of the Company’s debt and other financial obligations under the Credit Facility.</w:t>
      </w:r>
    </w:p>
    <w:p>
      <w:pPr>
        <w:spacing w:after="0" w:line="190" w:lineRule="exact"/>
        <w:rPr>
          <w:sz w:val="20"/>
          <w:szCs w:val="20"/>
          <w:color w:val="auto"/>
        </w:rPr>
      </w:pPr>
    </w:p>
    <w:p>
      <w:pPr>
        <w:jc w:val="both"/>
        <w:ind w:left="60" w:right="59"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Mortgage Notes Payable</w:t>
      </w:r>
      <w:r>
        <w:rPr>
          <w:rFonts w:ascii="Times New Roman" w:cs="Times New Roman" w:eastAsia="Times New Roman" w:hAnsi="Times New Roman"/>
          <w:sz w:val="18"/>
          <w:szCs w:val="18"/>
          <w:color w:val="auto"/>
        </w:rPr>
        <w:t>. On March 3, 2022, in connection with the acquisition of Price Plaza Shopping Center,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assumed an existing $17.8 million secured fixed-rate mortgage note payable, which bears interest at a fixed rate of 4.06% and matures in August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Convertible Debt</w:t>
      </w:r>
      <w:r>
        <w:rPr>
          <w:rFonts w:ascii="Times New Roman" w:cs="Times New Roman" w:eastAsia="Times New Roman" w:hAnsi="Times New Roman"/>
          <w:sz w:val="18"/>
          <w:szCs w:val="18"/>
          <w:color w:val="auto"/>
        </w:rPr>
        <w:t>. The Company’s $75.0 million aggregate principal amount of 4.50% Convertible Notes (the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were scheduled to mature on March 15, 2020; however, the Company completed the Note Exchanges, hereinafter defined, on February 4, 2020. The initial conversion rate was 14.5136 shares of common stock for each $1,000 principal amount of the 2020 Notes, which represented an initial conversion price of $68.90 per share of common stock.</w:t>
      </w:r>
    </w:p>
    <w:p>
      <w:pPr>
        <w:spacing w:after="0" w:line="182"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On February 4, 2020, the Company closed privately negotiated exchange agreements with certain holders of its outstanding 2020 Notes pursuant to which the Company issued $57.4 million principal amount of the 2025 Notes in exchange for $57.4 million principal amount of the 2020 Notes (the “Note Exchanges”). In addition, the Company closed a privately negotiated purchase agreement with an investor, who had not invested in the 2020 Notes, and issued $17.6 million principal amount of the 2025 Notes (the “New Notes Placement,” and together with the Note Exchanges, the “Convert Transactions”). The Company used $5.9 million of the proceeds from the New Notes Placement to repurchase $5.9 million of the 2020 Notes. As a result of the Convert Transactions there was a total of $75.0 million aggregate principal amount of 2025 Notes outstanding.</w:t>
      </w:r>
    </w:p>
    <w:p>
      <w:pPr>
        <w:spacing w:after="0" w:line="192"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In exchange for issuing the 2025 Notes pursuant to the Note Exchanges, the Company received and cancelled the exchanged 2020 Notes. The $11.7 million of net proceeds from the New Notes Placement were used to redeem at maturity on March 15, 2020 $11.7 million of the aggregate principal amount of the 2020 Notes that remained outstanding.</w:t>
      </w:r>
    </w:p>
    <w:p>
      <w:pPr>
        <w:spacing w:after="0" w:line="1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2020, the Company repurchased $12.5 million aggregate principal amount of 2025 Notes at a $2.6 million discount, resulting in a gain on extinguishment of debt of $1.1 million. All such repurchases were made during first and second quarter of 2020. During the year ended December 31, 2021, the Company repurchased $11.4 million aggregate principal amount of 2025 Notes at a $1.6 million premium, resulting in a loss on extinguishment of debt of $2.9 million. Following these repurchases, $51.0 million aggregate principal amount of the 2025 Notes remains outstanding at March 31, 2022.</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2025 Notes represent senior unsecured obligations of the Company and pay interest semi-annually in arrears on each April 15th and October 15th, commencing on April 15, 2020, at a rate of 3.875% per annum. The 2025 Notes mature on April 15, 2025 and may not be redeemed by the Company prior to the maturity date. The conversion rate for the 2025 Notes was initially 12.7910 shares of the Company’s common stock per $1,000 of principal of the 2025 Notes (equivalent to an initial conversion price of $78.18 per share of the Company’s common stock). The initial conversion price of the 2025 Notes represented a premium of 20% to the $65.15 closing sale price of the Company’s common stock on the NYSE American on January 29, 2020. If the Company’s Board increases the quarterly dividend above the $0.13 per share in place at issuance, the conversion rate is adjusted with each such increase in the quarterly dividend amount. After the first quarter 2022 dividend, the conversion rate is equal to 19.7377 shares of common stock for each $1,000 principal amount of 2025 Notes, which represents an adjusted conversion price of $50.66 per share of common stock. At the maturity date, the 2025 Notes are convertible into cash, common stock or a combination thereof, subject to various conditions, at the Company’s option. Should certain corporate transactions or events occur prior to the stated maturity date, the Company will increase the conversion rate for a holder that elects to convert its 2025 Notes in connection with such corporate transaction or event.</w:t>
      </w:r>
    </w:p>
    <w:p>
      <w:pPr>
        <w:spacing w:after="0" w:line="187"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conversion rate is subject to adjustment in certain circumstances. Holders may not surrender their 2025 Notes for conversion prior to January 15, 2025 except upon the occurrence of certain conditions relating to the closing sale price of the Company’s common stock, the trading price per $1,000 principal amount of 2025 Notes, or specified corporate events including a change in control of the Company. The Company may not redeem the 2025 Notes prior to the stated maturity date and no sinking fund is provided for the 2025 Notes. The 2025 Notes are convertible, at the election of the Company, into solely cash, solely shares of the Company’s common stock, or a combination of cash and shares of the Company’s common stock. The Company intends to settle the 2025 Notes in cash upon conversion, with any excess conversion value to be settled in shares of our common stock. At time of issuance, in accordance with U.S. GAAP, the 2025 Notes were accounted for as a liability with a separate equity component recorded for the conversion option. The equity component was eliminated on January 1, 2022 with the 2025 Notes Adjustment.</w:t>
      </w:r>
    </w:p>
    <w:p>
      <w:pPr>
        <w:spacing w:after="0" w:line="194"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As of March 31, 2022, the unamortized debt discount of our 2025 Notes was $0.5 million, which represents the cash component of the discount.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20" w:type="dxa"/>
            <w:vAlign w:val="bottom"/>
          </w:tcPr>
          <w:p>
            <w:pPr>
              <w:spacing w:after="0"/>
              <w:rPr>
                <w:sz w:val="20"/>
                <w:szCs w:val="20"/>
                <w:color w:val="auto"/>
              </w:rPr>
            </w:pPr>
          </w:p>
        </w:tc>
        <w:tc>
          <w:tcPr>
            <w:tcW w:w="21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187"/>
        </w:trPr>
        <w:tc>
          <w:tcPr>
            <w:tcW w:w="40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3.875% Convertible Senior Notes, net of Discount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 Note Payable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w:t>
            </w:r>
          </w:p>
        </w:tc>
        <w:tc>
          <w:tcPr>
            <w:tcW w:w="140" w:type="dxa"/>
            <w:vAlign w:val="bottom"/>
          </w:tcPr>
          <w:p>
            <w:pPr>
              <w:spacing w:after="0"/>
              <w:rPr>
                <w:sz w:val="18"/>
                <w:szCs w:val="18"/>
                <w:color w:val="auto"/>
              </w:rPr>
            </w:pPr>
          </w:p>
        </w:tc>
        <w:tc>
          <w:tcPr>
            <w:tcW w:w="1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c>
          <w:tcPr>
            <w:tcW w:w="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298,079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278,273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March 31, 2022 will be required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360" w:type="dxa"/>
            <w:vAlign w:val="bottom"/>
          </w:tcPr>
          <w:p>
            <w:pPr>
              <w:spacing w:after="0"/>
              <w:rPr>
                <w:sz w:val="20"/>
                <w:szCs w:val="20"/>
                <w:color w:val="auto"/>
              </w:rPr>
            </w:pPr>
          </w:p>
        </w:tc>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51,034</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82,800</w:t>
            </w:r>
          </w:p>
        </w:tc>
      </w:tr>
      <w:tr>
        <w:trPr>
          <w:trHeight w:val="21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299,834</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r>
      <w:tr>
        <w:trPr>
          <w:trHeight w:val="399"/>
        </w:trPr>
        <w:tc>
          <w:tcPr>
            <w:tcW w:w="8900" w:type="dxa"/>
            <w:vAlign w:val="bottom"/>
            <w:gridSpan w:val="4"/>
          </w:tcPr>
          <w:p>
            <w:pPr>
              <w:jc w:val="right"/>
              <w:ind w:right="1070"/>
              <w:spacing w:after="0"/>
              <w:rPr>
                <w:sz w:val="20"/>
                <w:szCs w:val="20"/>
                <w:color w:val="auto"/>
              </w:rPr>
            </w:pPr>
            <w:r>
              <w:rPr>
                <w:rFonts w:ascii="Times New Roman" w:cs="Times New Roman" w:eastAsia="Times New Roman" w:hAnsi="Times New Roman"/>
                <w:sz w:val="18"/>
                <w:szCs w:val="18"/>
                <w:color w:val="auto"/>
              </w:rPr>
              <w:t>The carrying value of long-term debt as of March 31, 2022 consisted of the following (in thousands):</w:t>
            </w:r>
          </w:p>
        </w:tc>
      </w:tr>
      <w:tr>
        <w:trPr>
          <w:trHeight w:val="445"/>
        </w:trPr>
        <w:tc>
          <w:tcPr>
            <w:tcW w:w="6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299,834</w:t>
            </w:r>
          </w:p>
        </w:tc>
      </w:tr>
      <w:tr>
        <w:trPr>
          <w:trHeight w:val="216"/>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Discount on Convertible Debt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09"/>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298,079</w:t>
            </w:r>
          </w:p>
        </w:tc>
      </w:tr>
      <w:tr>
        <w:trPr>
          <w:trHeight w:val="20"/>
        </w:trPr>
        <w:tc>
          <w:tcPr>
            <w:tcW w:w="6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In addition to the $1.3 million of financing costs, net of accumulated amortization included in the table above, as of March 31, 2022, the Company also had financing costs, net of accumulated amortization related to the Credit Facility of $0.4 million which is included in other assets on the consolidated balance sheets. These costs are amortized on a straight-line basis over the term of the Credit Facility and are included in interest expense in the Company’s accompanying consolidated statements of operations.</w:t>
      </w:r>
    </w:p>
    <w:p>
      <w:pPr>
        <w:spacing w:after="0" w:line="183"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months ended March 31, 2022 and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0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 on Convertible Notes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4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196"/>
        </w:trPr>
        <w:tc>
          <w:tcPr>
            <w:tcW w:w="5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March 31, 2022 and December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INTEREST RATE SWAPS</w:t>
      </w:r>
    </w:p>
    <w:p>
      <w:pPr>
        <w:spacing w:after="0" w:line="270"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months ended March 31, 2022. Accordingly, the changes in fair value on the interest rate swaps have been classified in accumulated other comprehensive income (loss). The fair value of the interest rate swap agreements are included in other assets and accrued and other liabilities, respectively, on the consolidated balance sheets. Information related to the Company’s interest rate swap agreements are noted below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Fair Value as of</w:t>
            </w:r>
          </w:p>
        </w:tc>
      </w:tr>
      <w:tr>
        <w:trPr>
          <w:trHeight w:val="215"/>
        </w:trPr>
        <w:tc>
          <w:tcPr>
            <w:tcW w:w="1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March 31, 2022</w:t>
            </w:r>
          </w:p>
        </w:tc>
      </w:tr>
      <w:tr>
        <w:trPr>
          <w:trHeight w:val="199"/>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460" w:type="dxa"/>
            <w:vAlign w:val="bottom"/>
            <w:tcBorders>
              <w:top w:val="single" w:sz="8" w:color="auto"/>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3/10/2021</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3/29/2024</w:t>
            </w:r>
          </w:p>
        </w:tc>
        <w:tc>
          <w:tcPr>
            <w:tcW w:w="16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0.22% + applicable spread</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6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3/29/2024</w:t>
            </w:r>
          </w:p>
        </w:tc>
        <w:tc>
          <w:tcPr>
            <w:tcW w:w="14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3/10/2026</w:t>
            </w:r>
          </w:p>
        </w:tc>
        <w:tc>
          <w:tcPr>
            <w:tcW w:w="160" w:type="dxa"/>
            <w:vAlign w:val="bottom"/>
          </w:tcPr>
          <w:p>
            <w:pPr>
              <w:spacing w:after="0"/>
              <w:rPr>
                <w:sz w:val="17"/>
                <w:szCs w:val="17"/>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1.51%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8/31/2021</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3/10/2026</w:t>
            </w:r>
          </w:p>
        </w:tc>
        <w:tc>
          <w:tcPr>
            <w:tcW w:w="1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0.77%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r>
      <w:tr>
        <w:trPr>
          <w:trHeight w:val="203"/>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6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11/5/2021</w:t>
            </w:r>
          </w:p>
        </w:tc>
        <w:tc>
          <w:tcPr>
            <w:tcW w:w="140" w:type="dxa"/>
            <w:vAlign w:val="bottom"/>
          </w:tcPr>
          <w:p>
            <w:pPr>
              <w:spacing w:after="0"/>
              <w:rPr>
                <w:sz w:val="17"/>
                <w:szCs w:val="17"/>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3/29/2024</w:t>
            </w:r>
          </w:p>
        </w:tc>
        <w:tc>
          <w:tcPr>
            <w:tcW w:w="160" w:type="dxa"/>
            <w:vAlign w:val="bottom"/>
          </w:tcPr>
          <w:p>
            <w:pPr>
              <w:spacing w:after="0"/>
              <w:rPr>
                <w:sz w:val="17"/>
                <w:szCs w:val="17"/>
                <w:color w:val="auto"/>
              </w:rPr>
            </w:pPr>
          </w:p>
        </w:tc>
        <w:tc>
          <w:tcPr>
            <w:tcW w:w="2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0.73% + applicable spread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3,219</w:t>
            </w:r>
          </w:p>
        </w:tc>
      </w:tr>
      <w:tr>
        <w:trPr>
          <w:trHeight w:val="203"/>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16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3"/>
                <w:szCs w:val="23"/>
                <w:color w:val="auto"/>
                <w:vertAlign w:val="superscript"/>
              </w:rPr>
              <w:t>(4)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3/29/2024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1/31/2027</w:t>
            </w:r>
          </w:p>
        </w:tc>
        <w:tc>
          <w:tcPr>
            <w:tcW w:w="1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1.42% + applicable spread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w:t>
            </w:r>
          </w:p>
        </w:tc>
      </w:tr>
      <w:tr>
        <w:trPr>
          <w:trHeight w:val="115"/>
        </w:trPr>
        <w:tc>
          <w:tcPr>
            <w:tcW w:w="3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58" w:lineRule="exact"/>
        <w:rPr>
          <w:sz w:val="20"/>
          <w:szCs w:val="20"/>
          <w:color w:val="auto"/>
        </w:rPr>
      </w:pPr>
    </w:p>
    <w:p>
      <w:pPr>
        <w:ind w:left="380" w:right="79" w:hanging="330"/>
        <w:spacing w:after="0" w:line="186" w:lineRule="auto"/>
        <w:tabs>
          <w:tab w:leader="none" w:pos="3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3"/>
          <w:szCs w:val="13"/>
          <w:color w:val="auto"/>
        </w:rPr>
        <w:t>Effective March 10, 2021, the Company redesignated the interest rate swap, entered into as of August 31, 2020, that previously hedged $50.0 million of the outstanding principal balance on the Credit Facility.</w:t>
      </w:r>
    </w:p>
    <w:p>
      <w:pPr>
        <w:spacing w:after="0" w:line="1" w:lineRule="exact"/>
        <w:rPr>
          <w:rFonts w:ascii="Times New Roman" w:cs="Times New Roman" w:eastAsia="Times New Roman" w:hAnsi="Times New Roman"/>
          <w:sz w:val="22"/>
          <w:szCs w:val="22"/>
          <w:color w:val="auto"/>
          <w:vertAlign w:val="superscript"/>
        </w:rPr>
      </w:pPr>
    </w:p>
    <w:p>
      <w:pPr>
        <w:ind w:left="380" w:right="79" w:hanging="330"/>
        <w:spacing w:after="0" w:line="182" w:lineRule="auto"/>
        <w:tabs>
          <w:tab w:leader="none" w:pos="3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The interest rate swap agreement hedges the identical $50.0 million portion of the 2026 Term Loan borrowing under different terms and commences concurrent to the interest rate agreement maturing on March 29, 2024.</w:t>
      </w:r>
    </w:p>
    <w:p>
      <w:pPr>
        <w:ind w:left="380" w:right="79" w:hanging="330"/>
        <w:spacing w:after="0" w:line="182" w:lineRule="auto"/>
        <w:tabs>
          <w:tab w:leader="none" w:pos="3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3"/>
          <w:szCs w:val="13"/>
          <w:color w:val="auto"/>
        </w:rPr>
        <w:t>Effective November 5, 2021, the Company redesignated the interest rate swap, entered into as of March 31, 2020, that previously hedged $100.0 million of the outstanding principal balance on the Credit Facility.</w:t>
      </w:r>
    </w:p>
    <w:p>
      <w:pPr>
        <w:ind w:left="380" w:right="79" w:hanging="330"/>
        <w:spacing w:after="0" w:line="180" w:lineRule="auto"/>
        <w:tabs>
          <w:tab w:leader="none" w:pos="3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interest rate swap agreement hedges the identical $100.0 million portion of the 2027 Term Loan borrowing under different terms and commences concurrent to the interest rate agreement maturing on March 29, 2024.</w:t>
      </w:r>
    </w:p>
    <w:p>
      <w:pPr>
        <w:spacing w:after="0" w:line="1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18. ACCRUED AND OTHER LIABILITIES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8"/>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0" w:type="dxa"/>
            <w:vAlign w:val="bottom"/>
            <w:tcBorders>
              <w:bottom w:val="single" w:sz="8" w:color="auto"/>
            </w:tcBorders>
          </w:tcPr>
          <w:p>
            <w:pPr>
              <w:spacing w:after="0"/>
              <w:rPr>
                <w:sz w:val="24"/>
                <w:szCs w:val="24"/>
                <w:color w:val="auto"/>
              </w:rPr>
            </w:pPr>
          </w:p>
        </w:tc>
      </w:tr>
      <w:tr>
        <w:trPr>
          <w:trHeight w:val="187"/>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6"/>
                <w:szCs w:val="16"/>
                <w:color w:val="auto"/>
              </w:rPr>
            </w:pPr>
          </w:p>
        </w:tc>
        <w:tc>
          <w:tcPr>
            <w:tcW w:w="12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Property Taxes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Tenant Improvements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Reserve</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Hedge - Interest Rate Swaps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w:t>
            </w:r>
          </w:p>
        </w:tc>
      </w:tr>
      <w:tr>
        <w:trPr>
          <w:trHeight w:val="20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Liabilities</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13,121</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Reserve for Tenant Improvements. </w:t>
      </w:r>
      <w:r>
        <w:rPr>
          <w:rFonts w:ascii="Times New Roman" w:cs="Times New Roman" w:eastAsia="Times New Roman" w:hAnsi="Times New Roman"/>
          <w:sz w:val="18"/>
          <w:szCs w:val="18"/>
          <w:color w:val="auto"/>
        </w:rPr>
        <w:t>In connection with recent acquisitions, the Company received an aggregate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$6.7 million from the sellers of certain properties for tenant improvement allowances, leasing commissions and other capital improvements. These amounts are included in accrued and other liabilities on the consolidated balance sheets. Through March 31, 2022, payments totaling $1.6 million were made, leaving a remaining reserve for tenant improvements of $5.1 million.</w:t>
      </w:r>
    </w:p>
    <w:p>
      <w:pPr>
        <w:spacing w:after="0" w:line="224"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Environmental Reserve. </w:t>
      </w:r>
      <w:r>
        <w:rPr>
          <w:rFonts w:ascii="Times New Roman" w:cs="Times New Roman" w:eastAsia="Times New Roman" w:hAnsi="Times New Roman"/>
          <w:sz w:val="18"/>
          <w:szCs w:val="18"/>
          <w:color w:val="auto"/>
        </w:rPr>
        <w:t>During the year ended December 31, 2014, the Company accrued an environmental reserve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$0.1 million in connection with an estimate of additional costs required to monitor a parcel of less than one acre of land owned by the Company in Highlands County, Florida, on which environmental remediation work had previously been performed. The Company engaged legal counsel who, in turn, engaged environmental engineers to review the site and the prior monitoring test results. During the year ended December 31, 2015, their review was completed, and the Company made an additional accrual of $0.5 million, representing the low end of the range of possible costs estimated by the engineers to be between $0.5 million and $1.0 million to resolve this matter subject to the approval of the state department of environmental protection (the “FDEP”). The FDEP issued a Remedial Action Plan Modification Approval Order (the “FDEP Approval”) in August 2016 which supports the approximate $0.5 million accrual made in 2015. The Company 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implementing the remediation plan pursuant to the FDEP Approval. During the fourth quarter of 2017, the Company made an additional accrual of less than $0.1 million for the second year of monitoring as the low end of the original range of estimated costs was increased for the amount of monitoring now anticipated. Since the total accrual of $0.7 million was made, $0.6 million in costs have been incurred through March 31, 2022, leaving a remaining accrual of less than $0.1 million.</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NOTE 19. DEFERRED REVENUE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Deferred revenue consisted of the following (in thousands):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6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Borders>
              <w:bottom w:val="single" w:sz="8" w:color="CCEEFF"/>
            </w:tcBorders>
          </w:tcPr>
          <w:p>
            <w:pPr>
              <w:spacing w:after="0"/>
              <w:rPr>
                <w:sz w:val="20"/>
                <w:szCs w:val="20"/>
                <w:color w:val="auto"/>
              </w:rPr>
            </w:pPr>
          </w:p>
        </w:tc>
        <w:tc>
          <w:tcPr>
            <w:tcW w:w="272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w:t>
            </w:r>
          </w:p>
        </w:tc>
      </w:tr>
      <w:tr>
        <w:trPr>
          <w:trHeight w:val="216"/>
        </w:trPr>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Reserve from Commercial Loan and Master Lease Investment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Contributions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5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Deferred Revenue</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5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Interest Reserve from Commercial Loan and Master Lease Investment</w:t>
      </w:r>
      <w:r>
        <w:rPr>
          <w:rFonts w:ascii="Times New Roman" w:cs="Times New Roman" w:eastAsia="Times New Roman" w:hAnsi="Times New Roman"/>
          <w:sz w:val="18"/>
          <w:szCs w:val="18"/>
          <w:color w:val="auto"/>
        </w:rPr>
        <w:t>. In connection with one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loan investments, the borrower has deposited interest reserves in an account held by the Company. The corresponding liability is recorded in deferred revenue in the Company’s consolidated balance sheets. The interest reserves are utilized to fund the monthly interest due on the loan.</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STOCK-BASED COMPENSATION</w:t>
      </w:r>
    </w:p>
    <w:p>
      <w:pPr>
        <w:spacing w:after="0" w:line="229" w:lineRule="exact"/>
        <w:rPr>
          <w:sz w:val="20"/>
          <w:szCs w:val="20"/>
          <w:color w:val="auto"/>
        </w:rPr>
      </w:pPr>
    </w:p>
    <w:p>
      <w:pPr>
        <w:jc w:val="both"/>
        <w:ind w:left="60" w:right="79" w:firstLine="486"/>
        <w:spacing w:after="0" w:line="282" w:lineRule="auto"/>
        <w:rPr>
          <w:sz w:val="20"/>
          <w:szCs w:val="20"/>
          <w:color w:val="auto"/>
        </w:rPr>
      </w:pPr>
      <w:r>
        <w:rPr>
          <w:rFonts w:ascii="Times New Roman" w:cs="Times New Roman" w:eastAsia="Times New Roman" w:hAnsi="Times New Roman"/>
          <w:sz w:val="18"/>
          <w:szCs w:val="18"/>
          <w:color w:val="auto"/>
        </w:rPr>
        <w:t>A summary of share activity for all equity classified stock compensation during the three months ended March 31, 2022, is presented below:</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Exercised</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Expired</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Forfeited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0" w:type="dxa"/>
            <w:vAlign w:val="bottom"/>
          </w:tcPr>
          <w:p>
            <w:pPr>
              <w:spacing w:after="0"/>
              <w:rPr>
                <w:sz w:val="1"/>
                <w:szCs w:val="1"/>
                <w:color w:val="auto"/>
              </w:rPr>
            </w:pPr>
          </w:p>
        </w:tc>
      </w:tr>
      <w:tr>
        <w:trPr>
          <w:trHeight w:val="215"/>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Type of Award</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at 1/1/2022</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at 3/31/22</w:t>
            </w:r>
          </w:p>
        </w:tc>
        <w:tc>
          <w:tcPr>
            <w:tcW w:w="0" w:type="dxa"/>
            <w:vAlign w:val="bottom"/>
          </w:tcPr>
          <w:p>
            <w:pPr>
              <w:spacing w:after="0"/>
              <w:rPr>
                <w:sz w:val="1"/>
                <w:szCs w:val="1"/>
                <w:color w:val="auto"/>
              </w:rPr>
            </w:pPr>
          </w:p>
        </w:tc>
      </w:tr>
      <w:tr>
        <w:trPr>
          <w:trHeight w:val="185"/>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 Performance Share Awards -</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Peer Group Market Condition Vesting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23,056</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(24,425)</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76,749</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Classified - Three Year Vest Restricted</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23,446</w:t>
            </w:r>
          </w:p>
        </w:tc>
        <w:tc>
          <w:tcPr>
            <w:tcW w:w="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(24,155)</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50,022</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Classified - Non-Qualified Stock Option</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(12,541)</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Total Shares</w:t>
            </w: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520" w:type="dxa"/>
            <w:vAlign w:val="bottom"/>
            <w:gridSpan w:val="2"/>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151,162</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46,502</w:t>
            </w:r>
          </w:p>
        </w:tc>
        <w:tc>
          <w:tcPr>
            <w:tcW w:w="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(61,121)</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135,771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Effective as of August 4, 2017, the Company entered into amendments to the employment agreements and certain stock option award agreements and restricted share award agreements whereby such awards will fully vest following a change in control (as defined in the executive’s employment agreement) only if the executive’s employment is terminated without cause or if the executive resigns for good reason (as such terms are defined in the executive’s employment agreement), in each case, at any time during the 24-month period following the change in control.</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Amounts recognized in the financial statements for stock-based compensation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210"/>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Share-Based Plans Charged Against Income Before Tax Effect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0"/>
        </w:trPr>
        <w:tc>
          <w:tcPr>
            <w:tcW w:w="5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EQUITY-CLASSIFIED STOCK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Awards – Peer Group Market Condition Vesting</w:t>
      </w:r>
    </w:p>
    <w:p>
      <w:pPr>
        <w:spacing w:after="0" w:line="121"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Performance shares have been granted to certain employees under the 2010 Plan. The performance share awards entitle the recipient to receive, upon the vesting thereof, shares of common stock of the Company equal to between 0% and 150% of the number of performance shares awarded. The number of shares of common stock ultimately received by the award recipient is determined based on the Company’s total stockholder return as compared to the total stockholder return of a certain peer group during a three-year performance period. The Company granted a total of 23,056 performance shares during the three months ended March 31, 2022.</w:t>
      </w:r>
    </w:p>
    <w:p>
      <w:pPr>
        <w:spacing w:after="0" w:line="187"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The Company used a Monte Carlo simulation pricing model to determine the fair value of its awards that are based on market conditions. The determination of the fair value of market condition-based awards is affected by the Company’s stock price as well as assumptions regarding a number of other variables. These variables include expected stock price volatility over the requisite performance term of the awards, the relative performance of the Company’s stock price and stockholder returns to companies in its peer group, annual dividends, and a risk-free interest rate assumption. Compensation cost is recognized regardless of the achievement of the market conditions, provided the requisite service period is met.</w:t>
      </w:r>
    </w:p>
    <w:p>
      <w:pPr>
        <w:spacing w:after="0" w:line="189"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As of March 31, 2022, there was $2.4 million of unrecognized compensation cost, adjusted for estimated forfeitures, related to the non-vested performance share awards, which will be recognized over a remaining weighted average period of 2.2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three months ended March 31, 2022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Shares With Market Conditions</w:t>
            </w:r>
          </w:p>
        </w:tc>
        <w:tc>
          <w:tcPr>
            <w:tcW w:w="1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Value Per Share</w:t>
            </w:r>
          </w:p>
        </w:tc>
      </w:tr>
      <w:tr>
        <w:trPr>
          <w:trHeight w:val="210"/>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r>
      <w:tr>
        <w:trPr>
          <w:trHeight w:val="21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r>
      <w:tr>
        <w:trPr>
          <w:trHeight w:val="21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w:t>
            </w:r>
          </w:p>
        </w:tc>
      </w:tr>
      <w:tr>
        <w:trPr>
          <w:trHeight w:val="21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w:t>
            </w: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Year Vest Restricted Shares</w:t>
      </w:r>
    </w:p>
    <w:p>
      <w:pPr>
        <w:spacing w:after="0" w:line="229"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Restricted shares have been granted to certain employees under the 2010 Plan. One-third of the restricted shares will vest on each of the first, second, and third anniversaries of January 28 of the applicable year provided the grantee is an employee of the Company on those dates. In addition, any unvested portion of the restricted shares will vest upon a change in control. The Company granted a total of 23,446 shares of three-year restricted Company common stock during the three months ended March 31, 2022.</w:t>
      </w:r>
    </w:p>
    <w:p>
      <w:pPr>
        <w:spacing w:after="0" w:line="183"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Company’s determination of the fair value of the three-year vest restricted stock awards was calculated by multiplying the number of shares issued by the Company’s stock price at the grant date. Compensation cost is recognized on a straight-line basis over the vesting period.</w:t>
      </w:r>
    </w:p>
    <w:p>
      <w:pPr>
        <w:spacing w:after="0" w:line="176"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As of March 31, 2022, there was $2.3 million of unrecognized compensation cost, adjusted for estimated forfeitures, related to the three-year vest non-vested restricted share awards, which will be recognized over a remaining weighted average period of 2.3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three months ended March 31, 2022 is presented below:</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Wtd. Avg. Fair</w:t>
            </w:r>
          </w:p>
        </w:tc>
      </w:tr>
      <w:tr>
        <w:trPr>
          <w:trHeight w:val="238"/>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Year Vest Non-Vested Restricted Shares</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r>
      <w:tr>
        <w:trPr>
          <w:trHeight w:val="210"/>
        </w:trPr>
        <w:tc>
          <w:tcPr>
            <w:tcW w:w="5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r>
      <w:tr>
        <w:trPr>
          <w:trHeight w:val="21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16"/>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w:t>
            </w:r>
          </w:p>
        </w:tc>
      </w:tr>
      <w:tr>
        <w:trPr>
          <w:trHeight w:val="20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50,022</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0"/>
        </w:trPr>
        <w:tc>
          <w:tcPr>
            <w:tcW w:w="5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Non-Qualified Stock Option Awards</w:t>
      </w:r>
    </w:p>
    <w:p>
      <w:pPr>
        <w:spacing w:after="0" w:line="216"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Stock option awards have been granted to certain employees under the 2010 Plan. The vesting period of the options awards granted ranged from a period of one to three years. All options had vested as of December 31, 2018. The option expires on the earliest of: (a) the tenth anniversary of the grant date; (b) twelve months after the employee’s death or termination for disability; or (c) thirty days after the termination of employment for any reason other than death or disability.</w:t>
      </w:r>
    </w:p>
    <w:p>
      <w:pPr>
        <w:spacing w:after="0" w:line="174"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The Company used the Black-Scholes valuation pricing model to determine the fair value of its non-qualified stock option awards. The determination of the fair value of the awards is affected by the stock price as well as assumptions regarding a number of other variables. These variables include expected stock price volatility over the term of the awards, annual dividends, and a risk-free interest rate assumption.</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activity for these awards during the three months ended March 31, 2022 is presented below:</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Wtd. Avg.</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Non-Qualified Stock Option Awards</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Ex. Price</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238,050</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Exercisable at January 1, 2022</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21,541</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43.37</w:t>
            </w: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388,837</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9,000</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39.87</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238,050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 months ended March 31, 2022 totaled $0.2 million. As of March 31, 2022, there is no unrecognized compensation cost related to the stock option awards.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NON-EMPLOYEE DIRECTOR STOCK COMPENSATION</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Each member of the Company’s Board of Directors has the option to receive his or her annual retainer and meeting fees in shares of Company common stock rather than cash. The number of shares awarded to the directors making such election is calculated quarterly by dividing (i) the sum of (A) the amount of the quarterly retainer payment due to such director plus (B) meeting fees earned by such director during the quarter, by (ii) the trailing 20-day average price of the Company’s common stock as of the date two business days prior to the date of the award, rounded down to the nearest whole number of shares.</w:t>
      </w:r>
    </w:p>
    <w:p>
      <w:pPr>
        <w:spacing w:after="0" w:line="187"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Each non-employee director serving as of the beginning of each calendar year shall receive an annual award of the Company’s common stock. The value of such award totaled $35,000 for the years ended December 31, 2022 and 2021 (the “Annual Award”). The number of shares awarded is calculated based on the trailing 20-day average price of the Company’s common stock as of the date two business days prior to the date of the award, rounded down to the nearest whole number of shares. Commencing in 2021, non-employee directors will no longer receive meeting fees, but will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receive additional retainers for service on Board committees, as set forth in the Company’s Non-Employee Director Compensation Policy available on the Company’s website (www.ctoreit.com).</w:t>
      </w:r>
    </w:p>
    <w:p>
      <w:pPr>
        <w:spacing w:after="0" w:line="202" w:lineRule="exact"/>
        <w:rPr>
          <w:sz w:val="20"/>
          <w:szCs w:val="20"/>
          <w:color w:val="auto"/>
        </w:rPr>
      </w:pPr>
    </w:p>
    <w:p>
      <w:pPr>
        <w:jc w:val="both"/>
        <w:ind w:left="60" w:right="79" w:firstLine="441"/>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and 2021, the expense recognized for the value of the Company’s common stock received by non-employee directors totaled $0.3 million, or 4,704 shares, and $0.3 million, or 6,788 shares, respectively. The expense recognized includes the Annual Award received during the first quarter of each respective year, which totaled $0.2 million during each of the three months ended March 31, 2022 and 2021.</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INCOME TAXES</w:t>
      </w:r>
    </w:p>
    <w:p>
      <w:pPr>
        <w:spacing w:after="0" w:line="256"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The Company elected to be taxed as a REIT for U.S. federal income tax purposes under the Code commencing with its taxable year ended December 31, 2020. The Company believes that, commencing with such taxable year, it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To comply with certain REIT requirements, the Company holds certain of its non-REIT assets and operations through TRSs and subsidiaries of TRSs, which will be subject to applicable U.S. federal, state and local corporate income tax on their taxable income. For the periods presented, the Company held a total of two TRSs subject to taxation. The Company’s TRSs will file tax returns separately as C-Corporations.</w:t>
      </w:r>
    </w:p>
    <w:p>
      <w:pPr>
        <w:spacing w:after="0" w:line="237"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As a result of the Company’s election to be taxed as a REIT, during the year ended December 31, 2020, an $82.5 million deferred tax benefit was recorded to de-recognize the deferred tax assets and liabilities associated with the entities included in the REIT. A significant portion of the deferred tax benefit recognized related to the de-recognition of deferred tax liabilities resulting from Internal Revenue Code Section 1031 like-kind exchanges (“1031 Exchanges”). The Company will be subject to corporate income taxes related to assets held by it that are sold during the 5-year period following the date of conversion to the extent such sold assets had a built-in gain as of January 1, 2020. The Company generally does not intend to dispose of any REIT assets after the REIT conversion within the 5-year period, unless various tax planning strategies, including 1031 Exchanges or other deferred tax structures are available to mitigate the built-in gain tax liability of conversion.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COMMITMENTS AND CONTINGENCIES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Commitments – Expenditures</w:t>
      </w:r>
    </w:p>
    <w:p>
      <w:pPr>
        <w:spacing w:after="0" w:line="229" w:lineRule="exact"/>
        <w:rPr>
          <w:sz w:val="20"/>
          <w:szCs w:val="20"/>
          <w:color w:val="auto"/>
        </w:rPr>
      </w:pPr>
    </w:p>
    <w:p>
      <w:pPr>
        <w:jc w:val="both"/>
        <w:ind w:left="60" w:right="59" w:firstLine="492"/>
        <w:spacing w:after="0" w:line="250" w:lineRule="auto"/>
        <w:rPr>
          <w:sz w:val="20"/>
          <w:szCs w:val="20"/>
          <w:color w:val="auto"/>
        </w:rPr>
      </w:pPr>
      <w:r>
        <w:rPr>
          <w:rFonts w:ascii="Times New Roman" w:cs="Times New Roman" w:eastAsia="Times New Roman" w:hAnsi="Times New Roman"/>
          <w:sz w:val="18"/>
          <w:szCs w:val="18"/>
          <w:color w:val="auto"/>
        </w:rPr>
        <w:t>The Company has committed to fund the following capital improvements. The improvements, which are related to several properties, are estimated to be generally completed within twelve months. These commitments, as of March 31, 2022, are as follows (in thousands):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2240" w:type="dxa"/>
            <w:vAlign w:val="bottom"/>
            <w:tcBorders>
              <w:bottom w:val="single" w:sz="8" w:color="CCEEFF"/>
            </w:tcBorders>
          </w:tcPr>
          <w:p>
            <w:pPr>
              <w:spacing w:after="0"/>
              <w:rPr>
                <w:sz w:val="20"/>
                <w:szCs w:val="20"/>
                <w:color w:val="auto"/>
              </w:rPr>
            </w:pPr>
          </w:p>
        </w:tc>
        <w:tc>
          <w:tcPr>
            <w:tcW w:w="47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09"/>
        </w:trPr>
        <w:tc>
          <w:tcPr>
            <w:tcW w:w="698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23,533</w:t>
            </w:r>
          </w:p>
        </w:tc>
      </w:tr>
      <w:tr>
        <w:trPr>
          <w:trHeight w:val="216"/>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Funded</w:t>
            </w: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10"/>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Commitment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r>
      <w:tr>
        <w:trPr>
          <w:trHeight w:val="20"/>
        </w:trPr>
        <w:tc>
          <w:tcPr>
            <w:tcW w:w="22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tcPr>
          <w:p>
            <w:pPr>
              <w:spacing w:after="0"/>
              <w:rPr>
                <w:sz w:val="8"/>
                <w:szCs w:val="8"/>
                <w:color w:val="auto"/>
              </w:rPr>
            </w:pPr>
          </w:p>
        </w:tc>
      </w:tr>
    </w:tbl>
    <w:p>
      <w:pPr>
        <w:spacing w:after="0" w:line="28" w:lineRule="exact"/>
        <w:rPr>
          <w:sz w:val="20"/>
          <w:szCs w:val="20"/>
          <w:color w:val="auto"/>
        </w:rPr>
      </w:pPr>
    </w:p>
    <w:p>
      <w:pPr>
        <w:ind w:left="340" w:hanging="290"/>
        <w:spacing w:after="0"/>
        <w:tabs>
          <w:tab w:leader="none" w:pos="3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94"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In addition, the Company is committed to fund the construction loan originated on January 26, 2022 as described in Note 4. Commercial Loan and Master Lease Investments. The construction loan is for an amount up to $8.7 million, of which none was funded as of March 31,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23. BUSINESS SEGMENT DATA</w:t>
      </w:r>
    </w:p>
    <w:p>
      <w:pPr>
        <w:spacing w:after="0" w:line="229"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The Company operates in four primary business segments: income properties, management services, commercial loan and master lease investments, and real estate operations. The management services segment consists of the revenue generated from managing PINE and the Land JV, prior to the Land JV Sale. Our income property operations consist of income-producing properties, and our business plan is focused on investing in additional income-producing properties. Our income property operations accounted for 87.1% and 86.0% of our identifiable assets as of March 31, 2022 and December 31, 2021, respectively, and 88.1% and 77.8% of our consolidated revenues for the three months ended March 31, 2022 and 2021, respectively. As of March 31, 2022, our commercial loan and master lease investments portfolio consisted of three commercial loan investments and one commercial property whose lease is classified as a commercial loan and master lease investment. Our real estate operations consist of revenues generated from the sale of and royalty income related to our interests in subsurface oil, gas, and mineral rights, and the generation and sale of mitigation credits.</w:t>
      </w:r>
    </w:p>
    <w:p>
      <w:pPr>
        <w:spacing w:after="0" w:line="194"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The Company evaluates segment performance based on operating income. The Company’s reportable segments are strategic business units that offer different products. They are managed separately because each segment requires different management techniques, knowledge, and skills.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March 31, 2022 and 2021 are as follows (in thousands):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09"/>
        </w:trPr>
        <w:tc>
          <w:tcPr>
            <w:tcW w:w="5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 w:type="dxa"/>
            <w:vAlign w:val="bottom"/>
          </w:tcPr>
          <w:p>
            <w:pPr>
              <w:spacing w:after="0"/>
              <w:rPr>
                <w:sz w:val="18"/>
                <w:szCs w:val="18"/>
                <w:color w:val="auto"/>
              </w:rPr>
            </w:pP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Income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Commercial Loan and Master Lease Investments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20" w:type="dxa"/>
            <w:vAlign w:val="bottom"/>
          </w:tcPr>
          <w:p>
            <w:pPr>
              <w:spacing w:after="0"/>
              <w:rPr>
                <w:sz w:val="18"/>
                <w:szCs w:val="18"/>
                <w:color w:val="auto"/>
              </w:rPr>
            </w:pPr>
          </w:p>
        </w:tc>
      </w:tr>
      <w:tr>
        <w:trPr>
          <w:trHeight w:val="250"/>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20" w:type="dxa"/>
            <w:vAlign w:val="bottom"/>
          </w:tcPr>
          <w:p>
            <w:pPr>
              <w:spacing w:after="0"/>
              <w:rPr>
                <w:sz w:val="21"/>
                <w:szCs w:val="2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Income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0" w:type="dxa"/>
            <w:vAlign w:val="bottom"/>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Commercial Loan and Master Lease Investments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 w:type="dxa"/>
            <w:vAlign w:val="bottom"/>
          </w:tcPr>
          <w:p>
            <w:pPr>
              <w:spacing w:after="0"/>
              <w:rPr>
                <w:sz w:val="18"/>
                <w:szCs w:val="18"/>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Corporate Expense</w:t>
            </w:r>
          </w:p>
        </w:tc>
        <w:tc>
          <w:tcPr>
            <w:tcW w:w="1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(9,412)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8"/>
                <w:szCs w:val="18"/>
                <w:color w:val="auto"/>
              </w:rPr>
            </w:pPr>
          </w:p>
        </w:tc>
      </w:tr>
      <w:tr>
        <w:trPr>
          <w:trHeight w:val="249"/>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Operating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20" w:type="dxa"/>
            <w:vAlign w:val="bottom"/>
          </w:tcPr>
          <w:p>
            <w:pPr>
              <w:spacing w:after="0"/>
              <w:rPr>
                <w:sz w:val="21"/>
                <w:szCs w:val="2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50"/>
        </w:trPr>
        <w:tc>
          <w:tcPr>
            <w:tcW w:w="5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 w:type="dxa"/>
            <w:vAlign w:val="bottom"/>
          </w:tcPr>
          <w:p>
            <w:pPr>
              <w:spacing w:after="0"/>
              <w:rPr>
                <w:sz w:val="21"/>
                <w:szCs w:val="21"/>
                <w:color w:val="auto"/>
              </w:rPr>
            </w:pPr>
          </w:p>
        </w:tc>
      </w:tr>
      <w:tr>
        <w:trPr>
          <w:trHeight w:val="197"/>
        </w:trPr>
        <w:tc>
          <w:tcPr>
            <w:tcW w:w="54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39,340</w:t>
            </w:r>
          </w:p>
        </w:tc>
        <w:tc>
          <w:tcPr>
            <w:tcW w:w="20" w:type="dxa"/>
            <w:vAlign w:val="bottom"/>
          </w:tcPr>
          <w:p>
            <w:pPr>
              <w:spacing w:after="0"/>
              <w:rPr>
                <w:sz w:val="18"/>
                <w:szCs w:val="18"/>
                <w:color w:val="auto"/>
              </w:rPr>
            </w:pP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r>
      <w:tr>
        <w:trPr>
          <w:trHeight w:val="210"/>
        </w:trPr>
        <w:tc>
          <w:tcPr>
            <w:tcW w:w="5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40,515</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39,347</w:t>
            </w:r>
          </w:p>
        </w:tc>
        <w:tc>
          <w:tcPr>
            <w:tcW w:w="2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Identifiable assets of each segment as of March 31, 2022 and December 31, 2021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0"/>
        </w:trPr>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r>
      <w:tr>
        <w:trPr>
          <w:trHeight w:val="209"/>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657,128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630,747</w:t>
            </w: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 and Master Lease Investments</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39,095</w:t>
            </w:r>
          </w:p>
        </w:tc>
      </w:tr>
      <w:tr>
        <w:trPr>
          <w:trHeight w:val="21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16"/>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47,513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35,132</w:t>
            </w:r>
          </w:p>
        </w:tc>
      </w:tr>
      <w:tr>
        <w:trPr>
          <w:trHeight w:val="21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754,219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733,139</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44" w:lineRule="auto"/>
        <w:rPr>
          <w:sz w:val="20"/>
          <w:szCs w:val="20"/>
          <w:color w:val="auto"/>
        </w:rPr>
      </w:pPr>
      <w:r>
        <w:rPr>
          <w:rFonts w:ascii="Times New Roman" w:cs="Times New Roman" w:eastAsia="Times New Roman" w:hAnsi="Times New Roman"/>
          <w:sz w:val="18"/>
          <w:szCs w:val="18"/>
          <w:color w:val="auto"/>
        </w:rPr>
        <w:t>Operating income represents income from operations before interest expense, investment income, and income taxes. General and corporate expenses are an aggregate of general and administrative expenses and depreciation and amortization expense. Identifiable assets by segment are those assets that are used in the Company’s operations in each segment. Real Estate Operations includes the identifiable assets of the Mitigation Bank and Subsurface Interests. Corporate and other assets consist primarily of cash and restricted cash, property, plant, and equipment related to the other operations, as well as the general and corporate operations.</w:t>
      </w:r>
    </w:p>
    <w:p>
      <w:pPr>
        <w:spacing w:after="0" w:line="195"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The management services, commercial loan and master lease investments, and real estate operations segments had no capital expenditures during the three months ended March 31, 2022 or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24. ASSETS HELD FOR SALE</w:t>
      </w:r>
    </w:p>
    <w:p>
      <w:pPr>
        <w:spacing w:after="0" w:line="229"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Assets held for sale as of December 31, 2021 are summarized below (in thousands). There were no assets held for sale as of March 31, 2022.</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7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21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Property, and Equipment—Net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r>
      <w:tr>
        <w:trPr>
          <w:trHeight w:val="216"/>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9"/>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r>
      <w:tr>
        <w:trPr>
          <w:trHeight w:val="20"/>
        </w:trPr>
        <w:tc>
          <w:tcPr>
            <w:tcW w:w="5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25. SUBSEQUENT EVENTS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Company reviewed all subsequent events and transactions through April 28, 2022, the date the consolidated financial statements were issued.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On April 27, 2022, the Company announced that its Board of Directors has approved a three-for-one stock split of the Company’s common stock to be effected in the form of a stock dividend. Each stockholder of record at the close of business on June 27, 2022 (the “Record Date”), will receive two additional shares of the Company’s common stock for each share held as of the Record Date. The new shares will be distributed on June 30, 2022. The Company’s stock will begin trading at the post-split price on July 1, 2022. The Company’s second quarter regular common stock cash dividend, which will apply to pre-split shares only, will not be impacted by the stock split.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 and Master Lease Investment</w:t>
      </w:r>
    </w:p>
    <w:p>
      <w:pPr>
        <w:spacing w:after="0" w:line="22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On April 7, 2022, the Company entered into a preferred equity agreement to provide $30.0 million of funding towards the acquisition of the Watters Creek at Montgomery Farm, a grocery-anchored, mixed-use property located in Allen, Texas. The three-year preferred investment for the acquisition was fully funded at closing, is interest-only through maturity, includes an origination fee, and bears a fixed preferred return.</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other reportable subsequent events or transactions.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CTO Realty Growth, Inc. and its consolidated subsidiaries. References to “Notes to Financial Statements” refer to the Notes to the Consolidated Financial Statements of CTO Realty Growth, Inc. included in this Quarterly Report on Form 10-Q.</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firstLine="492"/>
        <w:spacing w:after="0" w:line="253" w:lineRule="auto"/>
        <w:rPr>
          <w:sz w:val="20"/>
          <w:szCs w:val="20"/>
          <w:color w:val="auto"/>
        </w:rPr>
      </w:pPr>
      <w:r>
        <w:rPr>
          <w:rFonts w:ascii="Times New Roman" w:cs="Times New Roman" w:eastAsia="Times New Roman" w:hAnsi="Times New Roman"/>
          <w:sz w:val="18"/>
          <w:szCs w:val="18"/>
          <w:color w:val="auto"/>
        </w:rPr>
        <w:t>Statements contained in this Quarterly Report on Form 10-Q that are not historical facts are forward-looking statements within the meaning of Section 27A of the Securities Act of 1933 and Section 21E of the Securities Exchange Act of 1934. Also, when the Company uses any of the words “anticipate,” “assume,” “believe,” “estimate,” “expect,” “intend,” or similar expressions, the Company is making forward-looking statements. Management believes the expectations reflected in such forward-looking statements are based upon present expectations and reasonable assumptions. However, the Company’s actual results could differ materially from those set forth in the forward-looking statements. Further, forward-looking statements speak only as of the date they are made, and the Company undertakes no obligation to update or revise such forward-looking statements to reflect changed assumptions, the occurrence of unanticipated events or changes to future operating results over time, unless required by law. The risks and uncertainties that could cause our actual results to differ materially from those presented in our forward-looking statements, include, but are not limited to, the following:</w:t>
      </w:r>
    </w:p>
    <w:p>
      <w:pPr>
        <w:spacing w:after="0" w:line="84" w:lineRule="exact"/>
        <w:rPr>
          <w:sz w:val="20"/>
          <w:szCs w:val="20"/>
          <w:color w:val="auto"/>
        </w:rPr>
      </w:pPr>
    </w:p>
    <w:p>
      <w:pPr>
        <w:ind w:left="880" w:right="79" w:hanging="317"/>
        <w:spacing w:after="0" w:line="261"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ownership of commercial real estate that could affect the performance and value of our properties;</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our tenants successfully operating their businesses, and their failure to do so could materially and adversely affect us;</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that traditional retail tenants face from e-commerce retail sales, or the integration of brick and mortar stores with e-commerce retail operators, could adversely affect our business;</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the acquisition of income properties and more established entities or other investors may be able to compete more effectively for acquisition opportunities than we can;</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revenues from our income property portfolio or certain tenants would adversely impact our results of operations and cash flows;</w:t>
      </w:r>
    </w:p>
    <w:p>
      <w:pPr>
        <w:jc w:val="both"/>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include receipt of management fees and potentially incentive fees derived from our provision of management services to Alpine Income Property Trust, Inc. (“PINE”) and the loss or failure, or decline in the business or assets, of PINE could substantially reduce our revenues;</w:t>
      </w:r>
    </w:p>
    <w:p>
      <w:pPr>
        <w:spacing w:after="0" w:line="1" w:lineRule="exact"/>
        <w:rPr>
          <w:rFonts w:ascii="Times New Roman" w:cs="Times New Roman" w:eastAsia="Times New Roman" w:hAnsi="Times New Roman"/>
          <w:sz w:val="18"/>
          <w:szCs w:val="18"/>
          <w:color w:val="auto"/>
        </w:rPr>
      </w:pPr>
    </w:p>
    <w:p>
      <w:pPr>
        <w:jc w:val="both"/>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various potential conflicts of interest in our relationship with PINE, including our executive officers and/or directors who are also officers and/or directors of PINE, which could result in decisions that are not in the best interest of our stockholders;</w:t>
      </w:r>
    </w:p>
    <w:p>
      <w:pPr>
        <w:spacing w:after="0" w:line="1" w:lineRule="exact"/>
        <w:rPr>
          <w:rFonts w:ascii="Times New Roman" w:cs="Times New Roman" w:eastAsia="Times New Roman" w:hAnsi="Times New Roman"/>
          <w:sz w:val="18"/>
          <w:szCs w:val="18"/>
          <w:color w:val="auto"/>
        </w:rPr>
      </w:pP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downturn in economic conditions could adversely impact our business, particularly with regard to our ability to maintain revenues from our income-producing assets;</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our investment strategy is focused on investing in commercial loan and master lease investments which may involve credit risk;</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losses when a borrower defaults on a loan and the value of the underlying collateral is less than the amount due;</w:t>
      </w:r>
    </w:p>
    <w:p>
      <w:pPr>
        <w:ind w:left="880" w:hanging="317"/>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real estate investments are generally illiquid;</w:t>
      </w:r>
    </w:p>
    <w:p>
      <w:pPr>
        <w:spacing w:after="0" w:line="9" w:lineRule="exact"/>
        <w:rPr>
          <w:rFonts w:ascii="Times New Roman" w:cs="Times New Roman" w:eastAsia="Times New Roman" w:hAnsi="Times New Roman"/>
          <w:sz w:val="18"/>
          <w:szCs w:val="18"/>
          <w:color w:val="auto"/>
        </w:rPr>
      </w:pPr>
    </w:p>
    <w:p>
      <w:pPr>
        <w:jc w:val="both"/>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successful in utilizing the like-kind exchange structure in deploying the proceeds from dispositions of income properties, or our like-kind exchange transactions are disqualified, we could incur significant taxes and our results of operations and cash flows could be adversely impacted;</w:t>
      </w:r>
    </w:p>
    <w:p>
      <w:pPr>
        <w:spacing w:after="0" w:line="1" w:lineRule="exact"/>
        <w:rPr>
          <w:rFonts w:ascii="Times New Roman" w:cs="Times New Roman" w:eastAsia="Times New Roman" w:hAnsi="Times New Roman"/>
          <w:sz w:val="18"/>
          <w:szCs w:val="18"/>
          <w:color w:val="auto"/>
        </w:rPr>
      </w:pP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be unable to obtain debt or equity capital on favorable terms, if at all, or additional borrowings may impact our liquidity or ability to monetize any assets securing such borrowings;</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our debt requires a significant amount of cash, and we may not have sufficient cash flow from our business to service or pay our debt;</w:t>
      </w:r>
    </w:p>
    <w:p>
      <w:pPr>
        <w:ind w:left="880" w:right="79" w:hanging="317"/>
        <w:spacing w:after="0" w:line="25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and properties could be adversely affected in the event of natural disasters, pandemics, or other significant disruptions;</w:t>
      </w:r>
    </w:p>
    <w:p>
      <w:pPr>
        <w:ind w:left="880" w:right="79" w:hanging="317"/>
        <w:spacing w:after="0" w:line="260"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environmental problems which require remediation or the incurrence of significant costs to resolve, which could adversely impact our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880" w:right="79" w:hanging="317"/>
        <w:spacing w:after="0" w:line="23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qualified as real estate investment trust (“REIT”) for U.S. federal income tax purposes would cause us to be taxed a regular corporation, which would substantially reduce funds available for distribution to stockholders;</w:t>
      </w:r>
    </w:p>
    <w:p>
      <w:pPr>
        <w:ind w:left="880" w:hanging="317"/>
        <w:spacing w:after="0" w:line="219"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REIT requirements could limit our financial flexibility;</w:t>
      </w:r>
    </w:p>
    <w:p>
      <w:pPr>
        <w:ind w:left="880" w:hanging="317"/>
        <w:spacing w:after="0" w:line="219"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experience operating as a REIT;</w:t>
      </w:r>
    </w:p>
    <w:p>
      <w:pPr>
        <w:ind w:left="880" w:right="79" w:hanging="317"/>
        <w:spacing w:after="0" w:line="22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consistent with the REIT requirements, and expectations as to timing and amounts of such dividends;</w:t>
      </w:r>
    </w:p>
    <w:p>
      <w:pPr>
        <w:spacing w:after="0" w:line="1" w:lineRule="exact"/>
        <w:rPr>
          <w:rFonts w:ascii="Times New Roman" w:cs="Times New Roman" w:eastAsia="Times New Roman" w:hAnsi="Times New Roman"/>
          <w:sz w:val="18"/>
          <w:szCs w:val="18"/>
          <w:color w:val="auto"/>
        </w:rPr>
      </w:pPr>
    </w:p>
    <w:p>
      <w:pPr>
        <w:ind w:left="880" w:hanging="317"/>
        <w:spacing w:after="0" w:line="219"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(the “Board”) to revoke our REIT status without stockholder approval;</w:t>
      </w:r>
    </w:p>
    <w:p>
      <w:pPr>
        <w:ind w:left="880" w:right="79" w:hanging="317"/>
        <w:spacing w:after="0" w:line="226"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changes in U.S. federal and state income tax laws, including changes to the REIT requirements; and</w:t>
      </w:r>
    </w:p>
    <w:p>
      <w:pPr>
        <w:spacing w:after="0" w:line="1" w:lineRule="exact"/>
        <w:rPr>
          <w:rFonts w:ascii="Times New Roman" w:cs="Times New Roman" w:eastAsia="Times New Roman" w:hAnsi="Times New Roman"/>
          <w:sz w:val="18"/>
          <w:szCs w:val="18"/>
          <w:color w:val="auto"/>
        </w:rPr>
      </w:pPr>
    </w:p>
    <w:p>
      <w:pPr>
        <w:jc w:val="both"/>
        <w:ind w:left="880" w:right="79" w:hanging="317"/>
        <w:spacing w:after="0" w:line="228"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epidemic or pandemic (such as the outbreak and worldwide spread of the novel coronavirus (the “COVID-19 Pandemic”)), and the measures that international, federal, state and local governments, agencies, law enforcement and/or health authorities implement to address it, may precipitate or materially exacerbate one or more of the above-mentioned and/or other risks and may significantly disrupt or prevent us from operating our business in the ordinary course for an extended period.</w:t>
      </w:r>
    </w:p>
    <w:p>
      <w:pPr>
        <w:spacing w:after="0" w:line="185"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The Company describes the risks and uncertainties that could cause actual results and events to differ materially in “Risk Factors” (Part II, Item 1A of this Quarterly Report on Form 10-Q and Part I, Item 1A of our Annual Report on Form 10-K for the year ended December 31, 2021), “Quantitative and Qualitative Disclosures about Market Risk” (Part I, Item 3 of this Quarterly Report on Form 10-Q), and “Management’s Discussion and Analysis of Financial Conditions and Results of Operations” (Part I, Item 2 of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We are a publicly traded, primarily retail-oriented, REIT that was founded in 1910. We own and manage, sometimes utilizing third-party property management companies, 21 commercial real estate properties in nine states in the United States. As of March 31, 2022, we owned seven single-tenant and 14 multi-tenant income-producing properties comprising 2.8 million square feet of gross leasable space.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to our income property portfolio, as of March 31, 2022, our business included the following: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Management Services:</w:t>
      </w:r>
    </w:p>
    <w:p>
      <w:pPr>
        <w:spacing w:after="0" w:line="225" w:lineRule="exact"/>
        <w:rPr>
          <w:sz w:val="20"/>
          <w:szCs w:val="20"/>
          <w:color w:val="auto"/>
        </w:rPr>
      </w:pPr>
    </w:p>
    <w:p>
      <w:pPr>
        <w:ind w:left="840" w:right="79" w:hanging="331"/>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fee-based management business that is engaged in managing PINE, see Note 5, “Related Party Management Services Business”.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Commercial Loan and Master Lease Investments:</w:t>
      </w:r>
    </w:p>
    <w:p>
      <w:pPr>
        <w:spacing w:after="0" w:line="225" w:lineRule="exact"/>
        <w:rPr>
          <w:sz w:val="20"/>
          <w:szCs w:val="20"/>
          <w:color w:val="auto"/>
        </w:rPr>
      </w:pPr>
    </w:p>
    <w:p>
      <w:pPr>
        <w:jc w:val="both"/>
        <w:ind w:left="840" w:right="79" w:hanging="331"/>
        <w:spacing w:after="0" w:line="266"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portfolio of three commercial loan investments and one commercial property, which is included in the 21 commercial real estate properties above, whose lease is classified as commercial loan and master lease investment.</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u w:val="single" w:color="auto"/>
          <w:color w:val="auto"/>
        </w:rPr>
        <w:t>Real Estate Operations:</w:t>
      </w:r>
    </w:p>
    <w:p>
      <w:pPr>
        <w:spacing w:after="0" w:line="225" w:lineRule="exact"/>
        <w:rPr>
          <w:sz w:val="20"/>
          <w:szCs w:val="20"/>
          <w:color w:val="auto"/>
        </w:rPr>
      </w:pPr>
    </w:p>
    <w:p>
      <w:pPr>
        <w:ind w:left="840" w:right="79" w:hanging="331"/>
        <w:spacing w:after="0" w:line="282"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portfolio of subsurface mineral interests associated with approximately 365,000 surface acres in 19 counties in the State of Florida (“Subsurface Interests”); and</w:t>
      </w:r>
    </w:p>
    <w:p>
      <w:pPr>
        <w:spacing w:after="0" w:line="161" w:lineRule="exact"/>
        <w:rPr>
          <w:rFonts w:ascii="Times New Roman" w:cs="Times New Roman" w:eastAsia="Times New Roman" w:hAnsi="Times New Roman"/>
          <w:sz w:val="18"/>
          <w:szCs w:val="18"/>
          <w:color w:val="auto"/>
        </w:rPr>
      </w:pPr>
    </w:p>
    <w:p>
      <w:pPr>
        <w:jc w:val="both"/>
        <w:ind w:left="840" w:right="79" w:hanging="331"/>
        <w:spacing w:after="0" w:line="255"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inventory of historically owned mitigation credits as well as mitigation credits produced by the Company’s mitigation bank. The mitigation bank owns a 2,500 acre parcel of land in the western part of Daytona Beach, Florida and, pursuant to a mitigation plan approved by the applicable state and federal authorities, produces mitigation credits that are sold to developers of land in the Daytona Beach area for the purpose of enabling the developers to obtain certain regulatory permits for property development (the “Mitigation Bank”). Prior to the Interest Purchase (defined in Note 7, “Investment in Joint Ventures”) completed on September 30, 2021, the Company held a 30% retained interest in the entity that owns the Mitigation Bank.</w:t>
      </w:r>
    </w:p>
    <w:p>
      <w:pPr>
        <w:spacing w:after="0" w:line="18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Our business also includes our investment in PINE. As of March 31, 2022, the fair value of our investment totaled $38.6 million, or 15.2% of PINE’s outstanding equity, including the units of limited partnership interest (“OP Units”) we hold in Alpine Income Property OP, LP (the “PINE Operating Partnership”), which are redeemable for cash, based upon the value of an equivalent number of shares of PINE common stock at the time of the redemption, or shares of PINE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common stock on a one-for-one basis, at PINE’s election. Our investment in PINE generates investment income through the dividends distributed by PINE. In addition to the dividends we receive from PINE, our investment in PINE may benefit from any appreciation in PINE’s stock price, although no assurances can be provided that such appreciation will occur, the amount by which our investment will increase in value, or the timing thereof. Any dividends received from PINE are included in investment and other income (loss) on the accompanying consolidated statements of operations.</w:t>
      </w:r>
    </w:p>
    <w:p>
      <w:pPr>
        <w:spacing w:after="0" w:line="183"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and target markets, including major markets or those markets we believe are experiencing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ability to transact in a tax-efficient manner for the benefit of our shareholders, etc.).</w:t>
      </w:r>
    </w:p>
    <w:p>
      <w:pPr>
        <w:spacing w:after="0" w:line="188" w:lineRule="exact"/>
        <w:rPr>
          <w:sz w:val="20"/>
          <w:szCs w:val="20"/>
          <w:color w:val="auto"/>
        </w:rPr>
      </w:pPr>
    </w:p>
    <w:p>
      <w:pPr>
        <w:jc w:val="both"/>
        <w:ind w:left="60" w:right="59" w:firstLine="441"/>
        <w:spacing w:after="0" w:line="253" w:lineRule="auto"/>
        <w:rPr>
          <w:sz w:val="20"/>
          <w:szCs w:val="20"/>
          <w:color w:val="auto"/>
        </w:rPr>
      </w:pPr>
      <w:r>
        <w:rPr>
          <w:rFonts w:ascii="Times New Roman" w:cs="Times New Roman" w:eastAsia="Times New Roman" w:hAnsi="Times New Roman"/>
          <w:sz w:val="18"/>
          <w:szCs w:val="18"/>
          <w:color w:val="auto"/>
        </w:rPr>
        <w:t>We believe investment in income-producing assets provides attractive opportunities for generally stable cash flows and increased returns over the long run through potential capital appreciation. Our focus on acquiring income-producing investments includes a continual review of our existing income property portfolio to identify opportunities to recycle our capital through the sale of income properties based on, among other possible factors, the current or expected performance of the property and favorable market conditions. We sold two single-tenant income properties, one of which was classified as a commercial loan and master lease investment due to tenant repurchase options, during the three months ended March 31, 2022. As a result of entering into the Exclusivity and Right of First Offer Agreement with PINE (the “ROFO Agreement”) which generally prevents us from investing in single-tenant net lease income properties, our income property investment strategy is focused on multi-tenant, primarily retail-oriented, properties. We may pursue this strategy by monetizing certain of our single-tenant properties, and should we do so, we would seek to utilize the 1031 like-kind exchange structure to preserve the tax-deferred gain on the original transaction(s) that pertains to the replacement asset.</w:t>
      </w:r>
    </w:p>
    <w:p>
      <w:pPr>
        <w:spacing w:after="0" w:line="19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Our current portfolio of seven single-tenant income properties generates $9.1 million of revenues from annualized straight-line base lease payments and had a weighted average remaining lease term of 6.5 years as of March 31, 2022. Our current portfolio of 14 multi-tenant properties generates $46.2 million of revenue from annualized straight-line base lease payments and had a weighted average remaining lease term of 6.9 years as of March 31, 2022.</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revenue for the three months ended March 31, 2022 is presented in the following summary and indicates the changes as compared to the three months ended March 31, 2021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87"/>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8"/>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Segment</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Management Services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and Master Lease Investments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Operations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09"/>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March 31, 2022 increased to $17.2 million, compared to $14.7 million during the three months ended March 31, 2021. The increase in total revenue is primarily attributable to increased income produced by the Company’s recent income property acquisitions versus that of properties disposed of by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comparative period, in addition to increased management fee income from PINE. These increases were offset by decreased revenue from real estate operations due to fewer sales of Subsurface Interests, as further described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Properties</w:t>
      </w:r>
    </w:p>
    <w:p>
      <w:pPr>
        <w:spacing w:after="0" w:line="229" w:lineRule="exact"/>
        <w:rPr>
          <w:sz w:val="20"/>
          <w:szCs w:val="20"/>
          <w:color w:val="auto"/>
        </w:rPr>
      </w:pPr>
    </w:p>
    <w:p>
      <w:pPr>
        <w:jc w:val="both"/>
        <w:ind w:left="60" w:right="59" w:firstLine="401"/>
        <w:spacing w:after="0" w:line="254" w:lineRule="auto"/>
        <w:rPr>
          <w:sz w:val="20"/>
          <w:szCs w:val="20"/>
          <w:color w:val="auto"/>
        </w:rPr>
      </w:pPr>
      <w:r>
        <w:rPr>
          <w:rFonts w:ascii="Times New Roman" w:cs="Times New Roman" w:eastAsia="Times New Roman" w:hAnsi="Times New Roman"/>
          <w:sz w:val="18"/>
          <w:szCs w:val="18"/>
          <w:color w:val="auto"/>
        </w:rPr>
        <w:t>Revenue and operating income from our income property operations totaled $15.2 million and $11.2 million, respectively, during the three months ended March 31, 2022, compared to total revenue and operating income of $11.4 million and $8.5 million, respectively, for the three months ended March 31, 2021. The direct costs of revenues for our income property operations totaled $4.0 million and $2.9 million for the three months ended March 31, 2022 and 2021, respectively. The increase in revenues of $3.7 million, or 32.5%, during the three months ended March 31, 2022 is primarily related to the timing of acquisitions versus dispositions. The increase in operating income from our income property operations reflects increased rent revenues, offset by an increase of $1.1 million in our direct costs of revenues which is also related to the timing of acquisitions versus dispositions.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Services</w:t>
      </w:r>
    </w:p>
    <w:p>
      <w:pPr>
        <w:spacing w:after="0" w:line="229" w:lineRule="exact"/>
        <w:rPr>
          <w:sz w:val="20"/>
          <w:szCs w:val="20"/>
          <w:color w:val="auto"/>
        </w:rPr>
      </w:pPr>
    </w:p>
    <w:p>
      <w:pPr>
        <w:jc w:val="both"/>
        <w:ind w:left="60" w:right="79" w:firstLine="441"/>
        <w:spacing w:after="0" w:line="266" w:lineRule="auto"/>
        <w:rPr>
          <w:sz w:val="20"/>
          <w:szCs w:val="20"/>
          <w:color w:val="auto"/>
        </w:rPr>
      </w:pPr>
      <w:r>
        <w:rPr>
          <w:rFonts w:ascii="Times New Roman" w:cs="Times New Roman" w:eastAsia="Times New Roman" w:hAnsi="Times New Roman"/>
          <w:sz w:val="18"/>
          <w:szCs w:val="18"/>
          <w:color w:val="auto"/>
        </w:rPr>
        <w:t>Revenue from our management services from PINE totaled $0.9 million during the three months ended March 31, 2022. Revenue from our management services totaled $0.7 million during the three months ended March 31, 2021, including $0.6 million and $0.03 million earned from PINE and the Land JV,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 and Master Lease Investments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Interest income from our commercial loan and master lease investments totaled $0.7 million during each of the three months ended March 31, 2022 and 2021.</w:t>
      </w:r>
    </w:p>
    <w:p>
      <w:pPr>
        <w:spacing w:after="0" w:line="160" w:lineRule="exact"/>
        <w:rPr>
          <w:sz w:val="20"/>
          <w:szCs w:val="20"/>
          <w:color w:val="auto"/>
        </w:rPr>
      </w:pPr>
    </w:p>
    <w:p>
      <w:pPr>
        <w:jc w:val="both"/>
        <w:ind w:left="60" w:right="59"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Portfolio</w:t>
      </w:r>
      <w:r>
        <w:rPr>
          <w:rFonts w:ascii="Times New Roman" w:cs="Times New Roman" w:eastAsia="Times New Roman" w:hAnsi="Times New Roman"/>
          <w:sz w:val="18"/>
          <w:szCs w:val="18"/>
          <w:color w:val="auto"/>
        </w:rPr>
        <w:t>. As of March 31, 2022, the Company’s commercial loan and master lease investments portfolio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commercial loan investments and one commercial property. As of March 31, 2021, the Company’s commercial loan and master lease investments portfolio included one commercial loan investment and two commercial properties. Although interest income from our commercial loan and master lease investments remained relatively consistent during the three months ended March 31, 2022 and 2021, the timing of investments and dispositions includes (i) the origination of one commercial loan investment during the second quarter of 2021, (ii) the origination of one construction loan during the first quarter of 2022 of which no amounts have been drawn by the borrower as of March 31, 2022, and (iii) the sale of one commercial property during the first quarter of 2022 which was accounted for as a commercial loan investment due to future repurchase rights.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Real Estate Operations</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2022, operating income from real estate operations was $0.3 million on revenues totaling $0.4 million. During the three months ended March 31, 2021, operating income from real estate operations was $1.8 million on revenues totaling $1.9 million. The operating income during the three months ended March 31, 2022 was primarily due to the sale of approximately 4,750 acres of Subsurface Interests totaling $0.4 million, which revenues were offset by less than $0.1 million cost of sales, as compared to the three months ended March 31, 2021 which includes the sale of approximately 25,000 acres of Subsurface Interests totaling $1.9 million, which revenues were offset by $0.1 million cost of sales.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Total general and administrative expenses for the three months ended March 31, 2022 is presented in the following summary and indicates the changes as compared to the three months ended March 31, 2021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3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9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 Variance</w:t>
            </w:r>
          </w:p>
        </w:tc>
      </w:tr>
      <w:tr>
        <w:trPr>
          <w:trHeight w:val="209"/>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General and Administrative Expenses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r>
      <w:tr>
        <w:trPr>
          <w:trHeight w:val="23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REIT Conversion and Other Non-Recurring Items</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r>
      <w:tr>
        <w:trPr>
          <w:trHeight w:val="209"/>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bottom w:val="single" w:sz="8" w:color="auto"/>
            </w:tcBorders>
          </w:tcPr>
          <w:p>
            <w:pPr>
              <w:spacing w:after="0"/>
              <w:rPr>
                <w:sz w:val="18"/>
                <w:szCs w:val="18"/>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Gains (Losses)</w:t>
      </w:r>
    </w:p>
    <w:p>
      <w:pPr>
        <w:spacing w:after="0" w:line="214" w:lineRule="exact"/>
        <w:rPr>
          <w:sz w:val="20"/>
          <w:szCs w:val="20"/>
          <w:color w:val="auto"/>
        </w:rPr>
      </w:pPr>
    </w:p>
    <w:p>
      <w:pPr>
        <w:jc w:val="both"/>
        <w:ind w:left="60" w:right="59" w:firstLine="324"/>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2022 Dispositions. </w:t>
      </w:r>
      <w:r>
        <w:rPr>
          <w:rFonts w:ascii="Times New Roman" w:cs="Times New Roman" w:eastAsia="Times New Roman" w:hAnsi="Times New Roman"/>
          <w:sz w:val="18"/>
          <w:szCs w:val="18"/>
          <w:color w:val="auto"/>
        </w:rPr>
        <w:t>During the three months ended March 31, 2022, the Company sold two income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 Party City, a single-tenant income property located in Oceanside, New York for $6.9 million resulting in a $0.06 million loss and (ii) the Carpenter Hotel ground lease, a single-tenant income property located in Austin, Texas for $17.1 million resulting in a $0.2 million loss. The lease with Carpenter Hotel included two tenant repurchase options.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$16.25 million investment was recorded in the accompanying consolidated balance sheets as a commercial loan and master lease investment prior to its disposition during the three months ended March 31, 2022. The sale of the properties reflect a total disposition volume of $24.0 million, resulting in aggregate losses of $0.2 million.</w:t>
      </w:r>
    </w:p>
    <w:p>
      <w:pPr>
        <w:spacing w:after="0" w:line="175" w:lineRule="exact"/>
        <w:rPr>
          <w:sz w:val="20"/>
          <w:szCs w:val="20"/>
          <w:color w:val="auto"/>
        </w:rPr>
      </w:pPr>
    </w:p>
    <w:p>
      <w:pPr>
        <w:jc w:val="both"/>
        <w:ind w:left="60" w:right="59" w:firstLine="324"/>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2021 Dispositions. </w:t>
      </w:r>
      <w:r>
        <w:rPr>
          <w:rFonts w:ascii="Times New Roman" w:cs="Times New Roman" w:eastAsia="Times New Roman" w:hAnsi="Times New Roman"/>
          <w:sz w:val="18"/>
          <w:szCs w:val="18"/>
          <w:color w:val="auto"/>
        </w:rPr>
        <w:t>During the three months ended March 31, 2021, the Company sold two income properties,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 World of Beer/Fuzzy’s Taco Shop, a multi-tenant income property located in Brandon, Florida for $2.3 million resulting in a $0.6 million gain and (ii) Moe’s Southwest Grill, a single-tenant income property located in Jacksonville, Florida for $2.5 million resulting in a $0.1 million gain. The sale of the properties reflect a total disposition volume of $4.9 million, resulting in aggregate gains of $0.7 million.</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Depreciation and amortization totaled $6.4 million and $4.8 million during the three months ended March 31, 2022 and 2021, respectively. The increase of $1.6 million is primarily due to the increase in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 (Loss)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the closing stock price of PINE decreased by $1.24 per share, with a closing price of $18.80 on March 31, 2022. During the three months ended March 31, 2021, the closing stock price of PINE increased by $2.37 per share, with a closing price of $17.36 on March 31, 2021. The change in stock price resulted in an unrealized, non-cash gain (loss) on the Company’s investment in PINE of ($2.5) million and $4.8 million which is included in investment and other income (loss) in the consolidated statements of operations for the three months ended March 31, 2022 and 2021, respectively.</w:t>
      </w:r>
    </w:p>
    <w:p>
      <w:pPr>
        <w:spacing w:after="0" w:line="187" w:lineRule="exact"/>
        <w:rPr>
          <w:sz w:val="20"/>
          <w:szCs w:val="20"/>
          <w:color w:val="auto"/>
        </w:rPr>
      </w:pPr>
    </w:p>
    <w:p>
      <w:pPr>
        <w:jc w:val="both"/>
        <w:ind w:left="60" w:right="79" w:firstLine="441"/>
        <w:spacing w:after="0" w:line="282" w:lineRule="auto"/>
        <w:rPr>
          <w:sz w:val="20"/>
          <w:szCs w:val="20"/>
          <w:color w:val="auto"/>
        </w:rPr>
      </w:pPr>
      <w:r>
        <w:rPr>
          <w:rFonts w:ascii="Times New Roman" w:cs="Times New Roman" w:eastAsia="Times New Roman" w:hAnsi="Times New Roman"/>
          <w:sz w:val="18"/>
          <w:szCs w:val="18"/>
          <w:color w:val="auto"/>
        </w:rPr>
        <w:t>The Company earned dividend income from the investment in PINE of $0.6 million and $0.5 million during the three months ended March 31, 2022 and 2021,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Interest expense totaled $1.9 million and $2.4 million for the three months ended March 31, 2022 and 2021, respectively. The decrease of $0.5 million resulted primarily from (i) the net decrease in long-term debt outstanding under the Company’s Credit Facility during the three months ended March 31, 2022 as compared to the same period in 2021, which is primarily driven by the use of proceeds received from the Series A Preferred Stock offering, (ii) the payoff of the Company’s $23.2 million variable-rate mortgage note, (iii) the disposition of the CMBS Portfolio under which the buyer assumed a $30.0 million fixed-rate mortgage note, and (iv) the repurchase of $11.4 million aggregate principal amount of 2025 Notes.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Net income attributable to the Company totaled $0.2 million and $7.8 million during the three months ended March 31, 2022 and 2021, respectively. The decrease in net income is attributable to the factors described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Cash and cash equivalents totaled $9.5 million at March 31, 2022, while restricted cash totaled $26.4 million, see Note 2, “Summary of Significant Accounting Policies” under the heading Restricted Cash for the Company’s disclosure related to its restricted cash balance at March 31, 2022.</w:t>
      </w:r>
    </w:p>
    <w:p>
      <w:pPr>
        <w:spacing w:after="0" w:line="1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cash flows provided by operating activities totaled $11.4 million during the three months ended March 31, 2022, compared to cash flows provided by operating activities totaling $6.3 million for the three months ended March 31, 2021, an increase of $5.1 million. The increase of $5.1 million is primarily related to the increase in the cash flows provided by income properties of $2.6 million, which was primarily the result of timing related to the reinvestment of cash generated from the sale of recently disposed assets. The change in operating cash is further impacted by various other timing differences within other assets and accounts payable.</w:t>
      </w:r>
    </w:p>
    <w:p>
      <w:pPr>
        <w:spacing w:after="0" w:line="187" w:lineRule="exact"/>
        <w:rPr>
          <w:sz w:val="20"/>
          <w:szCs w:val="20"/>
          <w:color w:val="auto"/>
        </w:rPr>
      </w:pPr>
    </w:p>
    <w:p>
      <w:pPr>
        <w:jc w:val="both"/>
        <w:ind w:left="60" w:right="79" w:firstLine="441"/>
        <w:spacing w:after="0" w:line="255" w:lineRule="auto"/>
        <w:rPr>
          <w:sz w:val="20"/>
          <w:szCs w:val="20"/>
          <w:color w:val="auto"/>
        </w:rPr>
      </w:pPr>
      <w:r>
        <w:rPr>
          <w:rFonts w:ascii="Times New Roman" w:cs="Times New Roman" w:eastAsia="Times New Roman" w:hAnsi="Times New Roman"/>
          <w:sz w:val="18"/>
          <w:szCs w:val="18"/>
          <w:color w:val="auto"/>
        </w:rPr>
        <w:t>Our cash flows used in investing activities totaled less than $0.02 million for the three months ended March 31, 2022, compared to cash flows used in investing activities of $34.4 million for the three months ended March 31, 2021, a decrease in cash outflows of $34.4 million. The decrease in cash used in investing activities is primarily related to a net increase in cash inflows of $17.3 million during the three months ended March 31, 2022 related to the timing of income property acquisitions quarter over quarter, in addition to an increase in cash inflows of $17.2 million related to proceeds received from the disposition of the Carpenter Hotel ground lease located in Austin, Texas, which income property was classified as a commercial loan and master lease investment due to future tenant repurchase rights.</w:t>
      </w:r>
    </w:p>
    <w:p>
      <w:pPr>
        <w:spacing w:after="0" w:line="189" w:lineRule="exact"/>
        <w:rPr>
          <w:sz w:val="20"/>
          <w:szCs w:val="20"/>
          <w:color w:val="auto"/>
        </w:rPr>
      </w:pPr>
    </w:p>
    <w:p>
      <w:pPr>
        <w:jc w:val="both"/>
        <w:ind w:left="60" w:right="59" w:firstLine="441"/>
        <w:spacing w:after="0" w:line="272" w:lineRule="auto"/>
        <w:rPr>
          <w:sz w:val="20"/>
          <w:szCs w:val="20"/>
          <w:color w:val="auto"/>
        </w:rPr>
      </w:pPr>
      <w:r>
        <w:rPr>
          <w:rFonts w:ascii="Times New Roman" w:cs="Times New Roman" w:eastAsia="Times New Roman" w:hAnsi="Times New Roman"/>
          <w:sz w:val="17"/>
          <w:szCs w:val="17"/>
          <w:color w:val="auto"/>
        </w:rPr>
        <w:t>Our cash flows used in financing activities totaled $6.9 million for the three months ended March 31, 2022, compared to cash flows used in financing activities of $0.4 million for the three months ended March 31, 2021, an increase in cash outflows of $6.5 million. The increase of $6.5 million is primarily related to the net impact of $7.8 million increased cash outflows related to the Company’s net repayments on long-term debt of $1.0 million during the three months ended March 31, 2022, as compared to net draws on long-term debt of $6.8 million during the comparable prior year period, in addition to increased cash outflows of $1.2 million related to dividends paid during the three months ended March 31, 2022. The increases in cash outflows were partially offset by $2.8 million of net proceeds received from the sale of 43,793 shares of the Company’s common stock under the ATM Program during the three months ended March 31, 2022.</w:t>
      </w:r>
    </w:p>
    <w:p>
      <w:pPr>
        <w:spacing w:after="0" w:line="170" w:lineRule="exact"/>
        <w:rPr>
          <w:sz w:val="20"/>
          <w:szCs w:val="20"/>
          <w:color w:val="auto"/>
        </w:rPr>
      </w:pPr>
    </w:p>
    <w:p>
      <w:pPr>
        <w:jc w:val="both"/>
        <w:ind w:left="60" w:right="59" w:firstLine="492"/>
        <w:spacing w:after="0" w:line="275"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March 31, 2022, the Company had $144.0 million undrawn commitment under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See Note 16, “Long-Term Debt” for the Company’s disclosure related to its long-term debt balance at March 31, 2022.</w:t>
      </w:r>
    </w:p>
    <w:p>
      <w:pPr>
        <w:spacing w:after="0" w:line="166"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As noted previously, the Company acquired one multi-tenant income property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2022 for a purchase price of $39.1 million, as further described in Note 3, “Income Properties”.</w:t>
      </w:r>
    </w:p>
    <w:p>
      <w:pPr>
        <w:spacing w:after="0" w:line="175"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Company’s guidance for 2022 investments in income-producing properties totals between $200.0 million and $250.0 million. We expect to fund future acquisitions utilizing cash on hand, cash from operations, proceeds from the dispositions of income properties through 1031 like-kind exchanges, and potentially the sale of all or a portion of our Subsurface Interests, and borrowings on our Credit Facility, if available. We expect dispositions of income properties and subsurface interests will qualify under the like-kind exchange deferred-tax structure, and additional financing sources.</w:t>
      </w:r>
    </w:p>
    <w:p>
      <w:pPr>
        <w:spacing w:after="0" w:line="181"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Dispositions. </w:t>
      </w:r>
      <w:r>
        <w:rPr>
          <w:rFonts w:ascii="Times New Roman" w:cs="Times New Roman" w:eastAsia="Times New Roman" w:hAnsi="Times New Roman"/>
          <w:sz w:val="18"/>
          <w:szCs w:val="18"/>
          <w:color w:val="auto"/>
        </w:rPr>
        <w:t>During the three months ended March 31, 2022, the Company sold two single-tenant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for a total disposition volume of $24.0 million, one of which was classified as a commercial loan and master lease investment due to two tenant repurchase options, as further described in Note 3, “Income Properties”.</w:t>
      </w:r>
    </w:p>
    <w:p>
      <w:pPr>
        <w:spacing w:after="0" w:line="173" w:lineRule="exact"/>
        <w:rPr>
          <w:sz w:val="20"/>
          <w:szCs w:val="20"/>
          <w:color w:val="auto"/>
        </w:rPr>
      </w:pPr>
    </w:p>
    <w:p>
      <w:pPr>
        <w:jc w:val="both"/>
        <w:ind w:left="60" w:right="59" w:firstLine="492"/>
        <w:spacing w:after="0" w:line="267" w:lineRule="auto"/>
        <w:rPr>
          <w:sz w:val="20"/>
          <w:szCs w:val="20"/>
          <w:color w:val="auto"/>
        </w:rPr>
      </w:pPr>
      <w:r>
        <w:rPr>
          <w:rFonts w:ascii="Times New Roman" w:cs="Times New Roman" w:eastAsia="Times New Roman" w:hAnsi="Times New Roman"/>
          <w:sz w:val="18"/>
          <w:szCs w:val="18"/>
          <w:i w:val="1"/>
          <w:iCs w:val="1"/>
          <w:color w:val="auto"/>
        </w:rPr>
        <w:t>ATM Program</w:t>
      </w:r>
      <w:r>
        <w:rPr>
          <w:rFonts w:ascii="Times New Roman" w:cs="Times New Roman" w:eastAsia="Times New Roman" w:hAnsi="Times New Roman"/>
          <w:sz w:val="18"/>
          <w:szCs w:val="18"/>
          <w:color w:val="auto"/>
        </w:rPr>
        <w:t>. During the three months ended March 31, 2022, the Company sold 43,793 shares under the ATM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for gross proceeds of $2.9 million at a weighted average price of $65.47 per share, generating net proceeds of $2.8 million after deducting transaction fees totaling less than $0.1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Contractual Commitments – Expenditures.</w:t>
      </w:r>
    </w:p>
    <w:p>
      <w:pPr>
        <w:spacing w:after="0" w:line="22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The Company has committed to fund the following capital improvements. The improvements, which are related to several properties, are estimated to be generally completed within twelve months. These commitments, as of March 31, 2022, are as follows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2240" w:type="dxa"/>
            <w:vAlign w:val="bottom"/>
            <w:tcBorders>
              <w:bottom w:val="single" w:sz="8" w:color="CCEEFF"/>
            </w:tcBorders>
          </w:tcPr>
          <w:p>
            <w:pPr>
              <w:spacing w:after="0"/>
              <w:rPr>
                <w:sz w:val="20"/>
                <w:szCs w:val="20"/>
                <w:color w:val="auto"/>
              </w:rPr>
            </w:pPr>
          </w:p>
        </w:tc>
        <w:tc>
          <w:tcPr>
            <w:tcW w:w="4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0"/>
        </w:trPr>
        <w:tc>
          <w:tcPr>
            <w:tcW w:w="7000" w:type="dxa"/>
            <w:vAlign w:val="bottom"/>
            <w:gridSpan w:val="2"/>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Commitment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23,533</w:t>
            </w:r>
          </w:p>
        </w:tc>
      </w:tr>
      <w:tr>
        <w:trPr>
          <w:trHeight w:val="216"/>
        </w:trPr>
        <w:tc>
          <w:tcPr>
            <w:tcW w:w="7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Amount Funded</w:t>
            </w: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(8,139)</w:t>
            </w:r>
          </w:p>
        </w:tc>
      </w:tr>
      <w:tr>
        <w:trPr>
          <w:trHeight w:val="209"/>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Commitment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15,394</w:t>
            </w:r>
          </w:p>
        </w:tc>
      </w:tr>
      <w:tr>
        <w:trPr>
          <w:trHeight w:val="20"/>
        </w:trPr>
        <w:tc>
          <w:tcPr>
            <w:tcW w:w="22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00" w:type="dxa"/>
            <w:vAlign w:val="bottom"/>
          </w:tcPr>
          <w:p>
            <w:pPr>
              <w:spacing w:after="0"/>
              <w:rPr>
                <w:sz w:val="8"/>
                <w:szCs w:val="8"/>
                <w:color w:val="auto"/>
              </w:rPr>
            </w:pPr>
          </w:p>
        </w:tc>
      </w:tr>
    </w:tbl>
    <w:p>
      <w:pPr>
        <w:spacing w:after="0" w:line="28" w:lineRule="exact"/>
        <w:rPr>
          <w:sz w:val="20"/>
          <w:szCs w:val="20"/>
          <w:color w:val="auto"/>
        </w:rPr>
      </w:pPr>
    </w:p>
    <w:p>
      <w:pPr>
        <w:ind w:left="340" w:hanging="290"/>
        <w:spacing w:after="0"/>
        <w:tabs>
          <w:tab w:leader="none" w:pos="34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Commitment includes tenant improvements, leasing commissions, rebranding, facility expansion and other capital improvements.</w:t>
      </w:r>
    </w:p>
    <w:p>
      <w:pPr>
        <w:spacing w:after="0" w:line="16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March 31, 2022, we have no other contractual requirements to make capital expenditures.</w:t>
      </w:r>
    </w:p>
    <w:p>
      <w:pPr>
        <w:spacing w:after="0" w:line="212" w:lineRule="exact"/>
        <w:rPr>
          <w:sz w:val="20"/>
          <w:szCs w:val="20"/>
          <w:color w:val="auto"/>
        </w:rPr>
      </w:pPr>
    </w:p>
    <w:p>
      <w:pPr>
        <w:jc w:val="both"/>
        <w:ind w:left="60" w:right="79" w:firstLine="492"/>
        <w:spacing w:after="0" w:line="250" w:lineRule="auto"/>
        <w:rPr>
          <w:sz w:val="20"/>
          <w:szCs w:val="20"/>
          <w:color w:val="auto"/>
        </w:rPr>
      </w:pPr>
      <w:r>
        <w:rPr>
          <w:rFonts w:ascii="Times New Roman" w:cs="Times New Roman" w:eastAsia="Times New Roman" w:hAnsi="Times New Roman"/>
          <w:sz w:val="18"/>
          <w:szCs w:val="18"/>
          <w:color w:val="auto"/>
        </w:rPr>
        <w:t>In addition, the Company is committed to fund the construction loan originated on January 26, 2022 as described in Note 4. Commercial Loan and Master Lease Investments. The construction loan is for an amount up to $8.7 million, of which none was funded as of March 31, 2022.</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r>
        <w:rPr>
          <w:rFonts w:ascii="Times New Roman" w:cs="Times New Roman" w:eastAsia="Times New Roman" w:hAnsi="Times New Roman"/>
          <w:sz w:val="18"/>
          <w:szCs w:val="18"/>
          <w:color w:val="auto"/>
        </w:rPr>
        <w:t>. None.</w:t>
      </w:r>
    </w:p>
    <w:p>
      <w:pPr>
        <w:spacing w:after="0" w:line="212"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Matters. </w:t>
      </w:r>
      <w:r>
        <w:rPr>
          <w:rFonts w:ascii="Times New Roman" w:cs="Times New Roman" w:eastAsia="Times New Roman" w:hAnsi="Times New Roman"/>
          <w:sz w:val="18"/>
          <w:szCs w:val="18"/>
          <w:color w:val="auto"/>
        </w:rPr>
        <w:t>We believe we will have sufficient liquidity to fund our operations, capital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and debt service requirements over the next twelve months and into the foreseeable future, with cash on hand, cash flow from our operations, $147.1 million of availability remaining under the ATM Program, and $144.0 million undrawn commitment under the existing $210.0 million Credit Facility as of March 31, 2022.</w:t>
      </w:r>
    </w:p>
    <w:p>
      <w:pPr>
        <w:spacing w:after="0" w:line="182"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Our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to diversify our portfolio by redeploying proceeds from like-kind exchange transactions and utilizing our Credit Facility to increase our portfolio of income-producing properties, providing stabilized cash flows with strong risk-adjusted returns primarily in larger metropolitan areas and growth markets.</w:t>
      </w:r>
    </w:p>
    <w:p>
      <w:pPr>
        <w:spacing w:after="0" w:line="189"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We believe that we currently have a reasonable level of leverage. Our strategy is to utilize leverage, when appropriate and necessary, and proceeds from sales of income properties, the disposition or payoffs on our commercial loan and master lease investments, and certain transactions in our subsurface interests, to acquire income properties. We may also acquire or originate commercial loan and master lease investments, invest in securities of real estate companies, or make other shorter-term investments. Our targeted investment classes may include the following:</w:t>
      </w:r>
    </w:p>
    <w:p>
      <w:pPr>
        <w:spacing w:after="0" w:line="183" w:lineRule="exact"/>
        <w:rPr>
          <w:sz w:val="20"/>
          <w:szCs w:val="20"/>
          <w:color w:val="auto"/>
        </w:rPr>
      </w:pPr>
    </w:p>
    <w:p>
      <w:pPr>
        <w:ind w:left="840" w:right="79" w:hanging="331"/>
        <w:spacing w:after="0" w:line="261"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Multi-tenant, primarily retail-oriented, properties in major metropolitan areas and growth markets, typically stabilized;</w:t>
      </w:r>
    </w:p>
    <w:p>
      <w:pPr>
        <w:ind w:left="840" w:right="79" w:hanging="331"/>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Single-tenant retail or other commercial, double or triple net leased, properties in major metropolitan areas and growth markets that are compliant with our commitments under the PINE ROFO Agreement;</w:t>
      </w:r>
    </w:p>
    <w:p>
      <w:pPr>
        <w:ind w:left="840" w:right="79" w:hanging="331"/>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whether purchased or originated by the Company, that are compliant with our commitments under the ROFO Agreement;</w:t>
      </w:r>
    </w:p>
    <w:p>
      <w:pPr>
        <w:ind w:left="840" w:hanging="331"/>
        <w:spacing w:after="0"/>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Self-developed retail or other commercial properties;</w:t>
      </w:r>
    </w:p>
    <w:p>
      <w:pPr>
        <w:spacing w:after="0" w:line="9" w:lineRule="exact"/>
        <w:rPr>
          <w:rFonts w:ascii="Times New Roman" w:cs="Times New Roman" w:eastAsia="Times New Roman" w:hAnsi="Times New Roman"/>
          <w:sz w:val="18"/>
          <w:szCs w:val="18"/>
          <w:color w:val="auto"/>
        </w:rPr>
      </w:pPr>
    </w:p>
    <w:p>
      <w:pPr>
        <w:jc w:val="both"/>
        <w:ind w:left="840" w:right="79" w:hanging="331"/>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loan and master lease investments, whether purchased or originated by the Company, with loan terms of 1-10 years with strong risk-adjusted yields secured by property types to include hotel, retail, residential, land and industrial;</w:t>
      </w:r>
    </w:p>
    <w:p>
      <w:pPr>
        <w:spacing w:after="0" w:line="1" w:lineRule="exact"/>
        <w:rPr>
          <w:rFonts w:ascii="Times New Roman" w:cs="Times New Roman" w:eastAsia="Times New Roman" w:hAnsi="Times New Roman"/>
          <w:sz w:val="18"/>
          <w:szCs w:val="18"/>
          <w:color w:val="auto"/>
        </w:rPr>
      </w:pPr>
    </w:p>
    <w:p>
      <w:pPr>
        <w:ind w:left="840" w:right="79" w:hanging="331"/>
        <w:spacing w:after="0" w:line="25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regional area investments using Company market knowledge and expertise to earn strong risk-adjusted yields; and</w:t>
      </w:r>
    </w:p>
    <w:p>
      <w:pPr>
        <w:ind w:left="840" w:right="79" w:hanging="331"/>
        <w:spacing w:after="0" w:line="260" w:lineRule="auto"/>
        <w:tabs>
          <w:tab w:leader="none" w:pos="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estate-related investment securities, including commercial mortgage-backed securities, preferred or common stock, and corporate bonds.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Our investments in income-producing properties are typically subject to long-term leases. For multi-tenant properties, each tenant typically pays its proportionate share of the aforementioned operating expenses of the property, although for such properties we typically incur additional costs for property management services. Single-tenant leases are typically in the form of triple or double net leases and ground leases. Triple-net leases generally require the tenant to pay property operating expenses such as real estate taxes, insurance, assessments and other governmental fees, utilities, repairs and maintenance, and capital expenditures.</w:t>
      </w:r>
    </w:p>
    <w:p>
      <w:pPr>
        <w:spacing w:after="0" w:line="1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270" w:lineRule="exact"/>
        <w:rPr>
          <w:sz w:val="20"/>
          <w:szCs w:val="20"/>
          <w:color w:val="auto"/>
        </w:rPr>
      </w:pPr>
    </w:p>
    <w:p>
      <w:pPr>
        <w:jc w:val="both"/>
        <w:ind w:left="60" w:right="59" w:firstLine="441"/>
        <w:spacing w:after="0" w:line="258" w:lineRule="auto"/>
        <w:rPr>
          <w:sz w:val="20"/>
          <w:szCs w:val="20"/>
          <w:color w:val="auto"/>
        </w:rPr>
      </w:pPr>
      <w:r>
        <w:rPr>
          <w:rFonts w:ascii="Times New Roman" w:cs="Times New Roman" w:eastAsia="Times New Roman" w:hAnsi="Times New Roman"/>
          <w:sz w:val="18"/>
          <w:szCs w:val="18"/>
          <w:color w:val="auto"/>
        </w:rPr>
        <w:t>Our reported results are presented in accordance with accounting principles generally accepted in the United States of America (“U.S. GAAP”). We also disclose Funds From Operations (“FFO”), Core Funds From Operations (“Core FFO”), and Adjusted Funds From Operations (“AFFO”), each of which are non-U.S. GAAP financial measures. We believe these non-U.S. GAAP financial measures are useful to investors because they are widely accepted industry measures used by analysts and investors to compare the operating performance of REITs.</w:t>
      </w:r>
    </w:p>
    <w:p>
      <w:pPr>
        <w:spacing w:after="0" w:line="183"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FFO, Core FFO, and AFFO do not represent cash generated from operating activities and are not necessarily indicative of cash available to fund cash requirements; accordingly, they should not be considered alternatives to net income as a performance measure or cash flows from operating activities as reported on our statement of cash flows as a liquidity measure and should be considered in addition to, and not in lieu of, U.S. GAAP financial measures.</w:t>
      </w:r>
    </w:p>
    <w:p>
      <w:pPr>
        <w:spacing w:after="0" w:line="180"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U.S. GAAP net income or loss adjusted to exclude extraordinary items (as defined by U.S. GAAP), net gain or loss from sales of depreciable real estate assets, impairment write-downs associated with depreciable real estate assets and real estate related depreciation and amortization, including the pro rata share of such adjustments of unconsolidated subsidiaries. The Company also excludes the gains or losses from sales of assets incidental to the primary business of the REIT which specifically include the sales of mitigation credits, impact fee credits, subsurface sales, and land sales, in addition to the mark-to-market of the Company’s investment securities and interest related to the 2025 Notes, if the effect is dilutive. To derive Core FFO, we modify the NAREIT computation of FFO to include other adjustments to U.S. GAAP net income related to gains and losses recognized on the extinguishment of debt, amortization of above- and below-market lease related intangibles, and other unforecastable market- or transaction-driven non-cash items. To derive AFFO, we further modify the NAREIT computation of FFO and Core FFO to include other adjustments to U.S. GAAP net income related to non-cash revenues and expenses such as straight-line rental revenue, non-cash compensation, and other non-cash amortization, as well as adding back the interest related to the 2025 Notes, if the effect is dilutive. Such items may cause short-term fluctuations in net income but have no impact on operating cash flows or long-term operating performance. We use AFFO as one measure of our performance when we formulate corporate goals.</w:t>
      </w:r>
    </w:p>
    <w:p>
      <w:pPr>
        <w:spacing w:after="0" w:line="195" w:lineRule="exact"/>
        <w:rPr>
          <w:sz w:val="20"/>
          <w:szCs w:val="20"/>
          <w:color w:val="auto"/>
        </w:rPr>
      </w:pPr>
    </w:p>
    <w:p>
      <w:pPr>
        <w:jc w:val="both"/>
        <w:ind w:left="60" w:right="59" w:firstLine="441"/>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Core FFO and AFFO are additional useful supplemental measures for investors to consider because they will help them to better assess our operating performance without the distortions created by other non-cash revenues or expenses. FFO, Core FFO, and AFFO may not be comparable to similarly titled measures employed by other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Non-U.S. GAAP Measures (in thousands, except share and dividend data):</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224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Add Back: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 If-Converted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Losses on Disposition of Assets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Gains on Disposition of Other Assets</w:t>
            </w:r>
          </w:p>
        </w:tc>
        <w:tc>
          <w:tcPr>
            <w:tcW w:w="12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Loss on Investment Securities</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Preferred Stockholders</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From Operations Attributable to Common Stockholders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to Lease Income</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Less: Effect of Dilutive Interest Related to 2025 Notes </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Funds From Operations Attributable to Common Stockholders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COVID-19 Rent Repayments</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Amortization</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Loan Costs and Discount on Convertible Debt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Non-Recurring G&amp;A</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7"/>
                <w:szCs w:val="17"/>
                <w:color w:val="auto"/>
              </w:rPr>
              <w:t xml:space="preserve">Basic and Diluted </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5,908,892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5,879,085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Preferred Stock</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Common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59" w:hanging="330"/>
        <w:spacing w:after="0" w:line="204" w:lineRule="auto"/>
        <w:tabs>
          <w:tab w:leader="none" w:pos="428"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applicable, includes interest expense, amortization of discount, amortization of fees, and other changes in net income or loss that would result from the assumed conversion of the Company’s 2025 Notes. For the three months ended March 31, 2022, a total of $0.6 million was not included, as the impact of the 2025 Notes, if-converted, would be antidilutive due to the net loss attributable to common stockholders of $1.0 million.</w:t>
      </w:r>
    </w:p>
    <w:p>
      <w:pPr>
        <w:spacing w:after="0" w:line="2" w:lineRule="exact"/>
        <w:rPr>
          <w:rFonts w:ascii="Times New Roman" w:cs="Times New Roman" w:eastAsia="Times New Roman" w:hAnsi="Times New Roman"/>
          <w:sz w:val="19"/>
          <w:szCs w:val="19"/>
          <w:color w:val="auto"/>
          <w:vertAlign w:val="superscript"/>
        </w:rPr>
      </w:pPr>
    </w:p>
    <w:p>
      <w:pPr>
        <w:ind w:left="380" w:right="79" w:hanging="330"/>
        <w:spacing w:after="0" w:line="202" w:lineRule="auto"/>
        <w:tabs>
          <w:tab w:leader="none" w:pos="444"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1.0 million shares, representing the dilutive impact of the Company’s 2025 Notes, upon adoption of ASU 2020-06 effective January 1, 2022, as the effect was antidilutive due to the net loss attributable to common stockholders of $1.0 million.</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99"/>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80" w:type="dxa"/>
            <w:vAlign w:val="bottom"/>
          </w:tcPr>
          <w:p>
            <w:pPr>
              <w:spacing w:after="0"/>
              <w:rPr>
                <w:sz w:val="17"/>
                <w:szCs w:val="17"/>
                <w:color w:val="auto"/>
              </w:rPr>
            </w:pPr>
          </w:p>
        </w:tc>
        <w:tc>
          <w:tcPr>
            <w:tcW w:w="14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2021</w:t>
            </w:r>
          </w:p>
        </w:tc>
      </w:tr>
      <w:tr>
        <w:trPr>
          <w:trHeight w:val="196"/>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5,246</w:t>
            </w: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FFO Attributable to Common Stockholders per Common Share -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0.89</w:t>
            </w:r>
          </w:p>
        </w:tc>
      </w:tr>
      <w:tr>
        <w:trPr>
          <w:trHeight w:val="203"/>
        </w:trPr>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3"/>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Core FFO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c>
          <w:tcPr>
            <w:tcW w:w="14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4,850</w:t>
            </w: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Core FFO Attributable to Common Stockholders per Common Share - Diluted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AFFO Attributable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w:t>
            </w:r>
          </w:p>
        </w:tc>
      </w:tr>
      <w:tr>
        <w:trPr>
          <w:trHeight w:val="321"/>
        </w:trPr>
        <w:tc>
          <w:tcPr>
            <w:tcW w:w="5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AFFO Attributable to Common Stockholders per Common Share - Diluted </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40" w:type="dxa"/>
            <w:vAlign w:val="bottom"/>
          </w:tcPr>
          <w:p>
            <w:pPr>
              <w:spacing w:after="0"/>
              <w:rPr>
                <w:sz w:val="24"/>
                <w:szCs w:val="24"/>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5" w:lineRule="exact"/>
        <w:rPr>
          <w:sz w:val="20"/>
          <w:szCs w:val="20"/>
          <w:color w:val="auto"/>
        </w:rPr>
      </w:pPr>
    </w:p>
    <w:p>
      <w:pPr>
        <w:jc w:val="both"/>
        <w:ind w:left="380" w:right="59" w:hanging="330"/>
        <w:spacing w:after="0" w:line="215" w:lineRule="auto"/>
        <w:tabs>
          <w:tab w:leader="none" w:pos="438"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total of 1.0 million shares representing the dilutive impact of the Company’s 2025 Notes, upon adoption of ASU 2020-06 effective January 1, 2022, were not included in the computation of diluted net income (loss) attributable to common stockholders for the three months ended March 31, 2022 because they were antidilutive due to the net loss of $1.0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U.S.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U.S. GAAP,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one multi-tenant income property for a purchase price of $39.1 million for the three months ended March 31, 2022 and two multi-tenant income properties for a combined purchase price of $38.5 million for the three months ended March 31, 2021.</w:t>
      </w:r>
    </w:p>
    <w:p>
      <w:pPr>
        <w:spacing w:after="0" w:line="195"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jc w:val="both"/>
        <w:ind w:left="60" w:right="59" w:firstLine="441"/>
        <w:spacing w:after="0" w:line="261" w:lineRule="auto"/>
        <w:rPr>
          <w:sz w:val="20"/>
          <w:szCs w:val="20"/>
          <w:color w:val="auto"/>
        </w:rPr>
      </w:pPr>
      <w:r>
        <w:rPr>
          <w:rFonts w:ascii="Times New Roman" w:cs="Times New Roman" w:eastAsia="Times New Roman" w:hAnsi="Times New Roman"/>
          <w:sz w:val="18"/>
          <w:szCs w:val="18"/>
          <w:color w:val="auto"/>
        </w:rPr>
        <w:t>The principal market risk (i.e. the risk of loss arising from adverse changes in market rates and prices), to which we are exposed is interest rate risk relating to our debt. We may utilize overnight sweep accounts and short-term investments as a means to minimize the interest rate risk. We do not believe that interest rate risk related to cash equivalents and short-term investments, if any, is material due to the nature of the investments.</w:t>
      </w:r>
    </w:p>
    <w:p>
      <w:pPr>
        <w:spacing w:after="0" w:line="180" w:lineRule="exact"/>
        <w:rPr>
          <w:sz w:val="20"/>
          <w:szCs w:val="20"/>
          <w:color w:val="auto"/>
        </w:rPr>
      </w:pPr>
    </w:p>
    <w:p>
      <w:pPr>
        <w:jc w:val="both"/>
        <w:ind w:left="60" w:right="59" w:firstLine="441"/>
        <w:spacing w:after="0" w:line="252" w:lineRule="auto"/>
        <w:rPr>
          <w:sz w:val="20"/>
          <w:szCs w:val="20"/>
          <w:color w:val="auto"/>
        </w:rPr>
      </w:pPr>
      <w:r>
        <w:rPr>
          <w:rFonts w:ascii="Times New Roman" w:cs="Times New Roman" w:eastAsia="Times New Roman" w:hAnsi="Times New Roman"/>
          <w:sz w:val="18"/>
          <w:szCs w:val="18"/>
          <w:color w:val="auto"/>
        </w:rPr>
        <w:t>We are primarily exposed to interest rate risk relating to our own debt in connection with our Credit Facility, as this facility carries a variable rate of interest. Our borrowings on our $210.0 million revolving Credit Facility bear a variable rate of interest based on the 30-day LIBOR plus a rate of between 135 basis points and 195 basis points based on our level of borrowing as a percentage of our total asset value. As of March 31, 2022 and 2021, the outstanding balance on our Credit Facility totaled $66.0 million and $144.8 million, of which $66.0 million and $44.8 million, respectively, were not fixed by virtue of an interest rate swap agreement. A hypothetical change in the interest rate of 100 basis points (i.e., 1%) would affect our financial position, results of operations, and cash flows by $0.7 million and $0.4 million as of March 31, 2022 and 2021, respectively. The increase in the exposure of market rate risk is primarily due to the increase in the un-hedged portion of the Credit Facility balance as of March 31, 2022 as the interest rate swap agreements previously hedging the outstanding principal balance under the Credit Facility were redesignated to the term loan agreements during the year ended December 31, 2021. The Company has entered into interest rate swap agreements to hedge against changes in future cash flows resulting from fluctuating interest rates related to certain of its debt borrowings, see Note 17, “Interest Rate Swaps.” By virtue of fixing the variable rate on certain debt borrowings, our exposure to changes in interest rates is minimal but for the impact on other comprehensive income and loss. Management’s objective is to limit the impact of interest rate changes on earnings and cash flows and to manage our overall borrowing costs.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Securities Exchange Act of 1934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Company in reports that it files or submits under the Exchange Act is recorded, processed, summarized, and reported within the time periods specified in Securities and Exchange Commission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March 31, 2022, that have materially affected, or are reasonably likely to materially affect, the Company’s internal control over financial reporting.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29"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its business. While the outcome of the legal proceedings cannot be predicted with certainty, the Company does not expect that these proceedings will have a material effect upon our financial condition or results of operations.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441"/>
        <w:spacing w:after="0" w:line="256" w:lineRule="auto"/>
        <w:rPr>
          <w:sz w:val="20"/>
          <w:szCs w:val="20"/>
          <w:color w:val="auto"/>
        </w:rPr>
      </w:pPr>
      <w:r>
        <w:rPr>
          <w:rFonts w:ascii="Times New Roman" w:cs="Times New Roman" w:eastAsia="Times New Roman" w:hAnsi="Times New Roman"/>
          <w:sz w:val="18"/>
          <w:szCs w:val="18"/>
          <w:color w:val="auto"/>
        </w:rPr>
        <w:t>For a discussion of the Company’s potential risks and uncertainties, see the information under the heading Part I, “Item 1A. Risk Factors” in the Company’s Annual Report on Form 10-K for the year ended December 31, 2021. The risks described in the Form 10-K are not the only risks facing the Company. Additional risks and uncertainties not currently known to the Company or that the Company currently deems to be immaterial also may materially adversely affect the Company. As of March 31, 2022, there have been no material changes in our risk factors from those set forth within the Company’s Annual Report on Form 10-K for the year ended December 31,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u w:val="single" w:color="auto"/>
          <w:color w:val="auto"/>
        </w:rPr>
        <w:t>ITEM 6. EXHIBITS</w:t>
      </w:r>
    </w:p>
    <w:p>
      <w:pPr>
        <w:sectPr>
          <w:pgSz w:w="11900" w:h="16838" w:orient="portrait"/>
          <w:cols w:equalWidth="0" w:num="1">
            <w:col w:w="9019"/>
          </w:cols>
          <w:pgMar w:left="1440" w:top="513" w:right="1440" w:bottom="1440" w:gutter="0" w:footer="0" w:header="0"/>
        </w:sectPr>
      </w:pPr>
    </w:p>
    <w:p>
      <w:pPr>
        <w:spacing w:after="0" w:line="133" w:lineRule="exact"/>
        <w:rPr>
          <w:sz w:val="20"/>
          <w:szCs w:val="20"/>
          <w:color w:val="auto"/>
        </w:rPr>
      </w:pPr>
    </w:p>
    <w:p>
      <w:pPr>
        <w:ind w:left="60" w:right="300" w:hanging="10"/>
        <w:spacing w:after="0" w:line="409" w:lineRule="auto"/>
        <w:tabs>
          <w:tab w:leader="none" w:pos="30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Exhibits: </w:t>
      </w:r>
      <w:r>
        <w:rPr>
          <w:rFonts w:ascii="Times New Roman" w:cs="Times New Roman" w:eastAsia="Times New Roman" w:hAnsi="Times New Roman"/>
          <w:sz w:val="16"/>
          <w:szCs w:val="16"/>
          <w:color w:val="auto"/>
        </w:rPr>
        <w:t>(3.1)</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(3.2)</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(3.3)</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(4.1)</w:t>
      </w: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31.1</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31.2</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32.1</w:t>
      </w: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32.2</w:t>
      </w: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101.INS</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101.SCH</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Exhibit 101.CAL</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101.DEF</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Exhibit 101.LAB</w:t>
      </w:r>
    </w:p>
    <w:p>
      <w:pPr>
        <w:spacing w:after="0" w:line="1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101.PRE</w:t>
      </w:r>
    </w:p>
    <w:p>
      <w:pPr>
        <w:spacing w:after="0" w:line="1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Exhibit 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ind w:right="119"/>
        <w:spacing w:after="0" w:line="266" w:lineRule="auto"/>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Articles of Amendment and Restatement of CTO Realty Growth, Inc., as amended by the Articles of</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Amendment (Name Change), filed as Exhibit 3.1 to the registrant’s current report on Form 8-K12B filed</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February 1, 2021, and incorporated herein by reference.</w:t>
        </w:r>
      </w:hyperlink>
    </w:p>
    <w:p>
      <w:pPr>
        <w:spacing w:after="0" w:line="81" w:lineRule="exact"/>
        <w:rPr>
          <w:rFonts w:ascii="Times New Roman" w:cs="Times New Roman" w:eastAsia="Times New Roman" w:hAnsi="Times New Roman"/>
          <w:sz w:val="18"/>
          <w:szCs w:val="18"/>
          <w:u w:val="single" w:color="auto"/>
          <w:color w:val="0000EE"/>
        </w:rPr>
      </w:pPr>
    </w:p>
    <w:p>
      <w:pPr>
        <w:ind w:right="159"/>
        <w:spacing w:after="0" w:line="250" w:lineRule="auto"/>
        <w:rPr>
          <w:rFonts w:ascii="Times New Roman" w:cs="Times New Roman" w:eastAsia="Times New Roman" w:hAnsi="Times New Roman"/>
          <w:sz w:val="18"/>
          <w:szCs w:val="18"/>
          <w:u w:val="single" w:color="auto"/>
          <w:color w:val="0000EE"/>
        </w:rPr>
      </w:pPr>
      <w:hyperlink r:id="rId69">
        <w:r>
          <w:rPr>
            <w:rFonts w:ascii="Times New Roman" w:cs="Times New Roman" w:eastAsia="Times New Roman" w:hAnsi="Times New Roman"/>
            <w:sz w:val="18"/>
            <w:szCs w:val="18"/>
            <w:u w:val="single" w:color="auto"/>
            <w:color w:val="0000EE"/>
          </w:rPr>
          <w:t>Articles Supplementary, designating CTO Realty Growth, Inc.’s 6.375% Series A Cumulative</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Redeemable Preferred Stock, filed as Exhibit 3.2 to the registrant's Registration Statement on Form 8-A</w:t>
        </w:r>
      </w:hyperlink>
      <w:r>
        <w:rPr>
          <w:rFonts w:ascii="Times New Roman" w:cs="Times New Roman" w:eastAsia="Times New Roman" w:hAnsi="Times New Roman"/>
          <w:sz w:val="18"/>
          <w:szCs w:val="18"/>
          <w:u w:val="single" w:color="auto"/>
          <w:color w:val="0000EE"/>
        </w:rPr>
        <w:t xml:space="preserve"> </w:t>
      </w:r>
      <w:hyperlink r:id="rId69">
        <w:r>
          <w:rPr>
            <w:rFonts w:ascii="Times New Roman" w:cs="Times New Roman" w:eastAsia="Times New Roman" w:hAnsi="Times New Roman"/>
            <w:sz w:val="18"/>
            <w:szCs w:val="18"/>
            <w:u w:val="single" w:color="auto"/>
            <w:color w:val="0000EE"/>
          </w:rPr>
          <w:t>filed July 1, 2021 (File No. 001-11350), and incorporated herein by reference.</w:t>
        </w:r>
      </w:hyperlink>
    </w:p>
    <w:p>
      <w:pPr>
        <w:spacing w:after="0" w:line="82" w:lineRule="exact"/>
        <w:rPr>
          <w:rFonts w:ascii="Times New Roman" w:cs="Times New Roman" w:eastAsia="Times New Roman" w:hAnsi="Times New Roman"/>
          <w:sz w:val="18"/>
          <w:szCs w:val="18"/>
          <w:u w:val="single" w:color="auto"/>
          <w:color w:val="0000EE"/>
        </w:rPr>
      </w:pPr>
    </w:p>
    <w:p>
      <w:pPr>
        <w:ind w:right="299"/>
        <w:spacing w:after="0" w:line="250" w:lineRule="auto"/>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u w:val="single" w:color="auto"/>
            <w:color w:val="0000EE"/>
          </w:rPr>
          <w:t>Second Amended and Restated Bylaws of CTO Realty Growth, Inc., effective as of January 29, 2021,</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filed as Exhibit 3.2 to the registrant’s current report on Form 8-K12B filed February 1, 2021, and</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incorporated herein by reference.</w:t>
        </w:r>
      </w:hyperlink>
    </w:p>
    <w:p>
      <w:pPr>
        <w:spacing w:after="0" w:line="82" w:lineRule="exact"/>
        <w:rPr>
          <w:rFonts w:ascii="Times New Roman" w:cs="Times New Roman" w:eastAsia="Times New Roman" w:hAnsi="Times New Roman"/>
          <w:sz w:val="18"/>
          <w:szCs w:val="18"/>
          <w:u w:val="single" w:color="auto"/>
          <w:color w:val="0000EE"/>
        </w:rPr>
      </w:pPr>
    </w:p>
    <w:p>
      <w:pPr>
        <w:ind w:right="119"/>
        <w:spacing w:after="0" w:line="296" w:lineRule="auto"/>
        <w:rPr>
          <w:rFonts w:ascii="Times New Roman" w:cs="Times New Roman" w:eastAsia="Times New Roman" w:hAnsi="Times New Roman"/>
          <w:sz w:val="17"/>
          <w:szCs w:val="17"/>
          <w:u w:val="single" w:color="auto"/>
          <w:color w:val="0000EE"/>
        </w:rPr>
      </w:pPr>
      <w:hyperlink r:id="rId71">
        <w:r>
          <w:rPr>
            <w:rFonts w:ascii="Times New Roman" w:cs="Times New Roman" w:eastAsia="Times New Roman" w:hAnsi="Times New Roman"/>
            <w:sz w:val="17"/>
            <w:szCs w:val="17"/>
            <w:u w:val="single" w:color="auto"/>
            <w:color w:val="0000EE"/>
          </w:rPr>
          <w:t>Specimen Common Stock Certificate of CTO Realty Growth, Inc., filed as Exhibit 4.2 to the registrant’s</w:t>
        </w:r>
      </w:hyperlink>
      <w:r>
        <w:rPr>
          <w:rFonts w:ascii="Times New Roman" w:cs="Times New Roman" w:eastAsia="Times New Roman" w:hAnsi="Times New Roman"/>
          <w:sz w:val="17"/>
          <w:szCs w:val="17"/>
          <w:u w:val="single" w:color="auto"/>
          <w:color w:val="0000EE"/>
        </w:rPr>
        <w:t xml:space="preserve"> </w:t>
      </w:r>
      <w:hyperlink r:id="rId71">
        <w:r>
          <w:rPr>
            <w:rFonts w:ascii="Times New Roman" w:cs="Times New Roman" w:eastAsia="Times New Roman" w:hAnsi="Times New Roman"/>
            <w:sz w:val="17"/>
            <w:szCs w:val="17"/>
            <w:u w:val="single" w:color="auto"/>
            <w:color w:val="0000EE"/>
          </w:rPr>
          <w:t>current report on Form 8-K12B filed February 1, 2021, and incorporated herein by reference.</w:t>
        </w:r>
      </w:hyperlink>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Certification filed pursuant to Section 302 of the Sarbanes-Oxley Act of 2002.</w:t>
      </w:r>
    </w:p>
    <w:p>
      <w:pPr>
        <w:spacing w:after="0" w:line="115" w:lineRule="exact"/>
        <w:rPr>
          <w:sz w:val="20"/>
          <w:szCs w:val="20"/>
          <w:color w:val="auto"/>
        </w:rPr>
      </w:pPr>
    </w:p>
    <w:p>
      <w:pPr>
        <w:ind w:right="659"/>
        <w:spacing w:after="0" w:line="264" w:lineRule="auto"/>
        <w:rPr>
          <w:sz w:val="20"/>
          <w:szCs w:val="20"/>
          <w:color w:val="auto"/>
        </w:rPr>
      </w:pP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83" w:lineRule="exact"/>
        <w:rPr>
          <w:sz w:val="20"/>
          <w:szCs w:val="20"/>
          <w:color w:val="auto"/>
        </w:rPr>
      </w:pPr>
    </w:p>
    <w:p>
      <w:pPr>
        <w:ind w:right="659"/>
        <w:spacing w:after="0" w:line="264" w:lineRule="auto"/>
        <w:rPr>
          <w:sz w:val="20"/>
          <w:szCs w:val="20"/>
          <w:color w:val="auto"/>
        </w:rPr>
      </w:pPr>
      <w:r>
        <w:rPr>
          <w:rFonts w:ascii="Times New Roman" w:cs="Times New Roman" w:eastAsia="Times New Roman" w:hAnsi="Times New Roman"/>
          <w:sz w:val="17"/>
          <w:szCs w:val="17"/>
          <w:u w:val="single" w:color="auto"/>
          <w:color w:val="0000EE"/>
        </w:rPr>
        <w:t>Certification furnished pursuant to 18 U.S.C. Section 1350, as Adopted pursuant to Section 906 of the Sarbanes-Oxley Act of 2002.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Instance Document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p>
      <w:pPr>
        <w:spacing w:after="0" w:line="115" w:lineRule="exact"/>
        <w:rPr>
          <w:sz w:val="20"/>
          <w:szCs w:val="20"/>
          <w:color w:val="auto"/>
        </w:rPr>
      </w:pPr>
    </w:p>
    <w:p>
      <w:pPr>
        <w:ind w:right="2979"/>
        <w:spacing w:after="0" w:line="381" w:lineRule="auto"/>
        <w:rPr>
          <w:sz w:val="20"/>
          <w:szCs w:val="20"/>
          <w:color w:val="auto"/>
        </w:rPr>
      </w:pPr>
      <w:r>
        <w:rPr>
          <w:rFonts w:ascii="Times New Roman" w:cs="Times New Roman" w:eastAsia="Times New Roman" w:hAnsi="Times New Roman"/>
          <w:sz w:val="17"/>
          <w:szCs w:val="17"/>
          <w:color w:val="auto"/>
        </w:rPr>
        <w:t>Inline XBRL Taxonomy Extension Calculation Linkbase Document Inline XBRL Taxonomy Definition Linkbase Document</w:t>
      </w:r>
    </w:p>
    <w:p>
      <w:pPr>
        <w:ind w:right="2919"/>
        <w:spacing w:after="0" w:line="381" w:lineRule="auto"/>
        <w:rPr>
          <w:sz w:val="20"/>
          <w:szCs w:val="20"/>
          <w:color w:val="auto"/>
        </w:rPr>
      </w:pPr>
      <w:r>
        <w:rPr>
          <w:rFonts w:ascii="Times New Roman" w:cs="Times New Roman" w:eastAsia="Times New Roman" w:hAnsi="Times New Roman"/>
          <w:sz w:val="17"/>
          <w:szCs w:val="17"/>
          <w:color w:val="auto"/>
        </w:rPr>
        <w:t>Inline XBRL Taxonomy Extension Label Linkbase Document Inline XBRL Taxonomy Extension Presentation Linkbase Document</w:t>
      </w:r>
    </w:p>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132" w:lineRule="exact"/>
        <w:rPr>
          <w:sz w:val="20"/>
          <w:szCs w:val="20"/>
          <w:color w:val="auto"/>
        </w:rPr>
      </w:pPr>
    </w:p>
    <w:p>
      <w:pPr>
        <w:sectPr>
          <w:pgSz w:w="11900" w:h="16838" w:orient="portrait"/>
          <w:cols w:equalWidth="0" w:num="2">
            <w:col w:w="1240" w:space="140"/>
            <w:col w:w="7639"/>
          </w:cols>
          <w:pgMar w:left="1440" w:top="513" w:right="1440" w:bottom="1440" w:gutter="0" w:footer="0" w:header="0"/>
          <w:type w:val="continuous"/>
        </w:sectPr>
      </w:pPr>
    </w:p>
    <w:p>
      <w:pPr>
        <w:jc w:val="both"/>
        <w:ind w:left="380" w:right="79" w:hanging="330"/>
        <w:spacing w:after="0" w:line="261"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CTO REALTY GROWTH,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April 28, 2022</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April 28, 2022</w:t>
      </w:r>
      <w:r>
        <w:rPr>
          <w:sz w:val="20"/>
          <w:szCs w:val="20"/>
          <w:color w:val="auto"/>
        </w:rPr>
        <w:tab/>
      </w:r>
      <w:r>
        <w:rPr>
          <w:rFonts w:ascii="Times New Roman" w:cs="Times New Roman" w:eastAsia="Times New Roman" w:hAnsi="Times New Roman"/>
          <w:sz w:val="18"/>
          <w:szCs w:val="18"/>
          <w:color w:val="auto"/>
        </w:rPr>
        <w:t>By:  /s/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Matthew M. Partridge,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40"/>
        <w:spacing w:after="0"/>
        <w:tabs>
          <w:tab w:leader="none" w:pos="4620" w:val="left"/>
        </w:tabs>
        <w:rPr>
          <w:sz w:val="20"/>
          <w:szCs w:val="20"/>
          <w:color w:val="auto"/>
        </w:rPr>
      </w:pPr>
      <w:r>
        <w:rPr>
          <w:rFonts w:ascii="Times New Roman" w:cs="Times New Roman" w:eastAsia="Times New Roman" w:hAnsi="Times New Roman"/>
          <w:sz w:val="18"/>
          <w:szCs w:val="18"/>
          <w:color w:val="auto"/>
        </w:rPr>
        <w:t>April 28, 2022</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Vice President and</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1" w:name="page52"/>
    <w:bookmarkEnd w:id="5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M. Partridge, certify that:</w:t>
      </w:r>
    </w:p>
    <w:p>
      <w:pPr>
        <w:spacing w:after="0" w:line="185" w:lineRule="exact"/>
        <w:rPr>
          <w:sz w:val="20"/>
          <w:szCs w:val="20"/>
          <w:color w:val="auto"/>
        </w:rPr>
      </w:pPr>
    </w:p>
    <w:p>
      <w:pPr>
        <w:ind w:left="700" w:hanging="650"/>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CTO Realty Growth,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Matthew M. Partridge, Senior Vice President and</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March 31, 2022,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CTO Realty Growth, Inc. (the “Company”) on Form 10-Q for the period ended March 31, 2022, as filed with the Securities and Exchange Commission on the date hereof (the “Report”), I, Matthew M. Partridge,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April 28, 2022</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Matthew M. Partridge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Matthew M. Partridge, Senior Vice President and</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622935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lowerRoman"/>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68" Type="http://schemas.openxmlformats.org/officeDocument/2006/relationships/hyperlink" Target="https://www.sec.gov/Archives/edgar/data/0000023795/000119312521023648/d113606dex31.htm" TargetMode="External"/><Relationship Id="rId69" Type="http://schemas.openxmlformats.org/officeDocument/2006/relationships/hyperlink" Target="https://www.sec.gov/Archives/edgar/data/23795/000119312521206336/d124719dex32.htm" TargetMode="External"/><Relationship Id="rId70" Type="http://schemas.openxmlformats.org/officeDocument/2006/relationships/hyperlink" Target="https://www.sec.gov/Archives/edgar/data/0000023795/000119312521023648/d113606dex32.htm" TargetMode="External"/><Relationship Id="rId71" Type="http://schemas.openxmlformats.org/officeDocument/2006/relationships/hyperlink" Target="https://www.sec.gov/Archives/edgar/data/0000023795/000119312521023648/d1136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2022-04-28T16:50:14Z</dcterms:created>
  <dcterms:modified xsi:type="dcterms:W3CDTF">2022-04-28T16:50:14Z</dcterms:modified>
</cp:coreProperties>
</file>