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50430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4305"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370205</wp:posOffset>
            </wp:positionV>
            <wp:extent cx="6504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4305" cy="762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59690</wp:posOffset>
            </wp:positionV>
            <wp:extent cx="16319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950" cy="762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82550</wp:posOffset>
            </wp:positionV>
            <wp:extent cx="16319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1950" cy="7620"/>
                    </a:xfrm>
                    <a:prstGeom prst="rect">
                      <a:avLst/>
                    </a:prstGeom>
                    <a:noFill/>
                  </pic:spPr>
                </pic:pic>
              </a:graphicData>
            </a:graphic>
          </wp:anchor>
        </w:drawing>
      </w:r>
    </w:p>
    <w:p>
      <w:pPr>
        <w:spacing w:after="0" w:line="237" w:lineRule="exact"/>
        <w:rPr>
          <w:sz w:val="24"/>
          <w:szCs w:val="24"/>
          <w:color w:val="auto"/>
        </w:rPr>
      </w:pPr>
    </w:p>
    <w:p>
      <w:pPr>
        <w:ind w:left="3740" w:right="2440" w:hanging="3739"/>
        <w:spacing w:after="0" w:line="340" w:lineRule="auto"/>
        <w:tabs>
          <w:tab w:leader="none" w:pos="59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4"/>
          <w:szCs w:val="14"/>
          <w:b w:val="1"/>
          <w:bCs w:val="1"/>
          <w:color w:val="auto"/>
        </w:rPr>
        <w:t>NNUAL REPORT PURSUANT TO SECTION 13 OR 15(d) OF THE SECURITIES EXCHANGE ACT OF 1934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4"/>
          <w:szCs w:val="14"/>
          <w:b w:val="1"/>
          <w:bCs w:val="1"/>
          <w:color w:val="auto"/>
        </w:rPr>
        <w:t>For the fiscal year ended December 31, 2022</w:t>
      </w:r>
    </w:p>
    <w:p>
      <w:pPr>
        <w:spacing w:after="0" w:line="22" w:lineRule="exact"/>
        <w:rPr>
          <w:sz w:val="24"/>
          <w:szCs w:val="24"/>
          <w:color w:val="auto"/>
        </w:rPr>
      </w:pPr>
    </w:p>
    <w:p>
      <w:pPr>
        <w:ind w:left="540" w:hanging="539"/>
        <w:spacing w:after="0"/>
        <w:tabs>
          <w:tab w:leader="none" w:pos="54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260" w:type="dxa"/>
            <w:vAlign w:val="bottom"/>
            <w:gridSpan w:val="5"/>
          </w:tcPr>
          <w:p>
            <w:pPr>
              <w:ind w:left="3320"/>
              <w:spacing w:after="0"/>
              <w:rPr>
                <w:sz w:val="20"/>
                <w:szCs w:val="20"/>
                <w:color w:val="auto"/>
              </w:rPr>
            </w:pPr>
            <w:r>
              <w:rPr>
                <w:rFonts w:ascii="Times New Roman" w:cs="Times New Roman" w:eastAsia="Times New Roman" w:hAnsi="Times New Roman"/>
                <w:sz w:val="15"/>
                <w:szCs w:val="15"/>
                <w:b w:val="1"/>
                <w:bCs w:val="1"/>
                <w:color w:val="auto"/>
                <w:w w:val="98"/>
              </w:rPr>
              <w:t>For the transition period from</w:t>
            </w:r>
          </w:p>
        </w:tc>
        <w:tc>
          <w:tcPr>
            <w:tcW w:w="740" w:type="dxa"/>
            <w:vAlign w:val="bottom"/>
            <w:tcBorders>
              <w:bottom w:val="single" w:sz="8" w:color="auto"/>
            </w:tcBorders>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740" w:type="dxa"/>
            <w:vAlign w:val="bottom"/>
            <w:tcBorders>
              <w:bottom w:val="single" w:sz="8" w:color="auto"/>
            </w:tcBorders>
            <w:gridSpan w:val="4"/>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0" w:type="dxa"/>
            <w:vAlign w:val="bottom"/>
            <w:gridSpan w:val="8"/>
          </w:tcPr>
          <w:p>
            <w:pPr>
              <w:jc w:val="center"/>
              <w:ind w:right="3777"/>
              <w:spacing w:after="0"/>
              <w:rPr>
                <w:sz w:val="20"/>
                <w:szCs w:val="20"/>
                <w:color w:val="auto"/>
              </w:rPr>
            </w:pPr>
            <w:r>
              <w:rPr>
                <w:rFonts w:ascii="Times New Roman" w:cs="Times New Roman" w:eastAsia="Times New Roman" w:hAnsi="Times New Roman"/>
                <w:sz w:val="15"/>
                <w:szCs w:val="15"/>
                <w:b w:val="1"/>
                <w:bCs w:val="1"/>
                <w:color w:val="auto"/>
                <w:w w:val="97"/>
              </w:rPr>
              <w:t>Commission File Number 001-11350</w:t>
            </w:r>
          </w:p>
        </w:tc>
        <w:tc>
          <w:tcPr>
            <w:tcW w:w="0" w:type="dxa"/>
            <w:vAlign w:val="bottom"/>
          </w:tcPr>
          <w:p>
            <w:pPr>
              <w:spacing w:after="0"/>
              <w:rPr>
                <w:sz w:val="1"/>
                <w:szCs w:val="1"/>
                <w:color w:val="auto"/>
              </w:rPr>
            </w:pPr>
          </w:p>
        </w:tc>
      </w:tr>
      <w:tr>
        <w:trPr>
          <w:trHeight w:val="116"/>
        </w:trPr>
        <w:tc>
          <w:tcPr>
            <w:tcW w:w="3840" w:type="dxa"/>
            <w:vAlign w:val="bottom"/>
            <w:gridSpan w:val="4"/>
          </w:tcPr>
          <w:p>
            <w:pPr>
              <w:spacing w:after="0"/>
              <w:rPr>
                <w:sz w:val="10"/>
                <w:szCs w:val="10"/>
                <w:color w:val="auto"/>
              </w:rPr>
            </w:pPr>
          </w:p>
        </w:tc>
        <w:tc>
          <w:tcPr>
            <w:tcW w:w="2560" w:type="dxa"/>
            <w:vAlign w:val="bottom"/>
            <w:tcBorders>
              <w:bottom w:val="single" w:sz="8" w:color="auto"/>
            </w:tcBorders>
            <w:gridSpan w:val="4"/>
          </w:tcPr>
          <w:p>
            <w:pPr>
              <w:spacing w:after="0"/>
              <w:rPr>
                <w:sz w:val="10"/>
                <w:szCs w:val="10"/>
                <w:color w:val="auto"/>
              </w:rPr>
            </w:pPr>
          </w:p>
        </w:tc>
        <w:tc>
          <w:tcPr>
            <w:tcW w:w="384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474"/>
        </w:trPr>
        <w:tc>
          <w:tcPr>
            <w:tcW w:w="10240" w:type="dxa"/>
            <w:vAlign w:val="bottom"/>
            <w:gridSpan w:val="12"/>
          </w:tcPr>
          <w:p>
            <w:pPr>
              <w:jc w:val="center"/>
              <w:spacing w:after="0"/>
              <w:rPr>
                <w:sz w:val="20"/>
                <w:szCs w:val="20"/>
                <w:color w:val="auto"/>
              </w:rPr>
            </w:pPr>
            <w:r>
              <w:rPr>
                <w:rFonts w:ascii="Times New Roman" w:cs="Times New Roman" w:eastAsia="Times New Roman" w:hAnsi="Times New Roman"/>
                <w:sz w:val="33"/>
                <w:szCs w:val="33"/>
                <w:b w:val="1"/>
                <w:bCs w:val="1"/>
                <w:color w:val="auto"/>
                <w:w w:val="98"/>
              </w:rPr>
              <w:t>CTO REALTY GROWTH, INC.</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80" w:type="dxa"/>
            <w:vAlign w:val="bottom"/>
            <w:gridSpan w:val="9"/>
          </w:tcPr>
          <w:p>
            <w:pPr>
              <w:jc w:val="center"/>
              <w:ind w:right="3577"/>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100"/>
        </w:trPr>
        <w:tc>
          <w:tcPr>
            <w:tcW w:w="3660" w:type="dxa"/>
            <w:vAlign w:val="bottom"/>
            <w:gridSpan w:val="3"/>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84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660" w:type="dxa"/>
            <w:vAlign w:val="bottom"/>
            <w:gridSpan w:val="3"/>
          </w:tcPr>
          <w:p>
            <w:pPr>
              <w:jc w:val="center"/>
              <w:ind w:left="1348"/>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40" w:type="dxa"/>
            <w:vAlign w:val="bottom"/>
            <w:gridSpan w:val="6"/>
          </w:tcPr>
          <w:p>
            <w:pPr>
              <w:jc w:val="right"/>
              <w:ind w:right="2197"/>
              <w:spacing w:after="0"/>
              <w:rPr>
                <w:sz w:val="20"/>
                <w:szCs w:val="20"/>
                <w:color w:val="auto"/>
              </w:rPr>
            </w:pPr>
            <w:r>
              <w:rPr>
                <w:rFonts w:ascii="Times New Roman" w:cs="Times New Roman" w:eastAsia="Times New Roman" w:hAnsi="Times New Roman"/>
                <w:sz w:val="13"/>
                <w:szCs w:val="13"/>
                <w:b w:val="1"/>
                <w:bCs w:val="1"/>
                <w:color w:val="auto"/>
              </w:rPr>
              <w:t>59-0483700</w:t>
            </w:r>
          </w:p>
        </w:tc>
        <w:tc>
          <w:tcPr>
            <w:tcW w:w="0" w:type="dxa"/>
            <w:vAlign w:val="bottom"/>
          </w:tcPr>
          <w:p>
            <w:pPr>
              <w:spacing w:after="0"/>
              <w:rPr>
                <w:sz w:val="1"/>
                <w:szCs w:val="1"/>
                <w:color w:val="auto"/>
              </w:rPr>
            </w:pPr>
          </w:p>
        </w:tc>
      </w:tr>
      <w:tr>
        <w:trPr>
          <w:trHeight w:val="135"/>
        </w:trPr>
        <w:tc>
          <w:tcPr>
            <w:tcW w:w="3660" w:type="dxa"/>
            <w:vAlign w:val="bottom"/>
            <w:gridSpan w:val="3"/>
          </w:tcPr>
          <w:p>
            <w:pPr>
              <w:jc w:val="center"/>
              <w:ind w:left="1348"/>
              <w:spacing w:after="0" w:line="136"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00" w:type="dxa"/>
            <w:vAlign w:val="bottom"/>
          </w:tcPr>
          <w:p>
            <w:pPr>
              <w:jc w:val="center"/>
              <w:ind w:right="1777"/>
              <w:spacing w:after="0" w:line="136"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3"/>
        </w:trPr>
        <w:tc>
          <w:tcPr>
            <w:tcW w:w="3660" w:type="dxa"/>
            <w:vAlign w:val="bottom"/>
            <w:gridSpan w:val="3"/>
          </w:tcPr>
          <w:p>
            <w:pPr>
              <w:jc w:val="center"/>
              <w:ind w:left="134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jc w:val="center"/>
              <w:ind w:right="1777"/>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84"/>
        </w:trPr>
        <w:tc>
          <w:tcPr>
            <w:tcW w:w="3660" w:type="dxa"/>
            <w:vAlign w:val="bottom"/>
            <w:gridSpan w:val="3"/>
          </w:tcPr>
          <w:p>
            <w:pPr>
              <w:jc w:val="center"/>
              <w:ind w:left="1348"/>
              <w:spacing w:after="0"/>
              <w:rPr>
                <w:sz w:val="20"/>
                <w:szCs w:val="20"/>
                <w:color w:val="auto"/>
              </w:rPr>
            </w:pPr>
            <w:r>
              <w:rPr>
                <w:rFonts w:ascii="Times New Roman" w:cs="Times New Roman" w:eastAsia="Times New Roman" w:hAnsi="Times New Roman"/>
                <w:sz w:val="13"/>
                <w:szCs w:val="13"/>
                <w:b w:val="1"/>
                <w:bCs w:val="1"/>
                <w:color w:val="auto"/>
                <w:w w:val="99"/>
              </w:rPr>
              <w:t>369 N. New York Avenue, Suite 201</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40" w:type="dxa"/>
            <w:vAlign w:val="bottom"/>
            <w:gridSpan w:val="6"/>
            <w:vMerge w:val="restart"/>
          </w:tcPr>
          <w:p>
            <w:pPr>
              <w:jc w:val="right"/>
              <w:ind w:right="2357"/>
              <w:spacing w:after="0"/>
              <w:rPr>
                <w:sz w:val="20"/>
                <w:szCs w:val="20"/>
                <w:color w:val="auto"/>
              </w:rPr>
            </w:pPr>
            <w:r>
              <w:rPr>
                <w:rFonts w:ascii="Times New Roman" w:cs="Times New Roman" w:eastAsia="Times New Roman" w:hAnsi="Times New Roman"/>
                <w:sz w:val="13"/>
                <w:szCs w:val="13"/>
                <w:b w:val="1"/>
                <w:bCs w:val="1"/>
                <w:color w:val="auto"/>
              </w:rPr>
              <w:t>32789</w:t>
            </w:r>
          </w:p>
        </w:tc>
        <w:tc>
          <w:tcPr>
            <w:tcW w:w="0" w:type="dxa"/>
            <w:vAlign w:val="bottom"/>
          </w:tcPr>
          <w:p>
            <w:pPr>
              <w:spacing w:after="0"/>
              <w:rPr>
                <w:sz w:val="1"/>
                <w:szCs w:val="1"/>
                <w:color w:val="auto"/>
              </w:rPr>
            </w:pPr>
          </w:p>
        </w:tc>
      </w:tr>
      <w:tr>
        <w:trPr>
          <w:trHeight w:val="135"/>
        </w:trPr>
        <w:tc>
          <w:tcPr>
            <w:tcW w:w="3660" w:type="dxa"/>
            <w:vAlign w:val="bottom"/>
            <w:gridSpan w:val="3"/>
          </w:tcPr>
          <w:p>
            <w:pPr>
              <w:jc w:val="center"/>
              <w:ind w:left="1348"/>
              <w:spacing w:after="0" w:line="136" w:lineRule="exact"/>
              <w:rPr>
                <w:sz w:val="20"/>
                <w:szCs w:val="20"/>
                <w:color w:val="auto"/>
              </w:rPr>
            </w:pPr>
            <w:r>
              <w:rPr>
                <w:rFonts w:ascii="Times New Roman" w:cs="Times New Roman" w:eastAsia="Times New Roman" w:hAnsi="Times New Roman"/>
                <w:sz w:val="13"/>
                <w:szCs w:val="13"/>
                <w:b w:val="1"/>
                <w:bCs w:val="1"/>
                <w:color w:val="auto"/>
              </w:rPr>
              <w:t>Winter Park, Florida</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60" w:type="dxa"/>
            <w:vAlign w:val="bottom"/>
            <w:gridSpan w:val="3"/>
          </w:tcPr>
          <w:p>
            <w:pPr>
              <w:jc w:val="center"/>
              <w:ind w:left="134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jc w:val="center"/>
              <w:ind w:right="1797"/>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80" w:type="dxa"/>
            <w:vAlign w:val="bottom"/>
            <w:gridSpan w:val="9"/>
          </w:tcPr>
          <w:p>
            <w:pPr>
              <w:jc w:val="center"/>
              <w:ind w:right="3597"/>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3"/>
          </w:tcPr>
          <w:p>
            <w:pPr>
              <w:jc w:val="center"/>
              <w:ind w:left="534"/>
              <w:spacing w:after="0"/>
              <w:rPr>
                <w:sz w:val="20"/>
                <w:szCs w:val="20"/>
                <w:color w:val="auto"/>
              </w:rPr>
            </w:pPr>
            <w:r>
              <w:rPr>
                <w:rFonts w:ascii="Times New Roman" w:cs="Times New Roman" w:eastAsia="Times New Roman" w:hAnsi="Times New Roman"/>
                <w:sz w:val="13"/>
                <w:szCs w:val="13"/>
                <w:b w:val="1"/>
                <w:bCs w:val="1"/>
                <w:color w:val="auto"/>
              </w:rPr>
              <w:t>(407) 904-3324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840" w:type="dxa"/>
            <w:vAlign w:val="bottom"/>
            <w:gridSpan w:val="4"/>
          </w:tcPr>
          <w:p>
            <w:pPr>
              <w:spacing w:after="0"/>
              <w:rPr>
                <w:sz w:val="7"/>
                <w:szCs w:val="7"/>
                <w:color w:val="auto"/>
              </w:rPr>
            </w:pPr>
          </w:p>
        </w:tc>
        <w:tc>
          <w:tcPr>
            <w:tcW w:w="2560" w:type="dxa"/>
            <w:vAlign w:val="bottom"/>
            <w:tcBorders>
              <w:bottom w:val="single" w:sz="8" w:color="auto"/>
            </w:tcBorders>
            <w:gridSpan w:val="4"/>
          </w:tcPr>
          <w:p>
            <w:pPr>
              <w:spacing w:after="0"/>
              <w:rPr>
                <w:sz w:val="7"/>
                <w:szCs w:val="7"/>
                <w:color w:val="auto"/>
              </w:rPr>
            </w:pPr>
          </w:p>
        </w:tc>
        <w:tc>
          <w:tcPr>
            <w:tcW w:w="384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0240" w:type="dxa"/>
            <w:vAlign w:val="bottom"/>
            <w:gridSpan w:val="12"/>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3"/>
        </w:trPr>
        <w:tc>
          <w:tcPr>
            <w:tcW w:w="366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Title of each class:</w:t>
            </w:r>
          </w:p>
        </w:tc>
        <w:tc>
          <w:tcPr>
            <w:tcW w:w="180" w:type="dxa"/>
            <w:vAlign w:val="bottom"/>
          </w:tcPr>
          <w:p>
            <w:pPr>
              <w:spacing w:after="0"/>
              <w:rPr>
                <w:sz w:val="21"/>
                <w:szCs w:val="21"/>
                <w:color w:val="auto"/>
              </w:rPr>
            </w:pPr>
          </w:p>
        </w:tc>
        <w:tc>
          <w:tcPr>
            <w:tcW w:w="2160" w:type="dxa"/>
            <w:vAlign w:val="bottom"/>
            <w:gridSpan w:val="2"/>
          </w:tcPr>
          <w:p>
            <w:pPr>
              <w:jc w:val="center"/>
              <w:ind w:left="336"/>
              <w:spacing w:after="0"/>
              <w:rPr>
                <w:sz w:val="20"/>
                <w:szCs w:val="20"/>
                <w:color w:val="auto"/>
              </w:rPr>
            </w:pPr>
            <w:r>
              <w:rPr>
                <w:rFonts w:ascii="Times New Roman" w:cs="Times New Roman" w:eastAsia="Times New Roman" w:hAnsi="Times New Roman"/>
                <w:sz w:val="10"/>
                <w:szCs w:val="10"/>
                <w:b w:val="1"/>
                <w:bCs w:val="1"/>
                <w:color w:val="auto"/>
                <w:w w:val="97"/>
              </w:rPr>
              <w:t>Trading Symbol</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0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w w:val="98"/>
              </w:rPr>
              <w:t>Name of each exchange on which registered:</w:t>
            </w:r>
          </w:p>
        </w:tc>
        <w:tc>
          <w:tcPr>
            <w:tcW w:w="0" w:type="dxa"/>
            <w:vAlign w:val="bottom"/>
          </w:tcPr>
          <w:p>
            <w:pPr>
              <w:spacing w:after="0"/>
              <w:rPr>
                <w:sz w:val="1"/>
                <w:szCs w:val="1"/>
                <w:color w:val="auto"/>
              </w:rPr>
            </w:pPr>
          </w:p>
        </w:tc>
      </w:tr>
      <w:tr>
        <w:trPr>
          <w:trHeight w:val="165"/>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 $0.01 par value per share</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9"/>
              </w:rPr>
              <w:t>CTO</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NYSE</w:t>
            </w:r>
          </w:p>
        </w:tc>
        <w:tc>
          <w:tcPr>
            <w:tcW w:w="0" w:type="dxa"/>
            <w:vAlign w:val="bottom"/>
          </w:tcPr>
          <w:p>
            <w:pPr>
              <w:spacing w:after="0"/>
              <w:rPr>
                <w:sz w:val="1"/>
                <w:szCs w:val="1"/>
                <w:color w:val="auto"/>
              </w:rPr>
            </w:pPr>
          </w:p>
        </w:tc>
      </w:tr>
      <w:tr>
        <w:trPr>
          <w:trHeight w:val="162"/>
        </w:trPr>
        <w:tc>
          <w:tcPr>
            <w:tcW w:w="36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6.375% Series A Cumulative Redeemable</w:t>
            </w:r>
          </w:p>
        </w:tc>
        <w:tc>
          <w:tcPr>
            <w:tcW w:w="180" w:type="dxa"/>
            <w:vAlign w:val="bottom"/>
          </w:tcPr>
          <w:p>
            <w:pPr>
              <w:spacing w:after="0"/>
              <w:rPr>
                <w:sz w:val="14"/>
                <w:szCs w:val="14"/>
                <w:color w:val="auto"/>
              </w:rPr>
            </w:pPr>
          </w:p>
        </w:tc>
        <w:tc>
          <w:tcPr>
            <w:tcW w:w="2160" w:type="dxa"/>
            <w:vAlign w:val="bottom"/>
            <w:gridSpan w:val="2"/>
            <w:vMerge w:val="restart"/>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8"/>
              </w:rPr>
              <w:t>CTO PrA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NYSE</w:t>
            </w:r>
          </w:p>
        </w:tc>
        <w:tc>
          <w:tcPr>
            <w:tcW w:w="0" w:type="dxa"/>
            <w:vAlign w:val="bottom"/>
          </w:tcPr>
          <w:p>
            <w:pPr>
              <w:spacing w:after="0"/>
              <w:rPr>
                <w:sz w:val="1"/>
                <w:szCs w:val="1"/>
                <w:color w:val="auto"/>
              </w:rPr>
            </w:pPr>
          </w:p>
        </w:tc>
      </w:tr>
      <w:tr>
        <w:trPr>
          <w:trHeight w:val="173"/>
        </w:trPr>
        <w:tc>
          <w:tcPr>
            <w:tcW w:w="36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Preferred Stock, $0.01 par value per share</w:t>
            </w:r>
          </w:p>
        </w:tc>
        <w:tc>
          <w:tcPr>
            <w:tcW w:w="1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57150</wp:posOffset>
            </wp:positionV>
            <wp:extent cx="16319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1950" cy="15875"/>
                    </a:xfrm>
                    <a:prstGeom prst="rect">
                      <a:avLst/>
                    </a:prstGeom>
                    <a:noFill/>
                  </pic:spPr>
                </pic:pic>
              </a:graphicData>
            </a:graphic>
          </wp:anchor>
        </w:drawing>
      </w:r>
    </w:p>
    <w:p>
      <w:pPr>
        <w:sectPr>
          <w:pgSz w:w="11900" w:h="16838" w:orient="portrait"/>
          <w:cols w:equalWidth="0" w:num="1">
            <w:col w:w="10240"/>
          </w:cols>
          <w:pgMar w:left="820" w:top="615" w:right="839" w:bottom="1440" w:gutter="0" w:footer="0" w:header="0"/>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Yes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3" w:lineRule="exact"/>
        <w:rPr>
          <w:sz w:val="24"/>
          <w:szCs w:val="24"/>
          <w:color w:val="auto"/>
        </w:rPr>
      </w:pPr>
    </w:p>
    <w:p>
      <w:pPr>
        <w:sectPr>
          <w:pgSz w:w="11900" w:h="16838" w:orient="portrait"/>
          <w:cols w:equalWidth="0" w:num="5">
            <w:col w:w="6160" w:space="120"/>
            <w:col w:w="180" w:space="80"/>
            <w:col w:w="120" w:space="120"/>
            <w:col w:w="160" w:space="80"/>
            <w:col w:w="3220"/>
          </w:cols>
          <w:pgMar w:left="820" w:top="615" w:right="8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5">
            <w:col w:w="6280" w:space="120"/>
            <w:col w:w="180" w:space="80"/>
            <w:col w:w="120" w:space="120"/>
            <w:col w:w="160" w:space="80"/>
            <w:col w:w="3100"/>
          </w:cols>
          <w:pgMar w:left="820" w:top="615" w:right="839" w:bottom="1440" w:gutter="0" w:footer="0" w:header="0"/>
          <w:type w:val="continuous"/>
        </w:sectPr>
      </w:pPr>
    </w:p>
    <w:p>
      <w:pPr>
        <w:spacing w:after="0" w:line="15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15" w:right="839" w:bottom="1440" w:gutter="0" w:footer="0" w:header="0"/>
          <w:type w:val="continuous"/>
        </w:sectPr>
      </w:pP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2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9" w:lineRule="exact"/>
        <w:rPr>
          <w:sz w:val="24"/>
          <w:szCs w:val="24"/>
          <w:color w:val="auto"/>
        </w:rPr>
      </w:pPr>
    </w:p>
    <w:p>
      <w:pPr>
        <w:sectPr>
          <w:pgSz w:w="11900" w:h="16838" w:orient="portrait"/>
          <w:cols w:equalWidth="0" w:num="4">
            <w:col w:w="2260" w:space="720"/>
            <w:col w:w="1720" w:space="720"/>
            <w:col w:w="2520" w:space="720"/>
            <w:col w:w="1580"/>
          </w:cols>
          <w:pgMar w:left="820" w:top="615" w:right="839" w:bottom="1440" w:gutter="0" w:footer="0" w:header="0"/>
          <w:type w:val="continuous"/>
        </w:sectPr>
      </w:pPr>
    </w:p>
    <w:p>
      <w:pPr>
        <w:jc w:val="both"/>
        <w:spacing w:after="0" w:line="15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60"/>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6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520" w:val="left"/>
          <w:tab w:leader="none" w:pos="60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63"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At June 30, 2022, the aggregate market value of voting and non-voting common stock held by non-affiliates of the registrant was $365,672,783 based upon the last reported sale price on the NYSE on June 30, 2022, the last business day of the registrant's most recently completed second fiscal quarter. The determination of affiliate status is solely for the purpose of this report and shall not be construed as an admission for the purposes of determining affiliate status.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on February 17, 2023 was 23,012,008.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6504305"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4305" cy="23495"/>
                    </a:xfrm>
                    <a:prstGeom prst="rect">
                      <a:avLst/>
                    </a:prstGeom>
                    <a:noFill/>
                  </pic:spPr>
                </pic:pic>
              </a:graphicData>
            </a:graphic>
          </wp:anchor>
        </w:drawing>
      </w:r>
    </w:p>
    <w:p>
      <w:pPr>
        <w:sectPr>
          <w:pgSz w:w="11900" w:h="16838" w:orient="portrait"/>
          <w:cols w:equalWidth="0" w:num="1">
            <w:col w:w="10240"/>
          </w:cols>
          <w:pgMar w:left="820" w:top="615"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Registrant incorporates by reference into Part III (Items 10, 11, 12, 13 and 14) of this Annual Report on Form 10-K portions of CTO Realty Growth, Inc.’s definitive Proxy Statement for the 2023 Annual Meeting of Stockholders to be filed with the Securities and Exchange Commission (the “Commission”) pursuant to Regulation 14A. The definitive Proxy Statement will be filed with the Commission not later than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419735</wp:posOffset>
            </wp:positionV>
            <wp:extent cx="650430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4305" cy="234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6504305"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4305" cy="311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65043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4305" cy="7620"/>
                    </a:xfrm>
                    <a:prstGeom prst="rect">
                      <a:avLst/>
                    </a:prstGeom>
                    <a:noFill/>
                  </pic:spPr>
                </pic:pic>
              </a:graphicData>
            </a:graphic>
          </wp:anchor>
        </w:drawing>
      </w:r>
    </w:p>
    <w:p>
      <w:pPr>
        <w:sectPr>
          <w:pgSz w:w="11900" w:h="16838" w:orient="portrait"/>
          <w:cols w:equalWidth="0" w:num="1">
            <w:col w:w="10240"/>
          </w:cols>
          <w:pgMar w:left="820" w:top="480" w:right="8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32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0000EE"/>
              </w:rPr>
              <w:t>PART I</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Page #</w:t>
            </w:r>
          </w:p>
        </w:tc>
        <w:tc>
          <w:tcPr>
            <w:tcW w:w="0" w:type="dxa"/>
            <w:vAlign w:val="bottom"/>
          </w:tcPr>
          <w:p>
            <w:pPr>
              <w:spacing w:after="0"/>
              <w:rPr>
                <w:sz w:val="1"/>
                <w:szCs w:val="1"/>
                <w:color w:val="auto"/>
              </w:rPr>
            </w:pPr>
          </w:p>
        </w:tc>
      </w:tr>
      <w:tr>
        <w:trPr>
          <w:trHeight w:val="152"/>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1.</w:t>
            </w:r>
          </w:p>
        </w:tc>
        <w:tc>
          <w:tcPr>
            <w:tcW w:w="3200" w:type="dxa"/>
            <w:vAlign w:val="bottom"/>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BUSINESS</w:t>
            </w:r>
          </w:p>
        </w:tc>
        <w:tc>
          <w:tcPr>
            <w:tcW w:w="540" w:type="dxa"/>
            <w:vAlign w:val="bottom"/>
            <w:tcBorders>
              <w:top w:val="single" w:sz="8" w:color="0000EE"/>
            </w:tcBorders>
          </w:tcPr>
          <w:p>
            <w:pPr>
              <w:spacing w:after="0"/>
              <w:rPr>
                <w:sz w:val="15"/>
                <w:szCs w:val="15"/>
                <w:color w:val="auto"/>
              </w:rPr>
            </w:pPr>
          </w:p>
        </w:tc>
        <w:tc>
          <w:tcPr>
            <w:tcW w:w="4080" w:type="dxa"/>
            <w:vAlign w:val="bottom"/>
            <w:gridSpan w:val="3"/>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0" w:type="dxa"/>
            <w:vAlign w:val="bottom"/>
            <w:tcBorders>
              <w:bottom w:val="single" w:sz="8" w:color="0000EE"/>
            </w:tcBorders>
            <w:gridSpan w:val="3"/>
          </w:tcPr>
          <w:p>
            <w:pPr>
              <w:spacing w:after="0" w:line="177" w:lineRule="exact"/>
              <w:rPr>
                <w:sz w:val="20"/>
                <w:szCs w:val="20"/>
                <w:color w:val="auto"/>
              </w:rPr>
            </w:pPr>
            <w:r>
              <w:rPr>
                <w:rFonts w:ascii="Times New Roman" w:cs="Times New Roman" w:eastAsia="Times New Roman" w:hAnsi="Times New Roman"/>
                <w:sz w:val="16"/>
                <w:szCs w:val="16"/>
                <w:color w:val="0000EE"/>
                <w:w w:val="98"/>
              </w:rPr>
              <w:t>Item 1A.</w:t>
            </w:r>
          </w:p>
        </w:tc>
        <w:tc>
          <w:tcPr>
            <w:tcW w:w="540" w:type="dxa"/>
            <w:vAlign w:val="bottom"/>
          </w:tcPr>
          <w:p>
            <w:pPr>
              <w:spacing w:after="0"/>
              <w:rPr>
                <w:sz w:val="15"/>
                <w:szCs w:val="15"/>
                <w:color w:val="auto"/>
              </w:rPr>
            </w:pPr>
          </w:p>
        </w:tc>
        <w:tc>
          <w:tcPr>
            <w:tcW w:w="1140" w:type="dxa"/>
            <w:vAlign w:val="bottom"/>
            <w:tcBorders>
              <w:bottom w:val="single" w:sz="8" w:color="0000EE"/>
            </w:tcBorders>
            <w:gridSpan w:val="3"/>
          </w:tcPr>
          <w:p>
            <w:pPr>
              <w:spacing w:after="0" w:line="177" w:lineRule="exact"/>
              <w:rPr>
                <w:sz w:val="20"/>
                <w:szCs w:val="20"/>
                <w:color w:val="auto"/>
              </w:rPr>
            </w:pPr>
            <w:r>
              <w:rPr>
                <w:rFonts w:ascii="Times New Roman" w:cs="Times New Roman" w:eastAsia="Times New Roman" w:hAnsi="Times New Roman"/>
                <w:sz w:val="16"/>
                <w:szCs w:val="16"/>
                <w:color w:val="0000EE"/>
                <w:w w:val="99"/>
              </w:rPr>
              <w:t>RISK FACTORS</w:t>
            </w:r>
          </w:p>
        </w:tc>
        <w:tc>
          <w:tcPr>
            <w:tcW w:w="2060" w:type="dxa"/>
            <w:vAlign w:val="bottom"/>
            <w:gridSpan w:val="4"/>
          </w:tcPr>
          <w:p>
            <w:pPr>
              <w:spacing w:after="0"/>
              <w:rPr>
                <w:sz w:val="15"/>
                <w:szCs w:val="15"/>
                <w:color w:val="auto"/>
              </w:rPr>
            </w:pPr>
          </w:p>
        </w:tc>
        <w:tc>
          <w:tcPr>
            <w:tcW w:w="4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1B.</w:t>
            </w:r>
          </w:p>
        </w:tc>
        <w:tc>
          <w:tcPr>
            <w:tcW w:w="3200" w:type="dxa"/>
            <w:vAlign w:val="bottom"/>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UNRESOLVED STAFF COMMENTS</w:t>
            </w:r>
          </w:p>
        </w:tc>
        <w:tc>
          <w:tcPr>
            <w:tcW w:w="4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77"/>
        </w:trPr>
        <w:tc>
          <w:tcPr>
            <w:tcW w:w="560" w:type="dxa"/>
            <w:vAlign w:val="bottom"/>
            <w:tcBorders>
              <w:top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6"/>
                <w:szCs w:val="16"/>
                <w:color w:val="0000EE"/>
              </w:rPr>
              <w:t>Item 2.</w:t>
            </w:r>
          </w:p>
        </w:tc>
        <w:tc>
          <w:tcPr>
            <w:tcW w:w="560" w:type="dxa"/>
            <w:vAlign w:val="bottom"/>
            <w:gridSpan w:val="2"/>
          </w:tcPr>
          <w:p>
            <w:pPr>
              <w:spacing w:after="0"/>
              <w:rPr>
                <w:sz w:val="15"/>
                <w:szCs w:val="15"/>
                <w:color w:val="auto"/>
              </w:rPr>
            </w:pPr>
          </w:p>
        </w:tc>
        <w:tc>
          <w:tcPr>
            <w:tcW w:w="2560" w:type="dxa"/>
            <w:vAlign w:val="bottom"/>
            <w:tcBorders>
              <w:top w:val="single" w:sz="8" w:color="0000EE"/>
            </w:tcBorders>
            <w:gridSpan w:val="6"/>
          </w:tcPr>
          <w:p>
            <w:pPr>
              <w:spacing w:after="0" w:line="177" w:lineRule="exact"/>
              <w:rPr>
                <w:sz w:val="20"/>
                <w:szCs w:val="20"/>
                <w:color w:val="auto"/>
              </w:rPr>
            </w:pPr>
            <w:r>
              <w:rPr>
                <w:rFonts w:ascii="Times New Roman" w:cs="Times New Roman" w:eastAsia="Times New Roman" w:hAnsi="Times New Roman"/>
                <w:sz w:val="16"/>
                <w:szCs w:val="16"/>
                <w:color w:val="0000EE"/>
              </w:rPr>
              <w:t>PROPERTIES</w:t>
            </w:r>
          </w:p>
        </w:tc>
        <w:tc>
          <w:tcPr>
            <w:tcW w:w="640" w:type="dxa"/>
            <w:vAlign w:val="bottom"/>
          </w:tcPr>
          <w:p>
            <w:pPr>
              <w:spacing w:after="0"/>
              <w:rPr>
                <w:sz w:val="15"/>
                <w:szCs w:val="15"/>
                <w:color w:val="auto"/>
              </w:rPr>
            </w:pPr>
          </w:p>
        </w:tc>
        <w:tc>
          <w:tcPr>
            <w:tcW w:w="4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3.</w:t>
            </w:r>
          </w:p>
        </w:tc>
        <w:tc>
          <w:tcPr>
            <w:tcW w:w="3200" w:type="dxa"/>
            <w:vAlign w:val="bottom"/>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LEGAL PROCEEDINGS</w:t>
            </w:r>
          </w:p>
        </w:tc>
        <w:tc>
          <w:tcPr>
            <w:tcW w:w="4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4.</w:t>
            </w:r>
          </w:p>
        </w:tc>
        <w:tc>
          <w:tcPr>
            <w:tcW w:w="3200" w:type="dxa"/>
            <w:vAlign w:val="bottom"/>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MINE SAFETY DISCLOSURES</w:t>
            </w:r>
          </w:p>
        </w:tc>
        <w:tc>
          <w:tcPr>
            <w:tcW w:w="4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b w:val="1"/>
                <w:bCs w:val="1"/>
                <w:color w:val="0000EE"/>
                <w:w w:val="96"/>
              </w:rPr>
              <w:t>PART II</w:t>
            </w:r>
          </w:p>
        </w:tc>
        <w:tc>
          <w:tcPr>
            <w:tcW w:w="3120" w:type="dxa"/>
            <w:vAlign w:val="bottom"/>
            <w:gridSpan w:val="6"/>
          </w:tcPr>
          <w:p>
            <w:pPr>
              <w:spacing w:after="0"/>
              <w:rPr>
                <w:sz w:val="16"/>
                <w:szCs w:val="16"/>
                <w:color w:val="auto"/>
              </w:rPr>
            </w:pPr>
          </w:p>
        </w:tc>
        <w:tc>
          <w:tcPr>
            <w:tcW w:w="900" w:type="dxa"/>
            <w:vAlign w:val="bottom"/>
          </w:tcPr>
          <w:p>
            <w:pPr>
              <w:spacing w:after="0"/>
              <w:rPr>
                <w:sz w:val="16"/>
                <w:szCs w:val="16"/>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5.</w:t>
            </w: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MARKET FOR REGISTRANT’S COMMON EQUITY, RELATED STOCKHOLDER MATTERS,</w:t>
            </w:r>
          </w:p>
        </w:tc>
        <w:tc>
          <w:tcPr>
            <w:tcW w:w="900" w:type="dxa"/>
            <w:vAlign w:val="bottom"/>
          </w:tcPr>
          <w:p>
            <w:pPr>
              <w:spacing w:after="0"/>
              <w:rPr>
                <w:sz w:val="15"/>
                <w:szCs w:val="15"/>
                <w:color w:val="auto"/>
              </w:rPr>
            </w:pPr>
          </w:p>
        </w:tc>
      </w:tr>
      <w:tr>
        <w:trPr>
          <w:trHeight w:val="177"/>
        </w:trPr>
        <w:tc>
          <w:tcPr>
            <w:tcW w:w="4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820" w:type="dxa"/>
            <w:vAlign w:val="bottom"/>
            <w:tcBorders>
              <w:top w:val="single" w:sz="8" w:color="0000EE"/>
              <w:bottom w:val="single" w:sz="8" w:color="0000EE"/>
            </w:tcBorders>
            <w:gridSpan w:val="8"/>
          </w:tcPr>
          <w:p>
            <w:pPr>
              <w:spacing w:after="0" w:line="177" w:lineRule="exact"/>
              <w:rPr>
                <w:sz w:val="20"/>
                <w:szCs w:val="20"/>
                <w:color w:val="auto"/>
              </w:rPr>
            </w:pPr>
            <w:r>
              <w:rPr>
                <w:rFonts w:ascii="Times New Roman" w:cs="Times New Roman" w:eastAsia="Times New Roman" w:hAnsi="Times New Roman"/>
                <w:sz w:val="16"/>
                <w:szCs w:val="16"/>
                <w:color w:val="0000EE"/>
              </w:rPr>
              <w:t>AND ISSUER PURCHASES OF EQUITY SECURITIES</w:t>
            </w:r>
          </w:p>
        </w:tc>
        <w:tc>
          <w:tcPr>
            <w:tcW w:w="2620" w:type="dxa"/>
            <w:vAlign w:val="bottom"/>
            <w:tcBorders>
              <w:top w:val="single" w:sz="8" w:color="0000EE"/>
            </w:tcBorders>
            <w:gridSpan w:val="4"/>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41</w:t>
            </w: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6.</w:t>
            </w: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RESERVED</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44</w:t>
            </w: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7.</w:t>
            </w: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w:t>
            </w:r>
          </w:p>
        </w:tc>
        <w:tc>
          <w:tcPr>
            <w:tcW w:w="900" w:type="dxa"/>
            <w:vAlign w:val="bottom"/>
          </w:tcPr>
          <w:p>
            <w:pPr>
              <w:spacing w:after="0"/>
              <w:rPr>
                <w:sz w:val="15"/>
                <w:szCs w:val="15"/>
                <w:color w:val="auto"/>
              </w:rPr>
            </w:pPr>
          </w:p>
        </w:tc>
      </w:tr>
      <w:tr>
        <w:trPr>
          <w:trHeight w:val="177"/>
        </w:trPr>
        <w:tc>
          <w:tcPr>
            <w:tcW w:w="4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700" w:type="dxa"/>
            <w:vAlign w:val="bottom"/>
            <w:tcBorders>
              <w:top w:val="single" w:sz="8" w:color="0000EE"/>
            </w:tcBorders>
            <w:gridSpan w:val="13"/>
          </w:tcPr>
          <w:p>
            <w:pPr>
              <w:spacing w:after="0" w:line="177" w:lineRule="exact"/>
              <w:rPr>
                <w:sz w:val="20"/>
                <w:szCs w:val="20"/>
                <w:color w:val="auto"/>
              </w:rPr>
            </w:pPr>
            <w:r>
              <w:rPr>
                <w:rFonts w:ascii="Times New Roman" w:cs="Times New Roman" w:eastAsia="Times New Roman" w:hAnsi="Times New Roman"/>
                <w:sz w:val="16"/>
                <w:szCs w:val="16"/>
                <w:color w:val="0000EE"/>
              </w:rPr>
              <w:t>OF OPERATIONS</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44</w:t>
            </w:r>
          </w:p>
        </w:tc>
      </w:tr>
      <w:tr>
        <w:trPr>
          <w:trHeight w:val="20"/>
        </w:trPr>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7"/>
        </w:trPr>
        <w:tc>
          <w:tcPr>
            <w:tcW w:w="5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EE"/>
                <w:w w:val="98"/>
              </w:rPr>
              <w:t>Item 7A.</w:t>
            </w:r>
          </w:p>
        </w:tc>
        <w:tc>
          <w:tcPr>
            <w:tcW w:w="540" w:type="dxa"/>
            <w:vAlign w:val="bottom"/>
          </w:tcPr>
          <w:p>
            <w:pPr>
              <w:spacing w:after="0"/>
              <w:rPr>
                <w:sz w:val="15"/>
                <w:szCs w:val="15"/>
                <w:color w:val="auto"/>
              </w:rPr>
            </w:pP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58</w:t>
            </w:r>
          </w:p>
        </w:tc>
      </w:tr>
      <w:tr>
        <w:trPr>
          <w:trHeight w:val="177"/>
        </w:trPr>
        <w:tc>
          <w:tcPr>
            <w:tcW w:w="580" w:type="dxa"/>
            <w:vAlign w:val="bottom"/>
            <w:tcBorders>
              <w:top w:val="single" w:sz="8" w:color="0000EE"/>
            </w:tcBorders>
            <w:gridSpan w:val="3"/>
          </w:tcPr>
          <w:p>
            <w:pPr>
              <w:spacing w:after="0" w:line="177" w:lineRule="exact"/>
              <w:rPr>
                <w:sz w:val="20"/>
                <w:szCs w:val="20"/>
                <w:color w:val="auto"/>
              </w:rPr>
            </w:pPr>
            <w:r>
              <w:rPr>
                <w:rFonts w:ascii="Times New Roman" w:cs="Times New Roman" w:eastAsia="Times New Roman" w:hAnsi="Times New Roman"/>
                <w:sz w:val="16"/>
                <w:szCs w:val="16"/>
                <w:color w:val="0000EE"/>
              </w:rPr>
              <w:t>Item 8.</w:t>
            </w:r>
          </w:p>
        </w:tc>
        <w:tc>
          <w:tcPr>
            <w:tcW w:w="540" w:type="dxa"/>
            <w:vAlign w:val="bottom"/>
          </w:tcPr>
          <w:p>
            <w:pPr>
              <w:spacing w:after="0"/>
              <w:rPr>
                <w:sz w:val="15"/>
                <w:szCs w:val="15"/>
                <w:color w:val="auto"/>
              </w:rPr>
            </w:pPr>
          </w:p>
        </w:tc>
        <w:tc>
          <w:tcPr>
            <w:tcW w:w="5580" w:type="dxa"/>
            <w:vAlign w:val="bottom"/>
            <w:tcBorders>
              <w:top w:val="single" w:sz="8" w:color="0000EE"/>
            </w:tcBorders>
            <w:gridSpan w:val="11"/>
          </w:tcPr>
          <w:p>
            <w:pPr>
              <w:spacing w:after="0" w:line="177" w:lineRule="exact"/>
              <w:rPr>
                <w:sz w:val="20"/>
                <w:szCs w:val="20"/>
                <w:color w:val="auto"/>
              </w:rPr>
            </w:pPr>
            <w:r>
              <w:rPr>
                <w:rFonts w:ascii="Times New Roman" w:cs="Times New Roman" w:eastAsia="Times New Roman" w:hAnsi="Times New Roman"/>
                <w:sz w:val="16"/>
                <w:szCs w:val="16"/>
                <w:color w:val="0000EE"/>
              </w:rPr>
              <w:t>FINANCIAL STATEMENTS AND SUPPLEMENTARY DATA</w:t>
            </w:r>
          </w:p>
        </w:tc>
        <w:tc>
          <w:tcPr>
            <w:tcW w:w="1320" w:type="dxa"/>
            <w:vAlign w:val="bottom"/>
            <w:gridSpan w:val="3"/>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58</w:t>
            </w: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9.</w:t>
            </w: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w:t>
            </w:r>
          </w:p>
        </w:tc>
        <w:tc>
          <w:tcPr>
            <w:tcW w:w="900" w:type="dxa"/>
            <w:vAlign w:val="bottom"/>
          </w:tcPr>
          <w:p>
            <w:pPr>
              <w:spacing w:after="0"/>
              <w:rPr>
                <w:sz w:val="15"/>
                <w:szCs w:val="15"/>
                <w:color w:val="auto"/>
              </w:rPr>
            </w:pPr>
          </w:p>
        </w:tc>
      </w:tr>
      <w:tr>
        <w:trPr>
          <w:trHeight w:val="177"/>
        </w:trPr>
        <w:tc>
          <w:tcPr>
            <w:tcW w:w="4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940" w:type="dxa"/>
            <w:vAlign w:val="bottom"/>
            <w:tcBorders>
              <w:top w:val="single" w:sz="8" w:color="0000EE"/>
              <w:bottom w:val="single" w:sz="8" w:color="0000EE"/>
            </w:tcBorders>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FINANCIAL DISCLOSURE</w:t>
            </w:r>
          </w:p>
        </w:tc>
        <w:tc>
          <w:tcPr>
            <w:tcW w:w="4200" w:type="dxa"/>
            <w:vAlign w:val="bottom"/>
            <w:tcBorders>
              <w:top w:val="single" w:sz="8" w:color="0000EE"/>
            </w:tcBorders>
            <w:gridSpan w:val="7"/>
          </w:tcPr>
          <w:p>
            <w:pPr>
              <w:spacing w:after="0"/>
              <w:rPr>
                <w:sz w:val="15"/>
                <w:szCs w:val="15"/>
                <w:color w:val="auto"/>
              </w:rPr>
            </w:pPr>
          </w:p>
        </w:tc>
        <w:tc>
          <w:tcPr>
            <w:tcW w:w="560" w:type="dxa"/>
            <w:vAlign w:val="bottom"/>
            <w:gridSpan w:val="2"/>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58</w:t>
            </w:r>
          </w:p>
        </w:tc>
      </w:tr>
      <w:tr>
        <w:trPr>
          <w:trHeight w:val="177"/>
        </w:trPr>
        <w:tc>
          <w:tcPr>
            <w:tcW w:w="58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EE"/>
                <w:w w:val="98"/>
              </w:rPr>
              <w:t>Item 9A.</w:t>
            </w:r>
          </w:p>
        </w:tc>
        <w:tc>
          <w:tcPr>
            <w:tcW w:w="540" w:type="dxa"/>
            <w:vAlign w:val="bottom"/>
          </w:tcPr>
          <w:p>
            <w:pPr>
              <w:spacing w:after="0"/>
              <w:rPr>
                <w:sz w:val="15"/>
                <w:szCs w:val="15"/>
                <w:color w:val="auto"/>
              </w:rPr>
            </w:pP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CONTROLS AND PROCEDURES</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59</w:t>
            </w:r>
          </w:p>
        </w:tc>
      </w:tr>
      <w:tr>
        <w:trPr>
          <w:trHeight w:val="177"/>
        </w:trPr>
        <w:tc>
          <w:tcPr>
            <w:tcW w:w="580" w:type="dxa"/>
            <w:vAlign w:val="bottom"/>
            <w:tcBorders>
              <w:top w:val="single" w:sz="8" w:color="0000EE"/>
            </w:tcBorders>
            <w:gridSpan w:val="3"/>
          </w:tcPr>
          <w:p>
            <w:pPr>
              <w:spacing w:after="0" w:line="177" w:lineRule="exact"/>
              <w:rPr>
                <w:sz w:val="20"/>
                <w:szCs w:val="20"/>
                <w:color w:val="auto"/>
              </w:rPr>
            </w:pPr>
            <w:r>
              <w:rPr>
                <w:rFonts w:ascii="Times New Roman" w:cs="Times New Roman" w:eastAsia="Times New Roman" w:hAnsi="Times New Roman"/>
                <w:sz w:val="16"/>
                <w:szCs w:val="16"/>
                <w:color w:val="0000EE"/>
                <w:w w:val="99"/>
              </w:rPr>
              <w:t>Item 9B.</w:t>
            </w:r>
          </w:p>
        </w:tc>
        <w:tc>
          <w:tcPr>
            <w:tcW w:w="540" w:type="dxa"/>
            <w:vAlign w:val="bottom"/>
          </w:tcPr>
          <w:p>
            <w:pPr>
              <w:spacing w:after="0"/>
              <w:rPr>
                <w:sz w:val="15"/>
                <w:szCs w:val="15"/>
                <w:color w:val="auto"/>
              </w:rPr>
            </w:pPr>
          </w:p>
        </w:tc>
        <w:tc>
          <w:tcPr>
            <w:tcW w:w="2360" w:type="dxa"/>
            <w:vAlign w:val="bottom"/>
            <w:tcBorders>
              <w:top w:val="single" w:sz="8" w:color="0000EE"/>
            </w:tcBorders>
            <w:gridSpan w:val="6"/>
          </w:tcPr>
          <w:p>
            <w:pPr>
              <w:spacing w:after="0" w:line="177" w:lineRule="exact"/>
              <w:rPr>
                <w:sz w:val="20"/>
                <w:szCs w:val="20"/>
                <w:color w:val="auto"/>
              </w:rPr>
            </w:pPr>
            <w:r>
              <w:rPr>
                <w:rFonts w:ascii="Times New Roman" w:cs="Times New Roman" w:eastAsia="Times New Roman" w:hAnsi="Times New Roman"/>
                <w:sz w:val="16"/>
                <w:szCs w:val="16"/>
                <w:color w:val="0000EE"/>
              </w:rPr>
              <w:t>OTHER INFORMATION</w:t>
            </w:r>
          </w:p>
        </w:tc>
        <w:tc>
          <w:tcPr>
            <w:tcW w:w="4540" w:type="dxa"/>
            <w:vAlign w:val="bottom"/>
            <w:gridSpan w:val="8"/>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59</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7"/>
        </w:trPr>
        <w:tc>
          <w:tcPr>
            <w:tcW w:w="112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Item 9C.</w:t>
            </w:r>
          </w:p>
        </w:tc>
        <w:tc>
          <w:tcPr>
            <w:tcW w:w="6900" w:type="dxa"/>
            <w:vAlign w:val="bottom"/>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59</w:t>
            </w: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0000EE"/>
              </w:rPr>
              <w:t>PART III</w:t>
            </w:r>
          </w:p>
        </w:tc>
        <w:tc>
          <w:tcPr>
            <w:tcW w:w="7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7"/>
        </w:trPr>
        <w:tc>
          <w:tcPr>
            <w:tcW w:w="11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0000EE"/>
              </w:rPr>
              <w:t>Item 10.</w:t>
            </w:r>
          </w:p>
        </w:tc>
        <w:tc>
          <w:tcPr>
            <w:tcW w:w="7080" w:type="dxa"/>
            <w:vAlign w:val="bottom"/>
            <w:gridSpan w:val="11"/>
          </w:tcPr>
          <w:p>
            <w:pPr>
              <w:spacing w:after="0" w:line="177"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7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59</w:t>
            </w:r>
          </w:p>
        </w:tc>
      </w:tr>
      <w:tr>
        <w:trPr>
          <w:trHeight w:val="177"/>
        </w:trPr>
        <w:tc>
          <w:tcPr>
            <w:tcW w:w="540" w:type="dxa"/>
            <w:vAlign w:val="bottom"/>
            <w:tcBorders>
              <w:top w:val="single" w:sz="8" w:color="0000EE"/>
            </w:tcBorders>
          </w:tcPr>
          <w:p>
            <w:pPr>
              <w:spacing w:after="0" w:line="177" w:lineRule="exact"/>
              <w:rPr>
                <w:sz w:val="20"/>
                <w:szCs w:val="20"/>
                <w:color w:val="auto"/>
              </w:rPr>
            </w:pPr>
            <w:r>
              <w:rPr>
                <w:rFonts w:ascii="Times New Roman" w:cs="Times New Roman" w:eastAsia="Times New Roman" w:hAnsi="Times New Roman"/>
                <w:sz w:val="16"/>
                <w:szCs w:val="16"/>
                <w:color w:val="0000EE"/>
                <w:w w:val="97"/>
              </w:rPr>
              <w:t>Item 11.</w:t>
            </w:r>
          </w:p>
        </w:tc>
        <w:tc>
          <w:tcPr>
            <w:tcW w:w="580" w:type="dxa"/>
            <w:vAlign w:val="bottom"/>
          </w:tcPr>
          <w:p>
            <w:pPr>
              <w:spacing w:after="0"/>
              <w:rPr>
                <w:sz w:val="15"/>
                <w:szCs w:val="15"/>
                <w:color w:val="auto"/>
              </w:rPr>
            </w:pPr>
          </w:p>
        </w:tc>
        <w:tc>
          <w:tcPr>
            <w:tcW w:w="5320" w:type="dxa"/>
            <w:vAlign w:val="bottom"/>
            <w:tcBorders>
              <w:top w:val="single" w:sz="8" w:color="0000EE"/>
            </w:tcBorders>
            <w:gridSpan w:val="8"/>
          </w:tcPr>
          <w:p>
            <w:pPr>
              <w:spacing w:after="0" w:line="177" w:lineRule="exact"/>
              <w:rPr>
                <w:sz w:val="20"/>
                <w:szCs w:val="20"/>
                <w:color w:val="auto"/>
              </w:rPr>
            </w:pPr>
            <w:r>
              <w:rPr>
                <w:rFonts w:ascii="Times New Roman" w:cs="Times New Roman" w:eastAsia="Times New Roman" w:hAnsi="Times New Roman"/>
                <w:sz w:val="16"/>
                <w:szCs w:val="16"/>
                <w:color w:val="0000EE"/>
              </w:rPr>
              <w:t>EXECUTIVE COMPENSATION</w:t>
            </w:r>
          </w:p>
        </w:tc>
        <w:tc>
          <w:tcPr>
            <w:tcW w:w="1760" w:type="dxa"/>
            <w:vAlign w:val="bottom"/>
            <w:gridSpan w:val="3"/>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7"/>
        </w:trPr>
        <w:tc>
          <w:tcPr>
            <w:tcW w:w="11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0000EE"/>
              </w:rPr>
              <w:t>Item 12.</w:t>
            </w:r>
          </w:p>
        </w:tc>
        <w:tc>
          <w:tcPr>
            <w:tcW w:w="7080" w:type="dxa"/>
            <w:vAlign w:val="bottom"/>
            <w:gridSpan w:val="11"/>
          </w:tcPr>
          <w:p>
            <w:pPr>
              <w:spacing w:after="0" w:line="177"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w:t>
            </w:r>
          </w:p>
        </w:tc>
        <w:tc>
          <w:tcPr>
            <w:tcW w:w="720" w:type="dxa"/>
            <w:vAlign w:val="bottom"/>
          </w:tcPr>
          <w:p>
            <w:pPr>
              <w:spacing w:after="0"/>
              <w:rPr>
                <w:sz w:val="15"/>
                <w:szCs w:val="15"/>
                <w:color w:val="auto"/>
              </w:rPr>
            </w:pPr>
          </w:p>
        </w:tc>
      </w:tr>
      <w:tr>
        <w:trPr>
          <w:trHeight w:val="177"/>
        </w:trPr>
        <w:tc>
          <w:tcPr>
            <w:tcW w:w="54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760" w:type="dxa"/>
            <w:vAlign w:val="bottom"/>
            <w:tcBorders>
              <w:top w:val="single" w:sz="8" w:color="0000EE"/>
              <w:bottom w:val="single" w:sz="8" w:color="0000EE"/>
            </w:tcBorders>
            <w:gridSpan w:val="3"/>
          </w:tcPr>
          <w:p>
            <w:pPr>
              <w:spacing w:after="0" w:line="177" w:lineRule="exact"/>
              <w:rPr>
                <w:sz w:val="20"/>
                <w:szCs w:val="20"/>
                <w:color w:val="auto"/>
              </w:rPr>
            </w:pPr>
            <w:r>
              <w:rPr>
                <w:rFonts w:ascii="Times New Roman" w:cs="Times New Roman" w:eastAsia="Times New Roman" w:hAnsi="Times New Roman"/>
                <w:sz w:val="16"/>
                <w:szCs w:val="16"/>
                <w:color w:val="0000EE"/>
              </w:rPr>
              <w:t>RELATED STOCKHOLDER MATTERS</w:t>
            </w:r>
          </w:p>
        </w:tc>
        <w:tc>
          <w:tcPr>
            <w:tcW w:w="3560" w:type="dxa"/>
            <w:vAlign w:val="bottom"/>
            <w:tcBorders>
              <w:top w:val="single" w:sz="8" w:color="0000EE"/>
            </w:tcBorders>
            <w:gridSpan w:val="6"/>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60</w:t>
            </w:r>
          </w:p>
        </w:tc>
      </w:tr>
      <w:tr>
        <w:trPr>
          <w:trHeight w:val="177"/>
        </w:trPr>
        <w:tc>
          <w:tcPr>
            <w:tcW w:w="11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0000EE"/>
              </w:rPr>
              <w:t>Item 13.</w:t>
            </w:r>
          </w:p>
        </w:tc>
        <w:tc>
          <w:tcPr>
            <w:tcW w:w="7080" w:type="dxa"/>
            <w:vAlign w:val="bottom"/>
            <w:gridSpan w:val="11"/>
          </w:tcPr>
          <w:p>
            <w:pPr>
              <w:spacing w:after="0" w:line="177"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w:t>
            </w:r>
          </w:p>
        </w:tc>
        <w:tc>
          <w:tcPr>
            <w:tcW w:w="720" w:type="dxa"/>
            <w:vAlign w:val="bottom"/>
          </w:tcPr>
          <w:p>
            <w:pPr>
              <w:spacing w:after="0"/>
              <w:rPr>
                <w:sz w:val="15"/>
                <w:szCs w:val="15"/>
                <w:color w:val="auto"/>
              </w:rPr>
            </w:pPr>
          </w:p>
        </w:tc>
      </w:tr>
      <w:tr>
        <w:trPr>
          <w:trHeight w:val="177"/>
        </w:trPr>
        <w:tc>
          <w:tcPr>
            <w:tcW w:w="54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520" w:type="dxa"/>
            <w:vAlign w:val="bottom"/>
            <w:tcBorders>
              <w:top w:val="single" w:sz="8" w:color="0000EE"/>
            </w:tcBorders>
            <w:gridSpan w:val="8"/>
          </w:tcPr>
          <w:p>
            <w:pPr>
              <w:spacing w:after="0" w:line="177" w:lineRule="exact"/>
              <w:rPr>
                <w:sz w:val="20"/>
                <w:szCs w:val="20"/>
                <w:color w:val="auto"/>
              </w:rPr>
            </w:pPr>
            <w:r>
              <w:rPr>
                <w:rFonts w:ascii="Times New Roman" w:cs="Times New Roman" w:eastAsia="Times New Roman" w:hAnsi="Times New Roman"/>
                <w:sz w:val="16"/>
                <w:szCs w:val="16"/>
                <w:color w:val="0000EE"/>
              </w:rPr>
              <w:t>INDEPENDENCE</w:t>
            </w:r>
          </w:p>
        </w:tc>
        <w:tc>
          <w:tcPr>
            <w:tcW w:w="1360" w:type="dxa"/>
            <w:vAlign w:val="bottom"/>
            <w:gridSpan w:val="2"/>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60</w:t>
            </w: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7"/>
        </w:trPr>
        <w:tc>
          <w:tcPr>
            <w:tcW w:w="1120" w:type="dxa"/>
            <w:vAlign w:val="bottom"/>
            <w:gridSpan w:val="2"/>
          </w:tcPr>
          <w:p>
            <w:pPr>
              <w:spacing w:after="0" w:line="177" w:lineRule="exact"/>
              <w:rPr>
                <w:sz w:val="20"/>
                <w:szCs w:val="20"/>
                <w:color w:val="auto"/>
              </w:rPr>
            </w:pPr>
            <w:r>
              <w:rPr>
                <w:rFonts w:ascii="Times New Roman" w:cs="Times New Roman" w:eastAsia="Times New Roman" w:hAnsi="Times New Roman"/>
                <w:sz w:val="16"/>
                <w:szCs w:val="16"/>
                <w:color w:val="0000EE"/>
              </w:rPr>
              <w:t>Item 14.</w:t>
            </w:r>
          </w:p>
        </w:tc>
        <w:tc>
          <w:tcPr>
            <w:tcW w:w="7080" w:type="dxa"/>
            <w:vAlign w:val="bottom"/>
            <w:gridSpan w:val="11"/>
          </w:tcPr>
          <w:p>
            <w:pPr>
              <w:spacing w:after="0" w:line="177"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7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60</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EE"/>
              </w:rPr>
              <w:t>PART IV</w:t>
            </w:r>
          </w:p>
        </w:tc>
        <w:tc>
          <w:tcPr>
            <w:tcW w:w="210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7"/>
        </w:trPr>
        <w:tc>
          <w:tcPr>
            <w:tcW w:w="11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EE"/>
              </w:rPr>
              <w:t>Item 15.</w:t>
            </w:r>
          </w:p>
        </w:tc>
        <w:tc>
          <w:tcPr>
            <w:tcW w:w="5720" w:type="dxa"/>
            <w:vAlign w:val="bottom"/>
            <w:gridSpan w:val="5"/>
          </w:tcPr>
          <w:p>
            <w:pPr>
              <w:spacing w:after="0" w:line="177" w:lineRule="exact"/>
              <w:rPr>
                <w:sz w:val="20"/>
                <w:szCs w:val="20"/>
                <w:color w:val="auto"/>
              </w:rPr>
            </w:pPr>
            <w:r>
              <w:rPr>
                <w:rFonts w:ascii="Times New Roman" w:cs="Times New Roman" w:eastAsia="Times New Roman" w:hAnsi="Times New Roman"/>
                <w:sz w:val="16"/>
                <w:szCs w:val="16"/>
                <w:color w:val="0000EE"/>
              </w:rPr>
              <w:t>EXHIBITS, FINANCIAL STATEMENT SCHEDULES</w:t>
            </w:r>
          </w:p>
        </w:tc>
        <w:tc>
          <w:tcPr>
            <w:tcW w:w="2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7"/>
        </w:trPr>
        <w:tc>
          <w:tcPr>
            <w:tcW w:w="11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EE"/>
              </w:rPr>
              <w:t>Item 16.</w:t>
            </w:r>
          </w:p>
        </w:tc>
        <w:tc>
          <w:tcPr>
            <w:tcW w:w="5720" w:type="dxa"/>
            <w:vAlign w:val="bottom"/>
            <w:gridSpan w:val="5"/>
          </w:tcPr>
          <w:p>
            <w:pPr>
              <w:spacing w:after="0" w:line="177" w:lineRule="exact"/>
              <w:rPr>
                <w:sz w:val="20"/>
                <w:szCs w:val="20"/>
                <w:color w:val="auto"/>
              </w:rPr>
            </w:pPr>
            <w:r>
              <w:rPr>
                <w:rFonts w:ascii="Times New Roman" w:cs="Times New Roman" w:eastAsia="Times New Roman" w:hAnsi="Times New Roman"/>
                <w:sz w:val="16"/>
                <w:szCs w:val="16"/>
                <w:color w:val="0000EE"/>
              </w:rPr>
              <w:t>FORM 10-K SUMMARY</w:t>
            </w:r>
          </w:p>
        </w:tc>
        <w:tc>
          <w:tcPr>
            <w:tcW w:w="2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7"/>
        </w:trPr>
        <w:tc>
          <w:tcPr>
            <w:tcW w:w="11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EE"/>
              </w:rPr>
              <w:t>SIGNATURES</w:t>
            </w:r>
          </w:p>
        </w:tc>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67</w:t>
            </w:r>
          </w:p>
        </w:tc>
      </w:tr>
      <w:tr>
        <w:trPr>
          <w:trHeight w:val="1325"/>
        </w:trPr>
        <w:tc>
          <w:tcPr>
            <w:tcW w:w="5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2" w:lineRule="exact"/>
        <w:rPr>
          <w:sz w:val="20"/>
          <w:szCs w:val="20"/>
          <w:color w:val="auto"/>
        </w:rPr>
      </w:pPr>
    </w:p>
    <w:p>
      <w:pPr>
        <w:jc w:val="both"/>
        <w:ind w:left="40" w:right="59" w:firstLine="402"/>
        <w:spacing w:after="0" w:line="260" w:lineRule="auto"/>
        <w:rPr>
          <w:sz w:val="20"/>
          <w:szCs w:val="20"/>
          <w:color w:val="auto"/>
        </w:rPr>
      </w:pPr>
      <w:r>
        <w:rPr>
          <w:rFonts w:ascii="Times New Roman" w:cs="Times New Roman" w:eastAsia="Times New Roman" w:hAnsi="Times New Roman"/>
          <w:sz w:val="16"/>
          <w:szCs w:val="16"/>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Item 8 of this Annual Report on Form 10-K. Statements contained in this Annual Report on Form 10-K, including the documents that are incorporated by reference,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163" w:lineRule="exact"/>
        <w:rPr>
          <w:sz w:val="20"/>
          <w:szCs w:val="20"/>
          <w:color w:val="auto"/>
        </w:rPr>
      </w:pPr>
    </w:p>
    <w:p>
      <w:pPr>
        <w:ind w:left="660" w:right="59" w:hanging="304"/>
        <w:spacing w:after="0" w:line="245"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are subject to risks related to the ownership of commercial real estate that could affect the performance and value of our properties;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business is dependent upon our tenants successfully operating their businesses, and their failure to do so could materially and adversely affect us;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competition that traditional retail tenants face from e-commerce retail sales, or the integration of brick and mortar stores with e-commerce retail operators, could adversely affect our business;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operate in a highly competitive market for the acquisition of income properties and more established entities or other investors may be able to compete more effectively for acquisition opportunities than we can;</w:t>
      </w:r>
    </w:p>
    <w:p>
      <w:pPr>
        <w:ind w:left="660" w:hanging="304"/>
        <w:spacing w:after="0" w:line="22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may be unable to successfully execute on asset acquisitions or dispositions;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loss of revenues from our income property portfolio or certain tenants would adversely impact our results of operations and cash flows;</w:t>
      </w:r>
    </w:p>
    <w:p>
      <w:pPr>
        <w:jc w:val="both"/>
        <w:ind w:left="660" w:right="59" w:hanging="304"/>
        <w:spacing w:after="0" w:line="229"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revenues include receipt of management fees and potentially incentive fees derived from our provision of management services to PINE and the loss or failure, or decline in the business or assets, of Alpine Income Property Trust, Inc. (“PINE”) could substantially reduce our revenues;</w:t>
      </w:r>
    </w:p>
    <w:p>
      <w:pPr>
        <w:spacing w:after="0" w:line="2" w:lineRule="exact"/>
        <w:rPr>
          <w:rFonts w:ascii="Times New Roman" w:cs="Times New Roman" w:eastAsia="Times New Roman" w:hAnsi="Times New Roman"/>
          <w:sz w:val="16"/>
          <w:szCs w:val="16"/>
          <w:color w:val="auto"/>
        </w:rPr>
      </w:pPr>
    </w:p>
    <w:p>
      <w:pPr>
        <w:jc w:val="both"/>
        <w:ind w:left="660" w:right="59" w:hanging="304"/>
        <w:spacing w:after="0" w:line="229"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2" w:lineRule="exact"/>
        <w:rPr>
          <w:rFonts w:ascii="Times New Roman" w:cs="Times New Roman" w:eastAsia="Times New Roman" w:hAnsi="Times New Roman"/>
          <w:sz w:val="16"/>
          <w:szCs w:val="16"/>
          <w:color w:val="auto"/>
        </w:rPr>
      </w:pP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prolonged downturn in economic conditions could adversely impact our business, particularly with regard to our ability to maintain revenues from our income-producing assets;</w:t>
      </w:r>
    </w:p>
    <w:p>
      <w:pPr>
        <w:ind w:left="660" w:hanging="304"/>
        <w:spacing w:after="0" w:line="22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part of our investment strategy is focused on investing in commercial loans and investments which may involve credit risk;</w:t>
      </w:r>
    </w:p>
    <w:p>
      <w:pPr>
        <w:ind w:left="660" w:right="59" w:hanging="304"/>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may suffer losses when a borrower defaults on a loan and the value of the underlying collateral is less than the amount due;</w:t>
      </w:r>
    </w:p>
    <w:p>
      <w:pPr>
        <w:spacing w:after="0" w:line="172" w:lineRule="exact"/>
        <w:rPr>
          <w:rFonts w:ascii="Times New Roman" w:cs="Times New Roman" w:eastAsia="Times New Roman" w:hAnsi="Times New Roman"/>
          <w:sz w:val="16"/>
          <w:szCs w:val="16"/>
          <w:color w:val="auto"/>
        </w:rPr>
      </w:pPr>
    </w:p>
    <w:p>
      <w:pPr>
        <w:ind w:left="660" w:hanging="304"/>
        <w:spacing w:after="0" w:line="22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Company’s real estate investments are generally illiquid;</w:t>
      </w:r>
    </w:p>
    <w:p>
      <w:pPr>
        <w:jc w:val="both"/>
        <w:ind w:left="660" w:right="59" w:hanging="304"/>
        <w:spacing w:after="0" w:line="229"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2" w:lineRule="exact"/>
        <w:rPr>
          <w:rFonts w:ascii="Times New Roman" w:cs="Times New Roman" w:eastAsia="Times New Roman" w:hAnsi="Times New Roman"/>
          <w:sz w:val="16"/>
          <w:szCs w:val="16"/>
          <w:color w:val="auto"/>
        </w:rPr>
      </w:pP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Company may be unable to obtain debt or equity capital on favorable terms, if at all, or additional borrowings may impact our liquidity or ability to monetize any assets securing such borrowings;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servicing our debt requires a significant amount of cash, and we may not have sufficient cash flow from our business to service or pay our debt;</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operations and properties could be adversely affected in the event of natural disasters, pandemics, or other significant disruptions;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may encounter environmental problems which require remediation or the incurrence of significant costs to resolve, which could adversely impact our financial condition, results of operations, and cash flows;</w:t>
      </w:r>
    </w:p>
    <w:p>
      <w:pPr>
        <w:ind w:left="660" w:right="59" w:hanging="304"/>
        <w:spacing w:after="0" w:line="232"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failure to remain qualified as real estate investment trust (“REIT”) for U.S. federal income tax purposes would cause us to be taxed as a regular corporation, which would substantially reduce funds available for distribution to stockholders;</w:t>
      </w:r>
    </w:p>
    <w:p>
      <w:pPr>
        <w:ind w:left="660" w:hanging="304"/>
        <w:spacing w:after="0" w:line="22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risk that the REIT requirements could limit our financial flexibility;</w:t>
      </w:r>
    </w:p>
    <w:p>
      <w:pPr>
        <w:ind w:left="660" w:hanging="304"/>
        <w:spacing w:after="0" w:line="224"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limited experience operating as a REIT;</w:t>
      </w:r>
    </w:p>
    <w:p>
      <w:pPr>
        <w:ind w:left="660" w:right="59" w:hanging="304"/>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ability to pay dividends consistent with the REIT requirements, and expectations as to timing and amounts of such dividends;</w:t>
      </w:r>
    </w:p>
    <w:p>
      <w:pPr>
        <w:spacing w:after="0" w:line="172" w:lineRule="exact"/>
        <w:rPr>
          <w:rFonts w:ascii="Times New Roman" w:cs="Times New Roman" w:eastAsia="Times New Roman" w:hAnsi="Times New Roman"/>
          <w:sz w:val="16"/>
          <w:szCs w:val="16"/>
          <w:color w:val="auto"/>
        </w:rPr>
      </w:pPr>
    </w:p>
    <w:p>
      <w:pPr>
        <w:ind w:left="660" w:hanging="304"/>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ability of our board of directors (the “Board”) to revoke our REIT status without stockholder approval;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304"/>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exposure to changes in U.S. federal and state income tax laws, including changes to the REIT requirements;</w:t>
      </w:r>
    </w:p>
    <w:p>
      <w:pPr>
        <w:spacing w:after="0" w:line="8" w:lineRule="exact"/>
        <w:rPr>
          <w:rFonts w:ascii="Times New Roman" w:cs="Times New Roman" w:eastAsia="Times New Roman" w:hAnsi="Times New Roman"/>
          <w:sz w:val="16"/>
          <w:szCs w:val="16"/>
          <w:color w:val="auto"/>
        </w:rPr>
      </w:pPr>
    </w:p>
    <w:p>
      <w:pPr>
        <w:ind w:left="660" w:right="59" w:hanging="304"/>
        <w:spacing w:after="0" w:line="232"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business and economic conditions, including unstable macroeconomic conditions due to, among other things, the war in Ukraine, the COVID-19 pandemic, inflation and rising interest rates; and</w:t>
      </w:r>
    </w:p>
    <w:p>
      <w:pPr>
        <w:jc w:val="both"/>
        <w:ind w:left="660" w:right="59" w:hanging="304"/>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 epidemic or pandemic (such as the outbreak and worldwide spread of the novel coronavirus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215" w:lineRule="exact"/>
        <w:rPr>
          <w:sz w:val="20"/>
          <w:szCs w:val="20"/>
          <w:color w:val="auto"/>
        </w:rPr>
      </w:pPr>
    </w:p>
    <w:p>
      <w:pPr>
        <w:jc w:val="both"/>
        <w:ind w:left="40" w:right="59" w:firstLine="402"/>
        <w:spacing w:after="0" w:line="277" w:lineRule="auto"/>
        <w:rPr>
          <w:sz w:val="20"/>
          <w:szCs w:val="20"/>
          <w:color w:val="auto"/>
        </w:rPr>
      </w:pPr>
      <w:r>
        <w:rPr>
          <w:rFonts w:ascii="Times New Roman" w:cs="Times New Roman" w:eastAsia="Times New Roman" w:hAnsi="Times New Roman"/>
          <w:sz w:val="16"/>
          <w:szCs w:val="16"/>
          <w:i w:val="1"/>
          <w:iCs w:val="1"/>
          <w:color w:val="auto"/>
        </w:rPr>
        <w:t>The Company describes the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spacing w:after="0" w:line="148"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BUSINESS</w:t>
      </w:r>
    </w:p>
    <w:p>
      <w:pPr>
        <w:spacing w:after="0" w:line="21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12"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We own and manage, sometimes utilizing third-party property management companies, 23 commercial real estate properties in 9 states in the United States. As of December 31, 2022, we owned 8 single-tenant and 15 multi-tenant income-producing properties comprising 3.7 million square feet of gross leasable space.</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addition to our income property portfolio, as of December 31, 2022, our business included the following:</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Management Services:</w:t>
      </w:r>
    </w:p>
    <w:p>
      <w:pPr>
        <w:spacing w:after="0" w:line="210" w:lineRule="exact"/>
        <w:rPr>
          <w:sz w:val="20"/>
          <w:szCs w:val="20"/>
          <w:color w:val="auto"/>
        </w:rPr>
      </w:pPr>
    </w:p>
    <w:p>
      <w:pPr>
        <w:ind w:left="740" w:right="59" w:hanging="286"/>
        <w:spacing w:after="0" w:line="295" w:lineRule="auto"/>
        <w:tabs>
          <w:tab w:leader="none" w:pos="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fee-based management business that is engaged in managing PINE, see Note 5, “Related Party Management Services Business” in the notes to the consolidated financial statements in Item 8.</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Commercial Loans and Investments:</w:t>
      </w:r>
    </w:p>
    <w:p>
      <w:pPr>
        <w:spacing w:after="0" w:line="210" w:lineRule="exact"/>
        <w:rPr>
          <w:sz w:val="20"/>
          <w:szCs w:val="20"/>
          <w:color w:val="auto"/>
        </w:rPr>
      </w:pPr>
    </w:p>
    <w:p>
      <w:pPr>
        <w:ind w:left="740" w:right="59" w:hanging="286"/>
        <w:spacing w:after="0" w:line="295" w:lineRule="auto"/>
        <w:tabs>
          <w:tab w:leader="none" w:pos="7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three commercial loan investments and one preferred equity investment which is classified as a commercial loan investment.</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Real Estate Operations:</w:t>
      </w:r>
    </w:p>
    <w:p>
      <w:pPr>
        <w:spacing w:after="0" w:line="210" w:lineRule="exact"/>
        <w:rPr>
          <w:sz w:val="20"/>
          <w:szCs w:val="20"/>
          <w:color w:val="auto"/>
        </w:rPr>
      </w:pPr>
    </w:p>
    <w:p>
      <w:pPr>
        <w:ind w:left="740" w:right="59" w:hanging="286"/>
        <w:spacing w:after="0" w:line="295" w:lineRule="auto"/>
        <w:tabs>
          <w:tab w:leader="none" w:pos="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subsurface mineral interests associated with approximately 355,000 surface acres in 19 counties in the State of Florida (“Subsurface Interests”); and</w:t>
      </w:r>
    </w:p>
    <w:p>
      <w:pPr>
        <w:spacing w:after="0" w:line="137" w:lineRule="exact"/>
        <w:rPr>
          <w:rFonts w:ascii="Times New Roman" w:cs="Times New Roman" w:eastAsia="Times New Roman" w:hAnsi="Times New Roman"/>
          <w:sz w:val="16"/>
          <w:szCs w:val="16"/>
          <w:color w:val="auto"/>
        </w:rPr>
      </w:pPr>
    </w:p>
    <w:p>
      <w:pPr>
        <w:ind w:left="740" w:right="59" w:hanging="286"/>
        <w:spacing w:after="0" w:line="295" w:lineRule="auto"/>
        <w:tabs>
          <w:tab w:leader="none" w:pos="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inventory of mitigation credits as well as mitigation credits to be produced by the Company’s formerly owned mitigation bank.</w:t>
      </w:r>
    </w:p>
    <w:p>
      <w:pPr>
        <w:spacing w:after="0" w:line="138"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5, “Related Party Management Services Business” in the notes to the consolidated financial statements in Item 8. As a result of the Land JV Sale and corresponding dissolution of the Land JV, the Company no longer holds a retained interest in the Land JV as of December 31, 2021.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Our business also includes our investment in PINE. As of December 31, 2022, the fair value of our investment totaled $42.0 million, or 14.6%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3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is a summary of financial information regarding the Company’s business segments for the years ended</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December 31, 2022, 2021 and 2020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89"/>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68,857</w:t>
            </w:r>
          </w:p>
        </w:tc>
        <w:tc>
          <w:tcPr>
            <w:tcW w:w="18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8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49,953</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Services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from Commercial Loans and Investments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82,320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70,272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56,381</w:t>
            </w:r>
          </w:p>
        </w:tc>
        <w:tc>
          <w:tcPr>
            <w:tcW w:w="0" w:type="dxa"/>
            <w:vAlign w:val="bottom"/>
          </w:tcPr>
          <w:p>
            <w:pPr>
              <w:spacing w:after="0"/>
              <w:rPr>
                <w:sz w:val="1"/>
                <w:szCs w:val="1"/>
                <w:color w:val="auto"/>
              </w:rPr>
            </w:pPr>
          </w:p>
        </w:tc>
      </w:tr>
      <w:tr>
        <w:trPr>
          <w:trHeight w:val="174"/>
        </w:trPr>
        <w:tc>
          <w:tcPr>
            <w:tcW w:w="596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48,493</w:t>
            </w:r>
          </w:p>
        </w:tc>
        <w:tc>
          <w:tcPr>
            <w:tcW w:w="18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36,864</w:t>
            </w:r>
          </w:p>
        </w:tc>
        <w:tc>
          <w:tcPr>
            <w:tcW w:w="18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37,964</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 Income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(12,899)</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(11,202)</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Charges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(17,599)</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(28,855)</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(20,581)</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(7,042)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(3,431)</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189"/>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Income</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902,427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630,747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531,325</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Services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38,321</w:t>
            </w:r>
          </w:p>
        </w:tc>
        <w:tc>
          <w:tcPr>
            <w:tcW w:w="0" w:type="dxa"/>
            <w:vAlign w:val="bottom"/>
          </w:tcPr>
          <w:p>
            <w:pPr>
              <w:spacing w:after="0"/>
              <w:rPr>
                <w:sz w:val="1"/>
                <w:szCs w:val="1"/>
                <w:color w:val="auto"/>
              </w:rPr>
            </w:pP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59,717</w:t>
            </w:r>
          </w:p>
        </w:tc>
        <w:tc>
          <w:tcPr>
            <w:tcW w:w="0" w:type="dxa"/>
            <w:vAlign w:val="bottom"/>
          </w:tcPr>
          <w:p>
            <w:pPr>
              <w:spacing w:after="0"/>
              <w:rPr>
                <w:sz w:val="1"/>
                <w:szCs w:val="1"/>
                <w:color w:val="auto"/>
              </w:rPr>
            </w:pP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Discontinued Real Estate Operations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CCEEFF"/>
            </w:tcBorders>
            <w:gridSpan w:val="2"/>
          </w:tcPr>
          <w:p>
            <w:pPr>
              <w:spacing w:after="0" w:line="197" w:lineRule="exact"/>
              <w:rPr>
                <w:sz w:val="20"/>
                <w:szCs w:val="20"/>
                <w:color w:val="auto"/>
              </w:rPr>
            </w:pPr>
            <w:r>
              <w:rPr>
                <w:rFonts w:ascii="Times New Roman" w:cs="Times New Roman" w:eastAsia="Times New Roman" w:hAnsi="Times New Roman"/>
                <w:sz w:val="15"/>
                <w:szCs w:val="15"/>
                <w:color w:val="auto"/>
              </w:rPr>
              <w:t xml:space="preserve">Corporate and Other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46,438</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35,804</w:t>
            </w:r>
          </w:p>
        </w:tc>
        <w:tc>
          <w:tcPr>
            <w:tcW w:w="0" w:type="dxa"/>
            <w:vAlign w:val="bottom"/>
          </w:tcPr>
          <w:p>
            <w:pPr>
              <w:spacing w:after="0"/>
              <w:rPr>
                <w:sz w:val="1"/>
                <w:szCs w:val="1"/>
                <w:color w:val="auto"/>
              </w:rPr>
            </w:pPr>
          </w:p>
        </w:tc>
      </w:tr>
      <w:tr>
        <w:trPr>
          <w:trHeight w:val="189"/>
        </w:trPr>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986,545</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733,139</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3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79" w:hanging="304"/>
        <w:spacing w:after="0" w:line="212" w:lineRule="auto"/>
        <w:tabs>
          <w:tab w:leader="none" w:pos="34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Corporate and other assets consist primarily of cash and restricted cash, property, plant, and equipment related to the other operations, as well as the general and corporate operations.</w:t>
      </w:r>
    </w:p>
    <w:p>
      <w:pPr>
        <w:spacing w:after="0" w:line="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BUSINESS PLAN</w:t>
      </w:r>
    </w:p>
    <w:p>
      <w:pPr>
        <w:spacing w:after="0" w:line="214"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Our business plan is primarily focused on investing in income-producing real estate, with a focus on multi-tenant, primarily retail-oriented, properties. We believe that focusing on multi-tenant properties will allow us to continue to broaden the credit base of our tenants. We also seek to diversify our income property portfolio geographically, with an emphasis on what we believe to be faster growing, business-friendly markets exhibiting accommodative business tax policies, outsized relative job and population growth, and where retail demand exceeds supply. We may also self-develop multi-tenant income properties, as we have done in the past.</w:t>
      </w:r>
    </w:p>
    <w:p>
      <w:pPr>
        <w:spacing w:after="0" w:line="161"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We may also invest in commercial loans or similar financings secured by commercial real estate. We may acquire multi-tenant income properties, and possibly single-tenant net lease assets that fall outside our ROFO Agreement (hereinafter defined) with PINE, with proceeds from the sale of an income property currently in our portfolio, and because our current properties generally have low tax bases, we may seek to have the sale of the current income property qualify</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for income tax deferral through the like-kind exchange provisions under Section 1031 of the Internal Revenue Code of 1986, as amended (the “Code”).</w:t>
      </w:r>
    </w:p>
    <w:p>
      <w:pPr>
        <w:spacing w:after="0" w:line="138"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Our access to sources of debt financing, particularly our borrowing capacity under our revolving credit facility (as amended and restated, the “Credit Facility”), also provide a source of capital for our investment strategy. Our strategy is to utilize leverage, when appropriate and necessary, and potentially proceeds from sales of income properties, the disposition or payoffs of our commercial loans and investments, certain transactions involving our Subsurface Interests or mitigation credits, and issuances of equity and debt securities to acquire income properties. We may also acquire or originate commercial loans and investments, invest in securities of real estate companies, or make other shorter-term investments. Our targeted investment classes may include the following:</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Primary asset classes</w:t>
      </w:r>
    </w:p>
    <w:p>
      <w:pPr>
        <w:spacing w:after="0" w:line="32" w:lineRule="exact"/>
        <w:rPr>
          <w:sz w:val="20"/>
          <w:szCs w:val="20"/>
          <w:color w:val="auto"/>
        </w:rPr>
      </w:pPr>
    </w:p>
    <w:p>
      <w:pPr>
        <w:jc w:val="both"/>
        <w:ind w:left="740" w:right="59" w:hanging="286"/>
        <w:spacing w:after="0" w:line="256" w:lineRule="auto"/>
        <w:tabs>
          <w:tab w:leader="none" w:pos="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Multi-tenant properties, with a focus on retail and mixed use, that are typically stabilized; and located in what we believe to be faster growing, business-friendly markets exhibiting accommodative business tax policies and outsized relative job and population growth; and</w:t>
      </w:r>
    </w:p>
    <w:p>
      <w:pPr>
        <w:spacing w:after="0" w:line="1" w:lineRule="exact"/>
        <w:rPr>
          <w:rFonts w:ascii="Times New Roman" w:cs="Times New Roman" w:eastAsia="Times New Roman" w:hAnsi="Times New Roman"/>
          <w:sz w:val="16"/>
          <w:szCs w:val="16"/>
          <w:color w:val="auto"/>
        </w:rPr>
      </w:pPr>
    </w:p>
    <w:p>
      <w:pPr>
        <w:jc w:val="both"/>
        <w:ind w:left="740" w:right="59" w:hanging="286"/>
        <w:spacing w:after="0" w:line="264" w:lineRule="auto"/>
        <w:tabs>
          <w:tab w:leader="none" w:pos="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Single-tenant retail or other commercial, double or triple net leased, properties that are typically stabilized and located in what we believe to be faster growing, business-friendly markets exhibiting accommodative business tax policies and outsized relative job and population growth that are compliant with our commitments under the PINE ROFO Agreement.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Other asset classes</w:t>
      </w:r>
    </w:p>
    <w:p>
      <w:pPr>
        <w:spacing w:after="0" w:line="32" w:lineRule="exact"/>
        <w:rPr>
          <w:sz w:val="20"/>
          <w:szCs w:val="20"/>
          <w:color w:val="auto"/>
        </w:rPr>
      </w:pPr>
    </w:p>
    <w:p>
      <w:pPr>
        <w:ind w:left="740" w:right="59" w:hanging="286"/>
        <w:spacing w:after="0" w:line="256" w:lineRule="auto"/>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Ground leases, whether purchased or originated by the Company, that are compliant with our commitments under the ROFO Agreement;</w:t>
      </w:r>
    </w:p>
    <w:p>
      <w:pPr>
        <w:ind w:left="740" w:hanging="286"/>
        <w:spacing w:after="0"/>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Self-developed retail or other commercial properties;</w:t>
      </w:r>
    </w:p>
    <w:p>
      <w:pPr>
        <w:spacing w:after="0" w:line="12" w:lineRule="exact"/>
        <w:rPr>
          <w:rFonts w:ascii="Times New Roman" w:cs="Times New Roman" w:eastAsia="Times New Roman" w:hAnsi="Times New Roman"/>
          <w:sz w:val="16"/>
          <w:szCs w:val="16"/>
          <w:color w:val="auto"/>
        </w:rPr>
      </w:pPr>
    </w:p>
    <w:p>
      <w:pPr>
        <w:ind w:left="740" w:right="59" w:hanging="286"/>
        <w:spacing w:after="0" w:line="256" w:lineRule="auto"/>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loans and investments, whether purchased or originated by the Company, with loan terms of 1-10 years with strong risk-adjusted yields secured by property types to include hotel, retail, residential, land and industrial;</w:t>
      </w:r>
    </w:p>
    <w:p>
      <w:pPr>
        <w:ind w:left="740" w:right="59" w:hanging="286"/>
        <w:spacing w:after="0" w:line="256" w:lineRule="auto"/>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regional area investments using Company national market knowledge and expertise to earn strong risk-adjusted yields; and</w:t>
      </w:r>
    </w:p>
    <w:p>
      <w:pPr>
        <w:ind w:left="740" w:right="59" w:hanging="286"/>
        <w:spacing w:after="0" w:line="273" w:lineRule="auto"/>
        <w:tabs>
          <w:tab w:leader="none" w:pos="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estate-related investment securities, including commercial mortgage-backed securities, preferred or common stock, and corporate bonds.</w:t>
      </w:r>
    </w:p>
    <w:p>
      <w:pPr>
        <w:spacing w:after="0" w:line="154"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INCOME PROPERTIES</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We have pursued a strategy of investing in income-producing properties, when possible, by utilizing the proceeds from real estate transactions, including the disposition of income properties and non-income producing assets, borrowing capacity under the Credit Facility and issuances of equity and debt securities.</w:t>
      </w:r>
    </w:p>
    <w:p>
      <w:pPr>
        <w:spacing w:after="0" w:line="152"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64" w:lineRule="exact"/>
        <w:rPr>
          <w:sz w:val="20"/>
          <w:szCs w:val="20"/>
          <w:color w:val="auto"/>
        </w:rPr>
      </w:pPr>
    </w:p>
    <w:p>
      <w:pPr>
        <w:jc w:val="both"/>
        <w:ind w:left="40" w:right="59" w:firstLine="295"/>
        <w:spacing w:after="0" w:line="295" w:lineRule="auto"/>
        <w:rPr>
          <w:sz w:val="20"/>
          <w:szCs w:val="20"/>
          <w:color w:val="auto"/>
        </w:rPr>
      </w:pPr>
      <w:r>
        <w:rPr>
          <w:rFonts w:ascii="Times New Roman" w:cs="Times New Roman" w:eastAsia="Times New Roman" w:hAnsi="Times New Roman"/>
          <w:sz w:val="16"/>
          <w:szCs w:val="16"/>
          <w:color w:val="auto"/>
        </w:rPr>
        <w:t>During the year ended December 31, 2022, the Company acquired four multi-tenant income properties and one portfolio of three single-tenant properties for an aggregate purchase price of $314.0 million, or a total acquisition cost of</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6"/>
          <w:szCs w:val="16"/>
          <w:color w:val="auto"/>
        </w:rPr>
        <w:t>$315.6 million. Of the aggregate $315.6 acquisition cost, $60.1 million was allocated to land, $208.3 million was allocated to buildings and improvements, $52.7 million was allocated to intangible assets pertaining to the in-place lease value, leasing costs, and above market lease value, and $5.5 million was allocated to intangible liabilities for the below market lease value. The weighted average amortization period for the intangible assets and liabilities was 6.0 years at acquisition.</w:t>
      </w:r>
    </w:p>
    <w:p>
      <w:pPr>
        <w:spacing w:after="0" w:line="159" w:lineRule="exact"/>
        <w:rPr>
          <w:sz w:val="20"/>
          <w:szCs w:val="20"/>
          <w:color w:val="auto"/>
        </w:rPr>
      </w:pPr>
    </w:p>
    <w:p>
      <w:pPr>
        <w:jc w:val="both"/>
        <w:ind w:left="40" w:right="59" w:firstLine="295"/>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2022, the Company sold six income properties, including (i) Party City, a 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64"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Our current portfolio of 15 multi-tenant properties generates $66.6 million of revenue from annualized straight-line base lease payments and had a weighted average remaining lease term of 4.8 years as of December 31, 2022. Our current portfolio of 8 single-tenant income properties generates $8.6 million of revenues from annualized straight-line base lease payments and had a weighted average remaining lease term of 5.7 years as of December 31, 2022.</w:t>
      </w:r>
    </w:p>
    <w:p>
      <w:pPr>
        <w:spacing w:after="0" w:line="159"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4 single-tenant income properties and two multi-tenant income properties during the year ended December 31, 2022. As a result of entering the Exclusivity and Right of First Offer Agreement with PINE (the “ROFO Agreement”) which generally prevents us from investing in single-tenant net lease income properties, our income property investment strategy will be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64"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color w:val="auto"/>
        </w:rPr>
        <w:t>As of December 31, 2022, the Company owned 8 single-tenant and 15 multi-tenant income properties in 9 states. Following is a summary of these properties: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466"/>
              <w:spacing w:after="0"/>
              <w:rPr>
                <w:sz w:val="20"/>
                <w:szCs w:val="20"/>
                <w:color w:val="auto"/>
              </w:rPr>
            </w:pPr>
            <w:r>
              <w:rPr>
                <w:rFonts w:ascii="Times New Roman" w:cs="Times New Roman" w:eastAsia="Times New Roman" w:hAnsi="Times New Roman"/>
                <w:sz w:val="15"/>
                <w:szCs w:val="15"/>
                <w:b w:val="1"/>
                <w:bCs w:val="1"/>
                <w:color w:val="auto"/>
              </w:rPr>
              <w:t>Area</w:t>
            </w:r>
          </w:p>
        </w:tc>
      </w:tr>
      <w:tr>
        <w:trPr>
          <w:trHeight w:val="196"/>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Tenant / Property</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City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State</w:t>
            </w:r>
          </w:p>
        </w:tc>
        <w:tc>
          <w:tcPr>
            <w:tcW w:w="1420" w:type="dxa"/>
            <w:vAlign w:val="bottom"/>
          </w:tcPr>
          <w:p>
            <w:pPr>
              <w:jc w:val="right"/>
              <w:ind w:right="206"/>
              <w:spacing w:after="0"/>
              <w:rPr>
                <w:sz w:val="20"/>
                <w:szCs w:val="20"/>
                <w:color w:val="auto"/>
              </w:rPr>
            </w:pPr>
            <w:r>
              <w:rPr>
                <w:rFonts w:ascii="Times New Roman" w:cs="Times New Roman" w:eastAsia="Times New Roman" w:hAnsi="Times New Roman"/>
                <w:sz w:val="15"/>
                <w:szCs w:val="15"/>
                <w:b w:val="1"/>
                <w:bCs w:val="1"/>
                <w:color w:val="auto"/>
              </w:rPr>
              <w:t>(Square Feet)</w:t>
            </w:r>
          </w:p>
        </w:tc>
      </w:tr>
      <w:tr>
        <w:trPr>
          <w:trHeight w:val="179"/>
        </w:trPr>
        <w:tc>
          <w:tcPr>
            <w:tcW w:w="3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125 Lincoln &amp; 150 Washington</w:t>
            </w:r>
          </w:p>
        </w:tc>
        <w:tc>
          <w:tcPr>
            <w:tcW w:w="16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Santa Fe</w:t>
            </w:r>
          </w:p>
        </w:tc>
        <w:tc>
          <w:tcPr>
            <w:tcW w:w="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NM</w:t>
            </w: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137,209</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369 N. New York Ave.</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Winter Park</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FL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30,296</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Ashford Lane</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Atlanta</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GA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277,408</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Beaver Creek Crossings</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Apex</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5"/>
              </w:rPr>
              <w:t>NC</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321,977</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Crossroads Towne Center</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Chandler</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w w:val="99"/>
              </w:rPr>
              <w:t>AZ</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244,072</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Eastern Commons</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Henderson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NV</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133,304</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Jordan Landing</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 Jordan</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w w:val="99"/>
              </w:rPr>
              <w:t>UT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170,996</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Madison Yards</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Atlanta</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GA</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162,521</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Price Plaza</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Katy</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w w:val="99"/>
              </w:rPr>
              <w:t>TX</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200,576</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Collection at Forsyth</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Cummings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GA</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560,434</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Exchange at Gwinnett</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Buford</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GA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69,266</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Shops at Legacy</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Plano</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9"/>
              </w:rPr>
              <w:t>TX</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237,366</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Strand at St. Johns Town Center</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Jacksonville</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FL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210,973</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Westcliff Shopping Center</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Fort Worth</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9"/>
              </w:rPr>
              <w:t>TX</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134,791</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West Broad Village</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Glen Allen</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w w:val="92"/>
              </w:rPr>
              <w:t>VA</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392,007</w:t>
            </w:r>
          </w:p>
        </w:tc>
      </w:tr>
      <w:tr>
        <w:trPr>
          <w:trHeight w:val="177"/>
        </w:trPr>
        <w:tc>
          <w:tcPr>
            <w:tcW w:w="3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15 Multi-Tenant Properties</w:t>
            </w:r>
          </w:p>
        </w:tc>
        <w:tc>
          <w:tcPr>
            <w:tcW w:w="2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3,283,196</w:t>
            </w:r>
          </w:p>
        </w:tc>
      </w:tr>
      <w:tr>
        <w:trPr>
          <w:trHeight w:val="177"/>
        </w:trPr>
        <w:tc>
          <w:tcPr>
            <w:tcW w:w="380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Crabby's Oceanside</w:t>
            </w:r>
          </w:p>
        </w:tc>
        <w:tc>
          <w:tcPr>
            <w:tcW w:w="24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Daytona Beach</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FL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5,780</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Fidelity</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Albuquerque</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9"/>
              </w:rPr>
              <w:t>NM</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210,067</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Dynamics</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Reston</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w w:val="92"/>
              </w:rPr>
              <w:t>VA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64,319</w:t>
            </w:r>
          </w:p>
        </w:tc>
      </w:tr>
      <w:tr>
        <w:trPr>
          <w:trHeight w:val="184"/>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LandShark Bar &amp; Grill</w:t>
            </w:r>
          </w:p>
        </w:tc>
        <w:tc>
          <w:tcPr>
            <w:tcW w:w="2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Daytona Beach</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FL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6,264</w:t>
            </w:r>
          </w:p>
        </w:tc>
      </w:tr>
      <w:tr>
        <w:trPr>
          <w:trHeight w:val="184"/>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Sabal Pavilion</w:t>
            </w: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Tampa</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FL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120,500</w:t>
            </w:r>
          </w:p>
        </w:tc>
      </w:tr>
      <w:tr>
        <w:trPr>
          <w:trHeight w:val="184"/>
        </w:trPr>
        <w:tc>
          <w:tcPr>
            <w:tcW w:w="3800" w:type="dxa"/>
            <w:vAlign w:val="bottom"/>
            <w:tcBorders>
              <w:bottom w:val="single" w:sz="8" w:color="CCEEFF"/>
            </w:tcBorders>
            <w:gridSpan w:val="3"/>
          </w:tcPr>
          <w:p>
            <w:pPr>
              <w:spacing w:after="0" w:line="185" w:lineRule="exact"/>
              <w:rPr>
                <w:sz w:val="20"/>
                <w:szCs w:val="20"/>
                <w:color w:val="auto"/>
              </w:rPr>
            </w:pPr>
            <w:r>
              <w:rPr>
                <w:rFonts w:ascii="Times New Roman" w:cs="Times New Roman" w:eastAsia="Times New Roman" w:hAnsi="Times New Roman"/>
                <w:sz w:val="14"/>
                <w:szCs w:val="14"/>
                <w:color w:val="auto"/>
              </w:rPr>
              <w:t xml:space="preserve">MainStreet Portfolio </w:t>
            </w:r>
            <w:r>
              <w:rPr>
                <w:rFonts w:ascii="Times New Roman" w:cs="Times New Roman" w:eastAsia="Times New Roman" w:hAnsi="Times New Roman"/>
                <w:sz w:val="21"/>
                <w:szCs w:val="21"/>
                <w:color w:val="auto"/>
                <w:vertAlign w:val="superscript"/>
              </w:rPr>
              <w:t>(1)</w:t>
            </w:r>
          </w:p>
        </w:tc>
        <w:tc>
          <w:tcPr>
            <w:tcW w:w="2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Daytona Beach</w:t>
            </w:r>
          </w:p>
        </w:tc>
        <w:tc>
          <w:tcPr>
            <w:tcW w:w="126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FL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28,511</w:t>
            </w:r>
          </w:p>
        </w:tc>
      </w:tr>
      <w:tr>
        <w:trPr>
          <w:trHeight w:val="177"/>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8 Single-Tenant Properties</w:t>
            </w:r>
          </w:p>
        </w:tc>
        <w:tc>
          <w:tcPr>
            <w:tcW w:w="2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435,441</w:t>
            </w:r>
          </w:p>
        </w:tc>
      </w:tr>
      <w:tr>
        <w:trPr>
          <w:trHeight w:val="177"/>
        </w:trPr>
        <w:tc>
          <w:tcPr>
            <w:tcW w:w="38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23 Total Properties</w:t>
            </w: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3,718,637</w:t>
            </w:r>
          </w:p>
        </w:tc>
      </w:tr>
      <w:tr>
        <w:trPr>
          <w:trHeight w:val="20"/>
        </w:trPr>
        <w:tc>
          <w:tcPr>
            <w:tcW w:w="2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r>
    </w:tbl>
    <w:p>
      <w:pPr>
        <w:spacing w:after="0" w:line="191" w:lineRule="exact"/>
        <w:rPr>
          <w:sz w:val="20"/>
          <w:szCs w:val="20"/>
          <w:color w:val="auto"/>
        </w:rPr>
      </w:pPr>
    </w:p>
    <w:p>
      <w:pPr>
        <w:ind w:left="640" w:hanging="604"/>
        <w:spacing w:after="0"/>
        <w:tabs>
          <w:tab w:leader="none" w:pos="64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MainStreet Portfolio is comprised of 3 single tenant properties.</w:t>
      </w:r>
    </w:p>
    <w:p>
      <w:pPr>
        <w:sectPr>
          <w:pgSz w:w="11900" w:h="16838" w:orient="portrait"/>
          <w:cols w:equalWidth="0" w:num="1">
            <w:col w:w="9019"/>
          </w:cols>
          <w:pgMar w:left="1440" w:top="48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weighted average economic and physical occupancy rates of our income properties at December 31st for each of the last three years on a portfolio basis are as follows: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Single-Tenant Economic / Physical</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Multi-Tenant Economic / Physical</w:t>
            </w:r>
          </w:p>
        </w:tc>
        <w:tc>
          <w:tcPr>
            <w:tcW w:w="0" w:type="dxa"/>
            <w:vAlign w:val="bottom"/>
          </w:tcPr>
          <w:p>
            <w:pPr>
              <w:spacing w:after="0"/>
              <w:rPr>
                <w:sz w:val="1"/>
                <w:szCs w:val="1"/>
                <w:color w:val="auto"/>
              </w:rPr>
            </w:pPr>
          </w:p>
        </w:tc>
      </w:tr>
      <w:tr>
        <w:trPr>
          <w:trHeight w:val="21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Occupancy</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698"/>
              <w:spacing w:after="0"/>
              <w:rPr>
                <w:sz w:val="20"/>
                <w:szCs w:val="20"/>
                <w:color w:val="auto"/>
              </w:rPr>
            </w:pPr>
            <w:r>
              <w:rPr>
                <w:rFonts w:ascii="Times New Roman" w:cs="Times New Roman" w:eastAsia="Times New Roman" w:hAnsi="Times New Roman"/>
                <w:sz w:val="16"/>
                <w:szCs w:val="16"/>
                <w:b w:val="1"/>
                <w:bCs w:val="1"/>
                <w:color w:val="auto"/>
              </w:rPr>
              <w:t>Occupancy</w:t>
            </w:r>
          </w:p>
        </w:tc>
        <w:tc>
          <w:tcPr>
            <w:tcW w:w="0" w:type="dxa"/>
            <w:vAlign w:val="bottom"/>
          </w:tcPr>
          <w:p>
            <w:pPr>
              <w:spacing w:after="0"/>
              <w:rPr>
                <w:sz w:val="1"/>
                <w:szCs w:val="1"/>
                <w:color w:val="auto"/>
              </w:rPr>
            </w:pPr>
          </w:p>
        </w:tc>
      </w:tr>
      <w:tr>
        <w:trPr>
          <w:trHeight w:val="189"/>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1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center"/>
              <w:ind w:right="398"/>
              <w:spacing w:after="0"/>
              <w:rPr>
                <w:sz w:val="20"/>
                <w:szCs w:val="20"/>
                <w:color w:val="auto"/>
              </w:rPr>
            </w:pPr>
            <w:r>
              <w:rPr>
                <w:rFonts w:ascii="Times New Roman" w:cs="Times New Roman" w:eastAsia="Times New Roman" w:hAnsi="Times New Roman"/>
                <w:sz w:val="16"/>
                <w:szCs w:val="16"/>
                <w:color w:val="auto"/>
              </w:rPr>
              <w:t>100% / 100%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center"/>
              <w:ind w:right="698"/>
              <w:spacing w:after="0"/>
              <w:rPr>
                <w:sz w:val="20"/>
                <w:szCs w:val="20"/>
                <w:color w:val="auto"/>
              </w:rPr>
            </w:pPr>
            <w:r>
              <w:rPr>
                <w:rFonts w:ascii="Times New Roman" w:cs="Times New Roman" w:eastAsia="Times New Roman" w:hAnsi="Times New Roman"/>
                <w:sz w:val="16"/>
                <w:szCs w:val="16"/>
                <w:color w:val="auto"/>
              </w:rPr>
              <w:t>83% / 82%</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8"/>
              <w:spacing w:after="0"/>
              <w:rPr>
                <w:sz w:val="20"/>
                <w:szCs w:val="20"/>
                <w:color w:val="auto"/>
              </w:rPr>
            </w:pPr>
            <w:r>
              <w:rPr>
                <w:rFonts w:ascii="Times New Roman" w:cs="Times New Roman" w:eastAsia="Times New Roman" w:hAnsi="Times New Roman"/>
                <w:sz w:val="16"/>
                <w:szCs w:val="16"/>
                <w:color w:val="auto"/>
              </w:rPr>
              <w:t>100% / 100%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60" w:type="dxa"/>
            <w:vAlign w:val="bottom"/>
            <w:gridSpan w:val="2"/>
          </w:tcPr>
          <w:p>
            <w:pPr>
              <w:jc w:val="center"/>
              <w:ind w:right="698"/>
              <w:spacing w:after="0"/>
              <w:rPr>
                <w:sz w:val="20"/>
                <w:szCs w:val="20"/>
                <w:color w:val="auto"/>
              </w:rPr>
            </w:pPr>
            <w:r>
              <w:rPr>
                <w:rFonts w:ascii="Times New Roman" w:cs="Times New Roman" w:eastAsia="Times New Roman" w:hAnsi="Times New Roman"/>
                <w:sz w:val="16"/>
                <w:szCs w:val="16"/>
                <w:color w:val="auto"/>
              </w:rPr>
              <w:t>86% / 85%</w:t>
            </w:r>
          </w:p>
        </w:tc>
        <w:tc>
          <w:tcPr>
            <w:tcW w:w="0" w:type="dxa"/>
            <w:vAlign w:val="bottom"/>
          </w:tcPr>
          <w:p>
            <w:pPr>
              <w:spacing w:after="0"/>
              <w:rPr>
                <w:sz w:val="1"/>
                <w:szCs w:val="1"/>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1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right="398"/>
              <w:spacing w:after="0"/>
              <w:rPr>
                <w:sz w:val="20"/>
                <w:szCs w:val="20"/>
                <w:color w:val="auto"/>
              </w:rPr>
            </w:pPr>
            <w:r>
              <w:rPr>
                <w:rFonts w:ascii="Times New Roman" w:cs="Times New Roman" w:eastAsia="Times New Roman" w:hAnsi="Times New Roman"/>
                <w:sz w:val="16"/>
                <w:szCs w:val="16"/>
                <w:color w:val="auto"/>
              </w:rPr>
              <w:t>100% / 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right="698"/>
              <w:spacing w:after="0"/>
              <w:rPr>
                <w:sz w:val="20"/>
                <w:szCs w:val="20"/>
                <w:color w:val="auto"/>
              </w:rPr>
            </w:pPr>
            <w:r>
              <w:rPr>
                <w:rFonts w:ascii="Times New Roman" w:cs="Times New Roman" w:eastAsia="Times New Roman" w:hAnsi="Times New Roman"/>
                <w:sz w:val="16"/>
                <w:szCs w:val="16"/>
                <w:color w:val="auto"/>
              </w:rPr>
              <w:t>89% / 86%</w:t>
            </w:r>
          </w:p>
        </w:tc>
        <w:tc>
          <w:tcPr>
            <w:tcW w:w="0" w:type="dxa"/>
            <w:vAlign w:val="bottom"/>
          </w:tcPr>
          <w:p>
            <w:pPr>
              <w:spacing w:after="0"/>
              <w:rPr>
                <w:sz w:val="1"/>
                <w:szCs w:val="1"/>
                <w:color w:val="auto"/>
              </w:rPr>
            </w:pPr>
          </w:p>
        </w:tc>
      </w:tr>
      <w:tr>
        <w:trPr>
          <w:trHeight w:val="394"/>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follows:</w:t>
            </w:r>
          </w:p>
        </w:tc>
        <w:tc>
          <w:tcPr>
            <w:tcW w:w="8360" w:type="dxa"/>
            <w:vAlign w:val="bottom"/>
            <w:gridSpan w:val="14"/>
          </w:tcPr>
          <w:p>
            <w:pPr>
              <w:jc w:val="right"/>
              <w:spacing w:after="0"/>
              <w:rPr>
                <w:sz w:val="20"/>
                <w:szCs w:val="20"/>
                <w:color w:val="auto"/>
              </w:rPr>
            </w:pPr>
            <w:r>
              <w:rPr>
                <w:rFonts w:ascii="Times New Roman" w:cs="Times New Roman" w:eastAsia="Times New Roman" w:hAnsi="Times New Roman"/>
                <w:sz w:val="16"/>
                <w:szCs w:val="16"/>
                <w:color w:val="auto"/>
              </w:rPr>
              <w:t>The information on lease expirations of our total income property portfolio for each of the ten years starting with 2023 is as</w:t>
            </w:r>
          </w:p>
        </w:tc>
        <w:tc>
          <w:tcPr>
            <w:tcW w:w="0" w:type="dxa"/>
            <w:vAlign w:val="bottom"/>
          </w:tcPr>
          <w:p>
            <w:pPr>
              <w:spacing w:after="0"/>
              <w:rPr>
                <w:sz w:val="1"/>
                <w:szCs w:val="1"/>
                <w:color w:val="auto"/>
              </w:rPr>
            </w:pPr>
          </w:p>
        </w:tc>
      </w:tr>
      <w:tr>
        <w:trPr>
          <w:trHeight w:val="197"/>
        </w:trPr>
        <w:tc>
          <w:tcPr>
            <w:tcW w:w="5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Rents</w:t>
            </w:r>
          </w:p>
        </w:tc>
        <w:tc>
          <w:tcPr>
            <w:tcW w:w="1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Gross</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 of Tenant Leases</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 Square Feet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2"/>
          </w:tcPr>
          <w:p>
            <w:pPr>
              <w:jc w:val="center"/>
              <w:ind w:right="38"/>
              <w:spacing w:after="0" w:line="197" w:lineRule="exact"/>
              <w:rPr>
                <w:sz w:val="20"/>
                <w:szCs w:val="20"/>
                <w:color w:val="auto"/>
              </w:rPr>
            </w:pPr>
            <w:r>
              <w:rPr>
                <w:rFonts w:ascii="Times New Roman" w:cs="Times New Roman" w:eastAsia="Times New Roman" w:hAnsi="Times New Roman"/>
                <w:sz w:val="15"/>
                <w:szCs w:val="15"/>
                <w:b w:val="1"/>
                <w:bCs w:val="1"/>
                <w:color w:val="auto"/>
              </w:rPr>
              <w:t xml:space="preserve">Expiring </w:t>
            </w:r>
            <w:r>
              <w:rPr>
                <w:rFonts w:ascii="Times New Roman" w:cs="Times New Roman" w:eastAsia="Times New Roman" w:hAnsi="Times New Roman"/>
                <w:sz w:val="22"/>
                <w:szCs w:val="22"/>
                <w:b w:val="1"/>
                <w:bCs w:val="1"/>
                <w:color w:val="auto"/>
                <w:vertAlign w:val="superscript"/>
              </w:rPr>
              <w:t>(1)</w:t>
            </w:r>
          </w:p>
        </w:tc>
        <w:tc>
          <w:tcPr>
            <w:tcW w:w="1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Rents</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Expiring</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of Leases Expiring</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($000's)</w:t>
            </w:r>
          </w:p>
        </w:tc>
        <w:tc>
          <w:tcPr>
            <w:tcW w:w="180" w:type="dxa"/>
            <w:vAlign w:val="bottom"/>
          </w:tcPr>
          <w:p>
            <w:pPr>
              <w:spacing w:after="0"/>
              <w:rPr>
                <w:sz w:val="19"/>
                <w:szCs w:val="19"/>
                <w:color w:val="auto"/>
              </w:rPr>
            </w:pPr>
          </w:p>
        </w:tc>
        <w:tc>
          <w:tcPr>
            <w:tcW w:w="1580" w:type="dxa"/>
            <w:vAlign w:val="bottom"/>
          </w:tcPr>
          <w:p>
            <w:pPr>
              <w:jc w:val="center"/>
              <w:spacing w:after="0" w:line="224" w:lineRule="exact"/>
              <w:rPr>
                <w:sz w:val="20"/>
                <w:szCs w:val="20"/>
                <w:color w:val="auto"/>
              </w:rPr>
            </w:pPr>
            <w:r>
              <w:rPr>
                <w:rFonts w:ascii="Times New Roman" w:cs="Times New Roman" w:eastAsia="Times New Roman" w:hAnsi="Times New Roman"/>
                <w:sz w:val="16"/>
                <w:szCs w:val="16"/>
                <w:b w:val="1"/>
                <w:bCs w:val="1"/>
                <w:color w:val="auto"/>
                <w:w w:val="98"/>
              </w:rPr>
              <w:t xml:space="preserve">Expiring </w:t>
            </w:r>
            <w:r>
              <w:rPr>
                <w:rFonts w:ascii="Times New Roman" w:cs="Times New Roman" w:eastAsia="Times New Roman" w:hAnsi="Times New Roman"/>
                <w:sz w:val="24"/>
                <w:szCs w:val="24"/>
                <w:b w:val="1"/>
                <w:bCs w:val="1"/>
                <w:color w:val="auto"/>
                <w:w w:val="98"/>
                <w:vertAlign w:val="superscript"/>
              </w:rPr>
              <w:t>(1)</w:t>
            </w:r>
          </w:p>
        </w:tc>
        <w:tc>
          <w:tcPr>
            <w:tcW w:w="0" w:type="dxa"/>
            <w:vAlign w:val="bottom"/>
          </w:tcPr>
          <w:p>
            <w:pPr>
              <w:spacing w:after="0"/>
              <w:rPr>
                <w:sz w:val="1"/>
                <w:szCs w:val="1"/>
                <w:color w:val="auto"/>
              </w:rPr>
            </w:pPr>
          </w:p>
        </w:tc>
      </w:tr>
      <w:tr>
        <w:trPr>
          <w:trHeight w:val="189"/>
        </w:trPr>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278,924</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w:t>
            </w: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203,875</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207,985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566,043</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11,391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613,987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12,698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3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147,988</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2031</w:t>
            </w:r>
          </w:p>
        </w:tc>
        <w:tc>
          <w:tcPr>
            <w:tcW w:w="3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2032</w:t>
            </w:r>
          </w:p>
        </w:tc>
        <w:tc>
          <w:tcPr>
            <w:tcW w:w="36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168,142</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51435</wp:posOffset>
            </wp:positionV>
            <wp:extent cx="142113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1130" cy="15875"/>
                    </a:xfrm>
                    <a:prstGeom prst="rect">
                      <a:avLst/>
                    </a:prstGeom>
                    <a:noFill/>
                  </pic:spPr>
                </pic:pic>
              </a:graphicData>
            </a:graphic>
          </wp:anchor>
        </w:drawing>
      </w:r>
    </w:p>
    <w:p>
      <w:pPr>
        <w:spacing w:after="0" w:line="139" w:lineRule="exact"/>
        <w:rPr>
          <w:sz w:val="20"/>
          <w:szCs w:val="20"/>
          <w:color w:val="auto"/>
        </w:rPr>
      </w:pPr>
    </w:p>
    <w:p>
      <w:pPr>
        <w:ind w:left="340" w:hanging="304"/>
        <w:spacing w:after="0"/>
        <w:tabs>
          <w:tab w:leader="none" w:pos="34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Annual Rents consist of the in-place base rent to be received pursuant to each lease agreement (i.e. not on a straight-line basis).</w:t>
      </w:r>
    </w:p>
    <w:p>
      <w:pPr>
        <w:spacing w:after="0" w:line="186"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majority of leases have additional option periods beyond the original term of the lease, which typically are exercisable at the tenant’s option.</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MANAGEMENT SERVICES BUSINESS</w:t>
      </w:r>
    </w:p>
    <w:p>
      <w:pPr>
        <w:spacing w:after="0" w:line="21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Our business plan includes generating revenue from managing PINE. Pursuant to the management agreement with PINE, the Company generates a base management fee equal to 1.5% of PINE’s total equity.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to the terms of an annual incentive fee, as further described in Note 5, “Related Party Management Services Business” in the notes to the consolidated financial statements in Item 8.</w:t>
      </w:r>
    </w:p>
    <w:p>
      <w:pPr>
        <w:spacing w:after="0" w:line="163"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During the year ended December 31, 2021, the Company also generated management fees as the Land JV manager. Pursuant to the terms of the operating agreement for the Land JV, the initial amount of the management fee was $20,000 per month. The management fee was evaluated quarterly, and as land sales occurred in the Land JV, the basis for our management fee was reduced as the management fee was based on the value of real property that remained in the Land JV. The monthly management fee as of December 31, 2021, was $10,000 per month. As a result of the Land JV Sale, no management fees pertaining to the Land JV were earned during the year end December 31, 2022.</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COMMERCIAL LOANS AND INVESTMENTS</w:t>
      </w:r>
    </w:p>
    <w:p>
      <w:pPr>
        <w:spacing w:after="0" w:line="21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6"/>
          <w:szCs w:val="16"/>
          <w:color w:val="auto"/>
        </w:rPr>
        <w:t>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57" w:lineRule="exact"/>
        <w:rPr>
          <w:sz w:val="20"/>
          <w:szCs w:val="20"/>
          <w:color w:val="auto"/>
        </w:rPr>
      </w:pPr>
    </w:p>
    <w:p>
      <w:pPr>
        <w:jc w:val="both"/>
        <w:ind w:left="40" w:right="59" w:firstLine="402"/>
        <w:spacing w:after="0" w:line="270" w:lineRule="auto"/>
        <w:rPr>
          <w:sz w:val="20"/>
          <w:szCs w:val="20"/>
          <w:color w:val="auto"/>
        </w:rPr>
      </w:pPr>
      <w:r>
        <w:rPr>
          <w:rFonts w:ascii="Times New Roman" w:cs="Times New Roman" w:eastAsia="Times New Roman" w:hAnsi="Times New Roman"/>
          <w:sz w:val="16"/>
          <w:szCs w:val="16"/>
          <w:i w:val="1"/>
          <w:iCs w:val="1"/>
          <w:color w:val="auto"/>
        </w:rPr>
        <w:t>2022 Commercial Loans and Investments Portfolio</w:t>
      </w:r>
      <w:r>
        <w:rPr>
          <w:rFonts w:ascii="Times New Roman" w:cs="Times New Roman" w:eastAsia="Times New Roman" w:hAnsi="Times New Roman"/>
          <w:sz w:val="16"/>
          <w:szCs w:val="16"/>
          <w:color w:val="auto"/>
        </w:rPr>
        <w:t>. During the year ended December 31, 2022, the Company originated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loans and one preferred equity investment for a total investment of $53.4 million and received cash repayments of principal totaling $22.3 million. As of December 31, 2022, the Company’s commercial loans and investments portfolio included three commercial loan investments and one preferred equity investment with a carrying value of $31.9 million.</w:t>
      </w:r>
    </w:p>
    <w:p>
      <w:pPr>
        <w:spacing w:after="0" w:line="156" w:lineRule="exact"/>
        <w:rPr>
          <w:sz w:val="20"/>
          <w:szCs w:val="20"/>
          <w:color w:val="auto"/>
        </w:rPr>
      </w:pPr>
    </w:p>
    <w:p>
      <w:pPr>
        <w:jc w:val="both"/>
        <w:ind w:left="40" w:right="5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2021 Commercial Loans and Investments Portfolio</w:t>
      </w:r>
      <w:r>
        <w:rPr>
          <w:rFonts w:ascii="Times New Roman" w:cs="Times New Roman" w:eastAsia="Times New Roman" w:hAnsi="Times New Roman"/>
          <w:sz w:val="16"/>
          <w:szCs w:val="16"/>
          <w:color w:val="auto"/>
        </w:rPr>
        <w:t>. During the year ended December 31, 2021, the Company originated a loan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 sale of a land parcel with an existing structure located in Daytona Beach, Florida. The principal loan amount of $0.4 million bears interest at a fixed rate of 10.00% and has an initial term of 1.5 years. As of December 31, 2021, the Company’s commercial loans and investments portfolio included two commercial loan investments and two commercial properties with a carrying value of $39.1 million.</w:t>
      </w:r>
    </w:p>
    <w:p>
      <w:pPr>
        <w:spacing w:after="0" w:line="157"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2020 Commercial Loans and Investments Portfolio. </w:t>
      </w:r>
      <w:r>
        <w:rPr>
          <w:rFonts w:ascii="Times New Roman" w:cs="Times New Roman" w:eastAsia="Times New Roman" w:hAnsi="Times New Roman"/>
          <w:sz w:val="16"/>
          <w:szCs w:val="16"/>
          <w:color w:val="auto"/>
        </w:rPr>
        <w:t>During the year ended December 31, 2020, the Company invested in four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 loans totaling $28.2 million including one $21.0 million master lease classified as a commercial loan due to future repurchase rights. In addition, the Company generated aggregate proceeds of $23.0 million resulting from (i) the sale of four of its commercial loans and investments for $20.0 million, of which the Company recognized a loss of $0.4 million, (ii) the repayment of its $2.0 million loan provided to the buyer of the Company’s former golf operations, and (iii) a $1.0 million principal payment on a loan prior to its disposal. In connection with marketing the loan portfolio in advance of their upcoming maturities, the Company recognized an aggregate impairment charge on the loan portfolio of $1.9 million. As of December 31, 2020, the Company’s commercial loans and investment portfolio included one commercial loan investment and two commercial properties with a carrying value of $38.3 million.</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REAL ESTATE OPERATIONS</w:t>
      </w:r>
    </w:p>
    <w:p>
      <w:pPr>
        <w:spacing w:after="0" w:line="248" w:lineRule="exact"/>
        <w:rPr>
          <w:sz w:val="20"/>
          <w:szCs w:val="20"/>
          <w:color w:val="auto"/>
        </w:rPr>
      </w:pPr>
    </w:p>
    <w:p>
      <w:pPr>
        <w:jc w:val="both"/>
        <w:ind w:left="40" w:right="5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Mitigation Credits and Mitigation Credit Rights. </w:t>
      </w:r>
      <w:r>
        <w:rPr>
          <w:rFonts w:ascii="Times New Roman" w:cs="Times New Roman" w:eastAsia="Times New Roman" w:hAnsi="Times New Roman"/>
          <w:sz w:val="16"/>
          <w:szCs w:val="16"/>
          <w:color w:val="auto"/>
        </w:rPr>
        <w:t>The Company owns mitigation credits and mitigation credit rights with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cost basis of $2.6 million as of December 31, 2022, representing a $22.1 million decrease from the balance as of December 31, 2021. 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w:t>
      </w:r>
    </w:p>
    <w:p>
      <w:pPr>
        <w:spacing w:after="0" w:line="184"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Revenues and the cost of sales of mitigation credit sales are reported as revenues from, and direct costs of, real estate operations, respectively, in the consolidated statements of operations. During the year ended December 31, 2022, the Company sold 34 mitigation credits for proceeds of $3.5 million with a cost basis of $2.3 million. During the year ended December 31, 2021, the Company sold six mitigation credits for proceeds of $0.7 million with a cost basis of $0.5 million. Additionally, two mitigation credits with a cost basis of $0.1 million were accrued for as an expense during the year ended December 31, 2021, as such credits are to be provided to buyers of land at no cost. Mitigation credit sales totaled less than $0.1 million during the year ended December 31, 2020, which sales were offset by an aggregate charge to cost of sales totaling $3.1 million, comprised of (i) 42 mitigation credits with a cost basis of $2.9 million that were provided at no cost to buyers, (ii) the Company’s purchase of two mitigation credits for $0.2 million, and (iii) 31 mitigation credits with a cost basis of less than $0.1 million transferred to buyers of land previously sold and of which costs were accrued for in prior years at the time of the original land sale. Additionally, during the year ended December 31, 2020, the Company transferred 13.31 federal mitigation credits to the permit related to the land that gave rise to an environmental restoration matter that has been fully resolved as of December 31, 2021. These credits had an aggregate cost basis of $0.1 million and are included in general and administrative expenses in the consolidated statements of operations for the year ended December 31, 2020.</w:t>
      </w:r>
    </w:p>
    <w:p>
      <w:pPr>
        <w:spacing w:after="0" w:line="208"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Subsurface Interests. </w:t>
      </w:r>
      <w:r>
        <w:rPr>
          <w:rFonts w:ascii="Times New Roman" w:cs="Times New Roman" w:eastAsia="Times New Roman" w:hAnsi="Times New Roman"/>
          <w:sz w:val="16"/>
          <w:szCs w:val="16"/>
          <w:color w:val="auto"/>
        </w:rPr>
        <w:t>As of December 31, 2022, the Company owns 355,000 acres of Subsurface Interests. The Company leases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year ended December 31, 2022, the Company sold approximately 14,600 acres of subsurface oil, gas, and mineral rights for a sales price of $1.7 million. During the year ended December 31, 2021, the Company sold approximately 84,900 acres of subsurface oil, gas, and mineral rights for a sales price of $4.6</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million. During the year ended December 31, 2020, the Company sold 345 acres of subsurface interests totaling $0.4 million.</w:t>
      </w:r>
    </w:p>
    <w:p>
      <w:pPr>
        <w:spacing w:after="0" w:line="246"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During the years ended December 31, 2022, 2021, and 2020, the Company also received oil royalties from operating oil wells on 800 acres under a separate lease with a separate operator. Revenues received from oil royalties totaled less than $0.1 million during each respective year.</w:t>
      </w:r>
    </w:p>
    <w:p>
      <w:pPr>
        <w:spacing w:after="0" w:line="177"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Section 1031 like-kind exchange structure in acquiring one or more replacement investments including income-producing properties. Cash payments for the release of surface entry rights totaled $0.2 million, $0.1 million, and $0.2 million during the years ended December 31, 2022, 2021 and 2020, respectively.</w:t>
      </w:r>
    </w:p>
    <w:p>
      <w:pPr>
        <w:spacing w:after="0" w:line="161" w:lineRule="exact"/>
        <w:rPr>
          <w:sz w:val="20"/>
          <w:szCs w:val="20"/>
          <w:color w:val="auto"/>
        </w:rPr>
      </w:pPr>
    </w:p>
    <w:p>
      <w:pPr>
        <w:jc w:val="both"/>
        <w:ind w:left="40" w:right="39" w:firstLine="40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Land Impairments. </w:t>
      </w:r>
      <w:r>
        <w:rPr>
          <w:rFonts w:ascii="Times New Roman" w:cs="Times New Roman" w:eastAsia="Times New Roman" w:hAnsi="Times New Roman"/>
          <w:sz w:val="16"/>
          <w:szCs w:val="16"/>
          <w:color w:val="auto"/>
        </w:rPr>
        <w:t>There were no impairment charges on the Company’s undeveloped land holdings, or its income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during the years ended December 31, 2022, 2021, or 2020. The $17.6 million impairment charge recognized during the year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to Timberline Acquisition Partners, an affiliate of Timberline Real Estate Partners (“Timberline”), for a final sales price of $66.3 million.</w:t>
      </w:r>
    </w:p>
    <w:p>
      <w:pPr>
        <w:spacing w:after="0" w:line="160"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Additionally, during the year ended December 31, 2020, the Company recognized an aggregate $7.2 million impairment charge comprised of a $0.1 million impairment charge on one of the land parcels included in the Daytona Beach Development and a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REIT CONVERSION</w:t>
      </w:r>
    </w:p>
    <w:p>
      <w:pPr>
        <w:spacing w:after="0" w:line="21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On September 3, 2020, the Board unanimously approved a plan for the Company to elect to be subject to tax as a REIT for U.S. federal income tax purposes commencing with its taxable year ended December 31, 2020. Subsequently, during a special meeting of stockholders held on November 9, 2020, the Company’s stockholders approved the merger of CTO Realty Growth, Inc., a Florida corporation (“CTO FL”), with and into CTO NEWCO REIT, Inc. (“CTO MD”), a wholly owned Maryland subsidiary of CTO FL (the “Merger”) in order to reincorporate in Maryland and facilitate its ongoing compliance with the REIT requirements by ensuring that certain standard REIT ownership limitations and transfer restrictions apply to CTO’s capital stock.</w:t>
      </w:r>
    </w:p>
    <w:p>
      <w:pPr>
        <w:spacing w:after="0" w:line="200"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pacing w:after="0" w:line="189"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In order to comply with certain REIT requirements set forth in the Code, we hold certain of our non-REIT assets and operations through taxable REIT subsidiaries (“TRSs”) and subsidiaries of TRSs. A TRS is a subsidiary of a REIT that is generally subject to U.S. federal corporate income tax on its earnings. Net income from our TRSs either will be retained by our TRSs and used to fund their operations, or will be distributed to us, where it will either be reinvested by us into our business or available for distribution to our stockholders. However, distributions from our TRSs to us will not produce qualifying income for purposes of the 75% gross income test applicable to REITs and thus may be limited.</w:t>
      </w:r>
    </w:p>
    <w:p>
      <w:pPr>
        <w:spacing w:after="0" w:line="187"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To maintain its qualification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6"/>
          <w:szCs w:val="16"/>
          <w:color w:val="auto"/>
        </w:rPr>
        <w:t>income tax on its taxable income at regular corporate rates and generally will not be permitted to qualify for treatment as a REIT for the four taxable years following the year during which qualification is lost unless the Internal Revenue Service (“IRS”)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98"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In connection with the REIT conversion, on November 9, 2020, the Board declared a special distribution on its shares of common stock in an aggregate amount of $55.8 million (the “Special Distribution”), payable in cash and shares of the Company’s common stock, in order to distribute the Company’s previously undistributed earnings and profits attributable to taxable periods ended on or prior to December 31, 2019, as required in connection with the Company’s election to be taxable as a REIT. The Special Distribution was paid on December 21, 2020 to stockholders of record as of the close of business on November 19, 2020 through an aggregate of $5.6 million in cash and the issuance of 1,198,963 shares of the Company’s common stock.</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REIT CONVERSION MERGER</w:t>
      </w:r>
    </w:p>
    <w:p>
      <w:pPr>
        <w:spacing w:after="0" w:line="213"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On January 29, 2021, in connection with the REIT conversion, the Company completed the Merger. 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See Note 13, “Equity” for the Company’s disclosure related to the equity adjustments recorded during the three months ended March 31, 2021 in connection with the Merger.</w:t>
      </w:r>
    </w:p>
    <w:p>
      <w:pPr>
        <w:spacing w:after="0" w:line="163"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COMPETITION</w:t>
      </w:r>
    </w:p>
    <w:p>
      <w:pPr>
        <w:spacing w:after="0" w:line="214"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The real estate industry is, in general, a highly competitive industry. Our business plan is focused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income properties, price is the principal method of competition, with transaction structure and certainty of execution also being significant considerations for potential sellers. Should we need to re-lease our single-tenant income properties or space(s) in our multi-tenant properties, we would compete with many other property owners in the local market based on, among other elements, price, location of our property, potential tenant improvements, and lease term.</w:t>
      </w:r>
    </w:p>
    <w:p>
      <w:pPr>
        <w:spacing w:after="0" w:line="167" w:lineRule="exact"/>
        <w:rPr>
          <w:sz w:val="20"/>
          <w:szCs w:val="20"/>
          <w:color w:val="auto"/>
        </w:rPr>
      </w:pPr>
    </w:p>
    <w:p>
      <w:pPr>
        <w:jc w:val="both"/>
        <w:ind w:left="40" w:right="59" w:firstLine="402"/>
        <w:spacing w:after="0" w:line="263" w:lineRule="auto"/>
        <w:rPr>
          <w:sz w:val="20"/>
          <w:szCs w:val="20"/>
          <w:color w:val="auto"/>
        </w:rPr>
      </w:pPr>
      <w:r>
        <w:rPr>
          <w:rFonts w:ascii="Times New Roman" w:cs="Times New Roman" w:eastAsia="Times New Roman" w:hAnsi="Times New Roman"/>
          <w:sz w:val="16"/>
          <w:szCs w:val="16"/>
          <w:color w:val="auto"/>
        </w:rPr>
        <w:t>Our business plan may also focus on investing in commercial real estate through the acquisition or origination of mortgage financings secured by commercial real estate. Competition for investing in commercial mortgage loans and similar financial instruments can include financial institutions such as banks, life insurance companies, institutional investors such as pension funds, and other lenders including mortgage REITs, REITs, and high net worth investors. The organizations that we compete with are of varying sizes, ranging from organizations with local operations to organizations with national scale and reach. Competition from these interested parties is based on, amongst other things, pricing or rate, financing structure, and other elements of the typical terms and conditions of a real estate financing.</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REGULATION</w:t>
      </w:r>
    </w:p>
    <w:p>
      <w:pPr>
        <w:spacing w:after="0" w:line="212" w:lineRule="exact"/>
        <w:rPr>
          <w:sz w:val="20"/>
          <w:szCs w:val="20"/>
          <w:color w:val="auto"/>
        </w:rPr>
      </w:pPr>
    </w:p>
    <w:p>
      <w:pPr>
        <w:jc w:val="both"/>
        <w:ind w:left="40" w:right="39" w:firstLine="402"/>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Our properties are subject to various laws, ordinances and regulations, including those relating to fire and safety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40" w:right="39" w:firstLine="40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Americans With Disabilities Act. </w:t>
      </w:r>
      <w:r>
        <w:rPr>
          <w:rFonts w:ascii="Times New Roman" w:cs="Times New Roman" w:eastAsia="Times New Roman" w:hAnsi="Times New Roman"/>
          <w:sz w:val="16"/>
          <w:szCs w:val="16"/>
          <w:color w:val="auto"/>
        </w:rPr>
        <w:t>Under Title III of the Americans with Disabilities Act (“ADA”), and rules promulgated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60"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ENVIRONMENTAL MATTERS</w:t>
      </w:r>
    </w:p>
    <w:p>
      <w:pPr>
        <w:spacing w:after="0" w:line="214"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170"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71"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95" w:lineRule="auto"/>
        <w:rPr>
          <w:sz w:val="20"/>
          <w:szCs w:val="20"/>
          <w:color w:val="auto"/>
        </w:rPr>
      </w:pPr>
      <w:r>
        <w:rPr>
          <w:rFonts w:ascii="Times New Roman" w:cs="Times New Roman" w:eastAsia="Times New Roman" w:hAnsi="Times New Roman"/>
          <w:sz w:val="16"/>
          <w:szCs w:val="16"/>
          <w:color w:val="auto"/>
        </w:rPr>
        <w:t>provide for fines to, and for third parties to seek recovery from, owners or operators of real properties for personal injury or improper work exposure associated with ACM.</w:t>
      </w:r>
    </w:p>
    <w:p>
      <w:pPr>
        <w:spacing w:after="0" w:line="138"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pacing w:after="0" w:line="167"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We obtain Phase I environmental assessments on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368"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59" w:lineRule="exact"/>
        <w:rPr>
          <w:sz w:val="20"/>
          <w:szCs w:val="20"/>
          <w:color w:val="auto"/>
        </w:rPr>
      </w:pPr>
    </w:p>
    <w:p>
      <w:pPr>
        <w:jc w:val="both"/>
        <w:ind w:left="40" w:right="39" w:firstLine="402"/>
        <w:spacing w:after="0" w:line="268" w:lineRule="auto"/>
        <w:rPr>
          <w:sz w:val="20"/>
          <w:szCs w:val="20"/>
          <w:color w:val="auto"/>
        </w:rPr>
      </w:pPr>
      <w:r>
        <w:rPr>
          <w:rFonts w:ascii="Times New Roman" w:cs="Times New Roman" w:eastAsia="Times New Roman" w:hAnsi="Times New Roman"/>
          <w:sz w:val="16"/>
          <w:szCs w:val="16"/>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HUMAN CAPITAL</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We believe that our employees are one of our greatest resources. In order to attract and retain high performing individuals, we are committed to partnering with our employees to provide opportunities for their professional development and promote their well-being. To that end, we have undertaken various initiatives, including the following:</w:t>
      </w:r>
    </w:p>
    <w:p>
      <w:pPr>
        <w:spacing w:after="0" w:line="152" w:lineRule="exact"/>
        <w:rPr>
          <w:sz w:val="20"/>
          <w:szCs w:val="20"/>
          <w:color w:val="auto"/>
        </w:rPr>
      </w:pPr>
    </w:p>
    <w:p>
      <w:pPr>
        <w:ind w:left="740" w:hanging="286"/>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opportunities to participate in industry conferences;</w:t>
      </w:r>
    </w:p>
    <w:p>
      <w:pPr>
        <w:spacing w:after="0" w:line="30" w:lineRule="exact"/>
        <w:rPr>
          <w:rFonts w:ascii="Times New Roman" w:cs="Times New Roman" w:eastAsia="Times New Roman" w:hAnsi="Times New Roman"/>
          <w:sz w:val="16"/>
          <w:szCs w:val="16"/>
          <w:color w:val="auto"/>
        </w:rPr>
      </w:pPr>
    </w:p>
    <w:p>
      <w:pPr>
        <w:ind w:left="740" w:right="59" w:hanging="286"/>
        <w:spacing w:after="0" w:line="256"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regular feedback to assist in employee development and providing opportunities for employees to provide suggestions to management and safely register complaints;</w:t>
      </w:r>
    </w:p>
    <w:p>
      <w:pPr>
        <w:ind w:left="740" w:hanging="286"/>
        <w:spacing w:after="0"/>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focusing on creating a workplace that values employee health and safety;</w:t>
      </w:r>
    </w:p>
    <w:p>
      <w:pPr>
        <w:spacing w:after="0" w:line="12" w:lineRule="exact"/>
        <w:rPr>
          <w:rFonts w:ascii="Times New Roman" w:cs="Times New Roman" w:eastAsia="Times New Roman" w:hAnsi="Times New Roman"/>
          <w:sz w:val="16"/>
          <w:szCs w:val="16"/>
          <w:color w:val="auto"/>
        </w:rPr>
      </w:pPr>
    </w:p>
    <w:p>
      <w:pPr>
        <w:jc w:val="both"/>
        <w:ind w:left="740" w:right="59" w:hanging="286"/>
        <w:spacing w:after="0" w:line="256"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committing to the full inclusion of all qualified employees and applicants and providing equal employment opportunities to all persons, in accordance with the principles of the Equal Employment Opportunities Commission and the principles of the ADA; and</w:t>
      </w:r>
    </w:p>
    <w:p>
      <w:pPr>
        <w:spacing w:after="0" w:line="1" w:lineRule="exact"/>
        <w:rPr>
          <w:rFonts w:ascii="Times New Roman" w:cs="Times New Roman" w:eastAsia="Times New Roman" w:hAnsi="Times New Roman"/>
          <w:sz w:val="16"/>
          <w:szCs w:val="16"/>
          <w:color w:val="auto"/>
        </w:rPr>
      </w:pPr>
    </w:p>
    <w:p>
      <w:pPr>
        <w:ind w:left="740" w:right="59" w:hanging="286"/>
        <w:spacing w:after="0" w:line="273" w:lineRule="auto"/>
        <w:tabs>
          <w:tab w:leader="none" w:pos="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appreciating the many contributions of a diverse workforce, understanding that diverse backgrounds bring diverse perspectives, and result in unique insights.</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At December 31, 2022, the Company had 26 full-time employees and considers its employee relations to be satisfactory.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AVAILABLE INFORMATION</w:t>
      </w:r>
    </w:p>
    <w:p>
      <w:pPr>
        <w:spacing w:after="0" w:line="21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Company’s executive offices are located at 369 N. New York Avenue, Suite 201 Winter Park, Florida, and its telephone number is (407) 904-3324.</w:t>
      </w:r>
    </w:p>
    <w:p>
      <w:pPr>
        <w:spacing w:after="0" w:line="138"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The Company’s website is www.ctoreit.com. The Company intends to comply with the requirements of Item 5.05 of Form 8-K regarding amendments to and waivers under the code of business conduct and ethics applicable to its Chief Executive Officer, Principal Financial Officer and Principal Accounting Officer by providing such information on its website within four days after effecting any amendment to, or granting any waiver under, that code, and we will maintain such information on our website for at least twelve months. The information contained on the Company’s website does not constitute part of this Annual Report on Form 10-K.</w:t>
      </w:r>
    </w:p>
    <w:p>
      <w:pPr>
        <w:spacing w:after="0" w:line="161"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On the Company’s website you can also obtain, free of charge, a copy of this Annual Report on Form 10-K, quarterly reports on Form 10-Q, current reports on Form 8-K and amendments to those reports filed or furnished pursuant to Section 13(a) or 15(d) of the Exchange Act, as soon as reasonably practicable, after the Company files such material electronically with, or furnish it to, the Securities and Exchange Commission (“Commission” or “SEC”). The public may read and obtain a copy of any materials the Company files electronically with the Commission at www.sec.gov.</w:t>
      </w:r>
    </w:p>
    <w:p>
      <w:pPr>
        <w:spacing w:after="0" w:line="157"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SUMMARY OF RISK FACTORS</w:t>
      </w:r>
    </w:p>
    <w:p>
      <w:pPr>
        <w:spacing w:after="0" w:line="213"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securities.</w:t>
      </w:r>
    </w:p>
    <w:p>
      <w:pPr>
        <w:spacing w:after="0" w:line="159" w:lineRule="exact"/>
        <w:rPr>
          <w:sz w:val="20"/>
          <w:szCs w:val="20"/>
          <w:color w:val="auto"/>
        </w:rPr>
      </w:pPr>
    </w:p>
    <w:p>
      <w:pPr>
        <w:ind w:left="1040" w:right="59" w:hanging="291"/>
        <w:spacing w:after="0" w:line="267"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related to the ownership of commercial real estate that could affect the performance and value of our properties.</w:t>
      </w:r>
    </w:p>
    <w:p>
      <w:pPr>
        <w:spacing w:after="0" w:line="1"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U.S., global and local regions or markets that impact our tenants’ businesses may materially and adversely affect us generally and the ability of our tenants to make rental payments to us pursuant to our leases.</w:t>
      </w:r>
    </w:p>
    <w:p>
      <w:pPr>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is dependent upon our tenants successfully operating their businesses, and their failure to do so could materially and adversely affect us.</w:t>
      </w:r>
    </w:p>
    <w:p>
      <w:pPr>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revenues from our income property portfolio or certain tenants would adversely impact our results of operations and cash flows.</w:t>
      </w:r>
    </w:p>
    <w:p>
      <w:pPr>
        <w:jc w:val="both"/>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1" w:lineRule="exact"/>
        <w:rPr>
          <w:rFonts w:ascii="Times New Roman" w:cs="Times New Roman" w:eastAsia="Times New Roman" w:hAnsi="Times New Roman"/>
          <w:sz w:val="16"/>
          <w:szCs w:val="16"/>
          <w:color w:val="auto"/>
        </w:rPr>
      </w:pPr>
    </w:p>
    <w:p>
      <w:pPr>
        <w:jc w:val="both"/>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spacing w:after="0" w:line="1" w:lineRule="exact"/>
        <w:rPr>
          <w:rFonts w:ascii="Times New Roman" w:cs="Times New Roman" w:eastAsia="Times New Roman" w:hAnsi="Times New Roman"/>
          <w:sz w:val="16"/>
          <w:szCs w:val="16"/>
          <w:color w:val="auto"/>
        </w:rPr>
      </w:pPr>
    </w:p>
    <w:p>
      <w:pPr>
        <w:jc w:val="both"/>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1" w:lineRule="exact"/>
        <w:rPr>
          <w:rFonts w:ascii="Times New Roman" w:cs="Times New Roman" w:eastAsia="Times New Roman" w:hAnsi="Times New Roman"/>
          <w:sz w:val="16"/>
          <w:szCs w:val="16"/>
          <w:color w:val="auto"/>
        </w:rPr>
      </w:pPr>
    </w:p>
    <w:p>
      <w:pPr>
        <w:jc w:val="both"/>
        <w:ind w:left="1040" w:right="59" w:hanging="291"/>
        <w:spacing w:after="0" w:line="256"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6"/>
          <w:szCs w:val="16"/>
          <w:color w:val="auto"/>
        </w:rPr>
      </w:pPr>
    </w:p>
    <w:p>
      <w:pPr>
        <w:jc w:val="both"/>
        <w:ind w:left="1040" w:right="59" w:hanging="291"/>
        <w:spacing w:after="0" w:line="264"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40" w:right="59" w:hanging="291"/>
        <w:spacing w:after="0" w:line="267"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 of our investment strategy is focused on investing in commercial loans and investments which may involve credit risk.</w:t>
      </w:r>
    </w:p>
    <w:p>
      <w:pPr>
        <w:spacing w:after="0" w:line="1"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invest in fixed-rate loan investments, and an increase in interest rates may adversely affect the value of these investments, which could adversely impact our financial condition, results of operations and cash flows.</w:t>
      </w:r>
    </w:p>
    <w:p>
      <w:pPr>
        <w:jc w:val="both"/>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loans or similar financings we may acquire that are secured by commercial real estate typically depend on the ability of the property owner to generate income from operating the property. Failure to do so may result in delinquency and/or foreclosure.</w:t>
      </w:r>
    </w:p>
    <w:p>
      <w:pPr>
        <w:spacing w:after="0" w:line="1"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suffer losses when a borrower defaults on a loan and the value of the underlying collateral is less than the amount due.</w:t>
      </w:r>
    </w:p>
    <w:p>
      <w:pPr>
        <w:ind w:left="1040" w:hanging="291"/>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real estate investments are generally illiquid.</w:t>
      </w:r>
    </w:p>
    <w:p>
      <w:pPr>
        <w:spacing w:after="0" w:line="12"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a decline in the fair value of our real estate assets or investments which could result in impairments and would impact our financial condition and results of operations.</w:t>
      </w:r>
    </w:p>
    <w:p>
      <w:pPr>
        <w:jc w:val="both"/>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several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1"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be unable to obtain debt or equity capital on favorable terms, if at all, or additional borrowings may impact our liquidity or ability to monetize any assets securing such borrowings.</w:t>
      </w: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our debt requires a significant amount of cash, and we may not have sufficient cash flow from our business to service or pay our debt.</w:t>
      </w: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properties could be adversely affected in the event of natural disasters, pandemics, or other significant disruptions.</w:t>
      </w: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environmental problems which require remediation or the incurrence of significant costs to resolve, which could adversely impact our financial condition, results of operations, and cash flows.</w:t>
      </w: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remain qualified as a REIT, would cause us to be taxed as a regular corporation, which would substantially reduce funds available for distributions to our stockholders.</w:t>
      </w: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qualify as a REIT, we may face other tax liabilities that could reduce our cash flows and negatively impact our results of operations and financial condition.</w:t>
      </w:r>
    </w:p>
    <w:p>
      <w:pPr>
        <w:ind w:left="1040" w:hanging="291"/>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failed to distribute our Pre-REIT Conversion Earnings and Profits, we could fail to qualify as a REIT.</w:t>
      </w:r>
    </w:p>
    <w:p>
      <w:pPr>
        <w:spacing w:after="0" w:line="12" w:lineRule="exact"/>
        <w:rPr>
          <w:rFonts w:ascii="Times New Roman" w:cs="Times New Roman" w:eastAsia="Times New Roman" w:hAnsi="Times New Roman"/>
          <w:sz w:val="16"/>
          <w:szCs w:val="16"/>
          <w:color w:val="auto"/>
        </w:rPr>
      </w:pPr>
    </w:p>
    <w:p>
      <w:pPr>
        <w:ind w:left="1040" w:hanging="291"/>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make required distributions would subject us to U.S. federal corporate income tax.</w:t>
      </w:r>
    </w:p>
    <w:p>
      <w:pPr>
        <w:spacing w:after="0" w:line="12"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REIT requirements may limit our ability to hedge our liabilities effectively and may cause us to incur tax liabilities.</w:t>
      </w:r>
    </w:p>
    <w:p>
      <w:pPr>
        <w:ind w:left="1040" w:hanging="291"/>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prohibited transactions tax may limit our ability to dispose of our properties.</w:t>
      </w:r>
    </w:p>
    <w:p>
      <w:pPr>
        <w:spacing w:after="0" w:line="12" w:lineRule="exact"/>
        <w:rPr>
          <w:rFonts w:ascii="Times New Roman" w:cs="Times New Roman" w:eastAsia="Times New Roman" w:hAnsi="Times New Roman"/>
          <w:sz w:val="16"/>
          <w:szCs w:val="16"/>
          <w:color w:val="auto"/>
        </w:rPr>
      </w:pPr>
    </w:p>
    <w:p>
      <w:pPr>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the Board to revoke our REIT qualification without stockholder approval may cause adverse consequences to our stockholders.</w:t>
      </w:r>
    </w:p>
    <w:p>
      <w:pPr>
        <w:jc w:val="both"/>
        <w:ind w:left="1040" w:right="59" w:hanging="291"/>
        <w:spacing w:after="0" w:line="25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6"/>
          <w:szCs w:val="16"/>
          <w:color w:val="auto"/>
        </w:rPr>
      </w:pPr>
    </w:p>
    <w:p>
      <w:pPr>
        <w:ind w:left="1040" w:hanging="291"/>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payable by REITs do not qualify for the reduced tax rates available for some dividends.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RISK FACTORS</w:t>
      </w:r>
    </w:p>
    <w:p>
      <w:pPr>
        <w:spacing w:after="0" w:line="21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Our business is subject to a number of significant risks. The risks described below may not be the only risks which potentially could impact our business. These additional risks include those which are unknown now or that are currently considered immaterial. If any of the circumstances, events, or developments described below actually occur to a significant degree, our business, financial condition, results of operations, and/or cash flows could be materially adversely affected, and the trading price of our common stock and preferred stock could decline. You should carefully consider the following risks and all the other information set forth in this Annual Report on Form 10-K, including the consolidated financial statements and the notes thereto.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Business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Income Property Operations</w:t>
      </w:r>
    </w:p>
    <w:p>
      <w:pPr>
        <w:spacing w:after="0" w:line="21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the ownership of commercial real estate that could affect the performance and value of our properties.</w:t>
      </w:r>
    </w:p>
    <w:p>
      <w:pPr>
        <w:spacing w:after="0" w:line="133" w:lineRule="exact"/>
        <w:rPr>
          <w:sz w:val="20"/>
          <w:szCs w:val="20"/>
          <w:color w:val="auto"/>
        </w:rPr>
      </w:pPr>
    </w:p>
    <w:p>
      <w:pPr>
        <w:jc w:val="both"/>
        <w:ind w:left="40" w:right="39" w:firstLine="402"/>
        <w:spacing w:after="0" w:line="273" w:lineRule="auto"/>
        <w:rPr>
          <w:sz w:val="20"/>
          <w:szCs w:val="20"/>
          <w:color w:val="auto"/>
        </w:rPr>
      </w:pPr>
      <w:r>
        <w:rPr>
          <w:rFonts w:ascii="Times New Roman" w:cs="Times New Roman" w:eastAsia="Times New Roman" w:hAnsi="Times New Roman"/>
          <w:sz w:val="16"/>
          <w:szCs w:val="16"/>
          <w:color w:val="auto"/>
        </w:rPr>
        <w:t>Factors beyond our control can affect the performance and value of our properties. Our core business is the ownership of commercial properties that generate lease revenue from either a single tenant in a stand-alone property or multiple tenants occupying a single structure or multiple structures. Accordingly, our performance is subject to risks incident to the ownership of commercial real estate, including:</w:t>
      </w:r>
    </w:p>
    <w:p>
      <w:pPr>
        <w:spacing w:after="0" w:line="356" w:lineRule="exact"/>
        <w:rPr>
          <w:sz w:val="20"/>
          <w:szCs w:val="20"/>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collect rents from tenants due to financial hardship, including bankruptcy;</w:t>
      </w:r>
    </w:p>
    <w:p>
      <w:pPr>
        <w:spacing w:after="0" w:line="30" w:lineRule="exact"/>
        <w:rPr>
          <w:rFonts w:ascii="Times New Roman" w:cs="Times New Roman" w:eastAsia="Times New Roman" w:hAnsi="Times New Roman"/>
          <w:sz w:val="16"/>
          <w:szCs w:val="16"/>
          <w:color w:val="auto"/>
        </w:rPr>
      </w:pPr>
    </w:p>
    <w:p>
      <w:pPr>
        <w:ind w:left="740" w:right="59" w:hanging="286"/>
        <w:spacing w:after="0" w:line="256" w:lineRule="auto"/>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local real estate conditions in the markets where our properties are located, including the availability and demand for the properties we own;</w:t>
      </w: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trends and preferences that affect the demand for products and services offered by our tenants;</w:t>
      </w:r>
    </w:p>
    <w:p>
      <w:pPr>
        <w:spacing w:after="0" w:line="12"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national, regional and local economic conditions;</w:t>
      </w:r>
    </w:p>
    <w:p>
      <w:pPr>
        <w:spacing w:after="0" w:line="12"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lease or sell properties upon expiration or termination of existing leases;</w:t>
      </w:r>
    </w:p>
    <w:p>
      <w:pPr>
        <w:spacing w:after="0" w:line="12"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risks, including the presence of hazardous or toxic substances on our properties;</w:t>
      </w:r>
    </w:p>
    <w:p>
      <w:pPr>
        <w:spacing w:after="0" w:line="12"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subjectivity of real estate valuations and changes in such valuations over time;</w:t>
      </w:r>
    </w:p>
    <w:p>
      <w:pPr>
        <w:spacing w:after="0" w:line="12" w:lineRule="exact"/>
        <w:rPr>
          <w:rFonts w:ascii="Times New Roman" w:cs="Times New Roman" w:eastAsia="Times New Roman" w:hAnsi="Times New Roman"/>
          <w:sz w:val="16"/>
          <w:szCs w:val="16"/>
          <w:color w:val="auto"/>
        </w:rPr>
      </w:pPr>
    </w:p>
    <w:p>
      <w:pPr>
        <w:ind w:left="740" w:right="1679" w:hanging="286"/>
        <w:spacing w:after="0" w:line="256" w:lineRule="auto"/>
        <w:tabs>
          <w:tab w:leader="none" w:pos="75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illiquidity of real estate investments, which may limit our ability to modify our portfolio promptly in response to changes in economic or other conditions;</w:t>
      </w:r>
    </w:p>
    <w:p>
      <w:pPr>
        <w:ind w:left="740" w:right="1279" w:hanging="286"/>
        <w:spacing w:after="0" w:line="256" w:lineRule="auto"/>
        <w:tabs>
          <w:tab w:leader="none" w:pos="75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zoning or other local regulatory restrictions, or other factors pertaining to the local government institutions which inhibit interest in the markets in which our properties are located;</w:t>
      </w: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rates and the availability of financing;</w:t>
      </w:r>
    </w:p>
    <w:p>
      <w:pPr>
        <w:spacing w:after="0" w:line="12" w:lineRule="exact"/>
        <w:rPr>
          <w:rFonts w:ascii="Times New Roman" w:cs="Times New Roman" w:eastAsia="Times New Roman" w:hAnsi="Times New Roman"/>
          <w:sz w:val="16"/>
          <w:szCs w:val="16"/>
          <w:color w:val="auto"/>
        </w:rPr>
      </w:pPr>
    </w:p>
    <w:p>
      <w:pPr>
        <w:ind w:left="740" w:right="1319" w:hanging="286"/>
        <w:spacing w:after="0" w:line="256" w:lineRule="auto"/>
        <w:tabs>
          <w:tab w:leader="none" w:pos="75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other real estate companies similar to ours and competition for tenants, including competition based on rental rates, age and location of properties and the quality of maintenance, insurance and management services;</w:t>
      </w:r>
    </w:p>
    <w:p>
      <w:pPr>
        <w:spacing w:after="0" w:line="1" w:lineRule="exact"/>
        <w:rPr>
          <w:rFonts w:ascii="Times New Roman" w:cs="Times New Roman" w:eastAsia="Times New Roman" w:hAnsi="Times New Roman"/>
          <w:sz w:val="16"/>
          <w:szCs w:val="16"/>
          <w:color w:val="auto"/>
        </w:rPr>
      </w:pPr>
    </w:p>
    <w:p>
      <w:pPr>
        <w:ind w:left="740" w:right="59" w:hanging="286"/>
        <w:spacing w:after="0" w:line="256" w:lineRule="auto"/>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God, including natural disasters and global pandemics, such as the COVID-19 Pandemic and its variants, which impact the United States, which may result in uninsured losses;</w:t>
      </w: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war or terrorism, including consequences of terrorist attacks;</w:t>
      </w:r>
    </w:p>
    <w:p>
      <w:pPr>
        <w:spacing w:after="0" w:line="12" w:lineRule="exact"/>
        <w:rPr>
          <w:rFonts w:ascii="Times New Roman" w:cs="Times New Roman" w:eastAsia="Times New Roman" w:hAnsi="Times New Roman"/>
          <w:sz w:val="16"/>
          <w:szCs w:val="16"/>
          <w:color w:val="auto"/>
        </w:rPr>
      </w:pPr>
    </w:p>
    <w:p>
      <w:pPr>
        <w:ind w:left="740" w:right="1899" w:hanging="286"/>
        <w:spacing w:after="0" w:line="256" w:lineRule="auto"/>
        <w:tabs>
          <w:tab w:leader="none" w:pos="75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tenant preferences that reduce the attractiveness and marketability of our properties to tenants or cause decreases in market rental rates;</w:t>
      </w: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the need to periodically repair, renovate or re-lease our properties;</w:t>
      </w:r>
    </w:p>
    <w:p>
      <w:pPr>
        <w:spacing w:after="0" w:line="12"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our operations, particularly maintenance, insurance or real estate taxes</w:t>
      </w:r>
    </w:p>
    <w:p>
      <w:pPr>
        <w:spacing w:after="0" w:line="12" w:lineRule="exact"/>
        <w:rPr>
          <w:rFonts w:ascii="Times New Roman" w:cs="Times New Roman" w:eastAsia="Times New Roman" w:hAnsi="Times New Roman"/>
          <w:sz w:val="16"/>
          <w:szCs w:val="16"/>
          <w:color w:val="auto"/>
        </w:rPr>
      </w:pPr>
    </w:p>
    <w:p>
      <w:pPr>
        <w:ind w:left="7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may occur even when circumstances such as market factors and competition cause a reduction in our revenues;</w:t>
      </w:r>
    </w:p>
    <w:p>
      <w:pPr>
        <w:spacing w:after="0" w:line="12"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laws and regulations, fiscal policies and zoning ordinances and the related</w:t>
      </w:r>
    </w:p>
    <w:p>
      <w:pPr>
        <w:spacing w:after="0" w:line="12" w:lineRule="exact"/>
        <w:rPr>
          <w:rFonts w:ascii="Times New Roman" w:cs="Times New Roman" w:eastAsia="Times New Roman" w:hAnsi="Times New Roman"/>
          <w:sz w:val="16"/>
          <w:szCs w:val="16"/>
          <w:color w:val="auto"/>
        </w:rPr>
      </w:pPr>
    </w:p>
    <w:p>
      <w:pPr>
        <w:ind w:left="740" w:right="5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compliance with laws and regulations, fiscal policies and ordinances including in response to global pandemics whereby our tenants’ businesses are forced to close or remain open on a limited basis only; and</w:t>
      </w:r>
    </w:p>
    <w:p>
      <w:pPr>
        <w:ind w:left="740" w:hanging="286"/>
        <w:spacing w:after="0"/>
        <w:tabs>
          <w:tab w:leader="none" w:pos="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commodities prices.</w:t>
      </w:r>
    </w:p>
    <w:p>
      <w:pPr>
        <w:spacing w:after="0" w:line="19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occurrence of any of the risks described above may cause the performance and value of our properties to decline, which could materially and adversely affect us.</w:t>
      </w:r>
    </w:p>
    <w:p>
      <w:pPr>
        <w:spacing w:after="0" w:line="134"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33" w:lineRule="exact"/>
        <w:rPr>
          <w:sz w:val="20"/>
          <w:szCs w:val="20"/>
          <w:color w:val="auto"/>
        </w:rPr>
      </w:pPr>
    </w:p>
    <w:p>
      <w:pPr>
        <w:jc w:val="both"/>
        <w:ind w:left="40" w:right="59" w:firstLine="402"/>
        <w:spacing w:after="0" w:line="263" w:lineRule="auto"/>
        <w:rPr>
          <w:sz w:val="20"/>
          <w:szCs w:val="20"/>
          <w:color w:val="auto"/>
        </w:rPr>
      </w:pPr>
      <w:r>
        <w:rPr>
          <w:rFonts w:ascii="Times New Roman" w:cs="Times New Roman" w:eastAsia="Times New Roman" w:hAnsi="Times New Roman"/>
          <w:sz w:val="16"/>
          <w:szCs w:val="16"/>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48" w:lineRule="exact"/>
        <w:rPr>
          <w:sz w:val="20"/>
          <w:szCs w:val="20"/>
          <w:color w:val="auto"/>
        </w:rPr>
      </w:pPr>
    </w:p>
    <w:p>
      <w:pPr>
        <w:jc w:val="both"/>
        <w:ind w:left="40" w:right="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business is dependent upon our tenants successfully operating their businesses, and their failure to do so could materially and adversely affect us.</w:t>
      </w:r>
    </w:p>
    <w:p>
      <w:pPr>
        <w:spacing w:after="0" w:line="13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Each of our properties is occupied by a single tenant or multiple tenants. Therefore, the success of our investments in these properties is materially dependent upon the performance of our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To the extent we own multiple properties operated by one tenant, the general failure of that single tenant or a loss or significant decline in its business could materially and adversely affect us.</w:t>
      </w:r>
    </w:p>
    <w:p>
      <w:pPr>
        <w:spacing w:after="0" w:line="164"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spacing w:after="0" w:line="167"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Retail properties, particularly those with multiple tenants, depend on the presence of and successful operation of an anchor tenant or tenants and the failure of such tenant’s business or the loss of the anchor tenant(s) could adversely affect the overall success of our property and thereby could adversely impact our financial condition, results of operations and cash flows.</w:t>
      </w:r>
    </w:p>
    <w:p>
      <w:pPr>
        <w:spacing w:after="0" w:line="152"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Retail properties, like other properties, are subject to the risk that tenants may be unable to make their lease payments or may decline to extend a lease upon its expiration. A multi-tenant property is particularly sensitive to the risk that a tenant that occupies a large area of a commercial retail property (commonly referred to as an anchor tenant) is unable to make their lease payments, does not extend their lease upon its expiration, or otherwise vacates their rented space. A lease termination by an anchor tenant or tenants could impact leases of other tenants. Other tenants may be entitled to modify the terms of their existing leases in the event of a lease termination by an anchor tenant, or the closure of the business of an anchor tenant that leaves its space vacant even if the anchor tenant continues to pay rent. Any such modifications or conditions could be unfavorable to us as the property owner and could decrease rents or expense recoveries. Additionally, should an anchor tenant vacate their leased space customer traffic to the property may be decreased, which could lead to decreased sales at other stores thus adversely impacting the tenant’s operations and impacting their ability to pay rent. In the event of default by a tenant or anchor store, we may experience delays and costs in enforcing our rights as landlord to recover amounts due to us under the terms of our agreements with those parties.</w:t>
      </w:r>
    </w:p>
    <w:p>
      <w:pPr>
        <w:spacing w:after="0" w:line="164" w:lineRule="exact"/>
        <w:rPr>
          <w:sz w:val="20"/>
          <w:szCs w:val="20"/>
          <w:color w:val="auto"/>
        </w:rPr>
      </w:pPr>
    </w:p>
    <w:p>
      <w:pPr>
        <w:jc w:val="both"/>
        <w:ind w:left="40" w:right="39" w:firstLine="402"/>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that affect the general retail environment in the United States, such as weakness in the economy, the level of consumer spending, the adverse financial condition of large consumer retail companies and competition from discount and internet retailers, any of which could adversely affect market rents for retail space and the willingness or ability of retail tenants to lease space in our multi-tenant properties.</w:t>
      </w:r>
    </w:p>
    <w:p>
      <w:pPr>
        <w:spacing w:after="0" w:line="157"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A significant portion of the properties in our income property portfolio are commercial properties that were developed to be occupied by retail tenants and thus we are subject to the risks that affect the retail sector generally, as well as the market for retail space. The business environment for retail operators and the market for retail space have previously been, and could again be, adversely affected by weakness in the national, regional and local economies, the level of consumer spending and consumer confidence, the adverse financial condition of some large retail companies, the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0" w:lineRule="auto"/>
        <w:rPr>
          <w:sz w:val="20"/>
          <w:szCs w:val="20"/>
          <w:color w:val="auto"/>
        </w:rPr>
      </w:pPr>
      <w:r>
        <w:rPr>
          <w:rFonts w:ascii="Times New Roman" w:cs="Times New Roman" w:eastAsia="Times New Roman" w:hAnsi="Times New Roman"/>
          <w:sz w:val="16"/>
          <w:szCs w:val="16"/>
          <w:color w:val="auto"/>
        </w:rPr>
        <w:t>consolidation of operators that occurs from time to time in the retail sector, any excess amount of retail space in a number of markets and increasing competition from discount retail operators, outlet malls, internet or e-commerce retail businesses and other online businesses. Increases in consumer spending through e-commerce channels may significantly affect our retail tenants’ ability to generate sales in their stores and could affect the way future tenants lease space. In addition, some of our retail tenants face competition from the expanding market for digital content and hardware. New and enhanced technologies, including new digital technologies and new web services technologies, may increase competition for certain of our retail tenants. While we devote considerable effort and resources to analyze and respond to tenant trends, preferences and consumer spending patterns, we cannot predict with certainty what future tenants will require to operate their business, what demands will be made for the build out of future retail spaces and how much revenue will be generated at traditional “brick and mortar” locations. If we are unable to anticipate and respond promptly to trends in the market, our occupancy levels and rental amounts may decline.</w:t>
      </w:r>
    </w:p>
    <w:p>
      <w:pPr>
        <w:spacing w:after="0" w:line="171"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Any of the foregoing factors could adversely affect the financial condition of our retail tenants and the willingness of retail operators to lease space at our income properties. In turn, these conditions could negatively affect market rents for retail space and could materially and adversely affect our financial condition, results of operations, cash flow and our ability to satisfy our debt service obligations and to pay distributions to the Company’s stockholders.</w:t>
      </w:r>
    </w:p>
    <w:p>
      <w:pPr>
        <w:spacing w:after="0" w:line="155"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Competition that traditional retail tenants face from e-commerce retail sales, or the integration of brick and mortar stores with e-commerce retail operators, could adversely affect our business.</w:t>
      </w:r>
    </w:p>
    <w:p>
      <w:pPr>
        <w:spacing w:after="0" w:line="133"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Our retail tenants face increasing competition from e-commerce businesses. E-commerce sales continue to account for an increasing percentage of retail sales in the U.S. and this trend is likely to continue. These trends may have an impact on decisions that retail businesses make regarding their utilization of “brick and mortar” stores. Changes in shopping trends as a result of the growth in e-commerce may also impact the profitability of retail operators that do not adapt to changes in market conditions. The continued growth of e-commerce sales could decrease the need for traditional retail outlets and reduce the demand for retail space and property requirements. These conditions could adversely impact our results of operations and cash flows if we are unable to meet the needs of our tenants or if our tenants encounter financial difficulties as a result of changing market conditions.</w:t>
      </w:r>
    </w:p>
    <w:p>
      <w:pPr>
        <w:spacing w:after="0" w:line="159"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 key element of our future success will depend upon, among other things, our ability to successfully execute our strategy to invest in income-producing assets which if unsuccessful could adversely impact our financial condition, results of operations and cash flows.</w:t>
      </w:r>
    </w:p>
    <w:p>
      <w:pPr>
        <w:spacing w:after="0" w:line="152"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There is no assurance that we will be able to continue to execute our strategy of investing in income-producing assets, including income properties and commercial loans or similar financings secured by real estate. There is no assurance that the number of properties in our income property portfolio or the number of loans in our loan investment portfolio will expand at all or, if they expand, at any specified rate or to any specified size. The growth in our portfolios of income-producing assets provide earnings and cash flow through the added rents or interest payments. If we continue to invest in diverse geographic markets other than the markets in which we currently own income properties or loan investments, we will be subject to risks associated with investing in new markets as those markets may be relatively unfamiliar to us. In addition, investments in new markets may introduce increased costs to us relating to factors including the regulatory environment and the local and state tax structure. Additionally, there is no assurance we will be able to continue to make investments in commercial loans or similar financings secured by real estate. Consequently, if we are unable to successfully execute our strategy of investing in income-producing assets or some or all of our investments, including in new markets, introduce increased operating costs our financial condition, results of operations, and cash flows may be adversely affected.</w:t>
      </w:r>
    </w:p>
    <w:p>
      <w:pPr>
        <w:spacing w:after="0" w:line="164"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the acquisition of income properties and more established entities or other investors may be able to compete more effectively for acquisition opportunities than we can.</w:t>
      </w:r>
    </w:p>
    <w:p>
      <w:pPr>
        <w:spacing w:after="0" w:line="13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A number of entities and other investors compete with us to purchase income properties. We compete with REITs, public and private real estate focused companies, high wealth individual investors, and others. Many of our competitors are substantially larger and have considerably greater financial, technical and marketing resources than we do. Several of our public company competitors have greater access to capital, typically by raising equity or debt financing, have significant amounts of capital available and investment objectives that overlap with ours, which often creates competition for acquisition opportunities. Some competitors may have a lower cost of capital and access to funding sources that are not available to us. In addition, some of our competitors may have higher risk tolerances or different assessments of investment risk, which could allow them to consider a wider variety of income property acquisitions and establish more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6"/>
          <w:szCs w:val="16"/>
          <w:color w:val="auto"/>
        </w:rPr>
        <w:t>relationships than us. We cannot be assured that the competitive pressures we face will not have a material adverse effect on our business, financial condition, results of operations and therefore our cash flows. Also, because of this competition, we may not be able to take advantage of attractive acquisition opportunities from time to time, and we can offer no assurance that we will be able to identify and purchase assets that are consistent with our objectives.</w:t>
      </w:r>
    </w:p>
    <w:p>
      <w:pPr>
        <w:spacing w:after="0" w:line="155"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loss of revenues from our income property portfolio or certain tenants would adversely impact our results of operations and cash flows.</w:t>
      </w:r>
    </w:p>
    <w:p>
      <w:pPr>
        <w:spacing w:after="0" w:line="13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Certain of our tenants may account for a significant portion of our total revenues and or square footage in our income property portfolio (see Note 2, “Summary of Significant Accounting Policies” under the heading Concentration of Credit Risk in the notes to the consolidated financial statements in Item 8). The default, financial distress, or bankruptcy of one or all of our major tenants could cause substantial vacancies in some of the largest properties in our income property portfolio and reduce our revenues from our income property operations significantly, thereby adversely impacting our results of operations and cash flows. Vacancies reduce our revenue until the affected properties can be re-leased and could decrease the value of each such vacant property. Upon the expiration of the leases that are currently in place, we may not be able to re-lease a vacant property at a comparable lease rate or without incurring additional expenditures in connection with such re-leasing. If, following the loss of an income property tenant, we are unable to re-lease the income property at comparable rental rates and in a timely manner, our financial condition, results of operations and cash flows could be adversely affected.</w:t>
      </w:r>
    </w:p>
    <w:p>
      <w:pPr>
        <w:spacing w:after="0" w:line="359"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 significant portion of the revenue we generate from our income property portfolio is concentrated in specific industry classifications and/or geographic locations and any prolonged dislocation in those industries or downturn in those geographic areas would adversely impact our results of operations and cash flows.</w:t>
      </w:r>
    </w:p>
    <w:p>
      <w:pPr>
        <w:spacing w:after="0" w:line="152"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Certain of our tenants and or geographic concentrations may account for a significant portion of our base rent revenue (see Note 2, “Summary of Significant Accounting Policies” under the heading Concentration of Credit Risk in the notes to the consolidated financial statements in Item 8). Such geographic concentrations could be heightened by the fact that our investments may be concentrated in certain areas that are affected by epidemics or pandemics such as COVID-19 more than other areas. Any financial hardship and/or economic downturns in the financial industry, including a downturn similar to the financial crisis in 2007 through 2009, or in the states noted could have an adverse effect on our results of operations and cash flows.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Certain provisions of the Company’s leases may be unenforceable.</w:t>
      </w:r>
    </w:p>
    <w:p>
      <w:pPr>
        <w:spacing w:after="0" w:line="214"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The Company’s rights and obligations with respect to its leases are governed by written agreements with its tenants. A court could determine that one or more provisions of such an agreement are unenforceable, such as a particular remedy, a termination provision, or a provision governing the Company’s remedies for default of the tenant. If we were unable to enforce provisions of a lease agreement or agreements, our results of operations, financial condition, and cash flows could be adversely impacted.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dispose of properties we target for sale to recycle our capital.</w:t>
      </w:r>
    </w:p>
    <w:p>
      <w:pPr>
        <w:spacing w:after="0" w:line="214"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While the Company’s strategy may include selectively selling non-core assets or other income-producing properties to recycle our capital, we may be unable to sell such assets or properties targeted for disposition due to adverse market or other conditions or not achieve the pricing or timing that is consistent with our expectations. This may adversely affect, among other things, the Company’s ability to deploy capital into the acquisition of other income-producing properties, the execution of our overall operating strategy and consequently our financial condition, results of operations, and cash flows.</w:t>
      </w:r>
    </w:p>
    <w:p>
      <w:pPr>
        <w:spacing w:after="0" w:line="157"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may seek to conduct development activities, including the development of new income properties or the redevelopment or renovation of existing income properties, which may cause us to experience unexpected costs and have other risks that may adversely affect our financial condition, results of operations and liquidity.</w:t>
      </w:r>
    </w:p>
    <w:p>
      <w:pPr>
        <w:spacing w:after="0" w:line="152"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We have recently and may in the future develop new income properties. In addition, we have in recent years and may in the future redevelop, significantly renovate or otherwise invest additional capital in certain of our existing income properties to improve the assets and enhance the opportunity for increased returns on our overall investment. These various development activities, particularly the development of new income properties, is subject to a number of risks, including risks associated with construction work and risks of cost overruns due to construction delays or other factors that may</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2" w:lineRule="auto"/>
        <w:rPr>
          <w:sz w:val="20"/>
          <w:szCs w:val="20"/>
          <w:color w:val="auto"/>
        </w:rPr>
      </w:pPr>
      <w:r>
        <w:rPr>
          <w:rFonts w:ascii="Times New Roman" w:cs="Times New Roman" w:eastAsia="Times New Roman" w:hAnsi="Times New Roman"/>
          <w:sz w:val="16"/>
          <w:szCs w:val="16"/>
          <w:color w:val="auto"/>
        </w:rPr>
        <w:t>increase the expected costs of a project. Furthermore, the commencement of development projects is subject to other risks including the receipt of zoning or entitlements and other required governmental permits and authorizations. In addition, we may incur development costs in connection with projects that are ultimately not pursued to completion. Any of the development activities noted may be financed under our Credit Facility or through other forms of financing. If such financing is not available on acceptable terms, our development activities may not be pursued or may be curtailed. In addition, such development activities would likely reduce the available borrowing capacity on our Credit Facility which we use for the acquisition of income properties and other operating needs. The risks associated with development activities, including but not necessarily limited to those noted, could adversely impact our financial condition, results of operations, and liquidity.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Management of and Investment in PINE</w:t>
      </w:r>
    </w:p>
    <w:p>
      <w:pPr>
        <w:spacing w:after="0" w:line="21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revenues include receipt of management fees and potentially incentive fees derived from our provision of management services to PINE and the loss or failure, or decline in the business or assets, of PINE could substantially reduce our revenues.</w:t>
      </w:r>
    </w:p>
    <w:p>
      <w:pPr>
        <w:spacing w:after="0" w:line="13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212529"/>
        </w:rPr>
        <w:t>Our revenues include the fees we earn from providing management services to PINE. The revenues we generate from managing PINE depend in large part on the ability of PINE to raise capital to invest in real estate assets and on the positive performance of PINE’s investments and stockholder returns. The performance of PINE is subject to a number of risks and uncertainties. Therefore, a portion of our operating results and our ability to maintain and grow the fees we earn from providing management services to PINE depends upon the ability of PINE and its tenants to maintain and grow their respective businesses. Our ability to maintain and grow the fees we earn from providing management services to PINE also depend upon the ability of PINE to maintain and grow its market capitalization and to achieve positive stockholder returns in excess of applicable total stockholder return indexes. Reduced business activities, market capitalizations or stockholder returns, sales of assets or the failure of PINE or the termination of our management agreement with PINE could materially reduce our revenues and our profitability thereby adversely impacting our cash flows and results of operations.</w:t>
      </w:r>
    </w:p>
    <w:p>
      <w:pPr>
        <w:spacing w:after="0" w:line="163"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management agreement with PINE is subject to termination for events of default or non-performance, and any such termination could have a material adverse effect on our business, results of operations and financial condition.</w:t>
      </w:r>
    </w:p>
    <w:p>
      <w:pPr>
        <w:spacing w:after="0" w:line="133"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212529"/>
        </w:rPr>
        <w:t>Our management with PINE may be terminated by PINE in certain circumstances. Depending upon the circumstances of a termination, we may or may not be entitled to receive a termination fee. If our management agreement with PINE is terminated, we may be unable to replace the lost revenue. Even if we receive a termination fee upon the termination of the management agreement with PINE, we may be unable to invest the after tax proceeds from the termination fee we receive in opportunities that earn returns equal to or greater than the revenues lost as a result of the terminated management agreement. The termination of our management agreement with PINE could have a material adverse impact on our business, results of operations and financial condition.</w:t>
      </w:r>
    </w:p>
    <w:p>
      <w:pPr>
        <w:spacing w:after="0" w:line="159" w:lineRule="exact"/>
        <w:rPr>
          <w:sz w:val="20"/>
          <w:szCs w:val="20"/>
          <w:color w:val="auto"/>
        </w:rPr>
      </w:pPr>
    </w:p>
    <w:p>
      <w:pPr>
        <w:jc w:val="both"/>
        <w:ind w:left="40" w:right="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An internalization of PINE’s management functions could have a material adverse effect on our business, results of operations and financial condition.</w:t>
      </w:r>
    </w:p>
    <w:p>
      <w:pPr>
        <w:spacing w:after="0" w:line="13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In the future, PINE’s board of directors may consider internalizing the functions performed for PINE by us. We may be unable to replace the revenue that we would have received in the future in the absence of an internalization transaction. In the event that we and PINE agree to an internalization transaction, the payment of the internalization price to us would be in lieu of the payment of any termination fee. The internalization price would be payable in cash, shares of PINE’s common stock or OP Units, or a combination thereof, as determined by a majority of PINE’s independent directors in their sole discretion. Even if the internalization price paid to us in connection with an internalization is substantial, we cannot assure you that any cash, shares of PINE’s common stock or OP Units received in connection with an internalization transaction will ultimately lead to returns equal to or greater than the revenues lost as a result of the internalization transaction.</w:t>
      </w:r>
    </w:p>
    <w:p>
      <w:pPr>
        <w:spacing w:after="0" w:line="164"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Internalization transactions, including without limitation, transactions involving the acquisition of external advisors or property managers affiliated with entity sponsors have also, in some cases, been the subject of litigation. Even if these claims are without merit, we could be forced to spend significant amounts of money defending claims which would reduce the amount of funds available for us to invest in properties or other investments and to pay distributions to our stockholders. All of these factors could have a material adverse effect on us.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212529"/>
        </w:rPr>
        <w:t>We may be unable to successfully operate PINE’s business.</w:t>
      </w:r>
    </w:p>
    <w:p>
      <w:pPr>
        <w:spacing w:after="0" w:line="214"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212529"/>
        </w:rPr>
        <w:t>We are paid a management fee to manage PINE’s business and we may be paid an incentive fee which will depend on numerous factors, including our ability to make investments on behalf of PINE that generate attractive, risk-adjusted returns, and thereby result in PINE’s stockholders achieving a necessary level of return. A key element of PINE’s success includes its ability to raise additional equity capital to fund its goals for growth. Our successful performance as the manager of PINE therefore depends, in part, our ability to assist PINE in raising equity capital in amounts sufficient to support PINE’s goals and on acceptable terms. Our successful performance as the manager of PINE also depends on our ability to access debt financing for PINE, and on acceptable terms. There can be no assurance that we will be successful in this business, that PINE will achieve its objectives, will invest successfully in income properties and will generally operate successfully, or that we will earn fees from PINE sufficient to recover the costs we have incurred or to provide a suitable return on our investment in PINE.</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Declines in the market values of our investment in PINE may adversely affect periodic reported results.</w:t>
      </w:r>
    </w:p>
    <w:p>
      <w:pPr>
        <w:spacing w:after="0" w:line="214"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We hold a significant equity interest in PINE as of December 31, 2022 including the OP Units we hold in the PINE Operating Partnership as further described in Note 1, “Organization” in the notes to the consolidated financial statements in Item 8. PINE is publicly traded and as such, PINE’s common stock is subject to the risks associated with public equities, including, but not limited to, market risk broadly, risks associated with the REIT industry, and risks associated with the real estate industry more specifically. The public equity markets can be volatile, and the value of PINE’s stock and OP Units may fluctuate significantly over short periods of time. A significant decrease in the trading price of PINE’s stock could result in losses that have a material adverse effect on the value of our investment in PINE which could adversely impact our financial condition.</w:t>
      </w:r>
    </w:p>
    <w:p>
      <w:pPr>
        <w:spacing w:after="0" w:line="159" w:lineRule="exact"/>
        <w:rPr>
          <w:sz w:val="20"/>
          <w:szCs w:val="20"/>
          <w:color w:val="auto"/>
        </w:rPr>
      </w:pPr>
    </w:p>
    <w:p>
      <w:pPr>
        <w:jc w:val="both"/>
        <w:ind w:left="40" w:right="59" w:firstLine="402"/>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345"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We are subject to conflicts of interest that may exist or could arise in the future with PINE, including our executive officers and/or directors who are also directors or officers of PINE. Conflicts may include, without limitation: conflicts arising from the enforcement of agreements between us and PINE; conflicts in the amount of time that our officers and employees will spend on our affairs versus PINE's affairs; and conflicts in future transactions that we may pursue with PINE. Transactions between us and PINE would be subject to certain approvals of our directors; however, there can be no assurance that such approval will be successful in achieving terms and conditions as favorable to us as would be available from a third party. Our president and chief executive officer who is also one of our directors also serves on PINE's board of directors.</w:t>
      </w:r>
    </w:p>
    <w:p>
      <w:pPr>
        <w:spacing w:after="0" w:line="163"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Our directors and executive officers have duties to our company under applicable Maryland law, and our executive officers and our directors who are also directors or officers of PINE also have duties to PINE under applicable Maryland law. Those duties may come in conflict from time to time. We have duties as the manager of PINE which may come in conflict with our duties to our stockholders from time to time. In addition, conflicts of interest may exist or could arise in the future with our duties to PINE as its manager in connection with future investment opportunities.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Commercial Loans and Investments</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A part of our investment strategy is focused on investing in commercial loans and investments which may involve credit risk.</w:t>
      </w:r>
    </w:p>
    <w:p>
      <w:pPr>
        <w:spacing w:after="0" w:line="115"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As part of our business strategy, we have invested in commercial loans secured by commercial real estate and may in the future invest in other commercial loans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Because of competition, we may not be able to acquire commercial loans or similar financings at all or at favorable yields.</w:t>
      </w:r>
    </w:p>
    <w:p>
      <w:pPr>
        <w:spacing w:after="0" w:line="214"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When we seek to invest in commercial loans or similar financings secured by underlying real estate, we may not be able to acquire such loan investments at favorable spreads over our borrowing costs. We compete with many other investment groups including other REITs, public and private investment funds, life insurance companies, commercial and investment banks and, commercial finance companies, including some of the third parties with which we expect to have relationships. In most instances the competition has greater financial capacity, are larger organizations and has a greater operating presence in the market. As a result, we may not be able to acquire commercial loans or similar financings in the future at all or at favorable spreads over our borrowing costs, which could adversely impact our results of operations and cash flows and would likely result in the need for any growth in our portfolio of income-producing assets to be achieved through the acquisition of income properties.</w:t>
      </w:r>
    </w:p>
    <w:p>
      <w:pPr>
        <w:spacing w:after="0" w:line="160" w:lineRule="exact"/>
        <w:rPr>
          <w:sz w:val="20"/>
          <w:szCs w:val="20"/>
          <w:color w:val="auto"/>
        </w:rPr>
      </w:pPr>
    </w:p>
    <w:p>
      <w:pPr>
        <w:jc w:val="both"/>
        <w:ind w:left="40" w:right="59" w:firstLine="402"/>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Debt and preferred equity investments could cause us to incur expenses, which could adversely affect our results of operations.</w:t>
      </w:r>
    </w:p>
    <w:p>
      <w:pPr>
        <w:spacing w:after="0" w:line="387"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We have in the past, currently and will own in the future, investments in first mortgages, mezzanine loans, junior participations and preferred equity interests. Such investments may or may not be recourse obligations of the borrower and are not insured or guaranteed by governmental agencies or otherwise. In the event of a default under these obligations, we may have to take possession of the collateral securing these interests including through foreclosure proceedings. Borrowers may contest enforcement of foreclosure or our other remedies and may seek bankruptcy protection to potentially block our actions to enforce their obligations to us. Relatively high loan-to-value ratios and declines in the value of the underlying collateral property may prevent us from realizing an amount equal to our investment upon foreclosure or realization even if we make substantial improvements or repairs to the underlying real estate to maximize such property’s investment potential. Although we have maintained and regularly evaluated financial reserves to properly accrue for potential future losses, our reserves would reflect management’s judgment of the probability and severity of losses and the value of the underlying collateral. We cannot be certain that our judgment will prove to be correct and that our reserves, if any, will be adequate over time to protect against future losses due to unanticipated adverse changes in the economy or events adversely affecting specific properties, assets, tenants, borrowers, industries in which our tenants and borrowers operate or markets in which our tenants and borrowers, or their properties are located. If we are unable to enforce our contractual rights, including but not limited to, taking possession of the collateral property in a foreclosure circumstance, or our reserves for credit losses prove inadequate, we could suffer losses which would have a material adverse effect on our financial condition, results of operations, and cash flows.</w:t>
      </w:r>
    </w:p>
    <w:p>
      <w:pPr>
        <w:spacing w:after="0" w:line="166"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mezzanine loan assets that we may acquire will involve greater risks of loss than senior loans secured by income-producing properties.</w:t>
      </w:r>
    </w:p>
    <w:p>
      <w:pPr>
        <w:spacing w:after="0" w:line="133"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We may acquire mezzanine loans, which generally take the form of subordinated loans secured by the underlying property or loans secured by a pledge of the ownership interests of either the entity owning the property or a pledge of the ownership interests of the entity that owns the interest in the entity owning the property. These types of assets involve a higher degree of risk than senior mortgage lending secured by income-producing real property, because the loan may become unsecured as a result of foreclosure by the senior lender. In the event of a bankruptcy of the entity providing the pledge of its ownership interests as security, we may not have full recourse to the assets of such entity, or the assets of the entity may not be sufficient to satisfy our mezzanine loan. If a borrower defaults on our mezzanine loan or the debt that is senior to our loan, or in the event of a borrower bankruptcy, our mezzanine loan will only be satisfied after the senior debt has been satisfied. As a result, we may not recover some or all of our initial investment. In addition, mezzanine loans may have higher loan-to-value ratios than conventional mortgage loans, resulting in less equity in the property and increasing the risk of loss of principal. Significant losses related to our mezzanine loans would result in operating losses for us and could adversely impact our financial condition and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invest in fixed-rate loan investments, and an increase in interest rates may adversely affect the value of these investments, which could adversely impact our financial condition, results of operations and cash flows.</w:t>
      </w:r>
    </w:p>
    <w:p>
      <w:pPr>
        <w:spacing w:after="0" w:line="13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Increases in interest rates may negatively affect the market value of our investments, particularly any fixed-rate commercial loans or other financings we have invested in. Generally, any fixed-rate commercial loans or other financings will be more negatively affected by rising interest rates than adjustable-rate assets. We are required to reduce the book value of our investments by the amount of any decrease in their fair value. Reductions in the fair value of our investments could decrease the amounts we may borrow to purchase additional commercial loan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spacing w:after="0" w:line="160"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The commercial loans or similar financings we have acquired and may acquire in the future that are secured by commercial real estate typically depend on the ability of the property owner to generate income from operating the property. Failure to do so may result in delinquency and/or foreclosure.</w:t>
      </w:r>
    </w:p>
    <w:p>
      <w:pPr>
        <w:spacing w:after="0" w:line="152"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Commercial loans are secured by commercial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spacing w:after="0" w:line="167"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activities or actions of a third-party servicer engaged to service our investment in a commercial loan or similar debt financing could adversely impact the value of our investment or our results of operations and cash flows.</w:t>
      </w:r>
    </w:p>
    <w:p>
      <w:pPr>
        <w:spacing w:after="0" w:line="13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Any future investments in first mortgages, mezzanine loans or other debt financings secured by real estate may require a third-party servicer to service the loan on our behalf and/or on behalf of third parties who have invested in some portion of the debt financing. An intended or unintended breach by the servicer with regard to their servicing of the debt financing or in their contractual obligations and fiduciary duties to us or the other holders of the debt financing could adversely impact the value of our investment or our results of operations and cash flows.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We may suffer losses when a borrower defaults on a loan and the value of the underlying collateral is less than the amount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due.</w:t>
      </w:r>
    </w:p>
    <w:p>
      <w:pPr>
        <w:spacing w:after="0" w:line="192" w:lineRule="exact"/>
        <w:rPr>
          <w:sz w:val="20"/>
          <w:szCs w:val="20"/>
          <w:color w:val="auto"/>
        </w:rPr>
      </w:pPr>
    </w:p>
    <w:p>
      <w:pPr>
        <w:jc w:val="both"/>
        <w:ind w:left="40" w:right="59" w:firstLine="402"/>
        <w:spacing w:after="0" w:line="261" w:lineRule="auto"/>
        <w:rPr>
          <w:sz w:val="20"/>
          <w:szCs w:val="20"/>
          <w:color w:val="auto"/>
        </w:rPr>
      </w:pPr>
      <w:r>
        <w:rPr>
          <w:rFonts w:ascii="Times New Roman" w:cs="Times New Roman" w:eastAsia="Times New Roman" w:hAnsi="Times New Roman"/>
          <w:sz w:val="16"/>
          <w:szCs w:val="16"/>
          <w:color w:val="auto"/>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 In addition, the value of the underlying real estate may be adversely affected by some or all of the risks referenced above that pertain to the income-producing properties that we own.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spacing w:after="0" w:line="164"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spacing w:after="0" w:line="164"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spacing w:after="0" w:line="159"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As a result of any of the above factors or events, the losses we may suffer could adversely impact our financial condition, results of operations and cash flows.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Other Investments</w:t>
      </w:r>
    </w:p>
    <w:p>
      <w:pPr>
        <w:spacing w:after="0" w:line="210"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Investments in securities of companies operating in the real estate industry, including debt and equity instruments such as corporate bonds, preferred or common stock, or convertible instruments could cause us to incur losses or other expenses which could adversely affect our financial position, results of operations, and cash flows.</w:t>
      </w:r>
    </w:p>
    <w:p>
      <w:pPr>
        <w:spacing w:after="0" w:line="152"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We currently own and may own in the future, investments in corporate securities of companies operating in the real estate industry including debt and equity instruments such as corporate bonds, preferred or common stock, or convertible instruments. Certain of these investments may be traded on an exchange or other active market whereby the price of the underlying instrument is quoted daily and those quoted prices and thus the market value of the instrument varies during a given trading day. Certain of these investments may be traded on an exchange or market that is not deemed an active market but where the price of the investment fluctuates daily or otherwise. Adverse fluctuations in the value of these investments, whether market-generated or not, are reflected as unrealized losses on our balance sheet. We may choose to or be required to liquidate these investments in whole or in part and at prices that result in realized losses on our investment. Should we incur realized losses on liquidating these investments, our financial position, results of operations and cash flows would be adversely impacted.</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0"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 number of risks inherent with the real estate industry and in the ownership of real estate assets or investment in financings secured by real estate, which may adversely affect our returns from our investments, our financial condition, results of operations and cash flows.</w:t>
      </w:r>
    </w:p>
    <w:p>
      <w:pPr>
        <w:spacing w:after="0" w:line="152"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Factors beyond our control can affect the performance and value of our real estate assets including our income properties, investments in commercial loans or similar financings secured by real estate or other investments, and our Subsurface Interests. Real estate assets are subject to various risks, including but not limited to the following:</w:t>
      </w:r>
    </w:p>
    <w:p>
      <w:pPr>
        <w:spacing w:after="0" w:line="152" w:lineRule="exact"/>
        <w:rPr>
          <w:sz w:val="20"/>
          <w:szCs w:val="20"/>
          <w:color w:val="auto"/>
        </w:rPr>
      </w:pPr>
    </w:p>
    <w:p>
      <w:pPr>
        <w:ind w:left="840" w:right="59" w:hanging="386"/>
        <w:spacing w:after="0" w:line="295" w:lineRule="auto"/>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national, regional, and local economic and market conditions where our properties or the properties underlying a loan investment are located;</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40" w:right="59" w:hanging="386"/>
        <w:spacing w:after="0" w:line="267" w:lineRule="auto"/>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from other real estate companies similar to ours and competition for tenants, including competition based on rental rates, age and location of the property and the quality of maintenance, insurance, and management services;</w:t>
      </w:r>
    </w:p>
    <w:p>
      <w:pPr>
        <w:spacing w:after="0" w:line="1" w:lineRule="exact"/>
        <w:rPr>
          <w:rFonts w:ascii="Times New Roman" w:cs="Times New Roman" w:eastAsia="Times New Roman" w:hAnsi="Times New Roman"/>
          <w:sz w:val="16"/>
          <w:szCs w:val="16"/>
          <w:color w:val="auto"/>
        </w:rPr>
      </w:pPr>
    </w:p>
    <w:p>
      <w:pPr>
        <w:ind w:left="840" w:right="59" w:hanging="386"/>
        <w:spacing w:after="0" w:line="256" w:lineRule="auto"/>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tenant preferences that reduce the attractiveness and marketability of our income properties to tenants or decreases in market rental rates;</w:t>
      </w:r>
    </w:p>
    <w:p>
      <w:pPr>
        <w:ind w:left="840" w:right="59" w:hanging="386"/>
        <w:spacing w:after="0" w:line="256" w:lineRule="auto"/>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Zoning or other local regulatory restrictions, or other factors pertaining to the local government institutions which inhibit interest in the markets in which our income-producing assets are located;</w:t>
      </w:r>
    </w:p>
    <w:p>
      <w:pPr>
        <w:ind w:left="840" w:hanging="386"/>
        <w:spacing w:after="0"/>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associated with the need to periodically repair, renovate or re-lease our income properties;</w:t>
      </w:r>
    </w:p>
    <w:p>
      <w:pPr>
        <w:spacing w:after="0" w:line="12" w:lineRule="exact"/>
        <w:rPr>
          <w:rFonts w:ascii="Times New Roman" w:cs="Times New Roman" w:eastAsia="Times New Roman" w:hAnsi="Times New Roman"/>
          <w:sz w:val="16"/>
          <w:szCs w:val="16"/>
          <w:color w:val="auto"/>
        </w:rPr>
      </w:pPr>
    </w:p>
    <w:p>
      <w:pPr>
        <w:ind w:left="840" w:right="59" w:hanging="386"/>
        <w:spacing w:after="0" w:line="256" w:lineRule="auto"/>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the cost of our operations, particularly maintenance, insurance, or real estate taxes which may occur even when circumstances such as market factors and competition cause a reduction in our revenues;</w:t>
      </w:r>
    </w:p>
    <w:p>
      <w:pPr>
        <w:ind w:left="840" w:right="59" w:hanging="386"/>
        <w:spacing w:after="0" w:line="256" w:lineRule="auto"/>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governmental laws and regulations, fiscal policies and zoning ordinances and the related costs of compliance with laws and regulations, fiscal policies, and ordinances;</w:t>
      </w:r>
    </w:p>
    <w:p>
      <w:pPr>
        <w:ind w:left="840" w:hanging="386"/>
        <w:spacing w:after="0"/>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Commodities prices;</w:t>
      </w:r>
    </w:p>
    <w:p>
      <w:pPr>
        <w:spacing w:after="0" w:line="12" w:lineRule="exact"/>
        <w:rPr>
          <w:rFonts w:ascii="Times New Roman" w:cs="Times New Roman" w:eastAsia="Times New Roman" w:hAnsi="Times New Roman"/>
          <w:sz w:val="16"/>
          <w:szCs w:val="16"/>
          <w:color w:val="auto"/>
        </w:rPr>
      </w:pPr>
    </w:p>
    <w:p>
      <w:pPr>
        <w:ind w:left="840" w:right="59" w:hanging="386"/>
        <w:spacing w:after="0" w:line="256" w:lineRule="auto"/>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Illiquidity of real estate investments which may limit our ability to modify our income-producing asset portfolios promptly in response to changes in economic or other conditions;</w:t>
      </w:r>
    </w:p>
    <w:p>
      <w:pPr>
        <w:ind w:left="840" w:hanging="386"/>
        <w:spacing w:after="0"/>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God, including natural disasters, which may result in uninsured losses; and</w:t>
      </w:r>
    </w:p>
    <w:p>
      <w:pPr>
        <w:spacing w:after="0" w:line="12" w:lineRule="exact"/>
        <w:rPr>
          <w:rFonts w:ascii="Times New Roman" w:cs="Times New Roman" w:eastAsia="Times New Roman" w:hAnsi="Times New Roman"/>
          <w:sz w:val="16"/>
          <w:szCs w:val="16"/>
          <w:color w:val="auto"/>
        </w:rPr>
      </w:pPr>
    </w:p>
    <w:p>
      <w:pPr>
        <w:ind w:left="840" w:hanging="386"/>
        <w:spacing w:after="0"/>
        <w:tabs>
          <w:tab w:leader="none" w:pos="8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war or terrorism, including consequences of terrorist attacks.</w:t>
      </w:r>
    </w:p>
    <w:p>
      <w:pPr>
        <w:spacing w:after="0" w:line="19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If any of these or similar events occurs, it may reduce our return from an affected real estate asset or investment which could adversely impact our financial condition, results of operations and cash flows.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The Company’s real estate investments are generally illiquid.</w:t>
      </w:r>
    </w:p>
    <w:p>
      <w:pPr>
        <w:spacing w:after="0" w:line="213"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Real estate investments, including investments in income properties, joint ventures and subsurface interests, are relatively illiquid; therefore, it may be difficult for us to sell such assets if the need or desire arises, and otherwise the Company’s ability to make rapid adjustments in the size and content of our income property portfolio or other real estate assets in response to economic or other conditions is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certain of our real estate assets or income-producing assets, we may realize significantly less than the value at which we have previously recorded our assets. Further, certain expenditures necessary to operate our income property operations generally do not decrease and may in fact increase in response to weakening economic conditions or other market disruptions, which expenditures may include maintenance costs, insurance costs and, in some instances, interest expense. This relationship of revenue and expenditures may result, under certain market conditions, in declining operating results and reduced cash flows and thereby could have an adverse effect on the Company’s financial condition.</w:t>
      </w:r>
    </w:p>
    <w:p>
      <w:pPr>
        <w:spacing w:after="0" w:line="164"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experience a decline in the fair value of our real estate assets or investments which could result in impairments and would impact our financial condition and results of operations.</w:t>
      </w:r>
    </w:p>
    <w:p>
      <w:pPr>
        <w:spacing w:after="0" w:line="133"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A decline in the fair market value of our long-lived assets may require us to recognize an “other-than-temporary” impairment against such assets (as defined by the Financial Accounting Standards Board (“FASB”) authoritative accounting guidance) if certain conditions or circumstances related to an asset were to change and we were to determine that, with respect to any such asset, there was an unrealized loss to the fair value of the asset. The fair value of our long-lived assets depends on market conditions, including estimates of future demand for these assets, and the revenues that can be generated from such applicable assets including land or an income property. If such a determination were to be made, we would recognize the estimated unrealized losses through earnings and write down the depreciated or amortized cost of such assets to a new cost basis, based on the fair value of such assets on the date they are considered to be other-than-temporarily impaired. Such impairment charges reflect non-cash losses at the time of recognition; subsequent disposition or sale of such assets could further affect our future losses or gains, as they are based on the difference between the sales price received and the adjusted depreciated or amortized cost of such assets at the time of sale.</w:t>
      </w:r>
    </w:p>
    <w:p>
      <w:pPr>
        <w:spacing w:after="0" w:line="171"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Downturns in the U.S. economy and real estate markets have at times caused the fair value of certain of our properties to decrease. If the real estate market were to experience another decline, we may be required to take write-downs against our earnings for other than temporary impairments in the value of our real estate assets including our income properties, commercial loans and investments and similar financings or other capitalized costs. Any such non-cash charges could have an adverse effect on our financial condition and results of operations.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make investments in companies over which we do not have control. Some of these companies may operate in industries that differ from our current operations, with different risks than investing in real estate.</w:t>
      </w:r>
    </w:p>
    <w:p>
      <w:pPr>
        <w:spacing w:after="0" w:line="133"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From time to time we make debt or equity investments in other companies that we may not control or over which we may not have sole control. Although these businesses generally have a significant real estate component, some of them may operate in businesses that are different from our primary business segments. Consequently, investments in these businesses, among other risks, subject us to the operating and financial risks of industries other than real estate and to the risk that we do not have sole control over the operations of these businesses.</w:t>
      </w:r>
    </w:p>
    <w:p>
      <w:pPr>
        <w:spacing w:after="0" w:line="161"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From time to time we may make additional investments in or acquire other entities that may subject us to similar risks. Investments in entities over which we do not have sole control, including joint ventures, present additional risks such as having differing objectives than our partners or the entities in which we invest, or becoming involved in disputes, or competing with those persons. In addition, we rely on the internal controls and financial reporting controls of these entities and their failure to maintain effectiveness or comply with applicable standards may adversely affect us.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Quarterly results may fluctuate and may not be indicative of future quarterly performance.</w:t>
      </w:r>
    </w:p>
    <w:p>
      <w:pPr>
        <w:spacing w:after="0" w:line="213"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the performance of our income-producing assets, market values of our investment in PINE, costs associated with debt, general economic conditions, the state of the real estate and financial markets and the degree to which we encounter competition in our markets.</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Financing</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1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Company may be unable to obtain debt or equity capital on favorable terms, if at all, or additional borrowings may impact our liquidity or ability to monetize any assets securing such borrowings.</w:t>
      </w:r>
    </w:p>
    <w:p>
      <w:pPr>
        <w:spacing w:after="0" w:line="13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In order to further our business objectives, we have in the past and expect to continue to seek to obtain additional debt financing or raise equity capital and may be unable to do so on favorable terms, if at all. We may obtain unsecured debt financing in addition to our Credit Facility which could decrease our borrowing capacity under the Credit Facility. Other sources of available capital may be more expensive or available under terms that are more restrictive than the Company’s existing debt capital. Any of these occurrences could adversely affect the Company’s business, financial condition, results of operations, and cash flows.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An increase in our borrowing costs would adversely affect our financial condition and results of operations.</w:t>
      </w:r>
    </w:p>
    <w:p>
      <w:pPr>
        <w:spacing w:after="0" w:line="21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While we have no short-term maturities in our long-term debt, should we seek to incur additional debt to help finance our acquisitions, increased interest rates would reduce the difference, or spread, that we may earn between the yield on the investments we make and the cost of the leverage we employ to finance such investments. It is possible that the spread on investments could be reduced to a point at which the profitability from investments would be significantly reduced or eliminated entirely. This would adversely affect our returns on our assets, and therefore adversely impact our financial condition, our results of operations, and cash flows, and could require us to liquidate certain or all of these assets.</w:t>
      </w:r>
    </w:p>
    <w:p>
      <w:pPr>
        <w:spacing w:after="0" w:line="159"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Servicing our debt requires a significant amount of cash, and we may not have sufficient cash flow from our business to service or pay our debt.</w:t>
      </w:r>
    </w:p>
    <w:p>
      <w:pPr>
        <w:spacing w:after="0" w:line="133"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Our ability to make scheduled payments of the principal of, to pay interest on, to pay any cash due upon conversion of, or to refinance our indebtedness, including the Company’s $51.0 million aggregate principal amount of 3.875% Convertible Senior Notes due 2025 (the “2025 Notes”), depends on our future operating and financial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39"/>
        <w:spacing w:after="0" w:line="295" w:lineRule="auto"/>
        <w:rPr>
          <w:sz w:val="20"/>
          <w:szCs w:val="20"/>
          <w:color w:val="auto"/>
        </w:rPr>
      </w:pPr>
      <w:r>
        <w:rPr>
          <w:rFonts w:ascii="Times New Roman" w:cs="Times New Roman" w:eastAsia="Times New Roman" w:hAnsi="Times New Roman"/>
          <w:sz w:val="16"/>
          <w:szCs w:val="16"/>
          <w:color w:val="auto"/>
        </w:rPr>
        <w:t>able to engage in any of these activities or engage in these activities on desirable terms, which could result in a default on our debt obligations.</w:t>
      </w:r>
    </w:p>
    <w:p>
      <w:pPr>
        <w:spacing w:after="0" w:line="134" w:lineRule="exact"/>
        <w:rPr>
          <w:sz w:val="20"/>
          <w:szCs w:val="20"/>
          <w:color w:val="auto"/>
        </w:rPr>
      </w:pPr>
    </w:p>
    <w:p>
      <w:pPr>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level of indebtedness could have significant adverse consequences and our cash flow may be insufficient to meet our debt service obligations.</w:t>
      </w:r>
    </w:p>
    <w:p>
      <w:pPr>
        <w:spacing w:after="0" w:line="133"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Our level of indebtedness, as further described in Note 16 “Long-Term Debt” in the notes to the consolidated financial statements in Item 8, could have significant adverse consequences on our business and operations, including the following:</w:t>
      </w:r>
    </w:p>
    <w:p>
      <w:pPr>
        <w:spacing w:after="0" w:line="138" w:lineRule="exact"/>
        <w:rPr>
          <w:sz w:val="20"/>
          <w:szCs w:val="20"/>
          <w:color w:val="auto"/>
        </w:rPr>
      </w:pPr>
    </w:p>
    <w:p>
      <w:pPr>
        <w:ind w:left="740" w:right="59" w:hanging="286"/>
        <w:spacing w:after="0" w:line="267" w:lineRule="auto"/>
        <w:tabs>
          <w:tab w:leader="none" w:pos="7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increase our vulnerability to changes in economic conditions (including increases in interest rates) and limit our flexibility in planning for, or reacting to, changes in our business and/or industry;</w:t>
      </w:r>
    </w:p>
    <w:p>
      <w:pPr>
        <w:spacing w:after="0" w:line="1"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at a disadvantage compared to our competitors with comparatively less indebtedness;</w:t>
      </w:r>
    </w:p>
    <w:p>
      <w:pPr>
        <w:spacing w:after="0" w:line="12" w:lineRule="exact"/>
        <w:rPr>
          <w:rFonts w:ascii="Times New Roman" w:cs="Times New Roman" w:eastAsia="Times New Roman" w:hAnsi="Times New Roman"/>
          <w:sz w:val="16"/>
          <w:szCs w:val="16"/>
          <w:color w:val="auto"/>
        </w:rPr>
      </w:pPr>
    </w:p>
    <w:p>
      <w:pPr>
        <w:ind w:left="740" w:right="59" w:hanging="286"/>
        <w:spacing w:after="0" w:line="256" w:lineRule="auto"/>
        <w:tabs>
          <w:tab w:leader="none" w:pos="7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hedge our debt, or such hedges may fail or expire, leaving us exposed to potentially volatile interest or currency exchange rates; and</w:t>
      </w:r>
    </w:p>
    <w:p>
      <w:pPr>
        <w:ind w:left="740" w:hanging="286"/>
        <w:spacing w:after="0"/>
        <w:tabs>
          <w:tab w:leader="none" w:pos="7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refinance our indebtedness or obtain additional financing as needed or on favorable terms.</w:t>
      </w:r>
    </w:p>
    <w:p>
      <w:pPr>
        <w:spacing w:after="0" w:line="192"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Our ability to generate sufficient cash flow determines whether we will be able to (i) meet our existing or potential future debt service obligations; (ii) refinance our existing or potential future indebtedness; and (iii) fund our operations, working capital, acquisitions, capital expenditures, and other important business uses. Our future cash flow is subject to many factors beyond our control and we cannot assure you that our business will generate sufficient cash flow from operations, or that future sources of cash will be available to us on favorable terms, to meet all of our debt service obligations and fund our other important business uses or liquidity needs. As a result, we may be forced to take other actions to meet those obligations, such as selling properties, raising equity, or delaying capital expenditures, any of which may not be feasible or could have a material adverse effect on us.</w:t>
      </w:r>
    </w:p>
    <w:p>
      <w:pPr>
        <w:spacing w:after="0" w:line="159"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continue to have the ability to incur debt; if we incur substantial additional debt, the higher levels of debt may affect our ability to pay the interest and principal of our debt.</w:t>
      </w:r>
    </w:p>
    <w:p>
      <w:pPr>
        <w:spacing w:after="0" w:line="133"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Despite our current consolidated debt levels, we and our subsidiaries may incur substantial additional debt in the future (subject to the restrictions contained in our debt instruments), some of which may be secured debt. The indenture governing our 2025 Notes does not restrict our ability to incur additional indebtedness, whether secured or unsecured, or require us to maintain financial ratios or specified levels of net worth or liquidity. If we incur substantial additional indebtedness in the future, these higher levels of indebtedness may affect our ability to pay the principal of, and interest on, our outstanding debt and our creditworthiness generally.</w:t>
      </w:r>
    </w:p>
    <w:p>
      <w:pPr>
        <w:spacing w:after="0" w:line="157"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Declines in the value of the assets in which we invest will adversely affect our financial condition and results of operations and make it costlier to finance these assets.</w:t>
      </w:r>
    </w:p>
    <w:p>
      <w:pPr>
        <w:spacing w:after="0" w:line="133"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Generally, we use our income property investments as collateral for our financings or as the borrowing base for our Credit Facility. Any decline in their value, a significant decrease in the rent received from the portfolio, or perceived market uncertainty about the value of our income properties, could make it difficult for us to obtain or renew financing on favorable terms or at all, or maintain our compliance with terms of any financing arrangements already in place.</w:t>
      </w:r>
    </w:p>
    <w:p>
      <w:pPr>
        <w:spacing w:after="0" w:line="155"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have in the past and expect to continue to utilize derivative instruments to hedge risk, which may adversely affect our borrowing cost and expose us to other risks.</w:t>
      </w:r>
    </w:p>
    <w:p>
      <w:pPr>
        <w:spacing w:after="0" w:line="133"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The derivative instruments we have used in the past and expect to continue to use in the future are and could be in the form of interest rate swaps, interest rate caps and or interest rate collars. Interest rate swaps effectively change variable-rate debt obligations to fixed-rate debt obligations or fixed-rate debt obligations to variable-rate debt obligations. Interest rate caps limit our exposure to rising interest rates. Interest rate collars limit our exposure to rising interest rates while also limited our benefit from declining interest rates.</w:t>
      </w:r>
    </w:p>
    <w:p>
      <w:pPr>
        <w:spacing w:after="0" w:line="159"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To limit the risk of counterparty default, we generally seek to enter into hedging</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95" w:lineRule="auto"/>
        <w:rPr>
          <w:sz w:val="20"/>
          <w:szCs w:val="20"/>
          <w:color w:val="auto"/>
        </w:rPr>
      </w:pPr>
      <w:r>
        <w:rPr>
          <w:rFonts w:ascii="Times New Roman" w:cs="Times New Roman" w:eastAsia="Times New Roman" w:hAnsi="Times New Roman"/>
          <w:sz w:val="16"/>
          <w:szCs w:val="16"/>
          <w:color w:val="auto"/>
        </w:rPr>
        <w:t>arrangements with counterparties that are large, creditworthy financial institutions typically rated at least "A/A2" by S&amp;P and Moody's, respectively.</w:t>
      </w:r>
    </w:p>
    <w:p>
      <w:pPr>
        <w:spacing w:after="0" w:line="138" w:lineRule="exact"/>
        <w:rPr>
          <w:sz w:val="20"/>
          <w:szCs w:val="20"/>
          <w:color w:val="auto"/>
        </w:rPr>
      </w:pPr>
    </w:p>
    <w:p>
      <w:pPr>
        <w:jc w:val="both"/>
        <w:ind w:left="40" w:right="59" w:firstLine="402"/>
        <w:spacing w:after="0" w:line="273" w:lineRule="auto"/>
        <w:rPr>
          <w:sz w:val="20"/>
          <w:szCs w:val="20"/>
          <w:color w:val="auto"/>
        </w:rPr>
      </w:pPr>
      <w:r>
        <w:rPr>
          <w:rFonts w:ascii="Times New Roman" w:cs="Times New Roman" w:eastAsia="Times New Roman" w:hAnsi="Times New Roman"/>
          <w:sz w:val="16"/>
          <w:szCs w:val="16"/>
          <w:color w:val="auto"/>
        </w:rPr>
        <w:t>Developing an effective strategy for dealing with alterations in interest rates is complex and any strategy aimed at managing exposures to changing interest rates would likely not be able to completely insulate us from risks associated with such fluctuations. There can be no assurance that any hedging activities will have the desired beneficial impact on our results of operations or financial condition.</w:t>
      </w:r>
    </w:p>
    <w:p>
      <w:pPr>
        <w:spacing w:after="0" w:line="3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Increases in interest rates could have an adverse effect on our operating results.</w:t>
      </w:r>
    </w:p>
    <w:p>
      <w:pPr>
        <w:spacing w:after="0" w:line="238" w:lineRule="exact"/>
        <w:rPr>
          <w:sz w:val="20"/>
          <w:szCs w:val="20"/>
          <w:color w:val="auto"/>
        </w:rPr>
      </w:pPr>
    </w:p>
    <w:p>
      <w:pPr>
        <w:jc w:val="both"/>
        <w:ind w:left="40" w:right="59" w:firstLine="402"/>
        <w:spacing w:after="0" w:line="259" w:lineRule="auto"/>
        <w:rPr>
          <w:sz w:val="20"/>
          <w:szCs w:val="20"/>
          <w:color w:val="auto"/>
        </w:rPr>
      </w:pPr>
      <w:r>
        <w:rPr>
          <w:rFonts w:ascii="Times New Roman" w:cs="Times New Roman" w:eastAsia="Times New Roman" w:hAnsi="Times New Roman"/>
          <w:sz w:val="16"/>
          <w:szCs w:val="16"/>
          <w:color w:val="auto"/>
        </w:rPr>
        <w:t>Our operating results depend in part on the difference between the income achieved from our income-producing assets and management fee income streams and the interest expense incurred in connection with our interest-bearing liabilities. Changes in the general level of interest rates prevailing in the financial markets have in the past affected and may in the future affect the spread between our income-producing assets and management fee income streams and our interest-bearing liabilities subject to the impact of interest rate floors and caps, as well as the amounts of floating rate assets and liabilities. Any significant compression of the spreads between income-producing assets and management fee income streams and interest-bearing liabilities could have a material adverse effect on us. While interest rates remain low relative to certain historical rates, rates have recently risen and are generally expected to rise in the coming years, although there is no certainty as to the amount by which they may rise. Interest rates are highly sensitive to many factors, including governmental monetary and tax policies, domestic and international economic and political conditions, inflation, labor markets, and other factors beyond our control. In the event of a rising interest rate environment, rates could create a mismatch between the income we generate from our income-producing assets and management fee income streams and the interest expense incurred on our floating rate debt that could have a significant adverse effect on our financial condition, our operating results and, our cash flows. An increase in interest rates could also, among other things, reduce the value of certain of our income-producing assets and our ability to realize gains from the sale of such assets.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Our Credit Facility</w:t>
      </w:r>
    </w:p>
    <w:p>
      <w:pPr>
        <w:spacing w:after="0" w:line="210"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The Company’s Credit Facility and secured financings include certain financial and/or other covenants that could restrict our operating activities, and the failure to comply with such covenants could result in a default that accelerates the required payment of such debt.</w:t>
      </w:r>
    </w:p>
    <w:p>
      <w:pPr>
        <w:spacing w:after="0" w:line="152"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 Credit Facility contains certain financial and operating covenants, including, among other things, certain coverage ratios and limitations on our ability to incur debt and limits on the repurchase of the Company’s stock and similar restrictions. In addition, the Credit Facility contains certain covenants pertaining to maximum levels of investment in certain types of assets, the number and make-up of the properties in the borrowing base, and similar covenants typical for this type of indebtedness. The Company’s secured indebtedness generally contains covenants regarding debt service coverage ratios. The Company’s ability to meet or maintain compliance with these and other debt covenants may be dependent on the performance of the Company’s tenants under their leases. The Company’s failure to comply with certain of our debt covenants could result in a default that may, if not cured, accelerate our payment obligations under such debt and limit the Company’s available cash flow for acquisitions, dividends, or operating costs, which would likely have a material adverse impact on the Company’s financial condition, results of operations, and cash flows. In addition, these defaults could impair the Company’s access to the debt and equity markets.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Our Convertible Notes</w:t>
      </w:r>
    </w:p>
    <w:p>
      <w:pPr>
        <w:spacing w:after="0" w:line="21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Certain investors in the convertible debt issuance may also invest in our common stock utilizing trading strategies which may increase the volatility in or adversely affect the trading price and liquidity of our common stock.</w:t>
      </w:r>
    </w:p>
    <w:p>
      <w:pPr>
        <w:spacing w:after="0" w:line="133" w:lineRule="exact"/>
        <w:rPr>
          <w:sz w:val="20"/>
          <w:szCs w:val="20"/>
          <w:color w:val="auto"/>
        </w:rPr>
      </w:pPr>
    </w:p>
    <w:p>
      <w:pPr>
        <w:jc w:val="both"/>
        <w:ind w:left="40" w:right="59" w:firstLine="402"/>
        <w:spacing w:after="0" w:line="263" w:lineRule="auto"/>
        <w:rPr>
          <w:sz w:val="20"/>
          <w:szCs w:val="20"/>
          <w:color w:val="auto"/>
        </w:rPr>
      </w:pPr>
      <w:r>
        <w:rPr>
          <w:rFonts w:ascii="Times New Roman" w:cs="Times New Roman" w:eastAsia="Times New Roman" w:hAnsi="Times New Roman"/>
          <w:sz w:val="16"/>
          <w:szCs w:val="16"/>
          <w:color w:val="auto"/>
        </w:rPr>
        <w:t>Investors in, and potential purchasers of, the 2025 Notes may employ, or seek to employ, a convertible arbitrage strategy with respect to the 2025 Notes. Investors that employ a convertible arbitrage strategy with respect to our convertible debt instruments typically implement that strategy by selling short the common stock underlying the 2025 Notes and dynamically adjusting their short position while they hold the 2025 Notes. Investors may also implement this strategy by entering into swaps on our common stock in lieu of or in addition to short selling our common stock. These strategies, particularly the effect short sales or equity swaps with respect to our common stock, could increase the volatility of our stock price or otherwise adversely affect the trading price of our common stock.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may not have the liquidity or ability to raise the funds necessary to settle conversions of the 2025 Notes or purchase the 2025 Notes as required upon a fundamental change, and our future debt may contain limitations on our ability to pay cash upon a purchase or conversion of the 2025 Notes.</w:t>
      </w:r>
    </w:p>
    <w:p>
      <w:pPr>
        <w:spacing w:after="0" w:line="152"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Following certain potential events qualifying as a fundamental change under the indenture governing the 2025 Notes, including a change in control, holders of 2025 Notes will have the right to require us to purchase their 2025 Notes for cash. A fundamental change may also constitute an event of default or a prepayment event under, and result in the acceleration of the maturity of, our then-existing indebtedness. In addition, upon conversion of the 2025 Notes, unless we elect to deliver solely shares of our common stock to settle such conversion (other than paying cash in lieu of delivering any fractional share), we will be required to make cash payments in respect of the 2025 Notes being converted. There is no assurance that we will have sufficient financial resources, or will be able to arrange financing, to pay the fundamental change purchase price or make cash payments upon conversion. In addition, restrictions in our then existing credit facilities or other indebtedness, if any, may not allow us to purchase the 2025 Notes upon a fundamental change or make cash payments upon conversion. Our failure to purchase the 2025 Notes upon a fundamental change or make cash payments upon conversion thereof when required would result in an event of default with respect to the 2025 Notes which could, in turn, constitute a default under the terms of our other indebtedness, if any. If the repayment of the related indebtedness were to be accelerated after any applicable notice or grace periods, we may not have sufficient funds to repay the indebtedness and purchase the 2025 Notes or make cash payments upon conversions thereof.</w:t>
      </w:r>
    </w:p>
    <w:p>
      <w:pPr>
        <w:spacing w:after="0" w:line="169"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To the extent we issue shares of our common stock to satisfy all or a portion of the settlement of our 2025 Notes, conversions of the 2025 Notes will dilute the ownership interest of our existing stockholders, including holders who had previously converted their 2025 Notes into common stock.</w:t>
      </w:r>
    </w:p>
    <w:p>
      <w:pPr>
        <w:spacing w:after="0" w:line="152"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To the extent we issue shares of our common stock to satisfy all or a portion of our conversion obligation pursuant to the 2025 Notes, the conversion of some or all of the 2025 Notes into common stock will dilute the ownership interests of our existing stockholders. Any sales in the public market of our common stock issuable upon such conversion could adversely affect prevailing market prices of our common stock. In addition, the existence of the 2025 Notes may encourage short selling by market participants because the conversion of the 2025 Notes could depress the price of our common stock</w:t>
      </w:r>
      <w:r>
        <w:rPr>
          <w:rFonts w:ascii="Times New Roman" w:cs="Times New Roman" w:eastAsia="Times New Roman" w:hAnsi="Times New Roman"/>
          <w:sz w:val="16"/>
          <w:szCs w:val="16"/>
          <w:i w:val="1"/>
          <w:iCs w:val="1"/>
          <w:color w:val="auto"/>
        </w:rPr>
        <w:t>.</w:t>
      </w:r>
    </w:p>
    <w:p>
      <w:pPr>
        <w:spacing w:after="0" w:line="157"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fundamental change purchase feature of our 2025 Notes may delay or prevent an otherwise beneficial attempt to take over our company.</w:t>
      </w:r>
    </w:p>
    <w:p>
      <w:pPr>
        <w:spacing w:after="0" w:line="133"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The terms of the 2025 Notes require us to offer to purchase the 2025 Notes for cash in the event of a fundamental change, as defined in the indenture agreement of the 2025 Notes. A non-stock takeover of the Company may trigger the requirement that we purchase the 2025 Notes. This feature may have the effect of delaying or preventing a takeover of the Company that would otherwise be beneficial to investors.</w:t>
      </w:r>
    </w:p>
    <w:p>
      <w:pPr>
        <w:spacing w:after="0" w:line="155" w:lineRule="exact"/>
        <w:rPr>
          <w:sz w:val="20"/>
          <w:szCs w:val="20"/>
          <w:color w:val="auto"/>
        </w:rPr>
      </w:pPr>
    </w:p>
    <w:p>
      <w:pPr>
        <w:jc w:val="both"/>
        <w:ind w:left="40" w:right="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accounting method for our 2025 Notes, which may be settled in cash, may have a material effect on our reported financial results.</w:t>
      </w:r>
    </w:p>
    <w:p>
      <w:pPr>
        <w:spacing w:after="0" w:line="131"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 xml:space="preserve">Under Accounting Standards Codification (“ASC”) 470-20, </w:t>
      </w:r>
      <w:r>
        <w:rPr>
          <w:rFonts w:ascii="Times New Roman" w:cs="Times New Roman" w:eastAsia="Times New Roman" w:hAnsi="Times New Roman"/>
          <w:sz w:val="16"/>
          <w:szCs w:val="16"/>
          <w:i w:val="1"/>
          <w:iCs w:val="1"/>
          <w:color w:val="auto"/>
        </w:rPr>
        <w:t>Debt with Conversion and Other Options</w:t>
      </w:r>
      <w:r>
        <w:rPr>
          <w:rFonts w:ascii="Times New Roman" w:cs="Times New Roman" w:eastAsia="Times New Roman" w:hAnsi="Times New Roman"/>
          <w:sz w:val="16"/>
          <w:szCs w:val="16"/>
          <w:color w:val="auto"/>
        </w:rPr>
        <w:t>, which we refer to as ASC 470-20, an entity must separately account for the liability and equity components of the convertible debt instruments (such as the 2025 Notes) that may be settled entirely or partially in cash upon conversion in a manner that reflects the issuer’s economic interest cost. The effect of ASC 470-20 on the accounting for the 2025 Notes is that the equity component is required to be included in the additional paid-in capital section of stockholders’ equity on our consolidated balance sheet, and the value of the equity component would be treated as original issue discount for purposes of accounting for the debt component of the 2025 Notes. As a result, we will be required to record a greater amount of non-cash interest expense in current periods presented because of the amortization of the discounted carrying value of the 2025 Notes to their face amount over the term of the 2025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and/or the market price of our common stock.</w:t>
      </w:r>
    </w:p>
    <w:p>
      <w:pPr>
        <w:spacing w:after="0" w:line="362"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76" w:lineRule="auto"/>
        <w:rPr>
          <w:sz w:val="20"/>
          <w:szCs w:val="20"/>
          <w:color w:val="auto"/>
        </w:rPr>
      </w:pPr>
      <w:r>
        <w:rPr>
          <w:rFonts w:ascii="Times New Roman" w:cs="Times New Roman" w:eastAsia="Times New Roman" w:hAnsi="Times New Roman"/>
          <w:sz w:val="16"/>
          <w:szCs w:val="16"/>
          <w:color w:val="auto"/>
        </w:rPr>
        <w:t>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Associated with Certain Events, Environmental Issues and, Climate Change</w:t>
      </w:r>
    </w:p>
    <w:p>
      <w:pPr>
        <w:spacing w:after="0" w:line="21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properties could be adversely affected in the event of natural disasters, pandemics, or other significant disruptions.</w:t>
      </w:r>
    </w:p>
    <w:p>
      <w:pPr>
        <w:spacing w:after="0" w:line="133"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Our corporate headquarters and many of our properties are located in Florida, where major hurricanes have occurred. We have income properties in other states or regions that experience similar or other natural disasters. Depending on where any hurricane makes landfall, our properties in Florida could experience significant damage. In addition, the occurrence and frequency of hurricanes in Florida could also negatively impact demand for our real estate assets because of consumer perceptions of hurricane risks. In addition to hurricanes, the occurrence of other natural disasters and climate conditions in Florida and other states, such as tornadoes, floods, fires, unusually heavy or prolonged rain, droughts, and heat waves, could have an adverse effect on our ability to develop properties or realize income from our properties. In addition to the various forms of natural disasters that could impact our operations and the performance of our income producing assets, pandemics occurring throughout the world could lead to disruptions in the global economy or significant economies throughout the world which could adversely impact our tenant’s operations, their ability to pay rent and consequently our financial condition, results of operations and cash flows may be adversely impacted. If a hurricane, earthquake, natural disaster, health pandemic or other similar significant disruption occurs, we may experience disruptions to our operations and damage to our properties, which could have an adverse effect on our business, our financing condition, our results of operations, and our cash flows.</w:t>
      </w:r>
    </w:p>
    <w:p>
      <w:pPr>
        <w:spacing w:after="0" w:line="359"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Acts of violence, terrorist attacks or war may affect the markets in which the Company operates and adversely affect the Company’s results of operations and cash flows.</w:t>
      </w:r>
    </w:p>
    <w:p>
      <w:pPr>
        <w:spacing w:after="0" w:line="133" w:lineRule="exact"/>
        <w:rPr>
          <w:sz w:val="20"/>
          <w:szCs w:val="20"/>
          <w:color w:val="auto"/>
        </w:rPr>
      </w:pPr>
    </w:p>
    <w:p>
      <w:pPr>
        <w:jc w:val="both"/>
        <w:ind w:left="40" w:right="59" w:firstLine="402"/>
        <w:spacing w:after="0" w:line="261" w:lineRule="auto"/>
        <w:rPr>
          <w:sz w:val="20"/>
          <w:szCs w:val="20"/>
          <w:color w:val="auto"/>
        </w:rPr>
      </w:pPr>
      <w:r>
        <w:rPr>
          <w:rFonts w:ascii="Times New Roman" w:cs="Times New Roman" w:eastAsia="Times New Roman" w:hAnsi="Times New Roman"/>
          <w:sz w:val="16"/>
          <w:szCs w:val="16"/>
          <w:color w:val="auto"/>
        </w:rPr>
        <w:t>Terrorist attacks or other acts of violence may negatively affect the Company’s operations. There can be no assurance that there will not be terrorist attacks against businesses within the United States. These attacks may directly impact the Company’s physical assets or business operations or the financial condition of its tenants, lenders or other institutions with which the Company has a relationship. The United States may be engaged in armed conflict, which could have an impact on these parties. The consequences of armed conflict are unpredictable, and the Company may not be able to foresee events that could have an adverse effect on its business. More generally, the occurrence of any of these events or the threat of these events, could cause consumer confidence and spending to decrease or result in increased volatility in the United States and worldwide financial markets and economies. They also could result in or cause an economic recession in the United States or abroad. Any of these occurrences could have an adverse impact on the Company’s financial condition, results of operations or cash flows.</w:t>
      </w:r>
    </w:p>
    <w:p>
      <w:pPr>
        <w:spacing w:after="0" w:line="163"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encounter environmental problems which require remediation or the incurrence of significant costs to resolve, which could adversely impact our financial condition, results of operations, and cash flows.</w:t>
      </w:r>
    </w:p>
    <w:p>
      <w:pPr>
        <w:spacing w:after="0" w:line="133"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Under various federal, state and local laws, ordinances and regulations, we may be required to investigate and clean up certain hazardous or toxic substances released on or in properties we own or operate or that we previously owned or operated, and we may be required to pay other costs relating to hazardous or toxic substances or incur costs or obligations associated with wetland areas on our land holdings. Any such liability may be imposed without regard to whether the Company’s management had knowledge, were notified or were otherwise aware of the origination of the environmental or wetland issues or were responsible for their occurrence. The presence of environmental issues or the failure to remediate properly any such losses at any of our properties may adversely affect our ability to sell or lease those properties, or to borrow using those properties as collateral. The costs or liabilities could exceed the value of the affected real estate. The costs or liabilities associated with resolving environmental issues could be significant.</w:t>
      </w:r>
    </w:p>
    <w:p>
      <w:pPr>
        <w:spacing w:after="0" w:line="164"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The uses of any of our income properties prior to our acquisition, and the building materials used in the construction of the property are among the property-specific factors that will affect how the environmental laws are applied to our properties. In general, before we acquire our income properties, independent environmental consultants are engaged to conduct Phase I environmental assessments, which generally do not involve invasive techniques such as soil or groundwater sampling. Depending on the Phase I results, we may elect to obtain Phase II environmental assessments which do involve this type of sampling. There can be no assurance that environmental liabilities have not developed since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these environmental assessments were performed or that future uses or conditions (including changes in applicable environmental laws and regulations) or new information about previously unidentified historical conditions will not result in the imposition of environmental liabilities.</w:t>
      </w:r>
    </w:p>
    <w:p>
      <w:pPr>
        <w:spacing w:after="0" w:line="15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If we are subject to any material costs or liabilities associated with environmental, our financial condition, results of operations and our cash flows could be adversely affected.</w:t>
      </w:r>
    </w:p>
    <w:p>
      <w:pPr>
        <w:spacing w:after="0" w:line="134"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risks associated with investing in real estate, including potential liabilities under environmental laws and risks of loss from weather conditions, man-made or natural disasters, climate change and terrorism.</w:t>
      </w:r>
    </w:p>
    <w:p>
      <w:pPr>
        <w:spacing w:after="0" w:line="157"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While a secured lender is not likely to be subject to these forms of environmental liability, when we foreclose on real property, we become an owner and are subject to the risks of environmental liability. Additionally, our net lease assets require our tenants to undertake the obligation for environmental compliance and indemnify us from liability with respect thereto. There can be no assurance that our tenants will have sufficient resources to satisfy their obligations to us.</w:t>
      </w:r>
    </w:p>
    <w:p>
      <w:pPr>
        <w:spacing w:after="0" w:line="387" w:lineRule="exact"/>
        <w:rPr>
          <w:sz w:val="20"/>
          <w:szCs w:val="20"/>
          <w:color w:val="auto"/>
        </w:rPr>
      </w:pPr>
    </w:p>
    <w:p>
      <w:pPr>
        <w:jc w:val="both"/>
        <w:ind w:left="40" w:right="39" w:firstLine="402"/>
        <w:spacing w:after="0" w:line="258" w:lineRule="auto"/>
        <w:rPr>
          <w:sz w:val="20"/>
          <w:szCs w:val="20"/>
          <w:color w:val="auto"/>
        </w:rPr>
      </w:pPr>
      <w:r>
        <w:rPr>
          <w:rFonts w:ascii="Times New Roman" w:cs="Times New Roman" w:eastAsia="Times New Roman" w:hAnsi="Times New Roman"/>
          <w:sz w:val="16"/>
          <w:szCs w:val="16"/>
          <w:color w:val="auto"/>
        </w:rPr>
        <w:t>Weather conditions and man-made or natural disasters such as hurricanes, tornadoes, earthquakes, floods, droughts, fires and other environmental conditions can damage properties we own. Additionally, we own properties located near the coastline and the value of our properties will potentially be subject to the risks associated with long-term effects of climate change. A significant number of our properties are located in major urban areas which, in recent years, have been high risk geographical areas for terrorism and threats of terrorism. Certain forms of terrorism including, but not limited to, nuclear, biological and chemical terrorism, political risks, environmental hazards and/or Acts of God may be deemed to fall completely outside the general coverage limits of our insurance policies or may be uninsurable or cost prohibitive to justify insuring against. Furthermore, if the U.S. Terrorism Risk Insurance Program Reauthorization Act is repealed or not extended or renewed upon its expiration, the cost for terrorism insurance coverage may increase and/or the terms, conditions, exclusions, retentions, limits and sub-limits of such insurance may be materially amended, and may effectively decrease the scope and availability of such insurance to the point where it is effectively unavailable. Future weather conditions, man-made or natural disasters, effects of climate change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owned real estate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weather conditions, man-made or natural disasters, terrorist attack or effect of climate change, whether or not insured, could have a material adverse effect on our financial performance, liquidity and the market price of our common or preferred stock. In addition, there is a risk that one or more of our property insurers may not be able to fulfill their obligations with respect to claims payments due to a deterioration in its financial condition.</w:t>
      </w:r>
    </w:p>
    <w:p>
      <w:pPr>
        <w:spacing w:after="0" w:line="173" w:lineRule="exact"/>
        <w:rPr>
          <w:sz w:val="20"/>
          <w:szCs w:val="20"/>
          <w:color w:val="auto"/>
        </w:rPr>
      </w:pPr>
    </w:p>
    <w:p>
      <w:pPr>
        <w:jc w:val="both"/>
        <w:ind w:left="40" w:right="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Company’s operations and financial condition may be adversely affected by climate change, including possible changes in weather patterns, weather-related events, government policy, laws, regulations, and economic conditions.</w:t>
      </w:r>
    </w:p>
    <w:p>
      <w:pPr>
        <w:spacing w:after="0" w:line="120"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In recent years, the assessment of the potential impact of climate change has begun to impact the activities of government authorities, the pattern of consumer behavior, and other areas that impact the business environment in the United States including, but not limited to, energy-efficiency measures, water use measures, and land-use practices. The promulgation of policies, laws or regulations relating to climate change by governmental authorities in the U.S. and the markets in which the Company owns real estate may require the Company to invest additional capital in our income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6"/>
          <w:szCs w:val="16"/>
          <w:color w:val="auto"/>
        </w:rPr>
        <w:t>properties. In addition, the impact of climate change on businesses to whom the Company seeks to lease its income properties is not reasonably determinable at this time. While not generally known at this time, climate change may impact weather patterns or the occurrence of significant weather events which could impact economic activity or the value of real estate in specific markets in which the Company owns its assets. The occurrence of any of these events or conditions may adversely impact the Company’s ability to lease its income properties, which would adversely impact the Company’s financial condition, results of operations, and cash flows.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Organization and Structure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Certain provisions of Maryland law could inhibit changes in control of our company.</w:t>
      </w:r>
    </w:p>
    <w:p>
      <w:pPr>
        <w:spacing w:after="0" w:line="21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Our charter contains stock ownership limits, which may delay, defer or prevent a change of control.</w:t>
      </w:r>
    </w:p>
    <w:p>
      <w:pPr>
        <w:spacing w:after="0" w:line="21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In order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for each taxable year other than our initial REIT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pacing w:after="0" w:line="367"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63" w:lineRule="exact"/>
        <w:rPr>
          <w:sz w:val="20"/>
          <w:szCs w:val="20"/>
          <w:color w:val="auto"/>
        </w:rPr>
      </w:pPr>
    </w:p>
    <w:p>
      <w:pPr>
        <w:ind w:left="40" w:right="8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133"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Our Qualification and Operation as a REIT</w:t>
      </w:r>
    </w:p>
    <w:p>
      <w:pPr>
        <w:spacing w:after="0" w:line="21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Failure to remain qualified as a REIT, would cause us to be taxed as a regular corporation, which would substantially reduce funds available for distributions to our stockholders.</w:t>
      </w:r>
    </w:p>
    <w:p>
      <w:pPr>
        <w:spacing w:after="0" w:line="133"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We believe that our organization and method of operation has enabled us to meet the requirements for qualification and taxation as a REIT commencing with our taxable year ended December 31, 2020, and we intend to continue to be organized and operate in such a manner. However, we cannot assure you that we will remain qualified as a REIT. Accordingly, no assurance can be given that our actual results of operations for any particular taxable year will satisfy such requirements.</w:t>
      </w:r>
    </w:p>
    <w:p>
      <w:pPr>
        <w:spacing w:after="0" w:line="159"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If we fail to qualify as a REIT in any taxable year, we will face serious tax consequences that will substantially reduce the funds available for distributions to our stockholders because:</w:t>
      </w:r>
    </w:p>
    <w:p>
      <w:pPr>
        <w:spacing w:after="0" w:line="138" w:lineRule="exact"/>
        <w:rPr>
          <w:sz w:val="20"/>
          <w:szCs w:val="20"/>
          <w:color w:val="auto"/>
        </w:rPr>
      </w:pPr>
    </w:p>
    <w:p>
      <w:pPr>
        <w:ind w:left="740" w:right="59" w:hanging="286"/>
        <w:spacing w:after="0" w:line="275" w:lineRule="auto"/>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would not be allowed a deduction for dividends paid to stockholders in computing our taxable income and would be subject to U.S. federal income tax at regular corporate rates;</w:t>
      </w:r>
    </w:p>
    <w:p>
      <w:pPr>
        <w:spacing w:after="0" w:line="1" w:lineRule="exact"/>
        <w:rPr>
          <w:rFonts w:ascii="Times New Roman" w:cs="Times New Roman" w:eastAsia="Times New Roman" w:hAnsi="Times New Roman"/>
          <w:sz w:val="16"/>
          <w:szCs w:val="16"/>
          <w:color w:val="auto"/>
        </w:rPr>
      </w:pPr>
    </w:p>
    <w:p>
      <w:pPr>
        <w:ind w:left="740" w:hanging="286"/>
        <w:spacing w:after="0"/>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subject to increased state and local taxes; and</w:t>
      </w:r>
    </w:p>
    <w:p>
      <w:pPr>
        <w:spacing w:after="0" w:line="12" w:lineRule="exact"/>
        <w:rPr>
          <w:rFonts w:ascii="Times New Roman" w:cs="Times New Roman" w:eastAsia="Times New Roman" w:hAnsi="Times New Roman"/>
          <w:sz w:val="16"/>
          <w:szCs w:val="16"/>
          <w:color w:val="auto"/>
        </w:rPr>
      </w:pPr>
    </w:p>
    <w:p>
      <w:pPr>
        <w:ind w:left="740" w:right="59" w:hanging="286"/>
        <w:spacing w:after="0" w:line="305" w:lineRule="auto"/>
        <w:tabs>
          <w:tab w:leader="none" w:pos="7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we are entitled to relief under certain U.S. federal income tax laws, we could not re-elect REIT status until the fifth calendar year after the year in which we failed to qualify as a REIT.</w:t>
      </w:r>
    </w:p>
    <w:p>
      <w:pPr>
        <w:spacing w:after="0" w:line="142"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spacing w:after="0" w:line="155"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Even if we remain qualified as a REIT, we may face other tax liabilities that could reduce our cash flows and negatively impact our results of operations and financial condition.</w:t>
      </w:r>
    </w:p>
    <w:p>
      <w:pPr>
        <w:spacing w:after="0" w:line="13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any partnership in which we have an interest may be liable at the entity level for tax imposed under those procedures. Further, our TRSs will be subject to regular corporate U.S. federal, state and local taxes. The TRS rules also impose a 100% excise tax on certain transactions between a TRS and its parent REIT that are not conducted on an arm’s-length basis.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If we failed to distribute our Pre-REIT Conversion Earnings and Profits, we could fail to qualify as a REIT.</w:t>
      </w:r>
    </w:p>
    <w:p>
      <w:pPr>
        <w:spacing w:after="0" w:line="214"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To qualify as a REIT, we must not have any non-REIT accumulated earnings and profits, as measured for U.S. federal income tax purposes, at the end of any REIT taxable year. We were treated as a C corporation prior to our first REIT year, which was our taxable year ended December 31, 2020. Thus, we were required to distribute our Pre-REIT Conversion Earnings and Profits by the end of the 2020 taxable year. While we believe that the Special Distribution satisfied the requirements relating to the distribution of our Pre-REIT Conversion Earnings and Profits, the determination of the amount of accumulated earnings and profits attributable to non-REIT years is a complex factual and legal determination. There are substantial uncertainties relating to the computation of our Pre-REIT Earnings and Profits. Information used at the time we completed our analysis may have been less than complete or we may have interpreted the applicable law differently from the IRS. In addition, the IRS could, in auditing tax years through 2019, successfully assert that our taxable income should be increased, which could increase our Pre-REIT Conversion Earnings and Profits. Thus, we could have failed to satisfy the requirement that we distribute all of our Pre-REIT Conversion Earnings and Profits by the close of our first taxable year as a REIT. Although there are procedures available to cure a failure to distribute all of our Pre-REIT Conversion Earnings and Profits, we cannot now determine whether we will be able to take advantage of them or the economic impact to us of doing so. If it is determined that we had undistributed Pre-REIT Conversion Earnings and Profits as of the end of any taxable year in which we elect to qualify as a REIT, and we are unable to cure the failure to distribute such earnings and profits, then we would fail to qualify as a REIT under the Code.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required distributions would subject us to U.S. federal corporate income tax.</w:t>
      </w:r>
    </w:p>
    <w:p>
      <w:pPr>
        <w:spacing w:after="0" w:line="213"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if the actual amount that we pay out to our stockholders in a calendar year is less than a minimum amount specified under the Code.</w:t>
      </w:r>
    </w:p>
    <w:p>
      <w:pPr>
        <w:spacing w:after="0" w:line="159"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Complying with REIT requirements may cause us to forego otherwise attractive opportunities or liquidate otherwise attractive investments.</w:t>
      </w:r>
    </w:p>
    <w:p>
      <w:pPr>
        <w:spacing w:after="0" w:line="133"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59"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162"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relative lack of experience in operating under the constraints imposed on us as a REIT may hinder the achievement of our investment objectives.</w:t>
      </w:r>
    </w:p>
    <w:p>
      <w:pPr>
        <w:spacing w:after="0" w:line="133"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maintaining our REIT status. We have relatively limited experience operating under these constraints, which may hinder our ability to take advantage of attractive investment opportunities and to achieve our investment objectives. As a result, we cannot assure you that we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 be required to make distributions. If this occurs, we might be required to borrow funds or liquidate some investments in order to pay the applicable tax.</w:t>
      </w:r>
    </w:p>
    <w:p>
      <w:pPr>
        <w:spacing w:after="0" w:line="361"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Complying with REIT requirements may limit our ability to hedge our liabilities effectively and may cause us to incur tax liabilities.</w:t>
      </w:r>
    </w:p>
    <w:p>
      <w:pPr>
        <w:spacing w:after="0" w:line="133"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63" w:lineRule="auto"/>
        <w:rPr>
          <w:sz w:val="20"/>
          <w:szCs w:val="20"/>
          <w:color w:val="auto"/>
        </w:rPr>
      </w:pPr>
      <w:r>
        <w:rPr>
          <w:rFonts w:ascii="Times New Roman" w:cs="Times New Roman" w:eastAsia="Times New Roman" w:hAnsi="Times New Roman"/>
          <w:sz w:val="16"/>
          <w:szCs w:val="16"/>
          <w:color w:val="auto"/>
        </w:rPr>
        <w:t>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Our ability to provide certain services to our tenants may be limited by the REIT rules or may have to be provided through a</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TRS.</w:t>
      </w:r>
    </w:p>
    <w:p>
      <w:pPr>
        <w:spacing w:after="0" w:line="192"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The prohibited transactions tax may limit our ability to dispose of our properties.</w:t>
      </w:r>
    </w:p>
    <w:p>
      <w:pPr>
        <w:spacing w:after="0" w:line="214"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may structure dispositions as Section 1031 like-kind exchanges, or may conduct such sales through a TRS, which would be subject to U.S. federal corporate income tax.</w:t>
      </w:r>
    </w:p>
    <w:p>
      <w:pPr>
        <w:spacing w:after="0" w:line="361"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pay taxable dividends in our stock and cash, in which case stockholders may sell shares of our stock to pay tax on such dividends, placing downward pressure on the market price of our stock.</w:t>
      </w:r>
    </w:p>
    <w:p>
      <w:pPr>
        <w:spacing w:after="0" w:line="13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We may satisfy the 90% distribution test with taxable distributions of our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w:t>
      </w:r>
    </w:p>
    <w:p>
      <w:pPr>
        <w:spacing w:after="0" w:line="161"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With respect to any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make a taxable dividend payable in cash and our stock and a significant number of our stockholders determine to sell shares of our stock in order to pay taxes owed on dividends, it may put downward pressure on the trading price of our stock.</w:t>
      </w:r>
    </w:p>
    <w:p>
      <w:pPr>
        <w:spacing w:after="0" w:line="163"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ability of the Board to revoke our REIT qualification without stockholder approval may cause adverse consequences to our stockholders.</w:t>
      </w:r>
    </w:p>
    <w:p>
      <w:pPr>
        <w:spacing w:after="0" w:line="133"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There are limits on our ownership of TRSs and our transactions with a TRS may cause us to be subject to a 100% penalty tax on certain income or deductions if those transactions are not conducted on arm’s-length terms.</w:t>
      </w:r>
    </w:p>
    <w:p>
      <w:pPr>
        <w:spacing w:after="0" w:line="133" w:lineRule="exact"/>
        <w:rPr>
          <w:sz w:val="20"/>
          <w:szCs w:val="20"/>
          <w:color w:val="auto"/>
        </w:rPr>
      </w:pPr>
    </w:p>
    <w:p>
      <w:pPr>
        <w:jc w:val="both"/>
        <w:ind w:left="40" w:right="59" w:firstLine="402"/>
        <w:spacing w:after="0" w:line="261" w:lineRule="auto"/>
        <w:rPr>
          <w:sz w:val="20"/>
          <w:szCs w:val="20"/>
          <w:color w:val="auto"/>
        </w:rPr>
      </w:pPr>
      <w:r>
        <w:rPr>
          <w:rFonts w:ascii="Times New Roman" w:cs="Times New Roman" w:eastAsia="Times New Roman" w:hAnsi="Times New Roman"/>
          <w:sz w:val="16"/>
          <w:szCs w:val="16"/>
          <w:color w:val="auto"/>
        </w:rPr>
        <w:t>Overall, no more than 20% of the value of a REIT’s assets may consist of stock or securities of one or more TRS. A TRS will be subject to applicable U.S. federal, state and local corporate income tax on its taxable income, and its after tax net income will be available for distribution to us but is not required to be distributed to us. In addition, the Code limits the deductibility of interest paid or accrued by a TRS to its parent REIT to assure that the TRS is subject to an appropriate level of corporate taxation and, in certain circumstances, other limitations on deductibility may apply. The Code also imposes a 100% excise tax on certain transactions between a TRS and its parent REIT that are not conducted on an arm’s-length basis. We will monitor the value of our respective investments in our TRSs for the purpose of ensuring compliance with TRS ownership limitations and will structure our transactions with such TRSs on terms that we believe are arm’s length to avoid incurring the 100% excise tax described above. There can be no assurance, however, that we will be able to comply with the 20% limitation or to avoid application of the 100% excise tax.</w:t>
      </w:r>
    </w:p>
    <w:p>
      <w:pPr>
        <w:spacing w:after="0" w:line="163"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52"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Although, as a REIT, we generally will not be subject to U.S. federal income tax on the taxable income that we distribute to our stockholders, we will nevertheless pay tax at the highest applicable regular U.S. federal corporate income tax rate (currently 21%) if we recognize built-in gain on the sale or disposition of any asset we held on January 1, 2020 (the first day of our first REIT year), during the five-year period after such date (the “Built-in Gains Tax”). Our strategy of investing in income-producing properties includes the utilization, when possible, of proceeds obtained from the disposition of income properties or from prior land transactions which qualify for deferral of the applicable income tax through the Section 1031 like-kind exchange provisions (“Section 1031”). Conducting Section 1031 exchanges generally will not trigger the Built-in Gains Tax. However, sales transactions that we completed in which we applied Section 1031 may be disqualified for such treatment if we are deemed to have conducted activities on the land or in connection with the transaction that are inconsistent with the activities of a long-term investor such as the activities of a developer or a dealer. In addition, if we fail to complete a qualifying acquisition utilizing the aforementioned proceeds or complete the intended qualifying acquisition outside the specified period of time allowed for completing such transaction the application of Section 1031 would be disqualified. If a transaction we deemed qualifying for Section 1031 exchange treatment is subsequently disqualified by the IRS, we may be subject to increased income taxes, including the Built-in Gains Tax, which would adversely impact our results of operations and our cash flows. In such a case, we could also possibly be subject to the 100% prohibited transactions tax applicable to REITs.</w:t>
      </w:r>
    </w:p>
    <w:p>
      <w:pPr>
        <w:spacing w:after="0" w:line="167"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If the provisions of Section 1031 were altered substantially or eliminated, our financial position, results of operations and cash flows could be adversely impacted.</w:t>
      </w:r>
    </w:p>
    <w:p>
      <w:pPr>
        <w:spacing w:after="0" w:line="133"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A fundamental element of our strategy is investing in income-producing properties, in some instances utilizing the proceeds obtained from the disposition of our income properties in tax deferred like-kind exchanges. As noted above, the use of Section 1031 will generally allow us to avoid the Built-in Gains Tax that may apply during the five-year period following our REIT conversion. If Section 1031, including the deferral of taxes on gains related to the sale of real property such as our income properties, were to be altered substantially or eliminated, we may be limited in our ability to dispose of properties and may be subject to increased income taxes, including the Built-in Gains Tax, which may have a material adverse effect on our results of operations and our cash flows.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You may be restricted from acquiring or transferring certain amounts of our common stock.</w:t>
      </w:r>
    </w:p>
    <w:p>
      <w:pPr>
        <w:spacing w:after="0" w:line="21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stock ownership restrictions for REITs in the Code and the 9.8% share ownership limit in our charter may inhibit market activity in our capital stock and restrict our business combination opportunities.</w:t>
      </w:r>
    </w:p>
    <w:p>
      <w:pPr>
        <w:spacing w:after="0" w:line="138"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In order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To help insure that we meet these tests, our charter restricts the acquisition and ownership of shares of our capital stock.</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 to continue to qualify as a REIT.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Dividends payable by REITs do not qualify for the reduced tax rates available for some dividends.</w:t>
      </w:r>
    </w:p>
    <w:p>
      <w:pPr>
        <w:spacing w:after="0" w:line="213" w:lineRule="exact"/>
        <w:rPr>
          <w:sz w:val="20"/>
          <w:szCs w:val="20"/>
          <w:color w:val="auto"/>
        </w:rPr>
      </w:pPr>
    </w:p>
    <w:p>
      <w:pPr>
        <w:jc w:val="both"/>
        <w:ind w:left="40" w:right="59" w:firstLine="402"/>
        <w:spacing w:after="0" w:line="260" w:lineRule="auto"/>
        <w:rPr>
          <w:sz w:val="20"/>
          <w:szCs w:val="20"/>
          <w:color w:val="auto"/>
        </w:rPr>
      </w:pPr>
      <w:r>
        <w:rPr>
          <w:rFonts w:ascii="Times New Roman" w:cs="Times New Roman" w:eastAsia="Times New Roman" w:hAnsi="Times New Roman"/>
          <w:sz w:val="16"/>
          <w:szCs w:val="16"/>
          <w:color w:val="auto"/>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spacing w:after="0" w:line="361"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adverse legislative or regulatory tax changes, in each instance with potentially retroactive effect, that could reduce the market price of our common stock.</w:t>
      </w:r>
    </w:p>
    <w:p>
      <w:pPr>
        <w:spacing w:after="0" w:line="133"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stock.</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Associated with our Common Stock</w:t>
      </w:r>
    </w:p>
    <w:p>
      <w:pPr>
        <w:spacing w:after="0" w:line="197" w:lineRule="exact"/>
        <w:rPr>
          <w:sz w:val="20"/>
          <w:szCs w:val="20"/>
          <w:color w:val="auto"/>
        </w:rPr>
      </w:pPr>
    </w:p>
    <w:p>
      <w:pPr>
        <w:jc w:val="both"/>
        <w:ind w:left="40" w:right="59" w:firstLine="402"/>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The Company has several stockholders that beneficially own more than 5% of the Company’s outstanding common stock and exercise the related voting rights of those shares. Actions by these stockholders, including trading activity, could have a material adverse impact on the trading price of our stock.</w:t>
      </w:r>
    </w:p>
    <w:p>
      <w:pPr>
        <w:spacing w:after="0" w:line="145"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Certain of our stockholders, specifically several institutional investment funds, each beneficially own more than 5% of the outstanding common stock of the Company. The daily trading activity in our stock is substantially lower, on average, than the total amount of shares owned by these stockholders. Any substantial trading activity executed by these large stockholders could have an adverse impact on the trading price of the Company’s stock which may impact our ability to raise capital through equity financing, which may adversely impact our ability to execute our business plan.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Other Operational Risks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Our operations could be negatively impacted by the loss of key management personnel</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We believe our future success depends, to a significant extent, on the efforts of each member of the Company’s senior management and our ability to attract and retain key personnel. The loss of, or our inability to replace, any member of senior management could adversely affect our operations and our ability to execute our business strategies and thereby our financial condition, results of operations and cash flows. We maintain key man life insurance on our Chief Executive Officer, but we do not have key man life insurance policies on the other members of our senior management.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Uninsured losses may adversely affect the Company’s ability to pay outstanding indebtedness.</w:t>
      </w:r>
    </w:p>
    <w:p>
      <w:pPr>
        <w:spacing w:after="0" w:line="21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The Company’s income-producing properties are generally covered by comprehensive liability, fire, and extended insurance coverage, typically paid by the tenant under the triple-net and double-net lease structure. The Company believes the insurance carried on our properties is adequate and in accordance with industry standards. There are, however, types of losses (such as from hurricanes, earthquakes, floods or other types of natural disasters, or wars, terrorism, or other acts of violence) which may be uninsurable or the cost of insuring against these losses may not be economically justifiable. If an uninsured loss occurs or a loss exceeds policy limits, the Company could lose both its invested capital and anticipated revenues from the property, thereby reducing the Company’s cash flow, impairing the value of the impacted income properties and adversely impacting the Company’s financial condition and results of operations.</w:t>
      </w:r>
    </w:p>
    <w:p>
      <w:pPr>
        <w:spacing w:after="0" w:line="361"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preferred stock and adversely impact our results of operations and cash flows.</w:t>
      </w:r>
    </w:p>
    <w:p>
      <w:pPr>
        <w:spacing w:after="0" w:line="152"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Our business is highly dependent on communications and information systems. Any failure or interruption of our systems or our networks could cause delays or other problems in our operations and communications. We rely heavily on our financial, accounting and other data processing systems. In addition, much of our information technology infrastructure is or may be managed by third parties and as such we also face the risk of operational failure, termination, or capacity constraints by any of these third parties with which we do business or that facilitate our business activities. It is difficult to determine what, if any, negative impact may directly result from any specific interruption or disruption of our networks or systems or any failure to maintain performance, reliability and security of our technological infrastructure, but significant events impacting our systems or networks could have a material adverse effect on our operating results and cash flows and negatively affect the market price of our common stock and preferred stock.</w:t>
      </w:r>
    </w:p>
    <w:p>
      <w:pPr>
        <w:spacing w:after="0" w:line="16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make a number of judgments in applying accounting policies, and different estimates and assumptions could result in changes to our financial condition and results of operations.</w:t>
      </w:r>
    </w:p>
    <w:p>
      <w:pPr>
        <w:spacing w:after="0" w:line="157"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Material estimates that are particularly susceptible to significant change underlie our determination of the reserve for loan losses, which is based primarily on the estimated fair value of loan collateral, as well as the valuation of real estate assets and deferred tax assets. While we have identified those accounting policies that are considered critical and have procedures in place to facilitate the associated judgments, different assumptions in the application of these policies could have a material adverse effect on our financial performance and results of operations and actual results may differ materially from our estimates.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Changes in accounting rules will affect our financial reporting.</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FASB has issued new accounting standards that will affect our financial reporting.</w:t>
      </w:r>
    </w:p>
    <w:p>
      <w:pPr>
        <w:spacing w:after="0" w:line="210"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In January 2021, the FASB issued Accounting Standards Update (“ASU”) 2021-01 which is in response to concerns about structural 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that its interest rate swaps, hereinafter described in Note 17, “Interest Rate Swaps”, meet the scope of Topic 848-10-15-3A and therefore, the Company will be able to continue to apply a perfectly effective assessment method for each interest rate swap by electing the corresponding optional expedient for subsequent assessments.</w:t>
      </w:r>
    </w:p>
    <w:p>
      <w:pPr>
        <w:spacing w:after="0" w:line="167"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In August 2020, the FASB issued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if-converted method. Further, the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Company elected, upon adoption, to utilize the modified retrospective approach, negating the required restatement of EPS for periods prior to adoption.</w:t>
      </w:r>
    </w:p>
    <w:p>
      <w:pPr>
        <w:spacing w:after="0" w:line="138"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Changes in accounting standards could affect the comparability of our reported results with prior periods and our ability to comply with financial covenants under our debt instruments. We may also need to change our accounting systems and processes to enable us to comply with the new standards, which may be costly.</w:t>
      </w:r>
    </w:p>
    <w:p>
      <w:pPr>
        <w:spacing w:after="0" w:line="15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For additional information regarding new accounting standards, refer to Note 2, “Summary of Significant Accounting Policies” in the notes to the consolidated financial statements in Item 8. under the heading "Recently Issued Accounting Standards.”</w:t>
      </w:r>
    </w:p>
    <w:p>
      <w:pPr>
        <w:spacing w:after="0" w:line="134" w:lineRule="exact"/>
        <w:rPr>
          <w:sz w:val="20"/>
          <w:szCs w:val="20"/>
          <w:color w:val="auto"/>
        </w:rPr>
      </w:pPr>
    </w:p>
    <w:p>
      <w:pPr>
        <w:jc w:val="both"/>
        <w:ind w:left="40" w:right="3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Actions of the U.S. government, including the U.S. Congress, Federal Reserve, U.S. Treasury and other governmental and regulatory bodies, to stabilize or reform the financial markets, or market responses to those actions, may not achieve the intended effect and may adversely affect our business.</w:t>
      </w:r>
    </w:p>
    <w:p>
      <w:pPr>
        <w:spacing w:after="0" w:line="176"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The U.S government, including the U.S. Congress, the Federal Reserve, the U.S Treasury and other governmental and regulatory bodies have increased their focus on the regulation of the financial industry in recent years. New or modified regulations and related regulatory guidance may have unforeseen or unintended adverse effects on the financial industry. Laws, regulations or policies, including tax laws and accounting standards and interpretations, currently affecting us may change at any time. Regulatory authorities may also change their interpretation of these statutes and regulations. Therefore, our business may also be adversely affected by future changes in laws, regulations, policies or interpretations or regulatory approaches to compliance and enforcement.</w:t>
      </w:r>
    </w:p>
    <w:p>
      <w:pPr>
        <w:spacing w:after="0" w:line="163"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Various legislative bodies have also considered altering the existing framework governing creditors' rights and mortgage products including legislation that would result in or allow loan modifications of various sorts. Such legislation may change the operating environment in substantial and unpredictable ways. We cannot predict whether new legislation will be enacted, and if enacted, the effect that it or any regulations would have on our activities, financial condition, or results of operations.</w:t>
      </w:r>
    </w:p>
    <w:p>
      <w:pPr>
        <w:spacing w:after="0" w:line="155"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Under the Americans with Disabilities Act of 1990, all public accommodations and commercial facilities must meet certain federal requirements related to access and use by disabled persons, compliance with which may be costly.</w:t>
      </w:r>
    </w:p>
    <w:p>
      <w:pPr>
        <w:spacing w:after="0" w:line="13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Compliance with the ADA requirements could involve modifications to our income properties. Other federal, state and local laws may require modifications to or restrict further renovations of our income properties. Although we believe that our income properties are sufficiently in compliance with current requirements, noncompliance with the ADA or related laws or regulations could result in the imposition of governmental fines or in the award to private litigants of damages against us. Costs such as these, as well as the general costs of compliance with these laws or regulations, may adversely affect our financial condition, results of operations, and cash flows.</w:t>
      </w:r>
    </w:p>
    <w:p>
      <w:pPr>
        <w:spacing w:after="0" w:line="157" w:lineRule="exact"/>
        <w:rPr>
          <w:sz w:val="20"/>
          <w:szCs w:val="20"/>
          <w:color w:val="auto"/>
        </w:rPr>
      </w:pPr>
    </w:p>
    <w:p>
      <w:pPr>
        <w:jc w:val="both"/>
        <w:ind w:left="40" w:right="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cannot predict the unintended consequences and market distortions that may stem from far-ranging governmental intervention in the economic and financial system or from financial reform legislation.</w:t>
      </w:r>
    </w:p>
    <w:p>
      <w:pPr>
        <w:spacing w:after="0" w:line="133" w:lineRule="exact"/>
        <w:rPr>
          <w:sz w:val="20"/>
          <w:szCs w:val="20"/>
          <w:color w:val="auto"/>
        </w:rPr>
      </w:pPr>
    </w:p>
    <w:p>
      <w:pPr>
        <w:jc w:val="both"/>
        <w:ind w:left="40" w:right="59" w:firstLine="442"/>
        <w:spacing w:after="0" w:line="269" w:lineRule="auto"/>
        <w:rPr>
          <w:sz w:val="20"/>
          <w:szCs w:val="20"/>
          <w:color w:val="auto"/>
        </w:rPr>
      </w:pPr>
      <w:r>
        <w:rPr>
          <w:rFonts w:ascii="Times New Roman" w:cs="Times New Roman" w:eastAsia="Times New Roman" w:hAnsi="Times New Roman"/>
          <w:sz w:val="16"/>
          <w:szCs w:val="16"/>
          <w:color w:val="auto"/>
        </w:rPr>
        <w:t>The laws and regulations governing our operations, as well as their interpretation, may change from time to time, and new laws and regulations may be enacted. Accordingly, any change in these laws or regulations, changes in their interpretation, or newly enacted laws or regulations and any failure by us to comply with these laws or regulations, could negatively impact our business, results of operations and financial condition, impose additional costs on us or otherwise adversely affect our business.</w:t>
      </w:r>
    </w:p>
    <w:p>
      <w:pPr>
        <w:spacing w:after="0" w:line="159" w:lineRule="exact"/>
        <w:rPr>
          <w:sz w:val="20"/>
          <w:szCs w:val="20"/>
          <w:color w:val="auto"/>
        </w:rPr>
      </w:pPr>
    </w:p>
    <w:p>
      <w:pPr>
        <w:jc w:val="both"/>
        <w:ind w:left="40" w:right="39" w:firstLine="590"/>
        <w:spacing w:after="0" w:line="262" w:lineRule="auto"/>
        <w:rPr>
          <w:sz w:val="20"/>
          <w:szCs w:val="20"/>
          <w:color w:val="auto"/>
        </w:rPr>
      </w:pPr>
      <w:r>
        <w:rPr>
          <w:rFonts w:ascii="Times New Roman" w:cs="Times New Roman" w:eastAsia="Times New Roman" w:hAnsi="Times New Roman"/>
          <w:sz w:val="16"/>
          <w:szCs w:val="16"/>
          <w:color w:val="auto"/>
        </w:rPr>
        <w:t>The U.S. government, the U.S. Federal Reserve, the U.S. Treasury, the SEC and other governmental and regulatory bodies have taken or are taking various actions involving intervention in the economic and financial system and regulatory reform of the oversight of financial markets. In 2010, former President Obama signed into law the Dodd- Frank Wall Street Reform and Consumer Protection Act (the "Dodd-Frank Act"), which has changed the regulation of financial institutions and the financial services industry. The current regulatory environment may be impacted by recent and potential future legislative developments, such as amendments to key provisions of the Dodd-Frank Act. The Biden Administration is likely to take a more active approach to banking and financial regulation than the prior Trump Administration, particularly to promote policy goals involving climate change, racial equity, ESG matters, consumer financial protection and infrastructure, which could affect our business and operations if enacted. However, with a</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Republican majority in the U.S. House of Representatives, we cannot predict whether the Biden Administration will be able to enact any significant legislative measures in these areas.</w:t>
      </w:r>
    </w:p>
    <w:p>
      <w:pPr>
        <w:spacing w:after="0" w:line="138" w:lineRule="exact"/>
        <w:rPr>
          <w:sz w:val="20"/>
          <w:szCs w:val="20"/>
          <w:color w:val="auto"/>
        </w:rPr>
      </w:pPr>
    </w:p>
    <w:p>
      <w:pPr>
        <w:jc w:val="both"/>
        <w:ind w:left="40" w:right="59" w:firstLine="402"/>
        <w:spacing w:after="0" w:line="273" w:lineRule="auto"/>
        <w:rPr>
          <w:sz w:val="20"/>
          <w:szCs w:val="20"/>
          <w:color w:val="auto"/>
        </w:rPr>
      </w:pPr>
      <w:r>
        <w:rPr>
          <w:rFonts w:ascii="Times New Roman" w:cs="Times New Roman" w:eastAsia="Times New Roman" w:hAnsi="Times New Roman"/>
          <w:sz w:val="16"/>
          <w:szCs w:val="16"/>
          <w:color w:val="auto"/>
        </w:rPr>
        <w:t>In addition, the substance of regulatory supervision may be influenced through the appointment of individuals to the U.S. Federal Reserve Board and other financial regulatory bodies. With the support of a Democratic majority in the Senate, President Biden may be more likely to be able to have his nominees to such bodies confirmed and, accordingly, carry out the Administration's regulatory agenda.</w:t>
      </w:r>
    </w:p>
    <w:p>
      <w:pPr>
        <w:spacing w:after="0" w:line="356"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We cannot predict the ultimate content, timing, or effect of legislative and regulatory actions under the Biden Administration, nor is it possible at this time to estimate the impact of any such actions which could have a dramatic impact on our business, results of operations and financial condition.</w:t>
      </w:r>
    </w:p>
    <w:p>
      <w:pPr>
        <w:spacing w:after="0" w:line="148"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Company’s failure to maintain effective internal control over financial reporting could have a material adverse effect on its business, operating results, and price of our common stock and preferred stock.</w:t>
      </w:r>
    </w:p>
    <w:p>
      <w:pPr>
        <w:spacing w:after="0" w:line="13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Section 404 of the Sarbanes-Oxley Act of 2002 (“SOX”) as amended or modified from time to time, requires annual management assessments of the effectiveness of the Company’s internal control over financial reporting. If the Company fails to maintain the adequacy of its internal control over financial reporting, the Company may not be able to ensure that it can conclude on an ongoing basis that it has effective internal control over financial reporting and therefore would likely not be in compliance with SOX. An effective system of internal controls over financial reporting, particularly those related to revenue recognition, are necessary for the Company to prepare and produce reliable financial reports and to maintain its qualification as a public company and are important in reducing the risk of financial fraud. If the Company cannot provide reliable financial reports or prevent fraud, its business and operating results could be harmed, qualification as a public company listed on NYSE could be jeopardized, investors could lose confidence in the Company’s reported financial information, and the market price of the Company’s common stock and preferred stock could drop significantly.</w:t>
      </w:r>
    </w:p>
    <w:p>
      <w:pPr>
        <w:spacing w:after="0" w:line="359"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212529"/>
        </w:rPr>
        <w:t>If we are unable to satisfy the requirements of Section 404 of the Sarbanes-Oxley Act or our internal control over financial reporting is not effective, the reliability of our financial statements may be questioned, and the market price of our common stock and preferred stock may suffer.</w:t>
      </w:r>
    </w:p>
    <w:p>
      <w:pPr>
        <w:spacing w:after="0" w:line="176"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212529"/>
        </w:rPr>
        <w:t>Section 404 of the Sarbanes-Oxley Act requires any company subject to the reporting requirements of the U.S. securities laws to do a comprehensive evaluation of its and its consolidated subsidiaries’ internal control over financial reporting. 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If our management cannot favorably assess the effectiveness of our internal control over financial reporting or our auditors identify material weaknesses in our internal controls, investors may lose confidence in our reported financial results and the market price of our common stock and preferred stock may decline.</w:t>
      </w:r>
    </w:p>
    <w:p>
      <w:pPr>
        <w:spacing w:after="0" w:line="160" w:lineRule="exact"/>
        <w:rPr>
          <w:sz w:val="20"/>
          <w:szCs w:val="20"/>
          <w:color w:val="auto"/>
        </w:rPr>
      </w:pPr>
    </w:p>
    <w:p>
      <w:pPr>
        <w:jc w:val="both"/>
        <w:ind w:left="40" w:right="5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212529"/>
        </w:rPr>
        <w:t>We are subject to substantial regulation and numerous contractual obligations and internal policies, and failure to comply with these provisions could have a material adverse effect on our business, financial condition and results of operations.</w:t>
      </w:r>
    </w:p>
    <w:p>
      <w:pPr>
        <w:spacing w:after="0" w:line="133"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212529"/>
        </w:rPr>
        <w:t>We are subject to substantial regulation and numerous contractual obligations and internal policies. We are subject to regulation by the SEC, the NYSE, and other federal, state and local or international governmental bodies and agencies or self-regulatory organizations. Moreover, we must comply with the REIT rules, and we are also responsible for managing or assisting with the regulatory aspects of PINE’s compliance with applicable REIT rules. The level of regulation and supervision to which we and PINE are subject varies from jurisdiction to jurisdiction and is based on the type of business activity involved. The regulations to which we and PINE are subject are extensive, complex and require substantial management time and attention. Our failure or PINE’s failure to comply with any of the regulations, contractual obligations or policies applicable to it may subject us to extensive investigations, as well as substantial penalties and reputational risk, and our business and operations could be materially adversely affected. Our lack of compliance with applicable law could result in, among other things, our inability to enforce contracts, our default under contracts (including our management agreements with PINE) and our ineligibility to contract with and receive revenue from PINE. We have numerous contractual obligations with which we must comply on a continuous basis to operate our business, the default of which could have a material adverse effect on our business and financial condition. We have established internal policies designed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212529"/>
        </w:rPr>
        <w:t>to ensure that we manage our business in accordance with applicable law and regulation and in accordance with our contractual obligations. These internal policies may not be effective in all regards; and, if we fail to comply with our internal policies, we could be subjected to additional risk and liability.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212529"/>
        </w:rPr>
        <w:t>Employee misconduct could harm us by subjecting us to significant legal liability, reputational harm and loss of business.</w:t>
      </w:r>
    </w:p>
    <w:p>
      <w:pPr>
        <w:spacing w:after="0" w:line="238" w:lineRule="exact"/>
        <w:rPr>
          <w:sz w:val="20"/>
          <w:szCs w:val="20"/>
          <w:color w:val="auto"/>
        </w:rPr>
      </w:pPr>
    </w:p>
    <w:p>
      <w:pPr>
        <w:jc w:val="both"/>
        <w:ind w:left="40" w:right="59" w:firstLine="402"/>
        <w:spacing w:after="0" w:line="260" w:lineRule="auto"/>
        <w:rPr>
          <w:sz w:val="20"/>
          <w:szCs w:val="20"/>
          <w:color w:val="auto"/>
        </w:rPr>
      </w:pPr>
      <w:r>
        <w:rPr>
          <w:rFonts w:ascii="Times New Roman" w:cs="Times New Roman" w:eastAsia="Times New Roman" w:hAnsi="Times New Roman"/>
          <w:sz w:val="16"/>
          <w:szCs w:val="16"/>
          <w:color w:val="212529"/>
        </w:rPr>
        <w:t>There is a risk that our employees could engage in misconduct that adversely affects our business. We are subject to a number of obligations and standards arising from our business and our authority over PINE or the ventures we manage. The violation of these obligations and standards by any of our employees may adversely affect PINE or the ventures we manage and us. Our business often requires that we deal with confidential matters of great significance to PINE and the ventures we manage. If our employees improperly use or disclose confidential information, we and PINE or the ventures we manage could suffer serious harm to our and its reputation, financial position and current and future business relationships and face potentially significant litigation. It is not always possible to detect or deter employee misconduct, and the precautions we take to detect and prevent this activity may not be effective in all cases. If any of our employees were to engage in or be accused of misconduct, our business and our reputation could be adversely affected. Misconduct by an employee might rise to the level of a default that would permit PINE or the ventures we manage to terminate the management agreements with us for cause and without paying a termination fee, which could materially adversely affect our business, results of operations and financial condition.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The Company’s ability to pay dividends in the future is subject to many factors.</w:t>
      </w:r>
    </w:p>
    <w:p>
      <w:pPr>
        <w:spacing w:after="0" w:line="213" w:lineRule="exact"/>
        <w:rPr>
          <w:sz w:val="20"/>
          <w:szCs w:val="20"/>
          <w:color w:val="auto"/>
        </w:rPr>
      </w:pPr>
    </w:p>
    <w:p>
      <w:pPr>
        <w:jc w:val="both"/>
        <w:ind w:left="40" w:right="59" w:firstLine="402"/>
        <w:spacing w:after="0" w:line="273" w:lineRule="auto"/>
        <w:rPr>
          <w:sz w:val="20"/>
          <w:szCs w:val="20"/>
          <w:color w:val="auto"/>
        </w:rPr>
      </w:pPr>
      <w:r>
        <w:rPr>
          <w:rFonts w:ascii="Times New Roman" w:cs="Times New Roman" w:eastAsia="Times New Roman" w:hAnsi="Times New Roman"/>
          <w:sz w:val="16"/>
          <w:szCs w:val="16"/>
          <w:color w:val="auto"/>
        </w:rPr>
        <w:t>The Company has consistently paid a dividend since 1976. Payment of the Company’s dividend depends upon the Company’s financial condition, results of operations, and cash flows. The Company’s ability to continue to pay dividends may be adversely impacted if any of the events or conditions associated with the risks described in this section were to occur</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Risks Related to the COVID-19 Pandemic</w:t>
      </w:r>
    </w:p>
    <w:p>
      <w:pPr>
        <w:spacing w:after="0" w:line="234" w:lineRule="exact"/>
        <w:rPr>
          <w:sz w:val="20"/>
          <w:szCs w:val="20"/>
          <w:color w:val="auto"/>
        </w:rPr>
      </w:pPr>
    </w:p>
    <w:p>
      <w:pPr>
        <w:jc w:val="both"/>
        <w:ind w:left="40" w:right="59" w:firstLine="402"/>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52"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Since late December 2019, the COVID-19 Pandemic has spread globally, including every state in the United States. The COVID-19 Pandemic has had, and other future pandemics could have, repercussions across regional and global economies and financial markets. The outbreak of COVID-19 Pandemic and its variants have significantly adversely impacted global economic activity and produced significant volatility in the global financial markets. The global impact of the outbreak has rapidly evolved and, as cases of COVID-19 continued to be identified in additional countries, many countries, including the United States, have reacted by instituting quarantines, mandating business and school closures and restricting travel.</w:t>
      </w:r>
    </w:p>
    <w:p>
      <w:pPr>
        <w:spacing w:after="0" w:line="16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Certain states and cities, including those in which we own properties, have also reacted by instituting quarantines, restrictions on travel, “shelter at home” rules, and importantly restrictions on the types of business that may continue to operate or requiring others to shut down completely. Additional states and cities may implement similar restrictions. As a result, the COVID-19 Pandemic has negatively impacted most every industry directly or indirectly. A number of our tenants have announced temporary closures of their stores and requested rent deferral, or in some instances, rent abatement while the pandemic remains. Many experts predict that the COVID-19 Pandemic will trigger, or even has already triggered, a period of global economic slowdown or possibly a global recession. The COVID-19 Pandemic, or a future pandemic, could have material and adverse effects on our ability to successfully operate our business and, as a result, our financial condition, results of operations and cash flows due to, among other factors:</w:t>
      </w:r>
    </w:p>
    <w:p>
      <w:pPr>
        <w:spacing w:after="0" w:line="164" w:lineRule="exact"/>
        <w:rPr>
          <w:sz w:val="20"/>
          <w:szCs w:val="20"/>
          <w:color w:val="auto"/>
        </w:rPr>
      </w:pPr>
    </w:p>
    <w:p>
      <w:pPr>
        <w:ind w:left="740" w:right="59" w:hanging="286"/>
        <w:spacing w:after="0" w:line="267" w:lineRule="auto"/>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complete or partial closure of, or other operational issues at, one or more of our properties resulting from government or tenant action;</w:t>
      </w:r>
    </w:p>
    <w:p>
      <w:pPr>
        <w:spacing w:after="0" w:line="1" w:lineRule="exact"/>
        <w:rPr>
          <w:rFonts w:ascii="Times New Roman" w:cs="Times New Roman" w:eastAsia="Times New Roman" w:hAnsi="Times New Roman"/>
          <w:sz w:val="16"/>
          <w:szCs w:val="16"/>
          <w:color w:val="auto"/>
        </w:rPr>
      </w:pPr>
    </w:p>
    <w:p>
      <w:pPr>
        <w:jc w:val="both"/>
        <w:ind w:left="740" w:right="59" w:hanging="286"/>
        <w:spacing w:after="0" w:line="264" w:lineRule="auto"/>
        <w:tabs>
          <w:tab w:leader="none" w:pos="7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reduced economic activity could severely impact our tenants' businesses, financial condition and liquidity and may cause one or more of our tenants to be unable to meet their obligations to us in full, or at all, or to otherwise seek modifications of such obligations;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40" w:hanging="286"/>
        <w:spacing w:after="0"/>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reduced economic activity could result in a recession, which could negatively impact consumer discretionary spending;</w:t>
      </w:r>
    </w:p>
    <w:p>
      <w:pPr>
        <w:spacing w:after="0" w:line="30" w:lineRule="exact"/>
        <w:rPr>
          <w:rFonts w:ascii="Times New Roman" w:cs="Times New Roman" w:eastAsia="Times New Roman" w:hAnsi="Times New Roman"/>
          <w:sz w:val="16"/>
          <w:szCs w:val="16"/>
          <w:color w:val="auto"/>
        </w:rPr>
      </w:pPr>
    </w:p>
    <w:p>
      <w:pPr>
        <w:jc w:val="both"/>
        <w:ind w:left="740" w:right="59" w:hanging="286"/>
        <w:spacing w:after="0" w:line="256"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on a timely basis;</w:t>
      </w:r>
    </w:p>
    <w:p>
      <w:pPr>
        <w:spacing w:after="0" w:line="1" w:lineRule="exact"/>
        <w:rPr>
          <w:rFonts w:ascii="Times New Roman" w:cs="Times New Roman" w:eastAsia="Times New Roman" w:hAnsi="Times New Roman"/>
          <w:sz w:val="16"/>
          <w:szCs w:val="16"/>
          <w:color w:val="auto"/>
        </w:rPr>
      </w:pPr>
    </w:p>
    <w:p>
      <w:pPr>
        <w:ind w:left="740" w:right="59" w:hanging="286"/>
        <w:spacing w:after="0" w:line="256"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general decline in business activity and demand for real estate transactions could adversely affect our ability or desire to grow our portfolio of properties;</w:t>
      </w:r>
    </w:p>
    <w:p>
      <w:pPr>
        <w:jc w:val="both"/>
        <w:ind w:left="740" w:right="59" w:hanging="286"/>
        <w:spacing w:after="0" w:line="256"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deterioration in our or our tenants’ ability to operate in affected areas or delays in the supply of products or services to us or our tenants from vendors that are needed for our or our tenants' efficient operations could adversely affect our operations and those of our tenants; and</w:t>
      </w:r>
    </w:p>
    <w:p>
      <w:pPr>
        <w:spacing w:after="0" w:line="1" w:lineRule="exact"/>
        <w:rPr>
          <w:rFonts w:ascii="Times New Roman" w:cs="Times New Roman" w:eastAsia="Times New Roman" w:hAnsi="Times New Roman"/>
          <w:sz w:val="16"/>
          <w:szCs w:val="16"/>
          <w:color w:val="auto"/>
        </w:rPr>
      </w:pPr>
    </w:p>
    <w:p>
      <w:pPr>
        <w:ind w:left="740" w:right="59" w:hanging="286"/>
        <w:spacing w:after="0" w:line="273" w:lineRule="auto"/>
        <w:tabs>
          <w:tab w:leader="none" w:pos="7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negative impact on the health of the Company’s personnel, particularly if a significant number of them are impacted, could result in a deterioration in our ability to ensure business continuity during a disruption.</w:t>
      </w:r>
    </w:p>
    <w:p>
      <w:pPr>
        <w:spacing w:after="0" w:line="154"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 extent to which the COVID-19 Pandemic impacts our operations and those of our tenants will depend on future developments, which are highly uncertain and cannot be predicted with any degree of certainty, including the scope, severity, and duration of the COVID-19 Pandemic, and the impact of actions taken by governmental and health organizations to contain the COVID-19 Pandemic or mitigate its impact, and the direct and indirect economic effects of the COVID-19 Pandemic and containment measures, among others. Additional closures by our tenants of their businesses and early terminations by our tenants of their leases could reduce our cash flows, which could impact our ability to continue paying dividends to our stockholders at expected levels or at all. The rapid onset of the COVID-19 Pandemic and the continued uncertainty of its duration and long-term impact precludes any prediction of the magnitude of the adverse impact on the U.S. economy, our tenant’s businesses and ours. Consequently, the COVID-19 Pandemic presents material uncertainty and risk with respect to our business operations, and therefore our financial condition, results of operations, and cash flows. Further, many risk factors disclosed in this Annual Report on Form 10-K for the year ended December 31, 2022, should be interpreted as heightened risks as a result of the impact of the COVID-19 Pandemic.</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General Risk Factors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could adversely affect the Company’s business and disrupt operations.</w:t>
      </w:r>
    </w:p>
    <w:p>
      <w:pPr>
        <w:spacing w:after="0" w:line="214"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adversely affecting customer or investor confidence. Should any such cyber incidents or similar events occur, the Company’s assets, particularly cash, could be lost and, as a result, the Company’s ability to execute its business and strategy could be impaired, thereby adversely affecting its financial condition, results of operations, and cash flows.</w:t>
      </w:r>
    </w:p>
    <w:p>
      <w:pPr>
        <w:spacing w:after="0" w:line="159" w:lineRule="exact"/>
        <w:rPr>
          <w:sz w:val="20"/>
          <w:szCs w:val="20"/>
          <w:color w:val="auto"/>
        </w:rPr>
      </w:pPr>
    </w:p>
    <w:p>
      <w:pPr>
        <w:jc w:val="both"/>
        <w:ind w:left="40" w:right="39" w:firstLine="40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market value of the Company’s common stock and preferred stock is subject to various factors that may cause significant fluctuations or volatility.</w:t>
      </w:r>
    </w:p>
    <w:p>
      <w:pPr>
        <w:spacing w:after="0" w:line="120"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As with other publicly-traded securities, the market price of the Company’s common stock, preferred stock and convertible notes depends on various factors, which may change from time to time and/or may be unrelated to the Company’s financial condition, results of operations, or cash flows and such factors may cause significant fluctuations or volatility in the market price of the Company’s common stock and preferred stock. These factors include, but are likely not limited to, the following:</w:t>
      </w:r>
    </w:p>
    <w:p>
      <w:pPr>
        <w:spacing w:after="0" w:line="159" w:lineRule="exact"/>
        <w:rPr>
          <w:sz w:val="20"/>
          <w:szCs w:val="20"/>
          <w:color w:val="auto"/>
        </w:rPr>
      </w:pP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financial market conditions including a weak economic environment;</w:t>
      </w:r>
    </w:p>
    <w:p>
      <w:pPr>
        <w:spacing w:after="0" w:line="18" w:lineRule="exact"/>
        <w:rPr>
          <w:rFonts w:ascii="Times New Roman" w:cs="Times New Roman" w:eastAsia="Times New Roman" w:hAnsi="Times New Roman"/>
          <w:sz w:val="16"/>
          <w:szCs w:val="16"/>
          <w:color w:val="auto"/>
        </w:rPr>
      </w:pP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and trend of interest rates;</w:t>
      </w: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ability to access the capital markets to raise additional debt or equity capital;</w:t>
      </w: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Company’s cash flows or results of operations;</w:t>
      </w: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financial condition and performance;</w:t>
      </w: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perception of the Company compared to other real estate companies;</w:t>
      </w:r>
    </w:p>
    <w:p>
      <w:pPr>
        <w:ind w:left="840" w:hanging="386"/>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perception of the real estate sector compared to other investment sectors; and</w:t>
      </w:r>
    </w:p>
    <w:p>
      <w:pPr>
        <w:ind w:left="840" w:right="59" w:hanging="386"/>
        <w:spacing w:after="0" w:line="256" w:lineRule="auto"/>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Volume of average daily trading and the amount of the Company’s common stock and preferred stock available to be traded.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Significant legal proceedings may adversely affect our results of operations or financial condition.</w:t>
      </w:r>
    </w:p>
    <w:p>
      <w:pPr>
        <w:spacing w:after="0" w:line="238"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212529"/>
        </w:rPr>
        <w:t>We are subject to the risk of litigation, derivative claims, securities class actions, regulatory and governmental investigations and other litigation including proceedings arising from investor dissatisfaction with our operating performance. If any claims were brought against us and resulted in a finding of substantial legal liability, the finding could materially adversely affect our business, financial condition or results of operations or cause significant reputational harm to us, which could significantly adversely impact our business. Allegations of improper conduct by private litigants or regulators, regardless of veracity, may harm our reputation, and adversely impact our ability to grow our business or maintain our management of PINE or the ventures in which we have a financial interest.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w:t>
      </w:r>
    </w:p>
    <w:p>
      <w:pPr>
        <w:spacing w:after="0" w:line="213" w:lineRule="exact"/>
        <w:rPr>
          <w:sz w:val="20"/>
          <w:szCs w:val="20"/>
          <w:color w:val="auto"/>
        </w:rPr>
      </w:pPr>
    </w:p>
    <w:p>
      <w:pPr>
        <w:jc w:val="both"/>
        <w:ind w:left="40" w:right="39" w:firstLine="402"/>
        <w:spacing w:after="0" w:line="265" w:lineRule="auto"/>
        <w:rPr>
          <w:sz w:val="20"/>
          <w:szCs w:val="20"/>
          <w:color w:val="auto"/>
        </w:rPr>
      </w:pPr>
      <w:r>
        <w:rPr>
          <w:rFonts w:ascii="Times New Roman" w:cs="Times New Roman" w:eastAsia="Times New Roman" w:hAnsi="Times New Roman"/>
          <w:sz w:val="16"/>
          <w:szCs w:val="16"/>
          <w:color w:val="auto"/>
        </w:rPr>
        <w:t>Our business faces public scrutiny related to environmental, social and governance (“ESG”) activities. We risk damage to our reputation if we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spacing w:after="0" w:line="382"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None.</w:t>
      </w:r>
    </w:p>
    <w:p>
      <w:pPr>
        <w:spacing w:after="0" w:line="230"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Our principal offices are located at 369 N. New York Avenue, Suite 201, Winter Park, Florida 32789.</w:t>
      </w:r>
    </w:p>
    <w:p>
      <w:pPr>
        <w:spacing w:after="0" w:line="210"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As of December 31, 2022, the Company owns the following assets: (i) 8 properties occupied by single-tenants located in Florida, New Mexico, and Virginia; (ii) 15 multi-tenant properties located in Arizona, Florida, Georgia, Nevada, New Mexico, North Carolina, Texas, and Utah; (iii) full or fractional subsurface oil, gas, and mineral interests underlying 355,000 “surface acres” in 19 counties in Florida; and (iv) an inventory of mitigation credits. Please refer to Item 1. “Business” for a more detailed discussion of our properties.</w:t>
      </w:r>
    </w:p>
    <w:p>
      <w:pPr>
        <w:spacing w:after="0" w:line="15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5"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 See Note 22, “Commitments and Contingencies” in the notes to the consolidated financial statements in Item 8 for additional disclosure related to the Company’s legal proceedings.</w:t>
      </w:r>
    </w:p>
    <w:p>
      <w:pPr>
        <w:spacing w:after="0" w:line="15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Not applicable.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5" w:lineRule="exact"/>
        <w:rPr>
          <w:sz w:val="20"/>
          <w:szCs w:val="20"/>
          <w:color w:val="auto"/>
        </w:rPr>
      </w:pPr>
    </w:p>
    <w:p>
      <w:pPr>
        <w:jc w:val="both"/>
        <w:ind w:left="440" w:right="59" w:hanging="401"/>
        <w:spacing w:after="0" w:line="285" w:lineRule="auto"/>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 xml:space="preserve"> </w:t>
      </w:r>
      <w:r>
        <w:rPr>
          <w:rFonts w:ascii="Times New Roman" w:cs="Times New Roman" w:eastAsia="Times New Roman" w:hAnsi="Times New Roman"/>
          <w:sz w:val="16"/>
          <w:szCs w:val="16"/>
          <w:b w:val="1"/>
          <w:bCs w:val="1"/>
          <w:color w:val="auto"/>
        </w:rPr>
        <w:t>MARKET FOR REGISTRANT’S COMMON EQUITY, RELATED STOCKHOLDER MATTERS, AND ISSUER REPURCHASES OF EQUITY SECURITIES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PRICES AND DIVIDENDS</w:t>
      </w:r>
    </w:p>
    <w:p>
      <w:pPr>
        <w:spacing w:after="0" w:line="91"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 Company’s common stock trades on the NYSE under the symbol “CTO”. The Company has paid dividends on a continuous basis since 1976, the year in which its initial dividends were paid. Aggregate annual dividends per common share, which were paid quarterly totaled $1.49 and $1.33 during the years ended December 31, 2022 and 2021, respectively.</w:t>
      </w:r>
    </w:p>
    <w:p>
      <w:pPr>
        <w:spacing w:after="0" w:line="140" w:lineRule="exact"/>
        <w:rPr>
          <w:sz w:val="20"/>
          <w:szCs w:val="20"/>
          <w:color w:val="auto"/>
        </w:rPr>
      </w:pPr>
    </w:p>
    <w:p>
      <w:pPr>
        <w:jc w:val="both"/>
        <w:ind w:left="40" w:right="59" w:firstLine="402"/>
        <w:spacing w:after="0" w:line="260" w:lineRule="auto"/>
        <w:rPr>
          <w:sz w:val="20"/>
          <w:szCs w:val="20"/>
          <w:color w:val="auto"/>
        </w:rPr>
      </w:pPr>
      <w:r>
        <w:rPr>
          <w:rFonts w:ascii="Times New Roman" w:cs="Times New Roman" w:eastAsia="Times New Roman" w:hAnsi="Times New Roman"/>
          <w:sz w:val="16"/>
          <w:szCs w:val="16"/>
          <w:color w:val="auto"/>
        </w:rPr>
        <w:t>The level of future dividends will be subject to an ongoing review of the Company’s operating results and financial position, the annual distribution requirements under the REIT provisions of the Code and, among other factors, the overall economy, with an emphasis on our local real estate market and our capital needs.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0" w:right="59" w:firstLine="402"/>
        <w:spacing w:after="0" w:line="252" w:lineRule="auto"/>
        <w:rPr>
          <w:sz w:val="20"/>
          <w:szCs w:val="20"/>
          <w:color w:val="auto"/>
        </w:rPr>
      </w:pPr>
      <w:r>
        <w:rPr>
          <w:rFonts w:ascii="Times New Roman" w:cs="Times New Roman" w:eastAsia="Times New Roman" w:hAnsi="Times New Roman"/>
          <w:sz w:val="16"/>
          <w:szCs w:val="16"/>
          <w:color w:val="auto"/>
        </w:rPr>
        <w:t>The number of stockholders of record as of February 17, 2023 (without regard to shares held in nominee or street name) was 458. Many of the Company’s shares of common stock are held by brokers and institutions on behalf of stockholders, the Company is unable to estimate the total number of stockholders represented by these record holders.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w:t>
      </w:r>
    </w:p>
    <w:p>
      <w:pPr>
        <w:spacing w:after="0" w:line="213" w:lineRule="exact"/>
        <w:rPr>
          <w:sz w:val="20"/>
          <w:szCs w:val="20"/>
          <w:color w:val="auto"/>
        </w:rPr>
      </w:pPr>
    </w:p>
    <w:p>
      <w:pPr>
        <w:jc w:val="both"/>
        <w:ind w:left="40" w:right="59" w:firstLine="402"/>
        <w:spacing w:after="0" w:line="267" w:lineRule="auto"/>
        <w:rPr>
          <w:sz w:val="20"/>
          <w:szCs w:val="20"/>
          <w:color w:val="auto"/>
        </w:rPr>
      </w:pPr>
      <w:r>
        <w:rPr>
          <w:rFonts w:ascii="Times New Roman" w:cs="Times New Roman" w:eastAsia="Times New Roman" w:hAnsi="Times New Roman"/>
          <w:sz w:val="16"/>
          <w:szCs w:val="16"/>
          <w:color w:val="auto"/>
        </w:rPr>
        <w:t>There were no unregistered sales of equity securities during the year ended December 31, 2022 which were not previously reported.</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210" w:lineRule="exact"/>
        <w:rPr>
          <w:sz w:val="20"/>
          <w:szCs w:val="20"/>
          <w:color w:val="auto"/>
        </w:rPr>
      </w:pPr>
    </w:p>
    <w:p>
      <w:pPr>
        <w:jc w:val="center"/>
        <w:ind w:left="1580" w:right="1300"/>
        <w:spacing w:after="0" w:line="278" w:lineRule="auto"/>
        <w:rPr>
          <w:sz w:val="20"/>
          <w:szCs w:val="20"/>
          <w:color w:val="auto"/>
        </w:rPr>
      </w:pPr>
      <w:r>
        <w:rPr>
          <w:rFonts w:ascii="Times New Roman" w:cs="Times New Roman" w:eastAsia="Times New Roman" w:hAnsi="Times New Roman"/>
          <w:sz w:val="16"/>
          <w:szCs w:val="16"/>
          <w:b w:val="1"/>
          <w:bCs w:val="1"/>
          <w:color w:val="auto"/>
        </w:rPr>
        <w:t>COMPARISON OF 5-YEAR CUMULATIVE TOTAL RETURN* Among CTO Realty Growth, Inc., the Russell 2000 Index, the FTSE Nareit Equity REITs Index, the NYSE Composite Index, the 2022 Peer Group</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performance graph shows a comparison of cumulative total stockholder return from a $100 investment in stock of the</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Company over the five-year period ending December 31, 2022, with the cumulative stockholder return of the following: (i) the Russell</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2000 Index; (ii) the FTSE Nareit Equity REITs Index; (iii) the NYSE Composite Index, a real estate industry index provided by</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Research Data Group; and (iv) an index of selected issuers in our Peer Group (composed of Armada Hoffler Properties, Inc., Acadia</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Realty Trust, Agree Realty Corporation, Chatham Lodging Trust, Clipper Realty Inc., Four Corners Property Trust, Inc., Getty Realty</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Corp., NetSTREIT Corp., One Liberty Properties Inc., Plymouth Industrial REIT Inc., RPT Realty, Seritage Growth Properties, and</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Whitestone REIT (the “Peer Group”)). Monmouth Real Estate Investment Corp. was removed from the Peer Group due to its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acquisition by Industrial Logistics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Properties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132715</wp:posOffset>
            </wp:positionV>
            <wp:extent cx="5020945" cy="41694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20945" cy="416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320" w:lineRule="exact"/>
        <w:rPr>
          <w:sz w:val="20"/>
          <w:szCs w:val="20"/>
          <w:color w:val="auto"/>
        </w:rPr>
      </w:pPr>
    </w:p>
    <w:p>
      <w:pPr>
        <w:jc w:val="both"/>
        <w:ind w:left="40" w:right="59"/>
        <w:spacing w:after="0" w:line="301"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2"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i w:val="1"/>
          <w:iCs w:val="1"/>
          <w:color w:val="auto"/>
        </w:rPr>
        <w:t>When the Company uses any words such as “anticipate,” “assume,” “believe,” “estimate,” “expect,” “intend,” or similar expressions, the Company is making forward-looking statements. Although management believes that the expectations reflected in such forward-looking statements are based upon current expectations and reasonable assumptions, the Company’s actual results could differ materially from those set forth in the forward-looking statements. Certain factors or risks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164"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12"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We own and manage, sometimes utilizing third-party property management companies, 23 commercial real estate properties in 9 states in the United States. As of December 31, 2022, we owned 8 single-tenant and 15 multi-tenant income-producing properties comprising 3.7 million square feet of gross leasable space.</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addition to our income property portfolio, as of December 31, 2022, our business included the following:</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Management Services:</w:t>
      </w:r>
    </w:p>
    <w:p>
      <w:pPr>
        <w:spacing w:after="0" w:line="210" w:lineRule="exact"/>
        <w:rPr>
          <w:sz w:val="20"/>
          <w:szCs w:val="20"/>
          <w:color w:val="auto"/>
        </w:rPr>
      </w:pPr>
    </w:p>
    <w:p>
      <w:pPr>
        <w:ind w:left="740" w:right="59" w:hanging="286"/>
        <w:spacing w:after="0" w:line="295" w:lineRule="auto"/>
        <w:tabs>
          <w:tab w:leader="none" w:pos="7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fee-based management business that is engaged in managing PINE, see Note 5, “Related Party Management Services Business” in the notes to the consolidated financial statements in Item 8.</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Commercial Loans and Investments:</w:t>
      </w:r>
    </w:p>
    <w:p>
      <w:pPr>
        <w:spacing w:after="0" w:line="210" w:lineRule="exact"/>
        <w:rPr>
          <w:sz w:val="20"/>
          <w:szCs w:val="20"/>
          <w:color w:val="auto"/>
        </w:rPr>
      </w:pPr>
    </w:p>
    <w:p>
      <w:pPr>
        <w:ind w:left="740" w:right="59" w:hanging="286"/>
        <w:spacing w:after="0" w:line="295" w:lineRule="auto"/>
        <w:tabs>
          <w:tab w:leader="none" w:pos="7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three commercial loan investments and one preferred equity investment which is classified as a commercial loan investment.</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Real Estate Operations:</w:t>
      </w:r>
    </w:p>
    <w:p>
      <w:pPr>
        <w:spacing w:after="0" w:line="210" w:lineRule="exact"/>
        <w:rPr>
          <w:sz w:val="20"/>
          <w:szCs w:val="20"/>
          <w:color w:val="auto"/>
        </w:rPr>
      </w:pPr>
    </w:p>
    <w:p>
      <w:pPr>
        <w:ind w:left="740" w:right="59" w:hanging="286"/>
        <w:spacing w:after="0" w:line="295" w:lineRule="auto"/>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subsurface mineral interests associated with approximately 355,000 surface acres in 19 counties in the State of Florida (“Subsurface Interests”); and</w:t>
      </w:r>
    </w:p>
    <w:p>
      <w:pPr>
        <w:spacing w:after="0" w:line="137" w:lineRule="exact"/>
        <w:rPr>
          <w:rFonts w:ascii="Times New Roman" w:cs="Times New Roman" w:eastAsia="Times New Roman" w:hAnsi="Times New Roman"/>
          <w:sz w:val="16"/>
          <w:szCs w:val="16"/>
          <w:color w:val="auto"/>
        </w:rPr>
      </w:pPr>
    </w:p>
    <w:p>
      <w:pPr>
        <w:ind w:left="740" w:right="59" w:hanging="286"/>
        <w:spacing w:after="0" w:line="295" w:lineRule="auto"/>
        <w:tabs>
          <w:tab w:leader="none" w:pos="7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inventory of mitigation credits as well as mitigation credits to be produced by the Company’s formerly owned mitigation bank.</w:t>
      </w:r>
    </w:p>
    <w:p>
      <w:pPr>
        <w:spacing w:after="0" w:line="138"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5, “Related Party Management Services Business” in the notes to the consolidated financial statements in Item 8. As a result of the Land JV Sale and corresponding dissolution of the Land JV, the Company no longer holds a retained interest in the Land JV as of December 31, 2021.</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Our business also includes our investment in PINE. As of December 31, 2022, the fair value of our investment totaled $42.0 million, or 14.6%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318"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Company operates in four primary business segments: income properties, management services, commercial loans and investments, and real estate operations.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REIT Conversion</w:t>
      </w:r>
    </w:p>
    <w:p>
      <w:pPr>
        <w:spacing w:after="0" w:line="250"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As of December 31, 2020, the Company had completed certain internal reorganization transactions necessary to begin operating in compliance with the requirements for qualification and taxation as a REIT for U.S. federal income tax purposes, commencing with the taxable year ended December 31, 2020. See Item 1, “Business” for information related to the Company’s REIT conversion and related transactions. On January 29, 2021, in connection with the REIT conversion, the Company completed the Merger in order to reincorporate in Maryland and facilitate its ongoing compliance with the REIT requirements.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Selected Historical Financial Information</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The following table summarizes our selected historical financial information for each of the last five fiscal years (in thousands except per share amounts). The selected financial information has been derived from our audited consolidated financial statements. Additional data for fiscal years 2022, 2021, and 2020 is included elsewhere in this report.</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82,320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43,658</w:t>
            </w: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31,385</w:t>
            </w: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114,973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37,168</w:t>
            </w:r>
          </w:p>
        </w:tc>
        <w:tc>
          <w:tcPr>
            <w:tcW w:w="0" w:type="dxa"/>
            <w:vAlign w:val="bottom"/>
          </w:tcPr>
          <w:p>
            <w:pPr>
              <w:spacing w:after="0"/>
              <w:rPr>
                <w:sz w:val="1"/>
                <w:szCs w:val="1"/>
                <w:color w:val="auto"/>
              </w:rPr>
            </w:pPr>
          </w:p>
        </w:tc>
      </w:tr>
      <w:tr>
        <w:trPr>
          <w:trHeight w:val="19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Preferred Stockholders</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(4,781)</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(2,325)</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114,973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Information: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6"/>
                <w:szCs w:val="16"/>
                <w:color w:val="auto"/>
              </w:rPr>
              <w:t>Income (Loss) From Continuing Operations Attributable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180"/>
        </w:trPr>
        <w:tc>
          <w:tcPr>
            <w:tcW w:w="436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Income From Discontinued Operations (Net of Income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Tax) Attributable to Common Stockholders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60"/>
        </w:trPr>
        <w:tc>
          <w:tcPr>
            <w:tcW w:w="4360" w:type="dxa"/>
            <w:vAlign w:val="bottom"/>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Basic Net Income (Loss) per Share Attributable to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09)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1"/>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Stockholders</w:t>
            </w:r>
          </w:p>
        </w:tc>
        <w:tc>
          <w:tcPr>
            <w:tcW w:w="14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6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color w:val="auto"/>
              </w:rPr>
              <w:t>Income (Loss) From Continuing Operations Attributable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8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6"/>
                <w:szCs w:val="16"/>
                <w:color w:val="auto"/>
              </w:rPr>
              <w:t>Income From Discontinued Operations (Net of Income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Attributable to Common Stockholders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60"/>
        </w:trPr>
        <w:tc>
          <w:tcPr>
            <w:tcW w:w="4360" w:type="dxa"/>
            <w:vAlign w:val="bottom"/>
          </w:tcPr>
          <w:p>
            <w:pPr>
              <w:ind w:left="380"/>
              <w:spacing w:after="0" w:line="161" w:lineRule="exact"/>
              <w:rPr>
                <w:sz w:val="20"/>
                <w:szCs w:val="20"/>
                <w:color w:val="auto"/>
              </w:rPr>
            </w:pPr>
            <w:r>
              <w:rPr>
                <w:rFonts w:ascii="Times New Roman" w:cs="Times New Roman" w:eastAsia="Times New Roman" w:hAnsi="Times New Roman"/>
                <w:sz w:val="16"/>
                <w:szCs w:val="16"/>
                <w:color w:val="auto"/>
              </w:rPr>
              <w:t>Diluted Net Income (Loss) per Share Attributable to</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09)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80" w:type="dxa"/>
            <w:vAlign w:val="bottom"/>
          </w:tcPr>
          <w:p>
            <w:pPr>
              <w:spacing w:after="0"/>
              <w:rPr>
                <w:sz w:val="13"/>
                <w:szCs w:val="13"/>
                <w:color w:val="auto"/>
              </w:rPr>
            </w:pPr>
          </w:p>
        </w:tc>
        <w:tc>
          <w:tcPr>
            <w:tcW w:w="18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41"/>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Stockholders</w:t>
            </w:r>
          </w:p>
        </w:tc>
        <w:tc>
          <w:tcPr>
            <w:tcW w:w="14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and Paid - Preferred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and Paid -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97"/>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Summary of Financial Position: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Real Estate—Net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734,721</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494,695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442,384</w:t>
            </w:r>
          </w:p>
        </w:tc>
        <w:tc>
          <w:tcPr>
            <w:tcW w:w="18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370,591</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368,751</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733,139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704,194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556,841</w:t>
            </w:r>
          </w:p>
        </w:tc>
        <w:tc>
          <w:tcPr>
            <w:tcW w:w="0" w:type="dxa"/>
            <w:vAlign w:val="bottom"/>
          </w:tcPr>
          <w:p>
            <w:pPr>
              <w:spacing w:after="0"/>
              <w:rPr>
                <w:sz w:val="1"/>
                <w:szCs w:val="1"/>
                <w:color w:val="auto"/>
              </w:rPr>
            </w:pPr>
          </w:p>
        </w:tc>
      </w:tr>
      <w:tr>
        <w:trPr>
          <w:trHeight w:val="19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504,770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430,480</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350,899</w:t>
            </w:r>
          </w:p>
        </w:tc>
        <w:tc>
          <w:tcPr>
            <w:tcW w:w="180" w:type="dxa"/>
            <w:vAlign w:val="bottom"/>
          </w:tcPr>
          <w:p>
            <w:pPr>
              <w:spacing w:after="0"/>
              <w:rPr>
                <w:sz w:val="17"/>
                <w:szCs w:val="17"/>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285,413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211,761</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273,830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286,310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238"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59"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59"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as well as adding back the interest related to the 2025 Notes, if the effect is dilutive. Such items may cause short-term fluctuations in net income but have no impact on operating cash flows or long-term operating performance. We use AFFO as one measure of our performance when we formulate corporate goals.</w:t>
      </w:r>
    </w:p>
    <w:p>
      <w:pPr>
        <w:spacing w:after="0" w:line="171"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Non-U.S. GAAP Measures (in thousands):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189"/>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Add Back: Effect of Dilutive Interest Related to 2025 Notes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the Company, If-Converted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of Real Estate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(Gain) on Disposition of Assets, Net of Income Tax</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(28,316)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Loss (Gain) on Disposition of Other Assets</w:t>
            </w:r>
          </w:p>
        </w:tc>
        <w:tc>
          <w:tcPr>
            <w:tcW w:w="14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(2,992)</w:t>
            </w: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(4,924)</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Charges, Net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Unrealized Loss (Gain) on Investment Securities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(10,340)</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40" w:type="dxa"/>
            <w:vAlign w:val="bottom"/>
            <w:gridSpan w:val="2"/>
            <w:shd w:val="clear" w:color="auto" w:fill="CCEEFF"/>
          </w:tcPr>
          <w:p>
            <w:pPr>
              <w:ind w:left="200"/>
              <w:spacing w:after="0" w:line="181" w:lineRule="exact"/>
              <w:rPr>
                <w:sz w:val="20"/>
                <w:szCs w:val="20"/>
                <w:color w:val="auto"/>
              </w:rPr>
            </w:pPr>
            <w:r>
              <w:rPr>
                <w:rFonts w:ascii="Times New Roman" w:cs="Times New Roman" w:eastAsia="Times New Roman" w:hAnsi="Times New Roman"/>
                <w:sz w:val="16"/>
                <w:szCs w:val="16"/>
                <w:color w:val="auto"/>
              </w:rPr>
              <w:t>Income Tax Expense (Benefit) from Non-FFO Items and De-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Recognition of REIT Deferred Tax Assets and Liabilities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Funds from Operations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34,832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22,064</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Preferred Stockholders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(4,781)</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(2,325)</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Funds From Operations Attributable to Common Stockholders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19,739</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Amortization of Intangibles to Lease Income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Less: Effect of Dilutive Interest Related to 2025 Notes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 Funds From Operations Attributable to Common Stockholders</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32,212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22,766</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Straight-Line Rent Adjustment</w:t>
            </w:r>
          </w:p>
        </w:tc>
        <w:tc>
          <w:tcPr>
            <w:tcW w:w="14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(2,166)</w:t>
            </w: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(2,443)</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COVID-19 Rent Repayments (Deferrals), Net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Depreciation and Amortization</w:t>
            </w:r>
          </w:p>
        </w:tc>
        <w:tc>
          <w:tcPr>
            <w:tcW w:w="14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(676)</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40" w:type="dxa"/>
            <w:vAlign w:val="bottom"/>
            <w:gridSpan w:val="2"/>
            <w:shd w:val="clear" w:color="auto" w:fill="CCEEFF"/>
          </w:tcPr>
          <w:p>
            <w:pPr>
              <w:ind w:left="200"/>
              <w:spacing w:after="0" w:line="181" w:lineRule="exact"/>
              <w:rPr>
                <w:sz w:val="20"/>
                <w:szCs w:val="20"/>
                <w:color w:val="auto"/>
              </w:rPr>
            </w:pPr>
            <w:r>
              <w:rPr>
                <w:rFonts w:ascii="Times New Roman" w:cs="Times New Roman" w:eastAsia="Times New Roman" w:hAnsi="Times New Roman"/>
                <w:sz w:val="16"/>
                <w:szCs w:val="16"/>
                <w:color w:val="auto"/>
              </w:rPr>
              <w:t>Amortization of Loan Costs and Discount on Convertible Debt,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Capitalized Interest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Compensation</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Non-Recurring G&amp;A</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7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Adjusted Funds From Operations Attributable to Common</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33,925</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25,676</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26,215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Stockholders</w:t>
            </w:r>
          </w:p>
        </w:tc>
        <w:tc>
          <w:tcPr>
            <w:tcW w:w="1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4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18,508,201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17,676,809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ind w:left="200"/>
              <w:spacing w:after="0" w:line="197" w:lineRule="exact"/>
              <w:rPr>
                <w:sz w:val="20"/>
                <w:szCs w:val="20"/>
                <w:color w:val="auto"/>
              </w:rPr>
            </w:pPr>
            <w:r>
              <w:rPr>
                <w:rFonts w:ascii="Times New Roman" w:cs="Times New Roman" w:eastAsia="Times New Roman" w:hAnsi="Times New Roman"/>
                <w:sz w:val="15"/>
                <w:szCs w:val="15"/>
                <w:color w:val="auto"/>
              </w:rPr>
              <w:t xml:space="preserve">Diluted </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18,508,201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17,676,809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14,114,631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Declared and Paid - Preferred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and Paid -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24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60" w:right="79" w:hanging="304"/>
        <w:spacing w:after="0" w:line="236" w:lineRule="auto"/>
        <w:tabs>
          <w:tab w:leader="none" w:pos="66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applicable, includes interest expense, amortization of discount, amortization of fees, and other changes in net income or loss that would result from the assumed conversion of the 2025 Convertible Senior Notes to derive FFO effective January 1, 2022 due to the implementation of ASU 2020-06 which requires presentation on an if-converted basis. For the year ended December 31 2022, a total of $2.2 million of interest was not included, as the impact of the 2025 Notes, if-converted, would be antidilutive to the net loss attributable to common stockholders of $1.6 million.</w:t>
      </w:r>
    </w:p>
    <w:p>
      <w:pPr>
        <w:spacing w:after="0" w:line="2" w:lineRule="exact"/>
        <w:rPr>
          <w:rFonts w:ascii="Times New Roman" w:cs="Times New Roman" w:eastAsia="Times New Roman" w:hAnsi="Times New Roman"/>
          <w:sz w:val="22"/>
          <w:szCs w:val="22"/>
          <w:color w:val="auto"/>
          <w:vertAlign w:val="superscript"/>
        </w:rPr>
      </w:pPr>
    </w:p>
    <w:p>
      <w:pPr>
        <w:ind w:left="660" w:right="79" w:hanging="304"/>
        <w:spacing w:after="0" w:line="222" w:lineRule="auto"/>
        <w:tabs>
          <w:tab w:leader="none" w:pos="66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 total of 3.1 million shares, representing the dilutive impact of the 2025 Notes, upon adoption of ASU 2020-06 effective January 1, 2022, were not included in the computation of diluted net loss attributable to common stockholders for the year ended December 31, 2022 because they were antidilutive to the net loss attributable to common stockholders of $1.6 million.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Other Data (in thousands except per share data):</w:t>
      </w:r>
    </w:p>
    <w:p>
      <w:pPr>
        <w:spacing w:after="0" w:line="228"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4" w:lineRule="exact"/>
        <w:rPr>
          <w:sz w:val="20"/>
          <w:szCs w:val="20"/>
          <w:color w:val="auto"/>
        </w:rPr>
      </w:pPr>
    </w:p>
    <w:p>
      <w:pPr>
        <w:jc w:val="center"/>
        <w:ind w:left="4660"/>
        <w:spacing w:after="0"/>
        <w:tabs>
          <w:tab w:leader="none" w:pos="240" w:val="left"/>
          <w:tab w:leader="none" w:pos="240" w:val="left"/>
        </w:tabs>
        <w:rPr>
          <w:sz w:val="20"/>
          <w:szCs w:val="20"/>
          <w:color w:val="auto"/>
        </w:rPr>
      </w:pPr>
      <w:r>
        <w:rPr>
          <w:rFonts w:ascii="Times New Roman" w:cs="Times New Roman" w:eastAsia="Times New Roman" w:hAnsi="Times New Roman"/>
          <w:sz w:val="15"/>
          <w:szCs w:val="15"/>
          <w:b w:val="1"/>
          <w:bCs w:val="1"/>
          <w:color w:val="auto"/>
        </w:rPr>
        <w:t>December 31, 2022</w:t>
      </w:r>
      <w:r>
        <w:rPr>
          <w:sz w:val="20"/>
          <w:szCs w:val="20"/>
          <w:color w:val="auto"/>
        </w:rPr>
        <w:tab/>
      </w:r>
      <w:r>
        <w:rPr>
          <w:rFonts w:ascii="Times New Roman" w:cs="Times New Roman" w:eastAsia="Times New Roman" w:hAnsi="Times New Roman"/>
          <w:sz w:val="15"/>
          <w:szCs w:val="15"/>
          <w:b w:val="1"/>
          <w:bCs w:val="1"/>
          <w:color w:val="auto"/>
        </w:rPr>
        <w:t>December 31, 2021</w:t>
      </w:r>
      <w:r>
        <w:rPr>
          <w:sz w:val="20"/>
          <w:szCs w:val="20"/>
          <w:color w:val="auto"/>
        </w:rPr>
        <w:tab/>
      </w:r>
      <w:r>
        <w:rPr>
          <w:rFonts w:ascii="Times New Roman" w:cs="Times New Roman" w:eastAsia="Times New Roman" w:hAnsi="Times New Roman"/>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-107950</wp:posOffset>
            </wp:positionV>
            <wp:extent cx="26936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670" cy="7620"/>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FFO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-105410</wp:posOffset>
            </wp:positionV>
            <wp:extent cx="5668645" cy="125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8645" cy="12509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5"/>
          <w:szCs w:val="15"/>
          <w:color w:val="auto"/>
        </w:rPr>
        <w:t>FFO Attributable to Common Stockholders per Common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15240</wp:posOffset>
            </wp:positionV>
            <wp:extent cx="5668645" cy="116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8645" cy="116840"/>
                    </a:xfrm>
                    <a:prstGeom prst="rect">
                      <a:avLst/>
                    </a:prstGeom>
                    <a:noFill/>
                  </pic:spPr>
                </pic:pic>
              </a:graphicData>
            </a:graphic>
          </wp:anchor>
        </w:drawing>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Core FFO Attributable to Common Stockholders</w:t>
      </w:r>
    </w:p>
    <w:p>
      <w:pPr>
        <w:spacing w:after="0" w:line="19" w:lineRule="exact"/>
        <w:rPr>
          <w:sz w:val="20"/>
          <w:szCs w:val="20"/>
          <w:color w:val="auto"/>
        </w:rPr>
      </w:pPr>
    </w:p>
    <w:p>
      <w:pPr>
        <w:ind w:left="40" w:right="260"/>
        <w:spacing w:after="0" w:line="268" w:lineRule="auto"/>
        <w:rPr>
          <w:sz w:val="20"/>
          <w:szCs w:val="20"/>
          <w:color w:val="auto"/>
        </w:rPr>
      </w:pPr>
      <w:r>
        <w:rPr>
          <w:rFonts w:ascii="Times New Roman" w:cs="Times New Roman" w:eastAsia="Times New Roman" w:hAnsi="Times New Roman"/>
          <w:sz w:val="15"/>
          <w:szCs w:val="15"/>
          <w:color w:val="auto"/>
        </w:rPr>
        <w:t xml:space="preserve">Core FFO Attributable to Common Stockholders per Common Share - Diluted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-297815</wp:posOffset>
            </wp:positionV>
            <wp:extent cx="5668645" cy="234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8645" cy="23431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AFFO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-100965</wp:posOffset>
            </wp:positionV>
            <wp:extent cx="5668645" cy="116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8645" cy="11684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AFFO Attributable to Common Stockholders per Common Share - Diluted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60325</wp:posOffset>
            </wp:positionV>
            <wp:extent cx="142113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2113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Borders>
              <w:top w:val="single" w:sz="8" w:color="auto"/>
            </w:tcBorders>
          </w:tcPr>
          <w:p>
            <w:pPr>
              <w:jc w:val="right"/>
              <w:ind w:right="306"/>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30,051</w:t>
            </w:r>
          </w:p>
        </w:tc>
        <w:tc>
          <w:tcPr>
            <w:tcW w:w="140" w:type="dxa"/>
            <w:vAlign w:val="bottom"/>
          </w:tcPr>
          <w:p>
            <w:pPr>
              <w:spacing w:after="0"/>
              <w:rPr>
                <w:sz w:val="14"/>
                <w:szCs w:val="14"/>
                <w:color w:val="auto"/>
              </w:rPr>
            </w:pPr>
          </w:p>
        </w:tc>
        <w:tc>
          <w:tcPr>
            <w:tcW w:w="460" w:type="dxa"/>
            <w:vAlign w:val="bottom"/>
            <w:tcBorders>
              <w:top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19,739</w:t>
            </w:r>
          </w:p>
        </w:tc>
        <w:tc>
          <w:tcPr>
            <w:tcW w:w="120" w:type="dxa"/>
            <w:vAlign w:val="bottom"/>
          </w:tcPr>
          <w:p>
            <w:pPr>
              <w:spacing w:after="0"/>
              <w:rPr>
                <w:sz w:val="14"/>
                <w:szCs w:val="14"/>
                <w:color w:val="auto"/>
              </w:rPr>
            </w:pPr>
          </w:p>
        </w:tc>
        <w:tc>
          <w:tcPr>
            <w:tcW w:w="480" w:type="dxa"/>
            <w:vAlign w:val="bottom"/>
            <w:tcBorders>
              <w:top w:val="single" w:sz="8" w:color="auto"/>
            </w:tcBorders>
          </w:tcPr>
          <w:p>
            <w:pPr>
              <w:jc w:val="right"/>
              <w:ind w:right="326"/>
              <w:spacing w:after="0" w:line="170"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5"/>
                <w:szCs w:val="15"/>
                <w:color w:val="auto"/>
              </w:rPr>
              <w:t>27,468</w:t>
            </w:r>
          </w:p>
        </w:tc>
        <w:tc>
          <w:tcPr>
            <w:tcW w:w="0" w:type="dxa"/>
            <w:vAlign w:val="bottom"/>
          </w:tcPr>
          <w:p>
            <w:pPr>
              <w:spacing w:after="0"/>
              <w:rPr>
                <w:sz w:val="1"/>
                <w:szCs w:val="1"/>
                <w:color w:val="auto"/>
              </w:rPr>
            </w:pPr>
          </w:p>
        </w:tc>
      </w:tr>
      <w:tr>
        <w:trPr>
          <w:trHeight w:val="191"/>
        </w:trPr>
        <w:tc>
          <w:tcPr>
            <w:tcW w:w="46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40" w:type="dxa"/>
            <w:vAlign w:val="bottom"/>
          </w:tcPr>
          <w:p>
            <w:pPr>
              <w:spacing w:after="0"/>
              <w:rPr>
                <w:sz w:val="16"/>
                <w:szCs w:val="16"/>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Pr>
          <w:p>
            <w:pPr>
              <w:spacing w:after="0"/>
              <w:rPr>
                <w:sz w:val="16"/>
                <w:szCs w:val="16"/>
                <w:color w:val="auto"/>
              </w:rPr>
            </w:pPr>
          </w:p>
        </w:tc>
        <w:tc>
          <w:tcPr>
            <w:tcW w:w="48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0" w:type="dxa"/>
            <w:vAlign w:val="bottom"/>
          </w:tcPr>
          <w:p>
            <w:pPr>
              <w:spacing w:after="0"/>
              <w:rPr>
                <w:sz w:val="1"/>
                <w:szCs w:val="1"/>
                <w:color w:val="auto"/>
              </w:rPr>
            </w:pPr>
          </w:p>
        </w:tc>
      </w:tr>
      <w:tr>
        <w:trPr>
          <w:trHeight w:val="369"/>
        </w:trPr>
        <w:tc>
          <w:tcPr>
            <w:tcW w:w="46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32,212</w:t>
            </w:r>
          </w:p>
        </w:tc>
        <w:tc>
          <w:tcPr>
            <w:tcW w:w="140" w:type="dxa"/>
            <w:vAlign w:val="bottom"/>
          </w:tcPr>
          <w:p>
            <w:pPr>
              <w:spacing w:after="0"/>
              <w:rPr>
                <w:sz w:val="24"/>
                <w:szCs w:val="24"/>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22,766</w:t>
            </w:r>
          </w:p>
        </w:tc>
        <w:tc>
          <w:tcPr>
            <w:tcW w:w="120" w:type="dxa"/>
            <w:vAlign w:val="bottom"/>
          </w:tcPr>
          <w:p>
            <w:pPr>
              <w:spacing w:after="0"/>
              <w:rPr>
                <w:sz w:val="24"/>
                <w:szCs w:val="24"/>
                <w:color w:val="auto"/>
              </w:rPr>
            </w:pPr>
          </w:p>
        </w:tc>
        <w:tc>
          <w:tcPr>
            <w:tcW w:w="48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24,573</w:t>
            </w:r>
          </w:p>
        </w:tc>
        <w:tc>
          <w:tcPr>
            <w:tcW w:w="0" w:type="dxa"/>
            <w:vAlign w:val="bottom"/>
          </w:tcPr>
          <w:p>
            <w:pPr>
              <w:spacing w:after="0"/>
              <w:rPr>
                <w:sz w:val="1"/>
                <w:szCs w:val="1"/>
                <w:color w:val="auto"/>
              </w:rPr>
            </w:pPr>
          </w:p>
        </w:tc>
      </w:tr>
      <w:tr>
        <w:trPr>
          <w:trHeight w:val="271"/>
        </w:trPr>
        <w:tc>
          <w:tcPr>
            <w:tcW w:w="46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40" w:type="dxa"/>
            <w:vAlign w:val="bottom"/>
          </w:tcPr>
          <w:p>
            <w:pPr>
              <w:spacing w:after="0"/>
              <w:rPr>
                <w:sz w:val="23"/>
                <w:szCs w:val="23"/>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Pr>
          <w:p>
            <w:pPr>
              <w:spacing w:after="0"/>
              <w:rPr>
                <w:sz w:val="23"/>
                <w:szCs w:val="23"/>
                <w:color w:val="auto"/>
              </w:rPr>
            </w:pPr>
          </w:p>
        </w:tc>
        <w:tc>
          <w:tcPr>
            <w:tcW w:w="48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98"/>
        </w:trPr>
        <w:tc>
          <w:tcPr>
            <w:tcW w:w="4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46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33,925</w:t>
            </w:r>
          </w:p>
        </w:tc>
        <w:tc>
          <w:tcPr>
            <w:tcW w:w="140" w:type="dxa"/>
            <w:vAlign w:val="bottom"/>
          </w:tcPr>
          <w:p>
            <w:pPr>
              <w:spacing w:after="0"/>
              <w:rPr>
                <w:sz w:val="24"/>
                <w:szCs w:val="24"/>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25,677</w:t>
            </w:r>
          </w:p>
        </w:tc>
        <w:tc>
          <w:tcPr>
            <w:tcW w:w="120" w:type="dxa"/>
            <w:vAlign w:val="bottom"/>
          </w:tcPr>
          <w:p>
            <w:pPr>
              <w:spacing w:after="0"/>
              <w:rPr>
                <w:sz w:val="24"/>
                <w:szCs w:val="24"/>
                <w:color w:val="auto"/>
              </w:rPr>
            </w:pPr>
          </w:p>
        </w:tc>
        <w:tc>
          <w:tcPr>
            <w:tcW w:w="48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26,215</w:t>
            </w:r>
          </w:p>
        </w:tc>
        <w:tc>
          <w:tcPr>
            <w:tcW w:w="0" w:type="dxa"/>
            <w:vAlign w:val="bottom"/>
          </w:tcPr>
          <w:p>
            <w:pPr>
              <w:spacing w:after="0"/>
              <w:rPr>
                <w:sz w:val="1"/>
                <w:szCs w:val="1"/>
                <w:color w:val="auto"/>
              </w:rPr>
            </w:pPr>
          </w:p>
        </w:tc>
      </w:tr>
      <w:tr>
        <w:trPr>
          <w:trHeight w:val="234"/>
        </w:trPr>
        <w:tc>
          <w:tcPr>
            <w:tcW w:w="460" w:type="dxa"/>
            <w:vAlign w:val="bottom"/>
          </w:tcPr>
          <w:p>
            <w:pPr>
              <w:jc w:val="right"/>
              <w:ind w:right="30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40" w:type="dxa"/>
            <w:vAlign w:val="bottom"/>
          </w:tcPr>
          <w:p>
            <w:pPr>
              <w:spacing w:after="0"/>
              <w:rPr>
                <w:sz w:val="20"/>
                <w:szCs w:val="20"/>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20" w:type="dxa"/>
            <w:vAlign w:val="bottom"/>
          </w:tcPr>
          <w:p>
            <w:pPr>
              <w:spacing w:after="0"/>
              <w:rPr>
                <w:sz w:val="20"/>
                <w:szCs w:val="20"/>
                <w:color w:val="auto"/>
              </w:rPr>
            </w:pPr>
          </w:p>
        </w:tc>
        <w:tc>
          <w:tcPr>
            <w:tcW w:w="480" w:type="dxa"/>
            <w:vAlign w:val="bottom"/>
          </w:tcPr>
          <w:p>
            <w:pPr>
              <w:jc w:val="right"/>
              <w:ind w:right="32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2">
            <w:col w:w="4460" w:space="260"/>
            <w:col w:w="4299"/>
          </w:cols>
          <w:pgMar w:left="1440" w:top="480" w:right="1440" w:bottom="1440" w:gutter="0" w:footer="0" w:header="0"/>
          <w:type w:val="continuous"/>
        </w:sectPr>
      </w:pPr>
    </w:p>
    <w:p>
      <w:pPr>
        <w:ind w:left="660" w:right="79" w:hanging="304"/>
        <w:spacing w:after="0" w:line="224" w:lineRule="auto"/>
        <w:tabs>
          <w:tab w:leader="none" w:pos="66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 total of 3.1 million shares, representing the dilutive impact of the 2025 Notes, upon adoption of ASU 2020-06 effective January 1, 2022, were not included in the computation of diluted net loss attributable to common stockholders for the year ended December 31, 2022 because they were antidilutive to the net loss attributable to common stockholders of $1.6 million.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COMPARISON OF THE YEARS ENDED DECEMBER 31, 2022 AND 2021</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1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Total revenue for the year ended December 31, 2022 is presented in the following summary and indicates the changes as compared to the year ended December 31, 2021 (in thousands):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Segment</w:t>
            </w:r>
          </w:p>
        </w:tc>
        <w:tc>
          <w:tcPr>
            <w:tcW w:w="10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9"/>
              </w:rPr>
              <w:t>% Variance</w:t>
            </w:r>
          </w:p>
        </w:tc>
      </w:tr>
      <w:tr>
        <w:trPr>
          <w:trHeight w:val="18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18,178</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Services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(7,965)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189"/>
        </w:trPr>
        <w:tc>
          <w:tcPr>
            <w:tcW w:w="3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Total revenue for the year ended December 31, 2022 increased to $82.3 million, compared to $70.3 million during the year ended December 31, 2021. The increase in total revenue is primarily attributable to increased revenue produced by the Company’s recent income property acquisitions versus that of properties disposed of by the Company during the comparative period. Revenues further benefited from increased management fee income from PINE as well as increases in revenue generated from the Company’s portfolio of commercial loans and investments. These increases were offset by an $8.0 million decrease in real estate operations primarily due to a non-recurring land sale during the year ended December 31, 2021.</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Income Properties</w:t>
      </w:r>
    </w:p>
    <w:p>
      <w:pPr>
        <w:spacing w:after="0" w:line="214" w:lineRule="exact"/>
        <w:rPr>
          <w:sz w:val="20"/>
          <w:szCs w:val="20"/>
          <w:color w:val="auto"/>
        </w:rPr>
      </w:pPr>
    </w:p>
    <w:p>
      <w:pPr>
        <w:jc w:val="both"/>
        <w:ind w:left="40" w:right="59" w:firstLine="365"/>
        <w:spacing w:after="0" w:line="266" w:lineRule="auto"/>
        <w:rPr>
          <w:sz w:val="20"/>
          <w:szCs w:val="20"/>
          <w:color w:val="auto"/>
        </w:rPr>
      </w:pPr>
      <w:r>
        <w:rPr>
          <w:rFonts w:ascii="Times New Roman" w:cs="Times New Roman" w:eastAsia="Times New Roman" w:hAnsi="Times New Roman"/>
          <w:sz w:val="16"/>
          <w:szCs w:val="16"/>
          <w:color w:val="auto"/>
        </w:rPr>
        <w:t>Revenue and operating income from our income property operations totaled $68.9 million and $48.5 million, respectively, during the year ended December 31, 2022, compared to total revenue and operating income of $50.7 million and $36.9 million, respectively, for the year ended December 31, 2021. The direct costs of revenues for our income property operations totaled $20.4 million and $13.8 million for the years ended December 31, 2022 and 2021, respectively. The increase in revenues of $18.2 million, or 35.9%, during the year ended December 31, 2022 is primarily related to the significant acquisition volume of multi-tenant properties.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type w:val="continuous"/>
        </w:sectPr>
      </w:pPr>
    </w:p>
    <w:bookmarkStart w:id="52" w:name="page53"/>
    <w:bookmarkEnd w:id="5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Management Services</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Revenue from our management services totaled $3.8 million during the year ended December 31, 2022, and was earned from PINE. Revenue from our management services totaled $3.3 million during the year ended December 31, 2021, including $3.2 million and $0.1 million earned from PINE and the Land JV, respectively.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Commercial Loans and Investments</w:t>
      </w:r>
    </w:p>
    <w:p>
      <w:pPr>
        <w:spacing w:after="0" w:line="21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Interest income from our commercial loans and investments totaled $4.2 million and $2.9 million during the years ended December 31, 2022 and 2021, respectively. The increase is due to the timing of investments and repayments by borrowers within the Company’s commercial loans and investment portfolio.</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Operations</w:t>
      </w:r>
    </w:p>
    <w:p>
      <w:pPr>
        <w:spacing w:after="0" w:line="214"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During the year ended December 31, 2022, operating income from real estate operations was $3.0 million on revenues totaling $5.5 million. During the year ended December 31, 2021, operating income from real estate operations was $4.8 million on revenues totaling $13.4 million. The operating income during the year ended December 31, 2022 was primarily due to mitigation credit sales and sales of Subsurface Interests. The decreased operating income during the year ended December 31, 2022 is primarily due to the sale of the Daytona Beach Development for $6.25 million which occurred during the year ended December 31, 2021.</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213"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Total general and administrative expenses for the year ended December 31, 2022 is presented in the following summary and indicates the changes as compared to the year ended December 31, 2021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 (in thousands)</w:t>
            </w:r>
          </w:p>
        </w:tc>
        <w:tc>
          <w:tcPr>
            <w:tcW w:w="10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9"/>
              </w:rPr>
              <w:t>% Variance</w:t>
            </w:r>
          </w:p>
        </w:tc>
      </w:tr>
      <w:tr>
        <w:trPr>
          <w:trHeight w:val="18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Recurring General and Administrative Expenses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REIT Conversion and Other Non-Recurring Items</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Gains (Losses) and Impairment Charges</w:t>
      </w:r>
    </w:p>
    <w:p>
      <w:pPr>
        <w:spacing w:after="0" w:line="212" w:lineRule="exact"/>
        <w:rPr>
          <w:sz w:val="20"/>
          <w:szCs w:val="20"/>
          <w:color w:val="auto"/>
        </w:rPr>
      </w:pPr>
    </w:p>
    <w:p>
      <w:pPr>
        <w:jc w:val="both"/>
        <w:ind w:left="40" w:right="59"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2022 Dispositions. </w:t>
      </w:r>
      <w:r>
        <w:rPr>
          <w:rFonts w:ascii="Times New Roman" w:cs="Times New Roman" w:eastAsia="Times New Roman" w:hAnsi="Times New Roman"/>
          <w:sz w:val="16"/>
          <w:szCs w:val="16"/>
          <w:color w:val="auto"/>
        </w:rPr>
        <w:t>During the year ended December 31, 2022, the Company sold six income properties, including (i) Party City,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66" w:lineRule="exact"/>
        <w:rPr>
          <w:sz w:val="20"/>
          <w:szCs w:val="20"/>
          <w:color w:val="auto"/>
        </w:rPr>
      </w:pPr>
    </w:p>
    <w:p>
      <w:pPr>
        <w:jc w:val="both"/>
        <w:ind w:left="40" w:right="59" w:firstLine="295"/>
        <w:spacing w:after="0" w:line="295" w:lineRule="auto"/>
        <w:rPr>
          <w:sz w:val="20"/>
          <w:szCs w:val="20"/>
          <w:color w:val="auto"/>
        </w:rPr>
      </w:pPr>
      <w:r>
        <w:rPr>
          <w:rFonts w:ascii="Times New Roman" w:cs="Times New Roman" w:eastAsia="Times New Roman" w:hAnsi="Times New Roman"/>
          <w:sz w:val="16"/>
          <w:szCs w:val="16"/>
          <w:color w:val="auto"/>
        </w:rPr>
        <w:t>The $4.7 million in aggregate income property sale gains were offset by an $11.9 million loss on the sale of the Company’s Mitigation Bank during the year ended December 31, 2022.</w:t>
      </w:r>
    </w:p>
    <w:p>
      <w:pPr>
        <w:spacing w:after="0" w:line="136" w:lineRule="exact"/>
        <w:rPr>
          <w:sz w:val="20"/>
          <w:szCs w:val="20"/>
          <w:color w:val="auto"/>
        </w:rPr>
      </w:pPr>
    </w:p>
    <w:p>
      <w:pPr>
        <w:jc w:val="both"/>
        <w:ind w:left="40" w:right="39"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2021 Dispositions. </w:t>
      </w:r>
      <w:r>
        <w:rPr>
          <w:rFonts w:ascii="Times New Roman" w:cs="Times New Roman" w:eastAsia="Times New Roman" w:hAnsi="Times New Roman"/>
          <w:sz w:val="16"/>
          <w:szCs w:val="16"/>
          <w:color w:val="auto"/>
        </w:rPr>
        <w:t>During the year ended December 31, 2021, the Company disposed of one multi-tenant income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14 single-tenant income properties, including (i) World of Beer/Fuzzy’s Taco Shop, a multi-tenant income property located in Brandon, Florida for $2.3 million, (ii) Moe’s Southwest Grill, a single-tenant income property located in Jacksonville, Florida for $2.5 million, (iii) Burlington, a single-tenant income property located in North Richland Hills, Texas for $11.5 million, (iv) Staples, a single-tenant income property located in Sarasota, Florida for $4.7 million, (v) the CMBS Portfolio, sold to PINE, consisting of six single-tenant income properties for $44.5 million, (vi) Chick-fil-A, a single-tenant property, located in Chandler, Arizona for $2.9 million, (vii) JPMorgan Chase Bank, a single-tenant property, located in Chandler, Arizona for $4.7 million, (viii) Fogo De Chao, a single-tenant property, located in Jacksonville,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Florida for $4.7 million, (ix) Wells Fargo, a single-tenant office income property located in Raleigh, North Carolina for $63.0 million, and (x) 24 Hour Fitness, a single-tenant income property located in Falls Church, VA for $21.5 million. The sale of the properties reflect a total disposition volume of $162.3 million, resulting in aggregate gains of $28.2 million.</w:t>
      </w:r>
    </w:p>
    <w:p>
      <w:pPr>
        <w:spacing w:after="0" w:line="150" w:lineRule="exact"/>
        <w:rPr>
          <w:sz w:val="20"/>
          <w:szCs w:val="20"/>
          <w:color w:val="auto"/>
        </w:rPr>
      </w:pPr>
    </w:p>
    <w:p>
      <w:pPr>
        <w:jc w:val="both"/>
        <w:ind w:left="40" w:right="39" w:firstLine="40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Impairment Charges. </w:t>
      </w:r>
      <w:r>
        <w:rPr>
          <w:rFonts w:ascii="Times New Roman" w:cs="Times New Roman" w:eastAsia="Times New Roman" w:hAnsi="Times New Roman"/>
          <w:sz w:val="16"/>
          <w:szCs w:val="16"/>
          <w:color w:val="auto"/>
        </w:rPr>
        <w:t>There were no impairment charges on the Company’s undeveloped land holdings, or its income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during the years ended December 31, 2022 or 2021. The $17.6 million impairment charge recognized during the year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with Timberline, for a final sales price of $66.3 million.</w:t>
      </w:r>
    </w:p>
    <w:p>
      <w:pPr>
        <w:spacing w:after="0" w:line="158" w:lineRule="exact"/>
        <w:rPr>
          <w:sz w:val="20"/>
          <w:szCs w:val="20"/>
          <w:color w:val="auto"/>
        </w:rPr>
      </w:pPr>
    </w:p>
    <w:p>
      <w:pPr>
        <w:jc w:val="both"/>
        <w:ind w:left="40" w:right="59" w:firstLine="40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Loss on Extinguishment of Debt. </w:t>
      </w:r>
      <w:r>
        <w:rPr>
          <w:rFonts w:ascii="Times New Roman" w:cs="Times New Roman" w:eastAsia="Times New Roman" w:hAnsi="Times New Roman"/>
          <w:sz w:val="16"/>
          <w:szCs w:val="16"/>
          <w:color w:val="auto"/>
        </w:rPr>
        <w:t>During the year ended December 31, 2021, the Company repurchased $11.4 million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principal amount of 2025 Notes at a $1.6 million premium, resulting in a loss on extinguishment of debt of $2.9 million. Additionally, in connection with the disposition of the CMBS Portfolio during the year ended December 31, 2021, and related assumption by the buyer of the Company’s $30.0 million fixed-rate mortgage note payable, the Company recognized a $0.5 million loss on extinguishment of debt related to the write-off of unamortized financing costs. There were no losses on extinguishment of debt during the year ended December 31, 2022.</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13"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Depreciation and amortization totaled $28.9 million and $20.6 million during the years ended December 31, 2022 and 2021, respectively. The increase of $8.3 million is primarily due to the increase in the Company’s income property portfolio.</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Investment and Other Income (Loss)</w:t>
      </w:r>
    </w:p>
    <w:p>
      <w:pPr>
        <w:spacing w:after="0" w:line="21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During the year ended December 31, 2022, the closing stock price of PINE decreased by $0.96 per share, with a closing price of $19.08 on December 31, 2022. During the year ended December 31, 2021, the closing stock price of PINE increased by $5.05 per share, with a closing price of $20.04 on December 31, 2021. The increase (decrease) resulted in an unrealized, non-cash gain (loss) on the Company’s investment in PINE of $(1.7) million and $10.3 million which is included in investment and other income (loss) in the consolidated statements of operations for the years ended December 31, 2022 and 2021, respectively.</w:t>
      </w:r>
    </w:p>
    <w:p>
      <w:pPr>
        <w:spacing w:after="0" w:line="161"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The Company earned dividend income from the investment in PINE of $2.3 million and $2.1 million during the years ended December 31, 2022 and 2021, respectively.</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52" w:lineRule="exact"/>
        <w:rPr>
          <w:sz w:val="20"/>
          <w:szCs w:val="20"/>
          <w:color w:val="auto"/>
        </w:rPr>
      </w:pPr>
    </w:p>
    <w:p>
      <w:pPr>
        <w:jc w:val="both"/>
        <w:ind w:left="40" w:right="39" w:firstLine="402"/>
        <w:spacing w:after="0" w:line="288" w:lineRule="auto"/>
        <w:rPr>
          <w:sz w:val="20"/>
          <w:szCs w:val="20"/>
          <w:color w:val="auto"/>
        </w:rPr>
      </w:pPr>
      <w:r>
        <w:rPr>
          <w:rFonts w:ascii="Times New Roman" w:cs="Times New Roman" w:eastAsia="Times New Roman" w:hAnsi="Times New Roman"/>
          <w:sz w:val="16"/>
          <w:szCs w:val="16"/>
          <w:color w:val="auto"/>
        </w:rPr>
        <w:t>Interest expense totaled $11.1 million and $8.9 million for the years ended December 31, 2022 and 2021, respectively. The increase of $2.2 million resulted primarily from overall higher leverage as well as higher interest rates than the variable rate Credit Facility.</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21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Net income attributable to the Company totaled $3.2 million and $29.9 million during the years ended December 31, 2022 and 2021, respectively. The decrease in net income is attributable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COMPARISON OF THE YEARS ENDED DECEMBER 31, 2021 AND 2020</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13"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Total revenue for the year ended December 31, 2021 is presented in the following summary and indicates the changes as compared to the year ended December 31, 2020 (in thousands):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Segment</w:t>
            </w:r>
          </w:p>
        </w:tc>
        <w:tc>
          <w:tcPr>
            <w:tcW w:w="10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7"/>
              </w:rPr>
              <w:t>% Variance</w:t>
            </w:r>
          </w:p>
        </w:tc>
      </w:tr>
      <w:tr>
        <w:trPr>
          <w:trHeight w:val="18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Services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0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9"/>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1965.7%</w:t>
            </w:r>
          </w:p>
        </w:tc>
      </w:tr>
      <w:tr>
        <w:trPr>
          <w:trHeight w:val="189"/>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Total revenue for the year ended December 31, 2021 increased to $70.3 million, compared to $56.4 million during the year ended December 31, 2020. The increase in total revenue is primarily attributable to increased revenue from real estate operations related to the sale of the Daytona Beach Development, Subsurface Interests and mitigation credits, as further described below, in addition to increased income produced by the Company’s recent income property acquisitions versus that of properties disposed of by the Company during the comparative period. Revenues further benefited from increased management fee income from PINE. These increases were offset by a decrease in revenue generated from the Company’s portfolio of commercial loans and investments.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Property Operations Revenue</w:t>
            </w:r>
          </w:p>
        </w:tc>
        <w:tc>
          <w:tcPr>
            <w:tcW w:w="100" w:type="dxa"/>
            <w:vAlign w:val="bottom"/>
          </w:tcPr>
          <w:p>
            <w:pPr>
              <w:spacing w:after="0"/>
              <w:rPr>
                <w:sz w:val="18"/>
                <w:szCs w:val="18"/>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40" w:type="dxa"/>
            <w:vAlign w:val="bottom"/>
            <w:gridSpan w:val="2"/>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7"/>
              </w:rPr>
              <w:t>% Variance</w:t>
            </w: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From Recent Acquisitions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 From Recent Dispositions</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(7,986)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From Remaining Portfolio</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Accretion of Above Market/Below Market Intangibles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189"/>
        </w:trPr>
        <w:tc>
          <w:tcPr>
            <w:tcW w:w="3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Property Operations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Real Estate Operations Revenue (in thousands)</w:t>
            </w:r>
          </w:p>
        </w:tc>
        <w:tc>
          <w:tcPr>
            <w:tcW w:w="10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97"/>
              </w:rPr>
              <w:t>% Variance</w:t>
            </w:r>
          </w:p>
        </w:tc>
      </w:tr>
      <w:tr>
        <w:trPr>
          <w:trHeight w:val="18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Mitigation Credit Sales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11700.0%</w:t>
            </w: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Subsurface Revenue</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r>
      <w:tr>
        <w:trPr>
          <w:trHeight w:val="19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Fill Dirt and Other Revenue</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Land Sales Revenue</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189"/>
        </w:trPr>
        <w:tc>
          <w:tcPr>
            <w:tcW w:w="3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 Estate Operations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1965.7%</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Income Properties</w:t>
      </w:r>
    </w:p>
    <w:p>
      <w:pPr>
        <w:spacing w:after="0" w:line="214" w:lineRule="exact"/>
        <w:rPr>
          <w:sz w:val="20"/>
          <w:szCs w:val="20"/>
          <w:color w:val="auto"/>
        </w:rPr>
      </w:pPr>
    </w:p>
    <w:p>
      <w:pPr>
        <w:jc w:val="both"/>
        <w:ind w:left="40" w:right="39" w:firstLine="365"/>
        <w:spacing w:after="0" w:line="263" w:lineRule="auto"/>
        <w:rPr>
          <w:sz w:val="20"/>
          <w:szCs w:val="20"/>
          <w:color w:val="auto"/>
        </w:rPr>
      </w:pPr>
      <w:r>
        <w:rPr>
          <w:rFonts w:ascii="Times New Roman" w:cs="Times New Roman" w:eastAsia="Times New Roman" w:hAnsi="Times New Roman"/>
          <w:sz w:val="16"/>
          <w:szCs w:val="16"/>
          <w:color w:val="auto"/>
        </w:rPr>
        <w:t>Revenue and operating income from our income property operations totaled $50.7 million and $36.9 million, respectively, during the year ended December 31, 2021, compared to total revenue and operating income of $50.0 million and $38.0 million, respectively, for the year ended December 31, 2020. The direct costs of revenues for our income property operations totaled $13.8 million and $12.0 million for the years ended December 31, 2021 and 2020, respectively. The increase in revenues of $0.7 million, or 1.5%, during the year ended December 31, 2021 is primarily related to the timing of acquisitions versus dispositions. The slight decrease in operating income from our income property operations reflects increased rent revenues, offset by an increase of $1.8 million in our direct costs of revenues which is also related to the timing of acquisitions versus dispositions.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Management Services</w:t>
      </w:r>
    </w:p>
    <w:p>
      <w:pPr>
        <w:spacing w:after="0" w:line="21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Revenue from our management services totaled $3.3 million during the year ended December 31, 2021, including $3.2 million and $0.1 million earned from PINE and the Land JV, respectively. Revenue from our management services totaled $2.7 million during the year ended December 31, 2020, including $2.5 million and $0.2 million earned from PINE and the Land JV, respectively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Commercial Loans and Investments</w:t>
      </w:r>
    </w:p>
    <w:p>
      <w:pPr>
        <w:spacing w:after="0" w:line="213"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Interest income from our commercial loans and investments totaled $2.9 million and $3.0 million during the years ended December 31, 2021 and 2020, respectively. The decrease is due to the timing of investments and sales within the Company’s commercial loans and investments portfolio, as further described below.</w:t>
      </w:r>
    </w:p>
    <w:p>
      <w:pPr>
        <w:spacing w:after="0" w:line="150" w:lineRule="exact"/>
        <w:rPr>
          <w:sz w:val="20"/>
          <w:szCs w:val="20"/>
          <w:color w:val="auto"/>
        </w:rPr>
      </w:pPr>
    </w:p>
    <w:p>
      <w:pPr>
        <w:jc w:val="both"/>
        <w:ind w:left="40" w:right="5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2021 Portfolio. </w:t>
      </w:r>
      <w:r>
        <w:rPr>
          <w:rFonts w:ascii="Times New Roman" w:cs="Times New Roman" w:eastAsia="Times New Roman" w:hAnsi="Times New Roman"/>
          <w:sz w:val="16"/>
          <w:szCs w:val="16"/>
          <w:color w:val="auto"/>
        </w:rPr>
        <w:t>As of December 31, 2021, the Company’s commercial loans and investments portfolio included two commercial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 investments and two commercial properties. The timing of the investments includes (i) the origination of one commercial loan investment during the fourth quarter of 2020, (ii) the origination of one commercial loan investment during the second quarter of 2021, and (iii) the acquisition of two commercial properties during the third quarter of 2020 and 2019, individually, which are accounted for as commercial loan investments due to future repurchase rights.</w:t>
      </w:r>
    </w:p>
    <w:p>
      <w:pPr>
        <w:spacing w:after="0" w:line="157" w:lineRule="exact"/>
        <w:rPr>
          <w:sz w:val="20"/>
          <w:szCs w:val="20"/>
          <w:color w:val="auto"/>
        </w:rPr>
      </w:pPr>
    </w:p>
    <w:p>
      <w:pPr>
        <w:jc w:val="both"/>
        <w:ind w:left="40" w:right="59" w:firstLine="402"/>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2020 Portfolio. </w:t>
      </w:r>
      <w:r>
        <w:rPr>
          <w:rFonts w:ascii="Times New Roman" w:cs="Times New Roman" w:eastAsia="Times New Roman" w:hAnsi="Times New Roman"/>
          <w:sz w:val="16"/>
          <w:szCs w:val="16"/>
          <w:color w:val="auto"/>
        </w:rPr>
        <w:t>As of December 31, 2020, the Company’s commercial loans and investments portfolio included one commercial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loan investment and two commercial properties, of which one was originated during the third quarter of 2019, and two were originated during the third and fourth quarter of 2020. Additionally, during the three months ended June 30, 2020, the Company sold four of its commercial loans and investments in an effort to strengthen the Company’s liquidity in light of the COVID-19 Pandemic.</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Operations</w:t>
      </w:r>
    </w:p>
    <w:p>
      <w:pPr>
        <w:spacing w:after="0" w:line="213"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2021, operating income from real estate operations was $4.8 million on revenues totaling $13.4 million. During the year ended December 31, 2020, operating loss from real estate operations was $2.6 million on revenues totaling $0.7 million. The operating income during the year ended December 31, 2021 was primarily due to the sale of the Daytona Beach Development for $6.25 million, in addition to the sale of approximately 84,900 acres of Subsurface Interests totaling $4.6 million and six mitigation credits totaling $0.7 million, which revenues were offset by $8.5 million aggregate cost of sales, as compared to the year ended December 31, 2020 which includes an aggregate charge to cost of sales totaling $3.1 million, primarily comprised of $2.9 million attributable to 42 mitigation credits provided at no cost to buyers in addition to the Company’s purchase of two mitigation credits for $0.2 million.</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214"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Total general and administrative expenses for the year ended December 31, 2021 is presented in the following summary and indicates the changes as compared to the year ended December 31, 2020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tc>
        <w:tc>
          <w:tcPr>
            <w:tcW w:w="100" w:type="dxa"/>
            <w:vAlign w:val="bottom"/>
          </w:tcPr>
          <w:p>
            <w:pPr>
              <w:spacing w:after="0"/>
              <w:rPr>
                <w:sz w:val="18"/>
                <w:szCs w:val="18"/>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 Variance</w:t>
            </w:r>
          </w:p>
        </w:tc>
      </w:tr>
      <w:tr>
        <w:trPr>
          <w:trHeight w:val="18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Recurring General and Administrative Expenses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97"/>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19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REIT Conversion and Other Non-Recurring Items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189"/>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Gains (Losses) and Impairment Charges</w:t>
      </w:r>
    </w:p>
    <w:p>
      <w:pPr>
        <w:spacing w:after="0" w:line="212" w:lineRule="exact"/>
        <w:rPr>
          <w:sz w:val="20"/>
          <w:szCs w:val="20"/>
          <w:color w:val="auto"/>
        </w:rPr>
      </w:pPr>
    </w:p>
    <w:p>
      <w:pPr>
        <w:jc w:val="both"/>
        <w:ind w:left="40" w:right="59"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2021 Dispositions. </w:t>
      </w:r>
      <w:r>
        <w:rPr>
          <w:rFonts w:ascii="Times New Roman" w:cs="Times New Roman" w:eastAsia="Times New Roman" w:hAnsi="Times New Roman"/>
          <w:sz w:val="16"/>
          <w:szCs w:val="16"/>
          <w:color w:val="auto"/>
        </w:rPr>
        <w:t>During the year ended December 31, 2021, the Company sold one multi-tenant income property and 14 single-tenant income properties for a total disposition volume of $162.3 million. The sale of the properties generated aggregate gains of $28.2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income properties disposed of during the year ended December 31, 2021 are described below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7"/>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Tenant Description</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Tenant Type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Disposition</w:t>
            </w: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Sales Price</w:t>
            </w:r>
          </w:p>
        </w:tc>
        <w:tc>
          <w:tcPr>
            <w:tcW w:w="80" w:type="dxa"/>
            <w:vAlign w:val="bottom"/>
          </w:tcPr>
          <w:p>
            <w:pPr>
              <w:spacing w:after="0"/>
              <w:rPr>
                <w:sz w:val="18"/>
                <w:szCs w:val="18"/>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Gain on Sale</w:t>
            </w:r>
          </w:p>
        </w:tc>
      </w:tr>
      <w:tr>
        <w:trPr>
          <w:trHeight w:val="189"/>
        </w:trPr>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World of Beer/Fuzzy's Taco Shop, Brandon, FL</w:t>
            </w: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Multi-Tenant</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01/20/21</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197"/>
        </w:trPr>
        <w:tc>
          <w:tcPr>
            <w:tcW w:w="3900" w:type="dxa"/>
            <w:vAlign w:val="bottom"/>
            <w:gridSpan w:val="3"/>
          </w:tcPr>
          <w:p>
            <w:pPr>
              <w:spacing w:after="0" w:line="197" w:lineRule="exact"/>
              <w:rPr>
                <w:sz w:val="20"/>
                <w:szCs w:val="20"/>
                <w:color w:val="auto"/>
              </w:rPr>
            </w:pPr>
            <w:r>
              <w:rPr>
                <w:rFonts w:ascii="Times New Roman" w:cs="Times New Roman" w:eastAsia="Times New Roman" w:hAnsi="Times New Roman"/>
                <w:sz w:val="15"/>
                <w:szCs w:val="15"/>
                <w:color w:val="auto"/>
              </w:rPr>
              <w:t xml:space="preserve">Moe's Southwest Grill, Jacksonville, FL </w:t>
            </w:r>
            <w:r>
              <w:rPr>
                <w:rFonts w:ascii="Times New Roman" w:cs="Times New Roman" w:eastAsia="Times New Roman" w:hAnsi="Times New Roman"/>
                <w:sz w:val="22"/>
                <w:szCs w:val="22"/>
                <w:color w:val="auto"/>
                <w:vertAlign w:val="superscript"/>
              </w:rPr>
              <w:t>(4)</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02/23/21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197"/>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Burlington, N. Richland Hills, TX</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04/23/21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197"/>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Staples, Sarasota, FL</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05/07/21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197"/>
        </w:trPr>
        <w:tc>
          <w:tcPr>
            <w:tcW w:w="390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 xml:space="preserve">CMBS Portfolio </w:t>
            </w:r>
            <w:r>
              <w:rPr>
                <w:rFonts w:ascii="Times New Roman" w:cs="Times New Roman" w:eastAsia="Times New Roman" w:hAnsi="Times New Roman"/>
                <w:sz w:val="22"/>
                <w:szCs w:val="22"/>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06/30/21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r>
      <w:tr>
        <w:trPr>
          <w:trHeight w:val="197"/>
        </w:trPr>
        <w:tc>
          <w:tcPr>
            <w:tcW w:w="3900" w:type="dxa"/>
            <w:vAlign w:val="bottom"/>
            <w:gridSpan w:val="3"/>
          </w:tcPr>
          <w:p>
            <w:pPr>
              <w:spacing w:after="0" w:line="197" w:lineRule="exact"/>
              <w:rPr>
                <w:sz w:val="20"/>
                <w:szCs w:val="20"/>
                <w:color w:val="auto"/>
              </w:rPr>
            </w:pPr>
            <w:r>
              <w:rPr>
                <w:rFonts w:ascii="Times New Roman" w:cs="Times New Roman" w:eastAsia="Times New Roman" w:hAnsi="Times New Roman"/>
                <w:sz w:val="15"/>
                <w:szCs w:val="15"/>
                <w:color w:val="auto"/>
              </w:rPr>
              <w:t xml:space="preserve">Chick-fil-A, Chandler, AZ </w:t>
            </w:r>
            <w:r>
              <w:rPr>
                <w:rFonts w:ascii="Times New Roman" w:cs="Times New Roman" w:eastAsia="Times New Roman" w:hAnsi="Times New Roman"/>
                <w:sz w:val="22"/>
                <w:szCs w:val="22"/>
                <w:color w:val="auto"/>
                <w:vertAlign w:val="superscript"/>
              </w:rPr>
              <w:t>(4)</w:t>
            </w:r>
          </w:p>
        </w:tc>
        <w:tc>
          <w:tcPr>
            <w:tcW w:w="1460" w:type="dxa"/>
            <w:vAlign w:val="bottom"/>
            <w:gridSpan w:val="2"/>
          </w:tcPr>
          <w:p>
            <w:pPr>
              <w:jc w:val="center"/>
              <w:ind w:right="160"/>
              <w:spacing w:after="0" w:line="197" w:lineRule="exact"/>
              <w:rPr>
                <w:sz w:val="20"/>
                <w:szCs w:val="20"/>
                <w:color w:val="auto"/>
              </w:rPr>
            </w:pPr>
            <w:r>
              <w:rPr>
                <w:rFonts w:ascii="Times New Roman" w:cs="Times New Roman" w:eastAsia="Times New Roman" w:hAnsi="Times New Roman"/>
                <w:sz w:val="15"/>
                <w:szCs w:val="15"/>
                <w:color w:val="auto"/>
              </w:rPr>
              <w:t xml:space="preserve">Single-Tenant </w:t>
            </w:r>
            <w:r>
              <w:rPr>
                <w:rFonts w:ascii="Times New Roman" w:cs="Times New Roman" w:eastAsia="Times New Roman" w:hAnsi="Times New Roman"/>
                <w:sz w:val="22"/>
                <w:szCs w:val="22"/>
                <w:color w:val="auto"/>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07/14/21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r>
      <w:tr>
        <w:trPr>
          <w:trHeight w:val="197"/>
        </w:trPr>
        <w:tc>
          <w:tcPr>
            <w:tcW w:w="390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 xml:space="preserve">JPMorgan Chase Bank, Chandler, AZ </w:t>
            </w:r>
            <w:r>
              <w:rPr>
                <w:rFonts w:ascii="Times New Roman" w:cs="Times New Roman" w:eastAsia="Times New Roman" w:hAnsi="Times New Roman"/>
                <w:sz w:val="22"/>
                <w:szCs w:val="22"/>
                <w:color w:val="auto"/>
                <w:vertAlign w:val="superscript"/>
              </w:rPr>
              <w:t>(4)</w:t>
            </w:r>
          </w:p>
        </w:tc>
        <w:tc>
          <w:tcPr>
            <w:tcW w:w="1460" w:type="dxa"/>
            <w:vAlign w:val="bottom"/>
            <w:gridSpan w:val="2"/>
            <w:shd w:val="clear" w:color="auto" w:fill="CCEEFF"/>
          </w:tcPr>
          <w:p>
            <w:pPr>
              <w:jc w:val="center"/>
              <w:ind w:right="160"/>
              <w:spacing w:after="0" w:line="197" w:lineRule="exact"/>
              <w:rPr>
                <w:sz w:val="20"/>
                <w:szCs w:val="20"/>
                <w:color w:val="auto"/>
              </w:rPr>
            </w:pPr>
            <w:r>
              <w:rPr>
                <w:rFonts w:ascii="Times New Roman" w:cs="Times New Roman" w:eastAsia="Times New Roman" w:hAnsi="Times New Roman"/>
                <w:sz w:val="15"/>
                <w:szCs w:val="15"/>
                <w:color w:val="auto"/>
              </w:rPr>
              <w:t xml:space="preserve">Single-Tenant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07/27/21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r>
      <w:tr>
        <w:trPr>
          <w:trHeight w:val="197"/>
        </w:trPr>
        <w:tc>
          <w:tcPr>
            <w:tcW w:w="3900" w:type="dxa"/>
            <w:vAlign w:val="bottom"/>
            <w:gridSpan w:val="3"/>
          </w:tcPr>
          <w:p>
            <w:pPr>
              <w:spacing w:after="0" w:line="197" w:lineRule="exact"/>
              <w:rPr>
                <w:sz w:val="20"/>
                <w:szCs w:val="20"/>
                <w:color w:val="auto"/>
              </w:rPr>
            </w:pPr>
            <w:r>
              <w:rPr>
                <w:rFonts w:ascii="Times New Roman" w:cs="Times New Roman" w:eastAsia="Times New Roman" w:hAnsi="Times New Roman"/>
                <w:sz w:val="15"/>
                <w:szCs w:val="15"/>
                <w:color w:val="auto"/>
              </w:rPr>
              <w:t xml:space="preserve">Fogo De Chao, Jacksonville, FL </w:t>
            </w:r>
            <w:r>
              <w:rPr>
                <w:rFonts w:ascii="Times New Roman" w:cs="Times New Roman" w:eastAsia="Times New Roman" w:hAnsi="Times New Roman"/>
                <w:sz w:val="22"/>
                <w:szCs w:val="22"/>
                <w:color w:val="auto"/>
                <w:vertAlign w:val="superscript"/>
              </w:rPr>
              <w:t>(4)</w:t>
            </w:r>
          </w:p>
        </w:tc>
        <w:tc>
          <w:tcPr>
            <w:tcW w:w="1460" w:type="dxa"/>
            <w:vAlign w:val="bottom"/>
            <w:gridSpan w:val="2"/>
          </w:tcPr>
          <w:p>
            <w:pPr>
              <w:jc w:val="center"/>
              <w:ind w:right="160"/>
              <w:spacing w:after="0" w:line="197" w:lineRule="exact"/>
              <w:rPr>
                <w:sz w:val="20"/>
                <w:szCs w:val="20"/>
                <w:color w:val="auto"/>
              </w:rPr>
            </w:pPr>
            <w:r>
              <w:rPr>
                <w:rFonts w:ascii="Times New Roman" w:cs="Times New Roman" w:eastAsia="Times New Roman" w:hAnsi="Times New Roman"/>
                <w:sz w:val="15"/>
                <w:szCs w:val="15"/>
                <w:color w:val="auto"/>
              </w:rPr>
              <w:t xml:space="preserve">Single-Tenant </w:t>
            </w:r>
            <w:r>
              <w:rPr>
                <w:rFonts w:ascii="Times New Roman" w:cs="Times New Roman" w:eastAsia="Times New Roman" w:hAnsi="Times New Roman"/>
                <w:sz w:val="22"/>
                <w:szCs w:val="22"/>
                <w:color w:val="auto"/>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09/02/21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197"/>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Wells Fargo, Raleigh, NC</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09/16/21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r>
      <w:tr>
        <w:trPr>
          <w:trHeight w:val="197"/>
        </w:trPr>
        <w:tc>
          <w:tcPr>
            <w:tcW w:w="3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24 Hour Fitness, Falls Church, VA</w:t>
            </w:r>
          </w:p>
        </w:tc>
        <w:tc>
          <w:tcPr>
            <w:tcW w:w="146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12/16/21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189"/>
        </w:trPr>
        <w:tc>
          <w:tcPr>
            <w:tcW w:w="2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162,340</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w:t>
            </w:r>
          </w:p>
        </w:tc>
      </w:tr>
      <w:tr>
        <w:trPr>
          <w:trHeight w:val="20"/>
        </w:trPr>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r>
    </w:tbl>
    <w:p>
      <w:pPr>
        <w:ind w:left="340" w:hanging="304"/>
        <w:spacing w:after="0" w:line="192" w:lineRule="auto"/>
        <w:tabs>
          <w:tab w:leader="none" w:pos="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On June 30, 2021, the Company sold the CMBS Portfolio to PINE for an aggregate purchase price of $44.5 million.</w:t>
      </w:r>
    </w:p>
    <w:p>
      <w:pPr>
        <w:ind w:left="340" w:hanging="304"/>
        <w:spacing w:after="0" w:line="188" w:lineRule="auto"/>
        <w:tabs>
          <w:tab w:leader="none" w:pos="34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Represents a single-tenant outparcel to Crossroads Towne Center, the Company’s multi-tenant income property located in Chandler, Arizona.</w:t>
      </w:r>
    </w:p>
    <w:p>
      <w:pPr>
        <w:ind w:left="340" w:hanging="304"/>
        <w:spacing w:after="0" w:line="188" w:lineRule="auto"/>
        <w:tabs>
          <w:tab w:leader="none" w:pos="34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Represents a single-tenant property at The Strand at St. Johns Town Center, the Company’s multi-tenant income property located in Jacksonville, Florida.</w:t>
      </w:r>
    </w:p>
    <w:p>
      <w:pPr>
        <w:ind w:left="340" w:hanging="304"/>
        <w:spacing w:after="0" w:line="181" w:lineRule="auto"/>
        <w:tabs>
          <w:tab w:leader="none" w:pos="34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Property or outparcel represents a ground lease.</w:t>
      </w:r>
    </w:p>
    <w:p>
      <w:pPr>
        <w:spacing w:after="0" w:line="164" w:lineRule="exact"/>
        <w:rPr>
          <w:sz w:val="20"/>
          <w:szCs w:val="20"/>
          <w:color w:val="auto"/>
        </w:rPr>
      </w:pPr>
    </w:p>
    <w:p>
      <w:pPr>
        <w:jc w:val="both"/>
        <w:ind w:left="40" w:right="39"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2020 Dispositions. </w:t>
      </w:r>
      <w:r>
        <w:rPr>
          <w:rFonts w:ascii="Times New Roman" w:cs="Times New Roman" w:eastAsia="Times New Roman" w:hAnsi="Times New Roman"/>
          <w:sz w:val="16"/>
          <w:szCs w:val="16"/>
          <w:color w:val="auto"/>
        </w:rPr>
        <w:t>During the year ended December 31, 2020, the Company sold 11 income properties and one vacant land parcel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 total disposition volume of $86.5 million. The sale of the properties generated aggregate gains of $8.6 million. In addition to the income property and vacant land parcel dispositions, the Company sold eight of its remaining nine billboard sites for a sales price of $1.5 million, resulting in a gain equal to the sales price.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income properties disposed of during the year ended December 31, 2020 are described below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(Loss) on</w:t>
            </w:r>
          </w:p>
        </w:tc>
      </w:tr>
      <w:tr>
        <w:trPr>
          <w:trHeight w:val="217"/>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Tenant Description</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Tenant Type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Disposition</w:t>
            </w: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Sales Price</w:t>
            </w:r>
          </w:p>
        </w:tc>
        <w:tc>
          <w:tcPr>
            <w:tcW w:w="240" w:type="dxa"/>
            <w:vAlign w:val="bottom"/>
          </w:tcPr>
          <w:p>
            <w:pPr>
              <w:spacing w:after="0"/>
              <w:rPr>
                <w:sz w:val="18"/>
                <w:szCs w:val="18"/>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Sale</w:t>
            </w:r>
          </w:p>
        </w:tc>
      </w:tr>
      <w:tr>
        <w:trPr>
          <w:trHeight w:val="189"/>
        </w:trPr>
        <w:tc>
          <w:tcPr>
            <w:tcW w:w="372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 xml:space="preserve">CVS, Dallas, TX </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Single-Tenant</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04/24/20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15,222</w:t>
            </w: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197"/>
        </w:trPr>
        <w:tc>
          <w:tcPr>
            <w:tcW w:w="3900" w:type="dxa"/>
            <w:vAlign w:val="bottom"/>
            <w:gridSpan w:val="3"/>
          </w:tcPr>
          <w:p>
            <w:pPr>
              <w:spacing w:after="0" w:line="197" w:lineRule="exact"/>
              <w:rPr>
                <w:sz w:val="20"/>
                <w:szCs w:val="20"/>
                <w:color w:val="auto"/>
              </w:rPr>
            </w:pPr>
            <w:r>
              <w:rPr>
                <w:rFonts w:ascii="Times New Roman" w:cs="Times New Roman" w:eastAsia="Times New Roman" w:hAnsi="Times New Roman"/>
                <w:sz w:val="15"/>
                <w:szCs w:val="15"/>
                <w:color w:val="auto"/>
              </w:rPr>
              <w:t xml:space="preserve">Wawa, Daytona Beach, FL </w:t>
            </w:r>
            <w:r>
              <w:rPr>
                <w:rFonts w:ascii="Times New Roman" w:cs="Times New Roman" w:eastAsia="Times New Roman" w:hAnsi="Times New Roman"/>
                <w:sz w:val="22"/>
                <w:szCs w:val="22"/>
                <w:color w:val="auto"/>
                <w:vertAlign w:val="superscript"/>
              </w:rPr>
              <w:t>(1)</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04/29/20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197"/>
        </w:trPr>
        <w:tc>
          <w:tcPr>
            <w:tcW w:w="390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 xml:space="preserve">JPMorgan Chase Bank, Jacksonville, FL </w:t>
            </w:r>
            <w:r>
              <w:rPr>
                <w:rFonts w:ascii="Times New Roman" w:cs="Times New Roman" w:eastAsia="Times New Roman" w:hAnsi="Times New Roman"/>
                <w:sz w:val="22"/>
                <w:szCs w:val="22"/>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06/18/20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197"/>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7-Eleven, Dallas, TX</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Multi-Tenant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06/26/20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7"/>
        </w:trPr>
        <w:tc>
          <w:tcPr>
            <w:tcW w:w="3900" w:type="dxa"/>
            <w:vAlign w:val="bottom"/>
            <w:gridSpan w:val="3"/>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 xml:space="preserve">Bank of America, Monterey, CA </w:t>
            </w:r>
            <w:r>
              <w:rPr>
                <w:rFonts w:ascii="Times New Roman" w:cs="Times New Roman" w:eastAsia="Times New Roman" w:hAnsi="Times New Roman"/>
                <w:sz w:val="22"/>
                <w:szCs w:val="22"/>
                <w:color w:val="auto"/>
                <w:vertAlign w:val="superscript"/>
              </w:rPr>
              <w:t>(1)</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06/29/20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r>
      <w:tr>
        <w:trPr>
          <w:trHeight w:val="197"/>
        </w:trPr>
        <w:tc>
          <w:tcPr>
            <w:tcW w:w="3900" w:type="dxa"/>
            <w:vAlign w:val="bottom"/>
            <w:gridSpan w:val="3"/>
          </w:tcPr>
          <w:p>
            <w:pPr>
              <w:spacing w:after="0" w:line="197" w:lineRule="exact"/>
              <w:rPr>
                <w:sz w:val="20"/>
                <w:szCs w:val="20"/>
                <w:color w:val="auto"/>
              </w:rPr>
            </w:pPr>
            <w:r>
              <w:rPr>
                <w:rFonts w:ascii="Times New Roman" w:cs="Times New Roman" w:eastAsia="Times New Roman" w:hAnsi="Times New Roman"/>
                <w:sz w:val="15"/>
                <w:szCs w:val="15"/>
                <w:color w:val="auto"/>
              </w:rPr>
              <w:t xml:space="preserve">Wawa, Jacksonville, FL </w:t>
            </w:r>
            <w:r>
              <w:rPr>
                <w:rFonts w:ascii="Times New Roman" w:cs="Times New Roman" w:eastAsia="Times New Roman" w:hAnsi="Times New Roman"/>
                <w:sz w:val="22"/>
                <w:szCs w:val="22"/>
                <w:color w:val="auto"/>
                <w:vertAlign w:val="superscript"/>
              </w:rPr>
              <w:t>(1)</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07/23/20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197"/>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Carrabbas, Austin, TX</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08/05/20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197"/>
        </w:trPr>
        <w:tc>
          <w:tcPr>
            <w:tcW w:w="3900" w:type="dxa"/>
            <w:vAlign w:val="bottom"/>
            <w:gridSpan w:val="3"/>
          </w:tcPr>
          <w:p>
            <w:pPr>
              <w:spacing w:after="0" w:line="197" w:lineRule="exact"/>
              <w:rPr>
                <w:sz w:val="20"/>
                <w:szCs w:val="20"/>
                <w:color w:val="auto"/>
              </w:rPr>
            </w:pPr>
            <w:r>
              <w:rPr>
                <w:rFonts w:ascii="Times New Roman" w:cs="Times New Roman" w:eastAsia="Times New Roman" w:hAnsi="Times New Roman"/>
                <w:sz w:val="15"/>
                <w:szCs w:val="15"/>
                <w:color w:val="auto"/>
              </w:rPr>
              <w:t xml:space="preserve">PDQ, Jacksonville, FL </w:t>
            </w:r>
            <w:r>
              <w:rPr>
                <w:rFonts w:ascii="Times New Roman" w:cs="Times New Roman" w:eastAsia="Times New Roman" w:hAnsi="Times New Roman"/>
                <w:sz w:val="22"/>
                <w:szCs w:val="22"/>
                <w:color w:val="auto"/>
                <w:vertAlign w:val="superscript"/>
              </w:rPr>
              <w:t>(1)</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09/08/20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197"/>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Macaroni Grill, Arlington, TX</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10/13/20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97"/>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Aspen Development, Aspen, CO</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12/21/20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197"/>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Outback, Austin, TX</w:t>
            </w:r>
          </w:p>
        </w:tc>
        <w:tc>
          <w:tcPr>
            <w:tcW w:w="14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Single-Tenant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12/23/20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189"/>
        </w:trPr>
        <w:tc>
          <w:tcPr>
            <w:tcW w:w="2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85,979</w:t>
            </w:r>
          </w:p>
        </w:tc>
        <w:tc>
          <w:tcPr>
            <w:tcW w:w="160" w:type="dxa"/>
            <w:vAlign w:val="bottom"/>
          </w:tcPr>
          <w:p>
            <w:pPr>
              <w:spacing w:after="0"/>
              <w:rPr>
                <w:sz w:val="16"/>
                <w:szCs w:val="16"/>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8,509</w:t>
            </w:r>
          </w:p>
        </w:tc>
      </w:tr>
      <w:tr>
        <w:trPr>
          <w:trHeight w:val="20"/>
        </w:trPr>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r>
    </w:tbl>
    <w:p>
      <w:pPr>
        <w:ind w:left="340" w:hanging="304"/>
        <w:spacing w:after="0" w:line="224" w:lineRule="auto"/>
        <w:tabs>
          <w:tab w:leader="none" w:pos="34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Property represents a ground lease.</w:t>
      </w:r>
    </w:p>
    <w:p>
      <w:pPr>
        <w:spacing w:after="0" w:line="163" w:lineRule="exact"/>
        <w:rPr>
          <w:sz w:val="20"/>
          <w:szCs w:val="20"/>
          <w:color w:val="auto"/>
        </w:rPr>
      </w:pPr>
    </w:p>
    <w:p>
      <w:pPr>
        <w:jc w:val="both"/>
        <w:ind w:left="40" w:right="39" w:firstLine="40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Commercial Loans and Investments. </w:t>
      </w:r>
      <w:r>
        <w:rPr>
          <w:rFonts w:ascii="Times New Roman" w:cs="Times New Roman" w:eastAsia="Times New Roman" w:hAnsi="Times New Roman"/>
          <w:sz w:val="16"/>
          <w:szCs w:val="16"/>
          <w:color w:val="auto"/>
        </w:rPr>
        <w:t>In light of the COVID-19 Pandemic, during the three months ended March 31, 2020,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began marketing its commercial loan portfolio in advance of their upcoming maturities to further strengthen the Company’s liquidity. The Company received multiple bids for the portfolio including a bid offering a value that was at a discount to par. Additionally, the Company implemented the guidance regarding current expected credit losses (“CECL”) effective January 1, 2020, which resulted in an allowance reserve of $0.3 million. The CECL reserve combined with the impairment related to marketing the loan portfolio resulted in an aggregate impairment charge on the loan portfolio of $1.9 million.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Additionally, during the year ended December 31, 2020, the Company sold four of its commercial loans investments in two separate transactions generating aggregate proceeds of $20.0 million, resulting in a loss of $0.4 million during the three months ended June 30, 2020. The total loss on the loan portfolio disposition, including the impairment and CECL reserve charges in the three months ended March 31, 2020, was $2.1 million.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There were no losses on the Company’s commercial loans and investments portfolio during the year ended December 31, 2021.</w:t>
      </w:r>
    </w:p>
    <w:p>
      <w:pPr>
        <w:spacing w:after="0" w:line="208" w:lineRule="exact"/>
        <w:rPr>
          <w:sz w:val="20"/>
          <w:szCs w:val="20"/>
          <w:color w:val="auto"/>
        </w:rPr>
      </w:pPr>
    </w:p>
    <w:p>
      <w:pPr>
        <w:jc w:val="both"/>
        <w:ind w:left="40" w:right="39" w:firstLine="402"/>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2025 Note Repurchases. </w:t>
      </w:r>
      <w:r>
        <w:rPr>
          <w:rFonts w:ascii="Times New Roman" w:cs="Times New Roman" w:eastAsia="Times New Roman" w:hAnsi="Times New Roman"/>
          <w:sz w:val="16"/>
          <w:szCs w:val="16"/>
          <w:color w:val="auto"/>
        </w:rPr>
        <w:t>During the year ended December 31, 2021, the Company repurchased $11.4 million aggregate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of 2025 Notes at a $1.6 million premium, resulting in a loss on extinguishment of debt of $2.9 million. During the year ended December 31, 2020, the Company repurchased $12.5 million aggregate principal amount of 2025 Notes at a $2.6 million discount, resulting in a gain on extinguishment of debt of $1.1 million.</w:t>
      </w:r>
    </w:p>
    <w:p>
      <w:pPr>
        <w:spacing w:after="0" w:line="156" w:lineRule="exact"/>
        <w:rPr>
          <w:sz w:val="20"/>
          <w:szCs w:val="20"/>
          <w:color w:val="auto"/>
        </w:rPr>
      </w:pPr>
    </w:p>
    <w:p>
      <w:pPr>
        <w:jc w:val="both"/>
        <w:ind w:left="40" w:right="39" w:firstLine="402"/>
        <w:spacing w:after="0" w:line="277" w:lineRule="auto"/>
        <w:rPr>
          <w:sz w:val="20"/>
          <w:szCs w:val="20"/>
          <w:color w:val="auto"/>
        </w:rPr>
      </w:pPr>
      <w:r>
        <w:rPr>
          <w:rFonts w:ascii="Times New Roman" w:cs="Times New Roman" w:eastAsia="Times New Roman" w:hAnsi="Times New Roman"/>
          <w:sz w:val="16"/>
          <w:szCs w:val="16"/>
          <w:i w:val="1"/>
          <w:iCs w:val="1"/>
          <w:color w:val="auto"/>
        </w:rPr>
        <w:t>Mortgage Note Payable</w:t>
      </w:r>
      <w:r>
        <w:rPr>
          <w:rFonts w:ascii="Times New Roman" w:cs="Times New Roman" w:eastAsia="Times New Roman" w:hAnsi="Times New Roman"/>
          <w:sz w:val="16"/>
          <w:szCs w:val="16"/>
          <w:color w:val="auto"/>
        </w:rPr>
        <w:t>. In connection with the disposition of the CMBS Portfolio during the second quarter of 2021 and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assumption by the buyer of the Company’s $30.0 million fixed-rate mortgage note payable, the Company recognized a $0.5 million loss on extinguishment of debt related to the write-off of unamortized financing costs.</w:t>
      </w:r>
    </w:p>
    <w:p>
      <w:pPr>
        <w:spacing w:after="0" w:line="150"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Impairment Charges. </w:t>
      </w:r>
      <w:r>
        <w:rPr>
          <w:rFonts w:ascii="Times New Roman" w:cs="Times New Roman" w:eastAsia="Times New Roman" w:hAnsi="Times New Roman"/>
          <w:sz w:val="16"/>
          <w:szCs w:val="16"/>
          <w:color w:val="auto"/>
        </w:rPr>
        <w:t>There were no impairment charges on the Company’s undeveloped land holdings, or its income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during the years ended December 31, 2021 or 2020. The $17.6 million impairment charge recognized during the year ended December 31, 2021, which is comprised of a $16.5 million charge during the three months ended June 30, 2021 and a $1.1 million charge during the three months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with Timberline, for a final sales price of $66.3 million.</w:t>
      </w:r>
    </w:p>
    <w:p>
      <w:pPr>
        <w:spacing w:after="0" w:line="165"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Additionally, during the year ended December 31, 2020, the Company recognized an aggregate $7.2 million impairment charge comprised of a $0.1 million impairment charge on one of the land parcels included in the Daytona Beach Development and a $ 7.1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p>
      <w:pPr>
        <w:spacing w:after="0" w:line="214"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Depreciation and amortization totaled $20.6 million and $19.1 million during the years ended December 31, 2021 and 2020, respectively. The increase of $1.5 million is primarily due to the increase in the Company’s income property portfolio.</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Investment and Other Income (Loss)</w:t>
      </w:r>
    </w:p>
    <w:p>
      <w:pPr>
        <w:spacing w:after="0" w:line="214"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During the year ended December 31, 2021, the closing stock price of PINE increased by $5.05 per share, with a closing price of $20.04 on December 31, 2021. During the year ended December 31, 2020, the closing stock price of PINE decreased by $4.04 per share, with a closing price of $14.99 on December 31, 2020. The increase (decrease) resulted in an unrealized, non-cash gain (loss) on the Company’s investment in PINE of $10.3 million and ($8.2) million which is included in investment and other income (loss) in the consolidated statements of operations for the years ended December 31, 2021 and 2020, respectively.</w:t>
      </w:r>
    </w:p>
    <w:p>
      <w:pPr>
        <w:spacing w:after="0" w:line="161"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The Company earned dividend income from the investment in PINE of $2.1 million and $1.7 million during the years ended December 31, 2021 and 2020, respectively.</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52"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Interest expense totaled $8.9 million and $10.8 million for the years ended December 31, 2021 and 2020, respectively. The decrease of $1.9 million resulted primarily from (i) the repurchase of $11.4 million aggregate principal amount of 2025 Notes and (ii) the disposition of the CMBS Portfolio under which the buyer assumed a $30.0 million fixed-rate mortgage note. The assumed $30.0 million mortgage note and the 2025 Notes both had higher interest rates than the Credit Facility and term loans.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214"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Net income attributable to the Company totaled $29.9 million and $78.5 million during the years ended December 31, 2021 and 2020, respectively. The decrease in net income is attributable to the factors described above in addition to the $83.5 million income tax benefit recorded during the year ended December 31, 2020, primarily related to the de-recognition of the deferred tax assets and liabilities associated with the entities included in the REIT totaling $82.5 million, as a result of the Company’s REIT election.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3" w:lineRule="exact"/>
        <w:rPr>
          <w:sz w:val="20"/>
          <w:szCs w:val="20"/>
          <w:color w:val="auto"/>
        </w:rPr>
      </w:pPr>
    </w:p>
    <w:p>
      <w:pPr>
        <w:jc w:val="both"/>
        <w:ind w:left="40" w:right="39" w:firstLine="369"/>
        <w:spacing w:after="0" w:line="276" w:lineRule="auto"/>
        <w:rPr>
          <w:sz w:val="20"/>
          <w:szCs w:val="20"/>
          <w:color w:val="auto"/>
        </w:rPr>
      </w:pPr>
      <w:r>
        <w:rPr>
          <w:rFonts w:ascii="Times New Roman" w:cs="Times New Roman" w:eastAsia="Times New Roman" w:hAnsi="Times New Roman"/>
          <w:sz w:val="16"/>
          <w:szCs w:val="16"/>
          <w:color w:val="auto"/>
        </w:rPr>
        <w:t>Cash totaled $21.2 million at December 31, 2022, including restricted cash of $1.9 million, see Note 2 “Summary of Significant Accounting Policies” under the heading Restricted Cash in the notes to the consolidated financial statements in Item 8 for the Company’s disclosure related to its restricted cash balance at December 31, 2022.</w:t>
      </w:r>
    </w:p>
    <w:p>
      <w:pPr>
        <w:spacing w:after="0" w:line="152" w:lineRule="exact"/>
        <w:rPr>
          <w:sz w:val="20"/>
          <w:szCs w:val="20"/>
          <w:color w:val="auto"/>
        </w:rPr>
      </w:pPr>
    </w:p>
    <w:p>
      <w:pPr>
        <w:jc w:val="both"/>
        <w:ind w:left="40" w:right="39" w:firstLine="295"/>
        <w:spacing w:after="0" w:line="263" w:lineRule="auto"/>
        <w:rPr>
          <w:sz w:val="20"/>
          <w:szCs w:val="20"/>
          <w:color w:val="auto"/>
        </w:rPr>
      </w:pPr>
      <w:r>
        <w:rPr>
          <w:rFonts w:ascii="Times New Roman" w:cs="Times New Roman" w:eastAsia="Times New Roman" w:hAnsi="Times New Roman"/>
          <w:sz w:val="16"/>
          <w:szCs w:val="16"/>
          <w:color w:val="auto"/>
        </w:rPr>
        <w:t>Our total cash balance at December 31, 2022, reflected cash flows provided by our operating activities totaling $56.1 million during the year ended December 31, 2022, compared to the prior year’s cash flows provided by operating activities totaling $27.6 million for the year ended December 31, 2021, an increase of $28.5 million. The increase of $28.5 million is primarily related to the increase in the cash flows provided by the Company’s portfolio of income properties as a result of the overall growth in 2022 and 2021. Additionally, the Company sold the Mitigation Bank for a sales price of $8.1 million during the year ended December 31, 2022, while the company utilized cash of $16.1 million to purchase the remaining interest in the Mitigation Bank during the year ended December 31, 2021, for an increase in cash of $24.2 million.</w:t>
      </w:r>
    </w:p>
    <w:p>
      <w:pPr>
        <w:spacing w:after="0" w:line="200" w:lineRule="exact"/>
        <w:rPr>
          <w:sz w:val="20"/>
          <w:szCs w:val="20"/>
          <w:color w:val="auto"/>
        </w:rPr>
      </w:pPr>
    </w:p>
    <w:p>
      <w:pPr>
        <w:jc w:val="both"/>
        <w:ind w:left="40" w:right="39" w:firstLine="448"/>
        <w:spacing w:after="0" w:line="264" w:lineRule="auto"/>
        <w:rPr>
          <w:sz w:val="20"/>
          <w:szCs w:val="20"/>
          <w:color w:val="auto"/>
        </w:rPr>
      </w:pPr>
      <w:r>
        <w:rPr>
          <w:rFonts w:ascii="Times New Roman" w:cs="Times New Roman" w:eastAsia="Times New Roman" w:hAnsi="Times New Roman"/>
          <w:sz w:val="16"/>
          <w:szCs w:val="16"/>
          <w:color w:val="auto"/>
        </w:rPr>
        <w:t>Our cash flows used in investing activities totaled $267.6 million for the year ended December 31, 2022, compared to cash flows used in investing activities of $103.0 million for the year ended December 31, 2021, an increase of $164.6 million. The increase in cash used in investing activities of $164.6 million is primarily related to a net increase in cash outflows of $146.2 million during the year ended December 31, 2022 related to the timing of income property acquisitions versus dispositions, which increase in cash outflows was partially offset by $8.6 million in net proceeds received from the related to timing of investing in the Company’s commercial loans and investment portfolio.</w:t>
      </w:r>
    </w:p>
    <w:p>
      <w:pPr>
        <w:spacing w:after="0" w:line="187" w:lineRule="exact"/>
        <w:rPr>
          <w:sz w:val="20"/>
          <w:szCs w:val="20"/>
          <w:color w:val="auto"/>
        </w:rPr>
      </w:pPr>
    </w:p>
    <w:p>
      <w:pPr>
        <w:jc w:val="both"/>
        <w:ind w:left="40" w:right="59" w:firstLine="448"/>
        <w:spacing w:after="0" w:line="266" w:lineRule="auto"/>
        <w:rPr>
          <w:sz w:val="20"/>
          <w:szCs w:val="20"/>
          <w:color w:val="auto"/>
        </w:rPr>
      </w:pPr>
      <w:r>
        <w:rPr>
          <w:rFonts w:ascii="Times New Roman" w:cs="Times New Roman" w:eastAsia="Times New Roman" w:hAnsi="Times New Roman"/>
          <w:sz w:val="16"/>
          <w:szCs w:val="16"/>
          <w:color w:val="auto"/>
        </w:rPr>
        <w:t>Our cash flows provided by financing activities totaled $201.4 million for the year ended December 31, 2022, compared to cash flows provided by financing activities of $72.9 million for the year ended December 31, 2021, an increase in cash of $128.5 million. The increase of $128.5 million is primarily related to an increase in net debt of $146.7 million as well as $21.9 million in increased proceeds from capital markets activity which consisted of a common stock offering and ATM activity during during the year ended December 31, 2022 versus a Series A Preferred Stock offering during the year ended December 31, 2021.</w:t>
      </w:r>
    </w:p>
    <w:p>
      <w:pPr>
        <w:spacing w:after="0" w:line="198" w:lineRule="exact"/>
        <w:rPr>
          <w:sz w:val="20"/>
          <w:szCs w:val="20"/>
          <w:color w:val="auto"/>
        </w:rPr>
      </w:pPr>
    </w:p>
    <w:p>
      <w:pPr>
        <w:jc w:val="both"/>
        <w:ind w:left="40" w:right="59" w:firstLine="448"/>
        <w:spacing w:after="0" w:line="295" w:lineRule="auto"/>
        <w:rPr>
          <w:sz w:val="20"/>
          <w:szCs w:val="20"/>
          <w:color w:val="auto"/>
        </w:rPr>
      </w:pPr>
      <w:r>
        <w:rPr>
          <w:rFonts w:ascii="Times New Roman" w:cs="Times New Roman" w:eastAsia="Times New Roman" w:hAnsi="Times New Roman"/>
          <w:sz w:val="16"/>
          <w:szCs w:val="16"/>
          <w:color w:val="auto"/>
        </w:rPr>
        <w:t>See Note 16, “Long-Term Debt” in the notes to the consolidated financial statements in Item 8 for the Company’s disclosure related to its long-term debt balance at December 31, 2022.</w:t>
      </w:r>
    </w:p>
    <w:p>
      <w:pPr>
        <w:spacing w:after="0" w:line="173" w:lineRule="exact"/>
        <w:rPr>
          <w:sz w:val="20"/>
          <w:szCs w:val="20"/>
          <w:color w:val="auto"/>
        </w:rPr>
      </w:pPr>
    </w:p>
    <w:p>
      <w:pPr>
        <w:jc w:val="both"/>
        <w:ind w:left="40" w:right="39" w:firstLine="448"/>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Acquisitions and Investments. </w:t>
      </w:r>
      <w:r>
        <w:rPr>
          <w:rFonts w:ascii="Times New Roman" w:cs="Times New Roman" w:eastAsia="Times New Roman" w:hAnsi="Times New Roman"/>
          <w:sz w:val="16"/>
          <w:szCs w:val="16"/>
          <w:color w:val="auto"/>
        </w:rPr>
        <w:t>The Company acquired four multi-tenant income properties and one portfolio of three single-tenant properties during the year ended December 31, 2022 for an aggregate purchase price of $314.0 million, as further described in Note 3, “Income Properties” in the notes to the consolidated financial statements in Item 8.</w:t>
      </w:r>
    </w:p>
    <w:p>
      <w:pPr>
        <w:spacing w:after="0" w:line="177" w:lineRule="exact"/>
        <w:rPr>
          <w:sz w:val="20"/>
          <w:szCs w:val="20"/>
          <w:color w:val="auto"/>
        </w:rPr>
      </w:pPr>
    </w:p>
    <w:p>
      <w:pPr>
        <w:jc w:val="both"/>
        <w:ind w:left="40" w:right="39" w:firstLine="448"/>
        <w:spacing w:after="0" w:line="269" w:lineRule="auto"/>
        <w:rPr>
          <w:sz w:val="20"/>
          <w:szCs w:val="20"/>
          <w:color w:val="auto"/>
        </w:rPr>
      </w:pPr>
      <w:r>
        <w:rPr>
          <w:rFonts w:ascii="Times New Roman" w:cs="Times New Roman" w:eastAsia="Times New Roman" w:hAnsi="Times New Roman"/>
          <w:sz w:val="16"/>
          <w:szCs w:val="16"/>
          <w:color w:val="auto"/>
        </w:rPr>
        <w:t>We expect to fund future acquisitions utilizing cash on hand, cash from operations, proceeds from the dispositions of income properties through Section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145" w:lineRule="exact"/>
        <w:rPr>
          <w:sz w:val="20"/>
          <w:szCs w:val="20"/>
          <w:color w:val="auto"/>
        </w:rPr>
      </w:pPr>
    </w:p>
    <w:p>
      <w:pPr>
        <w:jc w:val="both"/>
        <w:ind w:left="40" w:right="59" w:firstLine="295"/>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Dispositions. </w:t>
      </w:r>
      <w:r>
        <w:rPr>
          <w:rFonts w:ascii="Times New Roman" w:cs="Times New Roman" w:eastAsia="Times New Roman" w:hAnsi="Times New Roman"/>
          <w:sz w:val="16"/>
          <w:szCs w:val="16"/>
          <w:color w:val="auto"/>
        </w:rPr>
        <w:t>During the year ended December 31, 2022, the Company sold six properties, two of which were classified 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 loan investment due to the respective tenants’ repurchase options, for $81.1 million. The sale of the properties generated aggregate gains of $4.7 million.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40" w:right="59" w:firstLine="295"/>
        <w:spacing w:after="0" w:line="245" w:lineRule="auto"/>
        <w:rPr>
          <w:sz w:val="20"/>
          <w:szCs w:val="20"/>
          <w:color w:val="auto"/>
        </w:rPr>
      </w:pPr>
      <w:r>
        <w:rPr>
          <w:rFonts w:ascii="Times New Roman" w:cs="Times New Roman" w:eastAsia="Times New Roman" w:hAnsi="Times New Roman"/>
          <w:sz w:val="16"/>
          <w:szCs w:val="16"/>
          <w:i w:val="1"/>
          <w:iCs w:val="1"/>
          <w:color w:val="auto"/>
        </w:rPr>
        <w:t xml:space="preserve">Contractual Obligations. </w:t>
      </w:r>
      <w:r>
        <w:rPr>
          <w:rFonts w:ascii="Times New Roman" w:cs="Times New Roman" w:eastAsia="Times New Roman" w:hAnsi="Times New Roman"/>
          <w:sz w:val="16"/>
          <w:szCs w:val="16"/>
          <w:color w:val="auto"/>
        </w:rPr>
        <w:t>The Company has committed to fund the following capital improvements. The improvements, which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to several properties, are estimated to be generally completed within twelve months. These commitments, as of December 31, 2022,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189"/>
        </w:trPr>
        <w:tc>
          <w:tcPr>
            <w:tcW w:w="7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 xml:space="preserve">Total Commitment </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29,033</w:t>
            </w:r>
          </w:p>
        </w:tc>
      </w:tr>
      <w:tr>
        <w:trPr>
          <w:trHeight w:val="197"/>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Amount Funded</w:t>
            </w: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w:t>
            </w:r>
          </w:p>
        </w:tc>
      </w:tr>
      <w:tr>
        <w:trPr>
          <w:trHeight w:val="189"/>
        </w:trPr>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Commitment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21,221</w:t>
            </w:r>
          </w:p>
        </w:tc>
      </w:tr>
      <w:tr>
        <w:trPr>
          <w:trHeight w:val="20"/>
        </w:trPr>
        <w:tc>
          <w:tcPr>
            <w:tcW w:w="2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r>
    </w:tbl>
    <w:p>
      <w:pPr>
        <w:spacing w:after="0" w:line="29" w:lineRule="exact"/>
        <w:rPr>
          <w:sz w:val="20"/>
          <w:szCs w:val="20"/>
          <w:color w:val="auto"/>
        </w:rPr>
      </w:pPr>
    </w:p>
    <w:p>
      <w:pPr>
        <w:ind w:left="300" w:hanging="264"/>
        <w:spacing w:after="0"/>
        <w:tabs>
          <w:tab w:leader="none" w:pos="30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Commitment includes tenant improvements, leasing commissions, rebranding, facility expansion and other capital improvements.</w:t>
      </w:r>
    </w:p>
    <w:p>
      <w:pPr>
        <w:spacing w:after="0" w:line="189" w:lineRule="exact"/>
        <w:rPr>
          <w:sz w:val="20"/>
          <w:szCs w:val="20"/>
          <w:color w:val="auto"/>
        </w:rPr>
      </w:pPr>
    </w:p>
    <w:p>
      <w:pPr>
        <w:jc w:val="both"/>
        <w:ind w:left="40" w:right="59" w:firstLine="448"/>
        <w:spacing w:after="0" w:line="295" w:lineRule="auto"/>
        <w:rPr>
          <w:sz w:val="20"/>
          <w:szCs w:val="20"/>
          <w:color w:val="auto"/>
        </w:rPr>
      </w:pPr>
      <w:r>
        <w:rPr>
          <w:rFonts w:ascii="Times New Roman" w:cs="Times New Roman" w:eastAsia="Times New Roman" w:hAnsi="Times New Roman"/>
          <w:sz w:val="16"/>
          <w:szCs w:val="16"/>
          <w:color w:val="auto"/>
        </w:rPr>
        <w:t>In addition, the Company is committed to fund the two construction loans as described in Note 4, “Commercial Loans and Investments”. The unfunded portion of the construction loans totaled $5.6 million of December 31, 2022.</w:t>
      </w:r>
    </w:p>
    <w:p>
      <w:pPr>
        <w:spacing w:after="0" w:line="175" w:lineRule="exact"/>
        <w:rPr>
          <w:sz w:val="20"/>
          <w:szCs w:val="20"/>
          <w:color w:val="auto"/>
        </w:rPr>
      </w:pPr>
    </w:p>
    <w:p>
      <w:pPr>
        <w:jc w:val="both"/>
        <w:ind w:left="40" w:right="39" w:firstLine="448"/>
        <w:spacing w:after="0" w:line="295" w:lineRule="auto"/>
        <w:rPr>
          <w:sz w:val="20"/>
          <w:szCs w:val="20"/>
          <w:color w:val="auto"/>
        </w:rPr>
      </w:pPr>
      <w:r>
        <w:rPr>
          <w:rFonts w:ascii="Times New Roman" w:cs="Times New Roman" w:eastAsia="Times New Roman" w:hAnsi="Times New Roman"/>
          <w:sz w:val="16"/>
          <w:szCs w:val="16"/>
          <w:color w:val="auto"/>
        </w:rPr>
        <w:t>The Company is also contractually obligated under its various long-term debt and operating lease agreements. In the aggregate, the Company is obligated under such agreements to repay $447.6 million being long-term to be repaid in excess of one year.</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December 31, 2022, we have no other contractual requirements to make capital expenditures.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 xml:space="preserve">Other Matters. </w:t>
      </w:r>
      <w:r>
        <w:rPr>
          <w:rFonts w:ascii="Times New Roman" w:cs="Times New Roman" w:eastAsia="Times New Roman" w:hAnsi="Times New Roman"/>
          <w:sz w:val="16"/>
          <w:szCs w:val="16"/>
          <w:color w:val="auto"/>
        </w:rPr>
        <w:t>None.</w:t>
      </w:r>
    </w:p>
    <w:p>
      <w:pPr>
        <w:spacing w:after="0" w:line="212"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We believe we will have sufficient liquidity to fund our operations, capital requirements, maintenance, and debt service requirements over the next twelve months and into the foreseeable future, with cash on hand, cash flow from our operations and $186.2 million available capacity on the existing $300.0 million Credit Facility, based on our current borrowing base of income properties, as of December 31, 2022.</w:t>
      </w:r>
    </w:p>
    <w:p>
      <w:pPr>
        <w:spacing w:after="0" w:line="159"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In February 2020, the Board approved a $10.0 million stock repurchase program. During the year ended December 31, 2020, the Company repurchased 88,565 shares for $4.1 million, or an average price of $46.29 per share. During the year ended December 31, 2021, the Company repurchased 40,553 shares for $2.2 million, or an average price of $54.48 per share. During the year ended December 31, 2022, the Company repurchased 145,724 shares of its common stock on the open market for a total cost of $2.8 million, or an average price per share of $19.15. The repurchase program does not have an expiration date. The shares of the Company’s common stock repurchased pursuant to the repurchase program were cancelled.</w:t>
      </w:r>
    </w:p>
    <w:p>
      <w:pPr>
        <w:spacing w:after="0" w:line="163" w:lineRule="exact"/>
        <w:rPr>
          <w:sz w:val="20"/>
          <w:szCs w:val="20"/>
          <w:color w:val="auto"/>
        </w:rPr>
      </w:pPr>
    </w:p>
    <w:p>
      <w:pPr>
        <w:jc w:val="both"/>
        <w:ind w:left="40" w:right="59" w:firstLine="295"/>
        <w:spacing w:after="0" w:line="262" w:lineRule="auto"/>
        <w:rPr>
          <w:sz w:val="20"/>
          <w:szCs w:val="20"/>
          <w:color w:val="auto"/>
        </w:rPr>
      </w:pPr>
      <w:r>
        <w:rPr>
          <w:rFonts w:ascii="Times New Roman" w:cs="Times New Roman" w:eastAsia="Times New Roman" w:hAnsi="Times New Roman"/>
          <w:sz w:val="16"/>
          <w:szCs w:val="16"/>
          <w:color w:val="auto"/>
        </w:rPr>
        <w:t>On February 16, 2023, the Company’s Board of Directors approved a common stock repurchase program, which is expected to be in effect until the approved dollar amount has been used to repurchase shares (the “Common Stock Repurchase Program”). Pursuant to the Common Stock Repurchase Program, the Company may repurchase shares of its common stock for a total purchase price of up to $5.0 million at an average per share purchase price equal to or less than $17.00. Shares may be purchased under the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Common Stock Repurchase Program does not obligate the Company to acquire any particular amount of shares of its common stock and may be modified or suspended.</w:t>
      </w:r>
    </w:p>
    <w:p>
      <w:pPr>
        <w:spacing w:after="0" w:line="16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1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50"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i w:val="1"/>
          <w:iCs w:val="1"/>
          <w:color w:val="auto"/>
        </w:rPr>
        <w:t>Purchase Accounting for Acquisitions of Real Estate Subject to a Lease</w:t>
      </w:r>
      <w:r>
        <w:rPr>
          <w:rFonts w:ascii="Times New Roman" w:cs="Times New Roman" w:eastAsia="Times New Roman" w:hAnsi="Times New Roman"/>
          <w:sz w:val="16"/>
          <w:szCs w:val="16"/>
          <w:color w:val="auto"/>
        </w:rPr>
        <w:t>. As required by U.S. GAAP, the fair value of the real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four multi-tenant income properties and one portfolio of three single-tenant properties for a combined purchase price of $314.0 million for the year ended December 31, 2022 and eight multi-tenant income properties for a combined purchase price of $249.1 million for the year ended December 31, 2021.</w:t>
      </w:r>
    </w:p>
    <w:p>
      <w:pPr>
        <w:spacing w:after="0" w:line="172" w:lineRule="exact"/>
        <w:rPr>
          <w:sz w:val="20"/>
          <w:szCs w:val="20"/>
          <w:color w:val="auto"/>
        </w:rPr>
      </w:pPr>
    </w:p>
    <w:p>
      <w:pPr>
        <w:jc w:val="both"/>
        <w:ind w:left="40" w:right="59" w:firstLine="402"/>
        <w:spacing w:after="0" w:line="279" w:lineRule="auto"/>
        <w:rPr>
          <w:sz w:val="20"/>
          <w:szCs w:val="20"/>
          <w:color w:val="auto"/>
        </w:rPr>
      </w:pPr>
      <w:r>
        <w:rPr>
          <w:rFonts w:ascii="Times New Roman" w:cs="Times New Roman" w:eastAsia="Times New Roman" w:hAnsi="Times New Roman"/>
          <w:sz w:val="16"/>
          <w:szCs w:val="16"/>
          <w:color w:val="auto"/>
        </w:rPr>
        <w:t>See Note 2, “Summary of Significant Accounting Policies”, for further discussion of the Company’s accounting estimates and policies.</w:t>
      </w:r>
    </w:p>
    <w:p>
      <w:pPr>
        <w:spacing w:after="0" w:line="134"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14"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59"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December 31, 2022 and 2021, the outstanding balance on our Credit Facility totaled $113.8 million and $67.0 million, of which $113.8 million and $67.0 million, respectively, were not fixed by virtue of an interest rate swap agreement. A hypothetical change in the interest rate of 100 basis points (i.e., 1%) would affect our financial position, results of operations, and cash flows by $1.1 million and $0.7 million as of December 31, 2022 and 2021, respectively. The Company has entered into interest rate swap agreements to hedge against changes in future cash flows resulting from fluctuating interest rates related to certain of its debt borrowings, see Note 17, “Interest Rate Swaps” in the notes to the consolidated financial statements in Item 8.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361"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Company’s consolidated financial statements appear beginning on page F-1 of this report. See Item 15 of this report.</w:t>
      </w:r>
    </w:p>
    <w:p>
      <w:pPr>
        <w:spacing w:after="0" w:line="206" w:lineRule="exact"/>
        <w:rPr>
          <w:sz w:val="20"/>
          <w:szCs w:val="20"/>
          <w:color w:val="auto"/>
        </w:rPr>
      </w:pPr>
    </w:p>
    <w:p>
      <w:pPr>
        <w:jc w:val="both"/>
        <w:ind w:left="440" w:right="59" w:hanging="401"/>
        <w:spacing w:after="0" w:line="270" w:lineRule="auto"/>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 xml:space="preserve"> </w:t>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There have been no disagreements with our accountants on accounting and financial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1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13"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management of the Company is responsible for establishing and maintaining adequate internal control over financial reporting as defined in Rules 13a-15(f) and 15d-15(f) under the Exchange Act.</w:t>
      </w:r>
    </w:p>
    <w:p>
      <w:pPr>
        <w:spacing w:after="0" w:line="138"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In May 2013, the Internal Control – Integrated Framework (the “2013 Framework”) was released by the Committee of Sponsoring Organizations of the Treadway Commission (“COSO”). The 2013 Framework updates and formalizes the principles embedded in the original Internal Control-Integrated Framework issued in 1992 (the “1992 Framework”), incorporates business and operating environment changes over the past two decades, and improves the original 1992 Framework’s ease of use and application.</w:t>
      </w:r>
    </w:p>
    <w:p>
      <w:pPr>
        <w:spacing w:after="0" w:line="159"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The Company’s management assessed the effectiveness of the Company’s internal control over financial reporting as of December 31, 2022. In conducting this assessment, it used the criteria set forth by COSO in the 2013 Framework. Based on management’s assessment and those criteria, management believes that the Company has maintained effective internal control over financial reporting as of December 31, 2022. The audit report, of Grant Thornton LLP, the Company’s independent registered public accounting firm, on the effectiveness of our internal control over financial reporting as of December 31, 2022, is included in this Annual Report on Form 10-K and is incorporated herein as Item 15.</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4"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(as defined in Rules 13a-15(f) or 15d-15(f) of the Exchange Act) during the fourth fiscal quarter covered by this report that have materially affected, or are reasonably likely to materially affect, the Company’s internal control over financial reporting.</w:t>
      </w:r>
    </w:p>
    <w:p>
      <w:pPr>
        <w:spacing w:after="0" w:line="148"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None.</w:t>
      </w:r>
    </w:p>
    <w:p>
      <w:pPr>
        <w:spacing w:after="0" w:line="107"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10"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Company’s definitive proxy statement for its 2023 annual stockholders’ meeting to be filed with the SEC within 120 days after the end of the registrant’s fiscal year ended December 31, 2022 (the “Proxy Statement”), which sections are incorporated herein by reference.</w:t>
      </w:r>
    </w:p>
    <w:p>
      <w:pPr>
        <w:spacing w:after="0" w:line="148"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1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right="59" w:hanging="401"/>
        <w:spacing w:after="0" w:line="301" w:lineRule="auto"/>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 xml:space="preserve"> </w:t>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33"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134"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14"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134"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213"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information required to be set forth herein will be included in the Proxy Statement, which section is incorporated herein by reference.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300" w:type="dxa"/>
            <w:vAlign w:val="bottom"/>
            <w:gridSpan w:val="7"/>
          </w:tcPr>
          <w:p>
            <w:pPr>
              <w:ind w:left="24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740" w:type="dxa"/>
            <w:vAlign w:val="bottom"/>
          </w:tcPr>
          <w:p>
            <w:pPr>
              <w:spacing w:after="0"/>
              <w:rPr>
                <w:sz w:val="18"/>
                <w:szCs w:val="18"/>
                <w:color w:val="auto"/>
              </w:rPr>
            </w:pPr>
          </w:p>
        </w:tc>
      </w:tr>
      <w:tr>
        <w:trPr>
          <w:trHeight w:val="393"/>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15.</w:t>
            </w:r>
          </w:p>
        </w:tc>
        <w:tc>
          <w:tcPr>
            <w:tcW w:w="7280" w:type="dxa"/>
            <w:vAlign w:val="bottom"/>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EXHIBITS, FINANCIAL STATEMENT SCHEDULES</w:t>
            </w:r>
          </w:p>
        </w:tc>
        <w:tc>
          <w:tcPr>
            <w:tcW w:w="740" w:type="dxa"/>
            <w:vAlign w:val="bottom"/>
          </w:tcPr>
          <w:p>
            <w:pPr>
              <w:spacing w:after="0"/>
              <w:rPr>
                <w:sz w:val="24"/>
                <w:szCs w:val="24"/>
                <w:color w:val="auto"/>
              </w:rPr>
            </w:pPr>
          </w:p>
        </w:tc>
      </w:tr>
      <w:tr>
        <w:trPr>
          <w:trHeight w:val="393"/>
        </w:trPr>
        <w:tc>
          <w:tcPr>
            <w:tcW w:w="82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1. FINANCIAL STATEMENTS</w:t>
            </w:r>
          </w:p>
        </w:tc>
        <w:tc>
          <w:tcPr>
            <w:tcW w:w="740" w:type="dxa"/>
            <w:vAlign w:val="bottom"/>
          </w:tcPr>
          <w:p>
            <w:pPr>
              <w:spacing w:after="0"/>
              <w:rPr>
                <w:sz w:val="24"/>
                <w:szCs w:val="24"/>
                <w:color w:val="auto"/>
              </w:rPr>
            </w:pPr>
          </w:p>
        </w:tc>
      </w:tr>
      <w:tr>
        <w:trPr>
          <w:trHeight w:val="393"/>
        </w:trPr>
        <w:tc>
          <w:tcPr>
            <w:tcW w:w="8200" w:type="dxa"/>
            <w:vAlign w:val="bottom"/>
            <w:gridSpan w:val="9"/>
          </w:tcPr>
          <w:p>
            <w:pPr>
              <w:ind w:left="400"/>
              <w:spacing w:after="0"/>
              <w:rPr>
                <w:sz w:val="20"/>
                <w:szCs w:val="20"/>
                <w:color w:val="auto"/>
              </w:rPr>
            </w:pPr>
            <w:r>
              <w:rPr>
                <w:rFonts w:ascii="Times New Roman" w:cs="Times New Roman" w:eastAsia="Times New Roman" w:hAnsi="Times New Roman"/>
                <w:sz w:val="16"/>
                <w:szCs w:val="16"/>
                <w:color w:val="auto"/>
              </w:rPr>
              <w:t>The following financial statements are filed as part of this report:</w:t>
            </w:r>
          </w:p>
        </w:tc>
        <w:tc>
          <w:tcPr>
            <w:tcW w:w="740" w:type="dxa"/>
            <w:vAlign w:val="bottom"/>
          </w:tcPr>
          <w:p>
            <w:pPr>
              <w:spacing w:after="0"/>
              <w:rPr>
                <w:sz w:val="24"/>
                <w:szCs w:val="24"/>
                <w:color w:val="auto"/>
              </w:rPr>
            </w:pPr>
          </w:p>
        </w:tc>
      </w:tr>
      <w:tr>
        <w:trPr>
          <w:trHeight w:val="405"/>
        </w:trPr>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349"/>
        </w:trPr>
        <w:tc>
          <w:tcPr>
            <w:tcW w:w="820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 xml:space="preserve">Reports of Independent Registered Public Accounting Firm </w:t>
            </w:r>
            <w:r>
              <w:rPr>
                <w:rFonts w:ascii="Times New Roman" w:cs="Times New Roman" w:eastAsia="Times New Roman" w:hAnsi="Times New Roman"/>
                <w:sz w:val="16"/>
                <w:szCs w:val="16"/>
                <w:color w:val="000000"/>
              </w:rPr>
              <w:t>(PCAOB ID Number 248)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7"/>
        </w:trPr>
        <w:tc>
          <w:tcPr>
            <w:tcW w:w="4240" w:type="dxa"/>
            <w:vAlign w:val="bottom"/>
            <w:tcBorders>
              <w:bottom w:val="single" w:sz="8" w:color="0000EE"/>
            </w:tcBorders>
            <w:gridSpan w:val="3"/>
          </w:tcPr>
          <w:p>
            <w:pPr>
              <w:spacing w:after="0" w:line="177" w:lineRule="exact"/>
              <w:rPr>
                <w:sz w:val="20"/>
                <w:szCs w:val="20"/>
                <w:color w:val="auto"/>
              </w:rPr>
            </w:pPr>
            <w:r>
              <w:rPr>
                <w:rFonts w:ascii="Times New Roman" w:cs="Times New Roman" w:eastAsia="Times New Roman" w:hAnsi="Times New Roman"/>
                <w:sz w:val="16"/>
                <w:szCs w:val="16"/>
                <w:color w:val="0000EE"/>
              </w:rPr>
              <w:t>Consolidated Balance Sheets as of December 31, 2022 and 2021</w:t>
            </w:r>
          </w:p>
        </w:tc>
        <w:tc>
          <w:tcPr>
            <w:tcW w:w="3960" w:type="dxa"/>
            <w:vAlign w:val="bottom"/>
            <w:gridSpan w:val="6"/>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F-5</w:t>
            </w:r>
          </w:p>
        </w:tc>
      </w:tr>
      <w:tr>
        <w:trPr>
          <w:trHeight w:val="177"/>
        </w:trPr>
        <w:tc>
          <w:tcPr>
            <w:tcW w:w="8200" w:type="dxa"/>
            <w:vAlign w:val="bottom"/>
            <w:gridSpan w:val="9"/>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Operations for the three years ended December 31, 2022, 2021, and 2020</w:t>
            </w: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F-6</w:t>
            </w:r>
          </w:p>
        </w:tc>
      </w:tr>
      <w:tr>
        <w:trPr>
          <w:trHeight w:val="20"/>
        </w:trPr>
        <w:tc>
          <w:tcPr>
            <w:tcW w:w="66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7"/>
        </w:trPr>
        <w:tc>
          <w:tcPr>
            <w:tcW w:w="7500" w:type="dxa"/>
            <w:vAlign w:val="bottom"/>
            <w:tcBorders>
              <w:bottom w:val="single" w:sz="8" w:color="0000EE"/>
            </w:tcBorders>
            <w:gridSpan w:val="8"/>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years ended December 31, 2022, 2021, and 2020</w:t>
            </w:r>
          </w:p>
        </w:tc>
        <w:tc>
          <w:tcPr>
            <w:tcW w:w="70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F-7</w:t>
            </w:r>
          </w:p>
        </w:tc>
      </w:tr>
      <w:tr>
        <w:trPr>
          <w:trHeight w:val="177"/>
        </w:trPr>
        <w:tc>
          <w:tcPr>
            <w:tcW w:w="7280" w:type="dxa"/>
            <w:vAlign w:val="bottom"/>
            <w:tcBorders>
              <w:bottom w:val="single" w:sz="8" w:color="0000EE"/>
            </w:tcBorders>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Stockholders’ Equity for the three years ended December 31, 2022, 2021 and 2020</w:t>
            </w:r>
          </w:p>
        </w:tc>
        <w:tc>
          <w:tcPr>
            <w:tcW w:w="920" w:type="dxa"/>
            <w:vAlign w:val="bottom"/>
            <w:gridSpan w:val="2"/>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F-8</w:t>
            </w:r>
          </w:p>
        </w:tc>
      </w:tr>
      <w:tr>
        <w:trPr>
          <w:trHeight w:val="177"/>
        </w:trPr>
        <w:tc>
          <w:tcPr>
            <w:tcW w:w="8200" w:type="dxa"/>
            <w:vAlign w:val="bottom"/>
            <w:gridSpan w:val="9"/>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Cash Flows for the three years ended December 31, 2022, 2021, and 2020</w:t>
            </w: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F-9</w:t>
            </w:r>
          </w:p>
        </w:tc>
      </w:tr>
      <w:tr>
        <w:trPr>
          <w:trHeight w:val="20"/>
        </w:trPr>
        <w:tc>
          <w:tcPr>
            <w:tcW w:w="670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7"/>
        </w:trPr>
        <w:tc>
          <w:tcPr>
            <w:tcW w:w="6960" w:type="dxa"/>
            <w:vAlign w:val="bottom"/>
            <w:tcBorders>
              <w:bottom w:val="single" w:sz="8" w:color="0000EE"/>
            </w:tcBorders>
            <w:gridSpan w:val="6"/>
          </w:tcPr>
          <w:p>
            <w:pPr>
              <w:spacing w:after="0" w:line="177" w:lineRule="exact"/>
              <w:rPr>
                <w:sz w:val="20"/>
                <w:szCs w:val="20"/>
                <w:color w:val="auto"/>
              </w:rPr>
            </w:pPr>
            <w:r>
              <w:rPr>
                <w:rFonts w:ascii="Times New Roman" w:cs="Times New Roman" w:eastAsia="Times New Roman" w:hAnsi="Times New Roman"/>
                <w:sz w:val="16"/>
                <w:szCs w:val="16"/>
                <w:color w:val="0000EE"/>
              </w:rPr>
              <w:t>Notes to Consolidated Financial Statements for the three years ended December 31, 2022, 2021, and 2020</w:t>
            </w:r>
          </w:p>
        </w:tc>
        <w:tc>
          <w:tcPr>
            <w:tcW w:w="1240" w:type="dxa"/>
            <w:vAlign w:val="bottom"/>
            <w:gridSpan w:val="3"/>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F-11</w:t>
            </w:r>
          </w:p>
        </w:tc>
      </w:tr>
    </w:tbl>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 FINANCIAL STATEMENT SCHEDULES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Included in Part IV on Form 10-K:</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Schedule III—Real Estate and Accumulated Depreciation</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Schedule IV – Mortgage Loans on Real Estate</w:t>
      </w:r>
    </w:p>
    <w:p>
      <w:pPr>
        <w:spacing w:after="0" w:line="210"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Other schedules are omitted because of the absence of conditions under which they are required, materiality, or because the required information is given in the financial statements or notes thereof.</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3. EXHIBITS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See Exhibit Index on page 63 of this Annual Report on Form 10-K.</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001-11350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the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34" w:lineRule="exact"/>
        <w:rPr>
          <w:sz w:val="20"/>
          <w:szCs w:val="20"/>
          <w:color w:val="auto"/>
        </w:rPr>
      </w:pPr>
    </w:p>
    <w:p>
      <w:pPr>
        <w:jc w:val="right"/>
        <w:ind w:left="40" w:right="59"/>
        <w:spacing w:after="0" w:line="256" w:lineRule="auto"/>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 xml:space="preserve">(2.1)            </w:t>
      </w:r>
      <w:hyperlink r:id="rId87">
        <w:r>
          <w:rPr>
            <w:rFonts w:ascii="Times New Roman" w:cs="Times New Roman" w:eastAsia="Times New Roman" w:hAnsi="Times New Roman"/>
            <w:sz w:val="16"/>
            <w:szCs w:val="16"/>
            <w:u w:val="single" w:color="auto"/>
            <w:color w:val="0000EE"/>
          </w:rPr>
          <w:t>Agreement and Plan of Merger by and between CTO Realty Growth, Inc., a Florida corporation and CTO Realty</w:t>
        </w:r>
      </w:hyperlink>
      <w:r>
        <w:rPr>
          <w:rFonts w:ascii="Times New Roman" w:cs="Times New Roman" w:eastAsia="Times New Roman" w:hAnsi="Times New Roman"/>
          <w:sz w:val="16"/>
          <w:szCs w:val="16"/>
          <w:color w:val="auto"/>
        </w:rPr>
        <w:t xml:space="preserve"> </w:t>
      </w:r>
      <w:hyperlink r:id="rId87">
        <w:r>
          <w:rPr>
            <w:rFonts w:ascii="Times New Roman" w:cs="Times New Roman" w:eastAsia="Times New Roman" w:hAnsi="Times New Roman"/>
            <w:sz w:val="16"/>
            <w:szCs w:val="16"/>
            <w:u w:val="single" w:color="auto"/>
            <w:color w:val="0000EE"/>
          </w:rPr>
          <w:t>Growth, Inc. (formerly CTO NEWCO REIT, Inc.), a Maryland corporation, dated September 3, 2020, filed as</w:t>
        </w:r>
      </w:hyperlink>
    </w:p>
    <w:tbl>
      <w:tblPr>
        <w:tblLayout w:type="fixed"/>
        <w:tblInd w:w="40" w:type="dxa"/>
        <w:tblCellMar>
          <w:top w:w="0" w:type="dxa"/>
          <w:left w:w="0" w:type="dxa"/>
          <w:bottom w:w="0" w:type="dxa"/>
          <w:right w:w="0" w:type="dxa"/>
        </w:tblCellMar>
      </w:tblPr>
      <w:tr>
        <w:trPr>
          <w:trHeight w:val="160"/>
        </w:trPr>
        <w:tc>
          <w:tcPr>
            <w:tcW w:w="1340" w:type="dxa"/>
            <w:vAlign w:val="bottom"/>
          </w:tcPr>
          <w:p>
            <w:pPr>
              <w:spacing w:after="0"/>
              <w:rPr>
                <w:sz w:val="13"/>
                <w:szCs w:val="13"/>
                <w:color w:val="auto"/>
              </w:rPr>
            </w:pPr>
          </w:p>
        </w:tc>
        <w:tc>
          <w:tcPr>
            <w:tcW w:w="7600" w:type="dxa"/>
            <w:vAlign w:val="bottom"/>
            <w:tcBorders>
              <w:bottom w:val="single" w:sz="8" w:color="0000EE"/>
            </w:tcBorders>
            <w:gridSpan w:val="38"/>
          </w:tcPr>
          <w:p>
            <w:pPr>
              <w:spacing w:after="0" w:line="160"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Exhibit 2.1 to the registrant’s Current Report on Form 8-K filed September 3, 2020, and incorporated herein by</w:t>
              </w:r>
            </w:hyperlink>
          </w:p>
        </w:tc>
      </w:tr>
      <w:tr>
        <w:trPr>
          <w:trHeight w:val="177"/>
        </w:trPr>
        <w:tc>
          <w:tcPr>
            <w:tcW w:w="1340" w:type="dxa"/>
            <w:vAlign w:val="bottom"/>
          </w:tcPr>
          <w:p>
            <w:pPr>
              <w:spacing w:after="0"/>
              <w:rPr>
                <w:sz w:val="15"/>
                <w:szCs w:val="15"/>
                <w:color w:val="auto"/>
              </w:rPr>
            </w:pPr>
          </w:p>
        </w:tc>
        <w:tc>
          <w:tcPr>
            <w:tcW w:w="660" w:type="dxa"/>
            <w:vAlign w:val="bottom"/>
            <w:tcBorders>
              <w:bottom w:val="single" w:sz="8" w:color="0000EE"/>
            </w:tcBorders>
          </w:tcPr>
          <w:p>
            <w:pPr>
              <w:spacing w:after="0" w:line="177"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reference.</w:t>
              </w:r>
            </w:hyperlink>
          </w:p>
        </w:tc>
        <w:tc>
          <w:tcPr>
            <w:tcW w:w="6940" w:type="dxa"/>
            <w:vAlign w:val="bottom"/>
            <w:gridSpan w:val="37"/>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Purchase and Sale Agreement, dated of May 3, 2022, filed as Exhibit 2.1 to the registrant’s Current Report on</w:t>
              </w:r>
            </w:hyperlink>
          </w:p>
        </w:tc>
      </w:tr>
      <w:tr>
        <w:trPr>
          <w:trHeight w:val="164"/>
        </w:trPr>
        <w:tc>
          <w:tcPr>
            <w:tcW w:w="1340" w:type="dxa"/>
            <w:vAlign w:val="bottom"/>
          </w:tcPr>
          <w:p>
            <w:pPr>
              <w:spacing w:after="0"/>
              <w:rPr>
                <w:sz w:val="14"/>
                <w:szCs w:val="14"/>
                <w:color w:val="auto"/>
              </w:rPr>
            </w:pPr>
          </w:p>
        </w:tc>
        <w:tc>
          <w:tcPr>
            <w:tcW w:w="7200" w:type="dxa"/>
            <w:vAlign w:val="bottom"/>
            <w:tcBorders>
              <w:top w:val="single" w:sz="8" w:color="0000EE"/>
            </w:tcBorders>
            <w:gridSpan w:val="21"/>
          </w:tcPr>
          <w:p>
            <w:pPr>
              <w:spacing w:after="0" w:line="165"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Form 8-K filed May 20, 2022,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Purchase and Sale Agreement, dated September 9, 2022, filed as Exhibit 2.1 to the registrant’s Current Report on</w:t>
              </w:r>
            </w:hyperlink>
          </w:p>
        </w:tc>
      </w:tr>
      <w:tr>
        <w:trPr>
          <w:trHeight w:val="164"/>
        </w:trPr>
        <w:tc>
          <w:tcPr>
            <w:tcW w:w="1340" w:type="dxa"/>
            <w:vAlign w:val="bottom"/>
          </w:tcPr>
          <w:p>
            <w:pPr>
              <w:spacing w:after="0"/>
              <w:rPr>
                <w:sz w:val="14"/>
                <w:szCs w:val="14"/>
                <w:color w:val="auto"/>
              </w:rPr>
            </w:pPr>
          </w:p>
        </w:tc>
        <w:tc>
          <w:tcPr>
            <w:tcW w:w="4900" w:type="dxa"/>
            <w:vAlign w:val="bottom"/>
            <w:tcBorders>
              <w:top w:val="single" w:sz="8" w:color="0000EE"/>
              <w:bottom w:val="single" w:sz="8" w:color="0000EE"/>
            </w:tcBorders>
            <w:gridSpan w:val="12"/>
          </w:tcPr>
          <w:p>
            <w:pPr>
              <w:spacing w:after="0" w:line="165"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Form 8-K filed September 12, 2022, and incorporated herein by reference.</w:t>
              </w:r>
            </w:hyperlink>
          </w:p>
        </w:tc>
        <w:tc>
          <w:tcPr>
            <w:tcW w:w="252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Purchase and Sale Agreement, dated November 28, 2022, filed as Exhibit 2.1 to the registrant’s Current Report on</w:t>
              </w:r>
            </w:hyperlink>
          </w:p>
        </w:tc>
      </w:tr>
      <w:tr>
        <w:trPr>
          <w:trHeight w:val="164"/>
        </w:trPr>
        <w:tc>
          <w:tcPr>
            <w:tcW w:w="1340" w:type="dxa"/>
            <w:vAlign w:val="bottom"/>
          </w:tcPr>
          <w:p>
            <w:pPr>
              <w:spacing w:after="0"/>
              <w:rPr>
                <w:sz w:val="14"/>
                <w:szCs w:val="14"/>
                <w:color w:val="auto"/>
              </w:rPr>
            </w:pPr>
          </w:p>
        </w:tc>
        <w:tc>
          <w:tcPr>
            <w:tcW w:w="4880" w:type="dxa"/>
            <w:vAlign w:val="bottom"/>
            <w:tcBorders>
              <w:top w:val="single" w:sz="8" w:color="0000EE"/>
              <w:bottom w:val="single" w:sz="8" w:color="0000EE"/>
            </w:tcBorders>
            <w:gridSpan w:val="11"/>
          </w:tcPr>
          <w:p>
            <w:pPr>
              <w:spacing w:after="0" w:line="165"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Form 8-K filed November 30, 2022, and incorporated herein by reference.</w:t>
              </w:r>
            </w:hyperlink>
          </w:p>
        </w:tc>
        <w:tc>
          <w:tcPr>
            <w:tcW w:w="260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7480" w:type="dxa"/>
            <w:vAlign w:val="bottom"/>
            <w:tcBorders>
              <w:bottom w:val="single" w:sz="8" w:color="0000EE"/>
            </w:tcBorders>
            <w:gridSpan w:val="33"/>
          </w:tcPr>
          <w:p>
            <w:pPr>
              <w:spacing w:after="0"/>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Articles of Amendment and Restatement of CTO Realty Growth, Inc., as amended by the Articles of Amendment</w:t>
              </w:r>
            </w:hyperlink>
          </w:p>
        </w:tc>
        <w:tc>
          <w:tcPr>
            <w:tcW w:w="120" w:type="dxa"/>
            <w:vAlign w:val="bottom"/>
            <w:gridSpan w:val="5"/>
          </w:tcPr>
          <w:p>
            <w:pPr>
              <w:spacing w:after="0"/>
              <w:rPr>
                <w:sz w:val="23"/>
                <w:szCs w:val="23"/>
                <w:color w:val="auto"/>
              </w:rPr>
            </w:pPr>
          </w:p>
        </w:tc>
      </w:tr>
      <w:tr>
        <w:trPr>
          <w:trHeight w:val="164"/>
        </w:trPr>
        <w:tc>
          <w:tcPr>
            <w:tcW w:w="1340" w:type="dxa"/>
            <w:vAlign w:val="bottom"/>
          </w:tcPr>
          <w:p>
            <w:pPr>
              <w:spacing w:after="0"/>
              <w:rPr>
                <w:sz w:val="14"/>
                <w:szCs w:val="14"/>
                <w:color w:val="auto"/>
              </w:rPr>
            </w:pPr>
          </w:p>
        </w:tc>
        <w:tc>
          <w:tcPr>
            <w:tcW w:w="7580" w:type="dxa"/>
            <w:vAlign w:val="bottom"/>
            <w:tcBorders>
              <w:bottom w:val="single" w:sz="8" w:color="0000EE"/>
            </w:tcBorders>
            <w:gridSpan w:val="37"/>
          </w:tcPr>
          <w:p>
            <w:pPr>
              <w:spacing w:after="0" w:line="165"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(Name Change), filed as Exhibit 3.1 to the registrant’s Current Report on Form 8-K12B filed February 1, 2021, and</w:t>
              </w:r>
            </w:hyperlink>
          </w:p>
        </w:tc>
        <w:tc>
          <w:tcPr>
            <w:tcW w:w="20" w:type="dxa"/>
            <w:vAlign w:val="bottom"/>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2180" w:type="dxa"/>
            <w:vAlign w:val="bottom"/>
            <w:tcBorders>
              <w:bottom w:val="single" w:sz="8" w:color="0000EE"/>
            </w:tcBorders>
            <w:gridSpan w:val="3"/>
          </w:tcPr>
          <w:p>
            <w:pPr>
              <w:spacing w:after="0" w:line="177"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incorporated herein by reference.</w:t>
              </w:r>
            </w:hyperlink>
          </w:p>
        </w:tc>
        <w:tc>
          <w:tcPr>
            <w:tcW w:w="5420" w:type="dxa"/>
            <w:vAlign w:val="bottom"/>
            <w:gridSpan w:val="35"/>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16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Third Amended and Restated Bylaws of CTO Realty Growth, Inc., effective as of February 16, 2023, filed as</w:t>
              </w:r>
            </w:hyperlink>
          </w:p>
        </w:tc>
        <w:tc>
          <w:tcPr>
            <w:tcW w:w="440" w:type="dxa"/>
            <w:vAlign w:val="bottom"/>
            <w:gridSpan w:val="18"/>
          </w:tcPr>
          <w:p>
            <w:pPr>
              <w:spacing w:after="0"/>
              <w:rPr>
                <w:sz w:val="23"/>
                <w:szCs w:val="23"/>
                <w:color w:val="auto"/>
              </w:rPr>
            </w:pPr>
          </w:p>
        </w:tc>
      </w:tr>
      <w:tr>
        <w:trPr>
          <w:trHeight w:val="164"/>
        </w:trPr>
        <w:tc>
          <w:tcPr>
            <w:tcW w:w="1340" w:type="dxa"/>
            <w:vAlign w:val="bottom"/>
          </w:tcPr>
          <w:p>
            <w:pPr>
              <w:spacing w:after="0"/>
              <w:rPr>
                <w:sz w:val="14"/>
                <w:szCs w:val="14"/>
                <w:color w:val="auto"/>
              </w:rPr>
            </w:pPr>
          </w:p>
        </w:tc>
        <w:tc>
          <w:tcPr>
            <w:tcW w:w="7280" w:type="dxa"/>
            <w:vAlign w:val="bottom"/>
            <w:tcBorders>
              <w:bottom w:val="single" w:sz="8" w:color="0000EE"/>
            </w:tcBorders>
            <w:gridSpan w:val="25"/>
          </w:tcPr>
          <w:p>
            <w:pPr>
              <w:spacing w:after="0" w:line="165"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Exhibit 3.1 to the registrant’s Current Report on Form 8-K filed February 17, 2023, and incorporated herein by</w:t>
              </w:r>
            </w:hyperlink>
          </w:p>
        </w:tc>
        <w:tc>
          <w:tcPr>
            <w:tcW w:w="320" w:type="dxa"/>
            <w:vAlign w:val="bottom"/>
            <w:gridSpan w:val="13"/>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660" w:type="dxa"/>
            <w:vAlign w:val="bottom"/>
            <w:tcBorders>
              <w:bottom w:val="single" w:sz="8" w:color="0000EE"/>
            </w:tcBorders>
          </w:tcPr>
          <w:p>
            <w:pPr>
              <w:spacing w:after="0" w:line="177"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reference.</w:t>
              </w:r>
            </w:hyperlink>
          </w:p>
        </w:tc>
        <w:tc>
          <w:tcPr>
            <w:tcW w:w="6940" w:type="dxa"/>
            <w:vAlign w:val="bottom"/>
            <w:gridSpan w:val="37"/>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Articles Supplementary, designating CTO Realty Growth, Inc.’s 6.375% Series A Cumulative Redeemable</w:t>
              </w:r>
            </w:hyperlink>
          </w:p>
        </w:tc>
      </w:tr>
      <w:tr>
        <w:trPr>
          <w:trHeight w:val="20"/>
        </w:trPr>
        <w:tc>
          <w:tcPr>
            <w:tcW w:w="1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4"/>
        </w:trPr>
        <w:tc>
          <w:tcPr>
            <w:tcW w:w="1340" w:type="dxa"/>
            <w:vAlign w:val="bottom"/>
          </w:tcPr>
          <w:p>
            <w:pPr>
              <w:spacing w:after="0"/>
              <w:rPr>
                <w:sz w:val="14"/>
                <w:szCs w:val="14"/>
                <w:color w:val="auto"/>
              </w:rPr>
            </w:pPr>
          </w:p>
        </w:tc>
        <w:tc>
          <w:tcPr>
            <w:tcW w:w="7500" w:type="dxa"/>
            <w:vAlign w:val="bottom"/>
            <w:tcBorders>
              <w:bottom w:val="single" w:sz="8" w:color="0000EE"/>
            </w:tcBorders>
            <w:gridSpan w:val="34"/>
          </w:tcPr>
          <w:p>
            <w:pPr>
              <w:spacing w:after="0" w:line="165"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Preferred Stock, filed as Exhibit 3.2 to the registrant's Registration Statement on Form 8-A filed July 1, 2021 (File</w:t>
              </w:r>
            </w:hyperlink>
          </w:p>
        </w:tc>
        <w:tc>
          <w:tcPr>
            <w:tcW w:w="100" w:type="dxa"/>
            <w:vAlign w:val="bottom"/>
            <w:gridSpan w:val="4"/>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3580" w:type="dxa"/>
            <w:vAlign w:val="bottom"/>
            <w:tcBorders>
              <w:bottom w:val="single" w:sz="8" w:color="0000EE"/>
            </w:tcBorders>
            <w:gridSpan w:val="4"/>
          </w:tcPr>
          <w:p>
            <w:pPr>
              <w:spacing w:after="0" w:line="177"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No. 001-11350), and incorporated herein by reference.</w:t>
              </w:r>
            </w:hyperlink>
          </w:p>
        </w:tc>
        <w:tc>
          <w:tcPr>
            <w:tcW w:w="4020" w:type="dxa"/>
            <w:vAlign w:val="bottom"/>
            <w:gridSpan w:val="34"/>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Specimen Common Stock Certificate of CTO Realty Growth, Inc., filed as Exhibit 4.2 to the registrant’s Current</w:t>
              </w:r>
            </w:hyperlink>
          </w:p>
        </w:tc>
      </w:tr>
      <w:tr>
        <w:trPr>
          <w:trHeight w:val="164"/>
        </w:trPr>
        <w:tc>
          <w:tcPr>
            <w:tcW w:w="1340" w:type="dxa"/>
            <w:vAlign w:val="bottom"/>
          </w:tcPr>
          <w:p>
            <w:pPr>
              <w:spacing w:after="0"/>
              <w:rPr>
                <w:sz w:val="14"/>
                <w:szCs w:val="14"/>
                <w:color w:val="auto"/>
              </w:rPr>
            </w:pPr>
          </w:p>
        </w:tc>
        <w:tc>
          <w:tcPr>
            <w:tcW w:w="5660" w:type="dxa"/>
            <w:vAlign w:val="bottom"/>
            <w:tcBorders>
              <w:top w:val="single" w:sz="8" w:color="0000EE"/>
              <w:bottom w:val="single" w:sz="8" w:color="0000EE"/>
            </w:tcBorders>
            <w:gridSpan w:val="14"/>
          </w:tcPr>
          <w:p>
            <w:pPr>
              <w:spacing w:after="0" w:line="165"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Report on Form 8-K12B filed February 1, 2021, and incorporated herein by reference.</w:t>
              </w:r>
            </w:hyperlink>
          </w:p>
        </w:tc>
        <w:tc>
          <w:tcPr>
            <w:tcW w:w="1720" w:type="dxa"/>
            <w:vAlign w:val="bottom"/>
            <w:tcBorders>
              <w:top w:val="single" w:sz="8" w:color="0000EE"/>
            </w:tcBorders>
            <w:gridSpan w:val="1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Registration Rights Agreement between Alpine Income Property Trust, Inc. and Consolidated-Tomoka Land Co.(</w:t>
              </w:r>
            </w:hyperlink>
          </w:p>
        </w:tc>
      </w:tr>
      <w:tr>
        <w:trPr>
          <w:trHeight w:val="164"/>
        </w:trPr>
        <w:tc>
          <w:tcPr>
            <w:tcW w:w="1340" w:type="dxa"/>
            <w:vAlign w:val="bottom"/>
          </w:tcPr>
          <w:p>
            <w:pPr>
              <w:spacing w:after="0"/>
              <w:rPr>
                <w:sz w:val="14"/>
                <w:szCs w:val="14"/>
                <w:color w:val="auto"/>
              </w:rPr>
            </w:pPr>
          </w:p>
        </w:tc>
        <w:tc>
          <w:tcPr>
            <w:tcW w:w="7460" w:type="dxa"/>
            <w:vAlign w:val="bottom"/>
            <w:tcBorders>
              <w:top w:val="single" w:sz="8" w:color="0000EE"/>
            </w:tcBorders>
            <w:gridSpan w:val="32"/>
          </w:tcPr>
          <w:p>
            <w:pPr>
              <w:spacing w:after="0" w:line="165"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now CTO Realty Growth, Inc.) filed as Exhibit 4.21 to the registrant’s Current Report on Form 8-K filed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6860" w:type="dxa"/>
            <w:vAlign w:val="bottom"/>
            <w:tcBorders>
              <w:top w:val="single" w:sz="8" w:color="0000EE"/>
            </w:tcBorders>
            <w:gridSpan w:val="15"/>
          </w:tcPr>
          <w:p>
            <w:pPr>
              <w:spacing w:after="0" w:line="177"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November 27, 2019, and incorporated herein by reference</w:t>
              </w:r>
              <w:r>
                <w:rPr>
                  <w:rFonts w:ascii="Times New Roman" w:cs="Times New Roman" w:eastAsia="Times New Roman" w:hAnsi="Times New Roman"/>
                  <w:sz w:val="16"/>
                  <w:szCs w:val="16"/>
                  <w:color w:val="000000"/>
                </w:rPr>
                <w:t>.</w:t>
              </w:r>
            </w:hyperlink>
          </w:p>
        </w:tc>
        <w:tc>
          <w:tcPr>
            <w:tcW w:w="740" w:type="dxa"/>
            <w:vAlign w:val="bottom"/>
            <w:gridSpan w:val="23"/>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Indenture related to the 3.875% Convertible Senior Notes due 2025, dated as of February 3, 2020, among</w:t>
              </w:r>
            </w:hyperlink>
          </w:p>
        </w:tc>
      </w:tr>
      <w:tr>
        <w:trPr>
          <w:trHeight w:val="164"/>
        </w:trPr>
        <w:tc>
          <w:tcPr>
            <w:tcW w:w="134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16"/>
          </w:tcPr>
          <w:p>
            <w:pPr>
              <w:spacing w:after="0" w:line="165"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Consolidated-Tomoka Land Co.( now CTO Realty Growth, Inc.) and U.S. Bank National Association as</w:t>
              </w:r>
            </w:hyperlink>
          </w:p>
        </w:tc>
        <w:tc>
          <w:tcPr>
            <w:tcW w:w="460" w:type="dxa"/>
            <w:vAlign w:val="bottom"/>
            <w:tcBorders>
              <w:bottom w:val="single" w:sz="8" w:color="0000EE"/>
            </w:tcBorders>
            <w:gridSpan w:val="12"/>
          </w:tcPr>
          <w:p>
            <w:pPr>
              <w:spacing w:after="0" w:line="165" w:lineRule="exact"/>
              <w:rPr>
                <w:rFonts w:ascii="Times New Roman" w:cs="Times New Roman" w:eastAsia="Times New Roman" w:hAnsi="Times New Roman"/>
                <w:sz w:val="16"/>
                <w:szCs w:val="16"/>
                <w:color w:val="0000EE"/>
                <w:w w:val="94"/>
              </w:rPr>
            </w:pPr>
            <w:hyperlink r:id="rId96">
              <w:r>
                <w:rPr>
                  <w:rFonts w:ascii="Times New Roman" w:cs="Times New Roman" w:eastAsia="Times New Roman" w:hAnsi="Times New Roman"/>
                  <w:sz w:val="16"/>
                  <w:szCs w:val="16"/>
                  <w:color w:val="0000EE"/>
                  <w:w w:val="94"/>
                </w:rPr>
                <w:t>trustee,</w:t>
              </w:r>
            </w:hyperlink>
          </w:p>
        </w:tc>
        <w:tc>
          <w:tcPr>
            <w:tcW w:w="240" w:type="dxa"/>
            <w:vAlign w:val="bottom"/>
            <w:gridSpan w:val="10"/>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7520" w:type="dxa"/>
            <w:vAlign w:val="bottom"/>
            <w:tcBorders>
              <w:bottom w:val="single" w:sz="8" w:color="0000EE"/>
            </w:tcBorders>
            <w:gridSpan w:val="35"/>
          </w:tcPr>
          <w:p>
            <w:pPr>
              <w:spacing w:after="0" w:line="177"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filed as Exhibit 4.1 to the registrant’s Current Report on Form 8-K filed February 6, 2020, and incorporated herein</w:t>
              </w:r>
            </w:hyperlink>
          </w:p>
        </w:tc>
        <w:tc>
          <w:tcPr>
            <w:tcW w:w="80" w:type="dxa"/>
            <w:vAlign w:val="bottom"/>
            <w:gridSpan w:val="3"/>
          </w:tcPr>
          <w:p>
            <w:pPr>
              <w:spacing w:after="0"/>
              <w:rPr>
                <w:sz w:val="15"/>
                <w:szCs w:val="15"/>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8"/>
          </w:tcPr>
          <w:p>
            <w:pPr>
              <w:spacing w:after="0" w:line="177"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by reference</w:t>
              </w:r>
              <w:r>
                <w:rPr>
                  <w:rFonts w:ascii="Times New Roman" w:cs="Times New Roman" w:eastAsia="Times New Roman" w:hAnsi="Times New Roman"/>
                  <w:sz w:val="16"/>
                  <w:szCs w:val="16"/>
                  <w:color w:val="000000"/>
                </w:rPr>
                <w:t>.</w:t>
              </w:r>
            </w:hyperlink>
          </w:p>
        </w:tc>
      </w:tr>
      <w:tr>
        <w:trPr>
          <w:trHeight w:val="20"/>
        </w:trPr>
        <w:tc>
          <w:tcPr>
            <w:tcW w:w="1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Supplemental Indenture No. 1, dated as of January 29, 2021, among CTO Realty Growth, Inc. (formerly CTO</w:t>
              </w:r>
            </w:hyperlink>
          </w:p>
        </w:tc>
      </w:tr>
      <w:tr>
        <w:trPr>
          <w:trHeight w:val="164"/>
        </w:trPr>
        <w:tc>
          <w:tcPr>
            <w:tcW w:w="1340" w:type="dxa"/>
            <w:vAlign w:val="bottom"/>
          </w:tcPr>
          <w:p>
            <w:pPr>
              <w:spacing w:after="0"/>
              <w:rPr>
                <w:sz w:val="14"/>
                <w:szCs w:val="14"/>
                <w:color w:val="auto"/>
              </w:rPr>
            </w:pPr>
          </w:p>
        </w:tc>
        <w:tc>
          <w:tcPr>
            <w:tcW w:w="7220" w:type="dxa"/>
            <w:vAlign w:val="bottom"/>
            <w:tcBorders>
              <w:top w:val="single" w:sz="8" w:color="0000EE"/>
              <w:bottom w:val="single" w:sz="8" w:color="0000EE"/>
            </w:tcBorders>
            <w:gridSpan w:val="22"/>
          </w:tcPr>
          <w:p>
            <w:pPr>
              <w:spacing w:after="0" w:line="165"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NEWCO REIT, Inc.), a Maryland corporation, CTO Realty Growth, Inc., a Florida corporation, and U.S. Bank</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8"/>
          </w:tcPr>
          <w:p>
            <w:pPr>
              <w:spacing w:after="0" w:line="177"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National Association, as trustee, filed as Exhibit 4.3 to the registrant’s Current Report on Form 8-K12B filed</w:t>
              </w:r>
            </w:hyperlink>
          </w:p>
        </w:tc>
      </w:tr>
      <w:tr>
        <w:trPr>
          <w:trHeight w:val="177"/>
        </w:trPr>
        <w:tc>
          <w:tcPr>
            <w:tcW w:w="134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5"/>
          </w:tcPr>
          <w:p>
            <w:pPr>
              <w:spacing w:after="0" w:line="177"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February 1, 2021, and incorporated herein by reference.</w:t>
              </w:r>
            </w:hyperlink>
          </w:p>
        </w:tc>
        <w:tc>
          <w:tcPr>
            <w:tcW w:w="3460" w:type="dxa"/>
            <w:vAlign w:val="bottom"/>
            <w:tcBorders>
              <w:top w:val="single" w:sz="8" w:color="0000EE"/>
            </w:tcBorders>
            <w:gridSpan w:val="14"/>
          </w:tcPr>
          <w:p>
            <w:pPr>
              <w:spacing w:after="0"/>
              <w:rPr>
                <w:sz w:val="15"/>
                <w:szCs w:val="15"/>
                <w:color w:val="auto"/>
              </w:rPr>
            </w:pPr>
          </w:p>
        </w:tc>
        <w:tc>
          <w:tcPr>
            <w:tcW w:w="480" w:type="dxa"/>
            <w:vAlign w:val="bottom"/>
            <w:gridSpan w:val="19"/>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Form of 3.875% Convertible Senior Notes due 2025, included with Exhibit 4.3 with the registrant’s Current Report</w:t>
              </w:r>
            </w:hyperlink>
          </w:p>
        </w:tc>
      </w:tr>
      <w:tr>
        <w:trPr>
          <w:trHeight w:val="164"/>
        </w:trPr>
        <w:tc>
          <w:tcPr>
            <w:tcW w:w="1340" w:type="dxa"/>
            <w:vAlign w:val="bottom"/>
          </w:tcPr>
          <w:p>
            <w:pPr>
              <w:spacing w:after="0"/>
              <w:rPr>
                <w:sz w:val="14"/>
                <w:szCs w:val="14"/>
                <w:color w:val="auto"/>
              </w:rPr>
            </w:pPr>
          </w:p>
        </w:tc>
        <w:tc>
          <w:tcPr>
            <w:tcW w:w="7560" w:type="dxa"/>
            <w:vAlign w:val="bottom"/>
            <w:tcBorders>
              <w:top w:val="single" w:sz="8" w:color="0000EE"/>
            </w:tcBorders>
            <w:gridSpan w:val="36"/>
          </w:tcPr>
          <w:p>
            <w:pPr>
              <w:spacing w:after="0" w:line="165"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on Form 8-K filed February 6, 2020, and incorporated herein by reference</w:t>
              </w:r>
              <w:r>
                <w:rPr>
                  <w:rFonts w:ascii="Times New Roman" w:cs="Times New Roman" w:eastAsia="Times New Roman" w:hAnsi="Times New Roman"/>
                  <w:sz w:val="16"/>
                  <w:szCs w:val="16"/>
                  <w:color w:val="000000"/>
                </w:rPr>
                <w:t>.</w:t>
              </w:r>
            </w:hyperlink>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Description of the Registrant’s Securities, filed as Exhibit 4.6 to the registrant’s Annual Report on Form 10-K for</w:t>
              </w:r>
            </w:hyperlink>
          </w:p>
        </w:tc>
      </w:tr>
      <w:tr>
        <w:trPr>
          <w:trHeight w:val="164"/>
        </w:trPr>
        <w:tc>
          <w:tcPr>
            <w:tcW w:w="1340" w:type="dxa"/>
            <w:vAlign w:val="bottom"/>
          </w:tcPr>
          <w:p>
            <w:pPr>
              <w:spacing w:after="0"/>
              <w:rPr>
                <w:sz w:val="14"/>
                <w:szCs w:val="14"/>
                <w:color w:val="auto"/>
              </w:rPr>
            </w:pPr>
          </w:p>
        </w:tc>
        <w:tc>
          <w:tcPr>
            <w:tcW w:w="4860" w:type="dxa"/>
            <w:vAlign w:val="bottom"/>
            <w:tcBorders>
              <w:top w:val="single" w:sz="8" w:color="0000EE"/>
              <w:bottom w:val="single" w:sz="8" w:color="0000EE"/>
            </w:tcBorders>
            <w:gridSpan w:val="10"/>
          </w:tcPr>
          <w:p>
            <w:pPr>
              <w:spacing w:after="0" w:line="165"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the year ended December 31, 2021, and incorporated herein by reference.</w:t>
              </w:r>
            </w:hyperlink>
          </w:p>
        </w:tc>
        <w:tc>
          <w:tcPr>
            <w:tcW w:w="2580" w:type="dxa"/>
            <w:vAlign w:val="bottom"/>
            <w:tcBorders>
              <w:top w:val="single" w:sz="8" w:color="0000EE"/>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313"/>
        </w:trPr>
        <w:tc>
          <w:tcPr>
            <w:tcW w:w="1340" w:type="dxa"/>
            <w:vAlign w:val="bottom"/>
          </w:tcPr>
          <w:p>
            <w:pPr>
              <w:spacing w:after="0"/>
              <w:rPr>
                <w:sz w:val="24"/>
                <w:szCs w:val="24"/>
                <w:color w:val="auto"/>
              </w:rPr>
            </w:pPr>
          </w:p>
        </w:tc>
        <w:tc>
          <w:tcPr>
            <w:tcW w:w="7600" w:type="dxa"/>
            <w:vAlign w:val="bottom"/>
            <w:gridSpan w:val="38"/>
          </w:tcPr>
          <w:p>
            <w:pPr>
              <w:spacing w:after="0"/>
              <w:rPr>
                <w:sz w:val="20"/>
                <w:szCs w:val="20"/>
                <w:color w:val="auto"/>
              </w:rPr>
            </w:pPr>
            <w:r>
              <w:rPr>
                <w:rFonts w:ascii="Times New Roman" w:cs="Times New Roman" w:eastAsia="Times New Roman" w:hAnsi="Times New Roman"/>
                <w:sz w:val="16"/>
                <w:szCs w:val="16"/>
                <w:color w:val="auto"/>
              </w:rPr>
              <w:t>Material Contracts:</w:t>
            </w:r>
          </w:p>
        </w:tc>
      </w:tr>
      <w:tr>
        <w:trPr>
          <w:trHeight w:val="257"/>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Third Amended and Restated CTO Realty Growth, Inc., 2010 Equity Incentive Plan, filed as Exhibit 10.4 to the</w:t>
              </w:r>
            </w:hyperlink>
          </w:p>
        </w:tc>
      </w:tr>
      <w:tr>
        <w:trPr>
          <w:trHeight w:val="164"/>
        </w:trPr>
        <w:tc>
          <w:tcPr>
            <w:tcW w:w="1340" w:type="dxa"/>
            <w:vAlign w:val="bottom"/>
          </w:tcPr>
          <w:p>
            <w:pPr>
              <w:spacing w:after="0"/>
              <w:rPr>
                <w:sz w:val="14"/>
                <w:szCs w:val="14"/>
                <w:color w:val="auto"/>
              </w:rPr>
            </w:pPr>
          </w:p>
        </w:tc>
        <w:tc>
          <w:tcPr>
            <w:tcW w:w="7320" w:type="dxa"/>
            <w:vAlign w:val="bottom"/>
            <w:tcBorders>
              <w:top w:val="single" w:sz="8" w:color="0000EE"/>
            </w:tcBorders>
            <w:gridSpan w:val="27"/>
          </w:tcPr>
          <w:p>
            <w:pPr>
              <w:spacing w:after="0" w:line="165"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registrant’s Quarterly Report on Form 10-Q filed October 28, 2021, and incorporated herein by reference.</w:t>
              </w:r>
            </w:hyperlink>
          </w:p>
        </w:tc>
        <w:tc>
          <w:tcPr>
            <w:tcW w:w="180" w:type="dxa"/>
            <w:vAlign w:val="bottom"/>
            <w:gridSpan w:val="7"/>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72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Consolidated-Tomoka Land Co.( now CTO Realty Growth, Inc.) 2017 Executive Annual Cash Incentive Plan,</w:t>
              </w:r>
            </w:hyperlink>
          </w:p>
        </w:tc>
        <w:tc>
          <w:tcPr>
            <w:tcW w:w="360" w:type="dxa"/>
            <w:vAlign w:val="bottom"/>
            <w:gridSpan w:val="15"/>
          </w:tcPr>
          <w:p>
            <w:pPr>
              <w:spacing w:after="0"/>
              <w:rPr>
                <w:sz w:val="23"/>
                <w:szCs w:val="23"/>
                <w:color w:val="auto"/>
              </w:rPr>
            </w:pPr>
          </w:p>
        </w:tc>
      </w:tr>
      <w:tr>
        <w:trPr>
          <w:trHeight w:val="164"/>
        </w:trPr>
        <w:tc>
          <w:tcPr>
            <w:tcW w:w="1340" w:type="dxa"/>
            <w:vAlign w:val="bottom"/>
          </w:tcPr>
          <w:p>
            <w:pPr>
              <w:spacing w:after="0"/>
              <w:rPr>
                <w:sz w:val="14"/>
                <w:szCs w:val="14"/>
                <w:color w:val="auto"/>
              </w:rPr>
            </w:pPr>
          </w:p>
        </w:tc>
        <w:tc>
          <w:tcPr>
            <w:tcW w:w="7500" w:type="dxa"/>
            <w:vAlign w:val="bottom"/>
            <w:tcBorders>
              <w:bottom w:val="single" w:sz="8" w:color="0000EE"/>
            </w:tcBorders>
            <w:gridSpan w:val="34"/>
          </w:tcPr>
          <w:p>
            <w:pPr>
              <w:spacing w:after="0" w:line="165"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dated February 22, 2017, filed as Exhibit 10.28 to the registrant’s Annual Report on Form 10-K for the year ended</w:t>
              </w:r>
            </w:hyperlink>
          </w:p>
        </w:tc>
        <w:tc>
          <w:tcPr>
            <w:tcW w:w="100" w:type="dxa"/>
            <w:vAlign w:val="bottom"/>
            <w:gridSpan w:val="4"/>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8"/>
          </w:tcPr>
          <w:p>
            <w:pPr>
              <w:spacing w:after="0" w:line="177"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December 31, 2018, and incorporated herein by reference.</w:t>
              </w:r>
            </w:hyperlink>
          </w:p>
        </w:tc>
      </w:tr>
      <w:tr>
        <w:trPr>
          <w:trHeight w:val="20"/>
        </w:trPr>
        <w:tc>
          <w:tcPr>
            <w:tcW w:w="1340" w:type="dxa"/>
            <w:vAlign w:val="bottom"/>
          </w:tcPr>
          <w:p>
            <w:pPr>
              <w:spacing w:after="0" w:line="20" w:lineRule="exact"/>
              <w:rPr>
                <w:sz w:val="1"/>
                <w:szCs w:val="1"/>
                <w:color w:val="auto"/>
              </w:rPr>
            </w:pPr>
          </w:p>
        </w:tc>
        <w:tc>
          <w:tcPr>
            <w:tcW w:w="382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7600" w:type="dxa"/>
            <w:vAlign w:val="bottom"/>
            <w:gridSpan w:val="38"/>
          </w:tcPr>
          <w:p>
            <w:pPr>
              <w:spacing w:after="0"/>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Form of Restricted Share Award Agreement under the Third Amended and Restated CTO Realty Growth, Inc.,</w:t>
              </w:r>
            </w:hyperlink>
          </w:p>
        </w:tc>
      </w:tr>
      <w:tr>
        <w:trPr>
          <w:trHeight w:val="164"/>
        </w:trPr>
        <w:tc>
          <w:tcPr>
            <w:tcW w:w="1340" w:type="dxa"/>
            <w:vAlign w:val="bottom"/>
          </w:tcPr>
          <w:p>
            <w:pPr>
              <w:spacing w:after="0"/>
              <w:rPr>
                <w:sz w:val="14"/>
                <w:szCs w:val="14"/>
                <w:color w:val="auto"/>
              </w:rPr>
            </w:pPr>
          </w:p>
        </w:tc>
        <w:tc>
          <w:tcPr>
            <w:tcW w:w="7260" w:type="dxa"/>
            <w:vAlign w:val="bottom"/>
            <w:tcBorders>
              <w:top w:val="single" w:sz="8" w:color="0000EE"/>
            </w:tcBorders>
            <w:gridSpan w:val="24"/>
          </w:tcPr>
          <w:p>
            <w:pPr>
              <w:spacing w:after="0" w:line="165"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2010 Equity Incentive Plan, filed as Exhibit 10.16 to the registrant’s Annual Report on Form 10-K for the year</w:t>
              </w:r>
            </w:hyperlink>
          </w:p>
        </w:tc>
        <w:tc>
          <w:tcPr>
            <w:tcW w:w="40" w:type="dxa"/>
            <w:vAlign w:val="bottom"/>
            <w:gridSpan w:val="2"/>
          </w:tcPr>
          <w:p>
            <w:pPr>
              <w:spacing w:after="0"/>
              <w:rPr>
                <w:sz w:val="14"/>
                <w:szCs w:val="14"/>
                <w:color w:val="auto"/>
              </w:rPr>
            </w:pPr>
          </w:p>
        </w:tc>
        <w:tc>
          <w:tcPr>
            <w:tcW w:w="300" w:type="dxa"/>
            <w:vAlign w:val="bottom"/>
            <w:gridSpan w:val="12"/>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4260" w:type="dxa"/>
            <w:vAlign w:val="bottom"/>
            <w:tcBorders>
              <w:top w:val="single" w:sz="8" w:color="0000EE"/>
              <w:bottom w:val="single" w:sz="8" w:color="0000EE"/>
            </w:tcBorders>
            <w:gridSpan w:val="8"/>
          </w:tcPr>
          <w:p>
            <w:pPr>
              <w:spacing w:after="0" w:line="177"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ended December 31, 2010, and incorporated herein by reference.</w:t>
              </w:r>
            </w:hyperlink>
          </w:p>
        </w:tc>
        <w:tc>
          <w:tcPr>
            <w:tcW w:w="2980" w:type="dxa"/>
            <w:vAlign w:val="bottom"/>
            <w:tcBorders>
              <w:top w:val="single" w:sz="8" w:color="0000EE"/>
            </w:tcBorders>
            <w:gridSpan w:val="15"/>
          </w:tcPr>
          <w:p>
            <w:pPr>
              <w:spacing w:after="0"/>
              <w:rPr>
                <w:sz w:val="15"/>
                <w:szCs w:val="15"/>
                <w:color w:val="auto"/>
              </w:rPr>
            </w:pPr>
          </w:p>
        </w:tc>
        <w:tc>
          <w:tcPr>
            <w:tcW w:w="360" w:type="dxa"/>
            <w:vAlign w:val="bottom"/>
            <w:gridSpan w:val="15"/>
          </w:tcPr>
          <w:p>
            <w:pPr>
              <w:spacing w:after="0"/>
              <w:rPr>
                <w:sz w:val="15"/>
                <w:szCs w:val="15"/>
                <w:color w:val="auto"/>
              </w:rPr>
            </w:pPr>
          </w:p>
        </w:tc>
      </w:tr>
      <w:tr>
        <w:trPr>
          <w:trHeight w:val="177"/>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*(10.4)</w:t>
            </w:r>
          </w:p>
        </w:tc>
        <w:tc>
          <w:tcPr>
            <w:tcW w:w="7600" w:type="dxa"/>
            <w:vAlign w:val="bottom"/>
            <w:gridSpan w:val="38"/>
          </w:tcPr>
          <w:p>
            <w:pPr>
              <w:spacing w:after="0" w:line="177"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Form of Restricted Share Award Agreement, dated July 1, 2022, filed as Exhibit 10.1 to the registrant’s Current</w:t>
              </w:r>
            </w:hyperlink>
          </w:p>
        </w:tc>
      </w:tr>
      <w:tr>
        <w:trPr>
          <w:trHeight w:val="164"/>
        </w:trPr>
        <w:tc>
          <w:tcPr>
            <w:tcW w:w="1340" w:type="dxa"/>
            <w:vAlign w:val="bottom"/>
          </w:tcPr>
          <w:p>
            <w:pPr>
              <w:spacing w:after="0"/>
              <w:rPr>
                <w:sz w:val="14"/>
                <w:szCs w:val="14"/>
                <w:color w:val="auto"/>
              </w:rPr>
            </w:pPr>
          </w:p>
        </w:tc>
        <w:tc>
          <w:tcPr>
            <w:tcW w:w="7300" w:type="dxa"/>
            <w:vAlign w:val="bottom"/>
            <w:tcBorders>
              <w:top w:val="single" w:sz="8" w:color="0000EE"/>
            </w:tcBorders>
            <w:gridSpan w:val="26"/>
          </w:tcPr>
          <w:p>
            <w:pPr>
              <w:spacing w:after="0" w:line="165"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Report on Form 8-K filed on July 1, 2022, and incorporated herein by reference.</w:t>
              </w:r>
            </w:hyperlink>
          </w:p>
        </w:tc>
        <w:tc>
          <w:tcPr>
            <w:tcW w:w="300" w:type="dxa"/>
            <w:vAlign w:val="bottom"/>
            <w:gridSpan w:val="12"/>
          </w:tcPr>
          <w:p>
            <w:pPr>
              <w:spacing w:after="0"/>
              <w:rPr>
                <w:sz w:val="14"/>
                <w:szCs w:val="14"/>
                <w:color w:val="auto"/>
              </w:rPr>
            </w:pPr>
          </w:p>
        </w:tc>
      </w:tr>
      <w:tr>
        <w:trPr>
          <w:trHeight w:val="706"/>
        </w:trPr>
        <w:tc>
          <w:tcPr>
            <w:tcW w:w="1340" w:type="dxa"/>
            <w:vAlign w:val="bottom"/>
          </w:tcPr>
          <w:p>
            <w:pPr>
              <w:spacing w:after="0"/>
              <w:rPr>
                <w:sz w:val="24"/>
                <w:szCs w:val="24"/>
                <w:color w:val="auto"/>
              </w:rPr>
            </w:pPr>
          </w:p>
        </w:tc>
        <w:tc>
          <w:tcPr>
            <w:tcW w:w="3580" w:type="dxa"/>
            <w:vAlign w:val="bottom"/>
            <w:tcBorders>
              <w:top w:val="single" w:sz="8" w:color="0000EE"/>
            </w:tcBorders>
            <w:gridSpan w:val="4"/>
          </w:tcPr>
          <w:p>
            <w:pPr>
              <w:ind w:left="304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6"/>
        </w:trPr>
        <w:tc>
          <w:tcPr>
            <w:tcW w:w="1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0" w:type="dxa"/>
            <w:vAlign w:val="bottom"/>
          </w:tcPr>
          <w:p>
            <w:pPr>
              <w:spacing w:after="0"/>
              <w:rPr>
                <w:sz w:val="16"/>
                <w:szCs w:val="16"/>
                <w:color w:val="auto"/>
              </w:rPr>
            </w:pPr>
          </w:p>
        </w:tc>
        <w:tc>
          <w:tcPr>
            <w:tcW w:w="7560" w:type="dxa"/>
            <w:vAlign w:val="bottom"/>
            <w:gridSpan w:val="34"/>
          </w:tcPr>
          <w:p>
            <w:pPr>
              <w:spacing w:after="0"/>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Omnibus Amendment to Restricted Share Award Agreements, dated as of July 1, 2022, filed as Exhibit 10.2 to the</w:t>
              </w:r>
            </w:hyperlink>
          </w:p>
        </w:tc>
      </w:tr>
      <w:tr>
        <w:trPr>
          <w:trHeight w:val="177"/>
        </w:trPr>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580" w:type="dxa"/>
            <w:vAlign w:val="bottom"/>
            <w:tcBorders>
              <w:top w:val="single" w:sz="8" w:color="0000EE"/>
              <w:bottom w:val="single" w:sz="8" w:color="0000EE"/>
            </w:tcBorders>
            <w:gridSpan w:val="11"/>
          </w:tcPr>
          <w:p>
            <w:pPr>
              <w:spacing w:after="0" w:line="177"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registrant’s Current Report on Form 8-K filed on July 1, 2022, and incorporated herein by reference.</w:t>
              </w:r>
            </w:hyperlink>
          </w:p>
        </w:tc>
        <w:tc>
          <w:tcPr>
            <w:tcW w:w="920" w:type="dxa"/>
            <w:vAlign w:val="bottom"/>
            <w:tcBorders>
              <w:top w:val="single" w:sz="8" w:color="0000EE"/>
            </w:tcBorders>
            <w:gridSpan w:val="21"/>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6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7600" w:type="dxa"/>
            <w:vAlign w:val="bottom"/>
            <w:gridSpan w:val="35"/>
          </w:tcPr>
          <w:p>
            <w:pPr>
              <w:spacing w:after="0"/>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Form of February 27, 2019 Non-Employee Director Stock Award Agreement, filed as Exhibit 10.31 to the</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registrant’s Annual Report on Form 10-K for the year ended December 31, 2018, and incorporated herein by</w:t>
              </w:r>
            </w:hyperlink>
          </w:p>
        </w:tc>
      </w:tr>
      <w:tr>
        <w:trPr>
          <w:trHeight w:val="164"/>
        </w:trPr>
        <w:tc>
          <w:tcPr>
            <w:tcW w:w="1340" w:type="dxa"/>
            <w:vAlign w:val="bottom"/>
          </w:tcPr>
          <w:p>
            <w:pPr>
              <w:spacing w:after="0"/>
              <w:rPr>
                <w:sz w:val="14"/>
                <w:szCs w:val="14"/>
                <w:color w:val="auto"/>
              </w:rPr>
            </w:pPr>
          </w:p>
        </w:tc>
        <w:tc>
          <w:tcPr>
            <w:tcW w:w="680" w:type="dxa"/>
            <w:vAlign w:val="bottom"/>
            <w:tcBorders>
              <w:top w:val="single" w:sz="8" w:color="0000EE"/>
              <w:bottom w:val="single" w:sz="8" w:color="0000EE"/>
            </w:tcBorders>
            <w:gridSpan w:val="3"/>
          </w:tcPr>
          <w:p>
            <w:pPr>
              <w:spacing w:after="0" w:line="165"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reference.</w:t>
              </w:r>
            </w:hyperlink>
          </w:p>
        </w:tc>
        <w:tc>
          <w:tcPr>
            <w:tcW w:w="644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7600" w:type="dxa"/>
            <w:vAlign w:val="bottom"/>
            <w:gridSpan w:val="35"/>
          </w:tcPr>
          <w:p>
            <w:pPr>
              <w:spacing w:after="0"/>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Form of January 23, 2019 Performance Share Award Agreement filed as Exhibit 10.15 to the registrant’s Annual</w:t>
              </w:r>
            </w:hyperlink>
          </w:p>
        </w:tc>
      </w:tr>
      <w:tr>
        <w:trPr>
          <w:trHeight w:val="177"/>
        </w:trPr>
        <w:tc>
          <w:tcPr>
            <w:tcW w:w="1340" w:type="dxa"/>
            <w:vAlign w:val="bottom"/>
          </w:tcPr>
          <w:p>
            <w:pPr>
              <w:spacing w:after="0"/>
              <w:rPr>
                <w:sz w:val="15"/>
                <w:szCs w:val="15"/>
                <w:color w:val="auto"/>
              </w:rPr>
            </w:pPr>
          </w:p>
        </w:tc>
        <w:tc>
          <w:tcPr>
            <w:tcW w:w="7380" w:type="dxa"/>
            <w:vAlign w:val="bottom"/>
            <w:tcBorders>
              <w:top w:val="single" w:sz="8" w:color="0000EE"/>
            </w:tcBorders>
            <w:gridSpan w:val="24"/>
          </w:tcPr>
          <w:p>
            <w:pPr>
              <w:spacing w:after="0" w:line="177"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Report on Form 10-K filed March 5, 2021, and incorporated herein by reference.</w:t>
              </w:r>
            </w:hyperlink>
          </w:p>
        </w:tc>
        <w:tc>
          <w:tcPr>
            <w:tcW w:w="220" w:type="dxa"/>
            <w:vAlign w:val="bottom"/>
            <w:gridSpan w:val="11"/>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754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Form of February 24, 2020 Performance Share Award Agreement, filed as Exhibit 10.23 to the registrant’s Annual</w:t>
              </w:r>
            </w:hyperlink>
          </w:p>
        </w:tc>
        <w:tc>
          <w:tcPr>
            <w:tcW w:w="60" w:type="dxa"/>
            <w:vAlign w:val="bottom"/>
            <w:gridSpan w:val="4"/>
          </w:tcPr>
          <w:p>
            <w:pPr>
              <w:spacing w:after="0"/>
              <w:rPr>
                <w:sz w:val="22"/>
                <w:szCs w:val="22"/>
                <w:color w:val="auto"/>
              </w:rPr>
            </w:pPr>
          </w:p>
        </w:tc>
      </w:tr>
      <w:tr>
        <w:trPr>
          <w:trHeight w:val="177"/>
        </w:trPr>
        <w:tc>
          <w:tcPr>
            <w:tcW w:w="1340" w:type="dxa"/>
            <w:vAlign w:val="bottom"/>
          </w:tcPr>
          <w:p>
            <w:pPr>
              <w:spacing w:after="0"/>
              <w:rPr>
                <w:sz w:val="15"/>
                <w:szCs w:val="15"/>
                <w:color w:val="auto"/>
              </w:rPr>
            </w:pPr>
          </w:p>
        </w:tc>
        <w:tc>
          <w:tcPr>
            <w:tcW w:w="6520" w:type="dxa"/>
            <w:vAlign w:val="bottom"/>
            <w:tcBorders>
              <w:bottom w:val="single" w:sz="8" w:color="0000EE"/>
            </w:tcBorders>
            <w:gridSpan w:val="11"/>
          </w:tcPr>
          <w:p>
            <w:pPr>
              <w:spacing w:after="0" w:line="177"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Report on Form 10-K for the year ended December 31, 2019, and incorporated herein by reference.</w:t>
              </w:r>
            </w:hyperlink>
          </w:p>
        </w:tc>
        <w:tc>
          <w:tcPr>
            <w:tcW w:w="1080" w:type="dxa"/>
            <w:vAlign w:val="bottom"/>
            <w:gridSpan w:val="24"/>
          </w:tcPr>
          <w:p>
            <w:pPr>
              <w:spacing w:after="0"/>
              <w:rPr>
                <w:sz w:val="15"/>
                <w:szCs w:val="15"/>
                <w:color w:val="auto"/>
              </w:rPr>
            </w:pPr>
          </w:p>
        </w:tc>
      </w:tr>
      <w:tr>
        <w:trPr>
          <w:trHeight w:val="26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7480" w:type="dxa"/>
            <w:vAlign w:val="bottom"/>
            <w:tcBorders>
              <w:bottom w:val="single" w:sz="8" w:color="0000EE"/>
            </w:tcBorders>
            <w:gridSpan w:val="28"/>
          </w:tcPr>
          <w:p>
            <w:pPr>
              <w:spacing w:after="0"/>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Form of February 10, 2021 Performance Share Award Agreement filed as Exhibit 10.17 to the registrant’s Annual</w:t>
              </w:r>
            </w:hyperlink>
          </w:p>
        </w:tc>
        <w:tc>
          <w:tcPr>
            <w:tcW w:w="120" w:type="dxa"/>
            <w:vAlign w:val="bottom"/>
            <w:gridSpan w:val="7"/>
          </w:tcPr>
          <w:p>
            <w:pPr>
              <w:spacing w:after="0"/>
              <w:rPr>
                <w:sz w:val="22"/>
                <w:szCs w:val="22"/>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Report on Form 10-K filed March 5, 2021, and incorporated herein by reference.</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7600" w:type="dxa"/>
            <w:vAlign w:val="bottom"/>
            <w:gridSpan w:val="35"/>
          </w:tcPr>
          <w:p>
            <w:pPr>
              <w:spacing w:after="0"/>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Form of February 17, 2022 Performance Share Award Agreement, filed as Exhibit 10.8 to the registrant’s Annual</w:t>
              </w:r>
            </w:hyperlink>
          </w:p>
        </w:tc>
      </w:tr>
      <w:tr>
        <w:trPr>
          <w:trHeight w:val="177"/>
        </w:trPr>
        <w:tc>
          <w:tcPr>
            <w:tcW w:w="1340" w:type="dxa"/>
            <w:vAlign w:val="bottom"/>
          </w:tcPr>
          <w:p>
            <w:pPr>
              <w:spacing w:after="0"/>
              <w:rPr>
                <w:sz w:val="15"/>
                <w:szCs w:val="15"/>
                <w:color w:val="auto"/>
              </w:rPr>
            </w:pPr>
          </w:p>
        </w:tc>
        <w:tc>
          <w:tcPr>
            <w:tcW w:w="7420" w:type="dxa"/>
            <w:vAlign w:val="bottom"/>
            <w:tcBorders>
              <w:top w:val="single" w:sz="8" w:color="0000EE"/>
            </w:tcBorders>
            <w:gridSpan w:val="25"/>
          </w:tcPr>
          <w:p>
            <w:pPr>
              <w:spacing w:after="0" w:line="177"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Report on Form 10-K for the year ended December 31, 2021, and incorporated herein by reference</w:t>
              </w:r>
              <w:r>
                <w:rPr>
                  <w:rFonts w:ascii="Times New Roman" w:cs="Times New Roman" w:eastAsia="Times New Roman" w:hAnsi="Times New Roman"/>
                  <w:sz w:val="16"/>
                  <w:szCs w:val="16"/>
                  <w:color w:val="000000"/>
                </w:rPr>
                <w:t>.</w:t>
              </w:r>
            </w:hyperlink>
          </w:p>
        </w:tc>
        <w:tc>
          <w:tcPr>
            <w:tcW w:w="180" w:type="dxa"/>
            <w:vAlign w:val="bottom"/>
            <w:gridSpan w:val="10"/>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7460" w:type="dxa"/>
            <w:vAlign w:val="bottom"/>
            <w:tcBorders>
              <w:bottom w:val="single" w:sz="8" w:color="0000EE"/>
            </w:tcBorders>
            <w:gridSpan w:val="27"/>
          </w:tcPr>
          <w:p>
            <w:pPr>
              <w:spacing w:after="0"/>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Omnibus Amendment to Performance Share Award Agreements, dated as of July 1, 2022, filed as Exhibit 10.3 to</w:t>
              </w:r>
            </w:hyperlink>
          </w:p>
        </w:tc>
        <w:tc>
          <w:tcPr>
            <w:tcW w:w="140" w:type="dxa"/>
            <w:vAlign w:val="bottom"/>
            <w:gridSpan w:val="8"/>
          </w:tcPr>
          <w:p>
            <w:pPr>
              <w:spacing w:after="0"/>
              <w:rPr>
                <w:sz w:val="22"/>
                <w:szCs w:val="22"/>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the registrant’s Current Report on Form 8-K filed on July 1, 2022, and incorporated herein by reference.</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728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Employment Agreement between Consolidated-Tomoka Land Co.( now CTO Realty Growth, Inc.) and John P.</w:t>
              </w:r>
            </w:hyperlink>
          </w:p>
        </w:tc>
        <w:tc>
          <w:tcPr>
            <w:tcW w:w="320" w:type="dxa"/>
            <w:vAlign w:val="bottom"/>
            <w:gridSpan w:val="13"/>
          </w:tcPr>
          <w:p>
            <w:pPr>
              <w:spacing w:after="0"/>
              <w:rPr>
                <w:sz w:val="22"/>
                <w:szCs w:val="22"/>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Albright entered into June 30, 2011, filed as Exhibit 10.1 to the registrant’s Current Report on Form 8-K filed July</w:t>
              </w:r>
            </w:hyperlink>
          </w:p>
        </w:tc>
      </w:tr>
      <w:tr>
        <w:trPr>
          <w:trHeight w:val="164"/>
        </w:trPr>
        <w:tc>
          <w:tcPr>
            <w:tcW w:w="1340" w:type="dxa"/>
            <w:vAlign w:val="bottom"/>
          </w:tcPr>
          <w:p>
            <w:pPr>
              <w:spacing w:after="0"/>
              <w:rPr>
                <w:sz w:val="14"/>
                <w:szCs w:val="14"/>
                <w:color w:val="auto"/>
              </w:rPr>
            </w:pPr>
          </w:p>
        </w:tc>
        <w:tc>
          <w:tcPr>
            <w:tcW w:w="7500" w:type="dxa"/>
            <w:vAlign w:val="bottom"/>
            <w:tcBorders>
              <w:top w:val="single" w:sz="8" w:color="0000EE"/>
            </w:tcBorders>
            <w:gridSpan w:val="29"/>
          </w:tcPr>
          <w:p>
            <w:pPr>
              <w:spacing w:after="0" w:line="165"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6, 2011,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7600" w:type="dxa"/>
            <w:vAlign w:val="bottom"/>
            <w:gridSpan w:val="35"/>
          </w:tcPr>
          <w:p>
            <w:pPr>
              <w:spacing w:after="0"/>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Employment Agreement between Consolidated-Tomoka Land Co.( now CTO Realty Growth, Inc.) and Daniel E.</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Smith entered into October 22, 2014, filed as Exhibit 10.24 to the registrant’s Annual Report on Form 10-K for the</w:t>
              </w:r>
            </w:hyperlink>
          </w:p>
        </w:tc>
      </w:tr>
      <w:tr>
        <w:trPr>
          <w:trHeight w:val="164"/>
        </w:trPr>
        <w:tc>
          <w:tcPr>
            <w:tcW w:w="1340" w:type="dxa"/>
            <w:vAlign w:val="bottom"/>
          </w:tcPr>
          <w:p>
            <w:pPr>
              <w:spacing w:after="0"/>
              <w:rPr>
                <w:sz w:val="14"/>
                <w:szCs w:val="14"/>
                <w:color w:val="auto"/>
              </w:rPr>
            </w:pPr>
          </w:p>
        </w:tc>
        <w:tc>
          <w:tcPr>
            <w:tcW w:w="4580" w:type="dxa"/>
            <w:vAlign w:val="bottom"/>
            <w:tcBorders>
              <w:top w:val="single" w:sz="8" w:color="0000EE"/>
              <w:bottom w:val="single" w:sz="8" w:color="0000EE"/>
            </w:tcBorders>
            <w:gridSpan w:val="8"/>
          </w:tcPr>
          <w:p>
            <w:pPr>
              <w:spacing w:after="0" w:line="165"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year ended December 31, 2014, and incorporated herein by reference.</w:t>
              </w:r>
            </w:hyperlink>
          </w:p>
        </w:tc>
        <w:tc>
          <w:tcPr>
            <w:tcW w:w="2980" w:type="dxa"/>
            <w:vAlign w:val="bottom"/>
            <w:tcBorders>
              <w:top w:val="single" w:sz="8" w:color="0000EE"/>
            </w:tcBorders>
            <w:gridSpan w:val="24"/>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7600" w:type="dxa"/>
            <w:vAlign w:val="bottom"/>
            <w:gridSpan w:val="35"/>
          </w:tcPr>
          <w:p>
            <w:pPr>
              <w:spacing w:after="0"/>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Employment Agreement between CTO Realty Growth, Inc. and Matthew M. Partridge entered into September 2,</w:t>
              </w:r>
            </w:hyperlink>
          </w:p>
        </w:tc>
      </w:tr>
      <w:tr>
        <w:trPr>
          <w:trHeight w:val="177"/>
        </w:trPr>
        <w:tc>
          <w:tcPr>
            <w:tcW w:w="1340" w:type="dxa"/>
            <w:vAlign w:val="bottom"/>
          </w:tcPr>
          <w:p>
            <w:pPr>
              <w:spacing w:after="0"/>
              <w:rPr>
                <w:sz w:val="15"/>
                <w:szCs w:val="15"/>
                <w:color w:val="auto"/>
              </w:rPr>
            </w:pPr>
          </w:p>
        </w:tc>
        <w:tc>
          <w:tcPr>
            <w:tcW w:w="7420" w:type="dxa"/>
            <w:vAlign w:val="bottom"/>
            <w:tcBorders>
              <w:top w:val="single" w:sz="8" w:color="0000EE"/>
            </w:tcBorders>
            <w:gridSpan w:val="25"/>
          </w:tcPr>
          <w:p>
            <w:pPr>
              <w:spacing w:after="0" w:line="177"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2020 filed as Exhibit 10.1 to the registrant’s Current Report on Form 8-K filed September 9, 2020, and</w:t>
              </w:r>
            </w:hyperlink>
          </w:p>
        </w:tc>
        <w:tc>
          <w:tcPr>
            <w:tcW w:w="180" w:type="dxa"/>
            <w:vAlign w:val="bottom"/>
            <w:gridSpan w:val="10"/>
          </w:tcPr>
          <w:p>
            <w:pPr>
              <w:spacing w:after="0"/>
              <w:rPr>
                <w:sz w:val="15"/>
                <w:szCs w:val="15"/>
                <w:color w:val="auto"/>
              </w:rPr>
            </w:pPr>
          </w:p>
        </w:tc>
      </w:tr>
      <w:tr>
        <w:trPr>
          <w:trHeight w:val="164"/>
        </w:trPr>
        <w:tc>
          <w:tcPr>
            <w:tcW w:w="134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4"/>
          </w:tcPr>
          <w:p>
            <w:pPr>
              <w:spacing w:after="0" w:line="165"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incorporated herein by reference.</w:t>
              </w:r>
            </w:hyperlink>
          </w:p>
        </w:tc>
        <w:tc>
          <w:tcPr>
            <w:tcW w:w="4560" w:type="dxa"/>
            <w:vAlign w:val="bottom"/>
            <w:tcBorders>
              <w:top w:val="single" w:sz="8" w:color="0000EE"/>
            </w:tcBorders>
            <w:gridSpan w:val="9"/>
          </w:tcPr>
          <w:p>
            <w:pPr>
              <w:spacing w:after="0"/>
              <w:rPr>
                <w:sz w:val="14"/>
                <w:szCs w:val="14"/>
                <w:color w:val="auto"/>
              </w:rPr>
            </w:pPr>
          </w:p>
        </w:tc>
        <w:tc>
          <w:tcPr>
            <w:tcW w:w="2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7600" w:type="dxa"/>
            <w:vAlign w:val="bottom"/>
            <w:gridSpan w:val="35"/>
          </w:tcPr>
          <w:p>
            <w:pPr>
              <w:spacing w:after="0"/>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Second Amended and Restated Credit Agreement, which supersedes the Company’s existing Amended and</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600" w:type="dxa"/>
            <w:vAlign w:val="bottom"/>
            <w:tcBorders>
              <w:right w:val="single" w:sz="8" w:color="0000EE"/>
            </w:tcBorders>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Restated Credit Agreement, with Bank of Montreal (“BMO”) and the other lenders thereunder, with BMO acting as</w:t>
              </w:r>
            </w:hyperlink>
          </w:p>
        </w:tc>
      </w:tr>
      <w:tr>
        <w:trPr>
          <w:trHeight w:val="164"/>
        </w:trPr>
        <w:tc>
          <w:tcPr>
            <w:tcW w:w="1340" w:type="dxa"/>
            <w:vAlign w:val="bottom"/>
          </w:tcPr>
          <w:p>
            <w:pPr>
              <w:spacing w:after="0"/>
              <w:rPr>
                <w:sz w:val="14"/>
                <w:szCs w:val="14"/>
                <w:color w:val="auto"/>
              </w:rPr>
            </w:pPr>
          </w:p>
        </w:tc>
        <w:tc>
          <w:tcPr>
            <w:tcW w:w="7540" w:type="dxa"/>
            <w:vAlign w:val="bottom"/>
            <w:tcBorders>
              <w:top w:val="single" w:sz="8" w:color="0000EE"/>
              <w:bottom w:val="single" w:sz="8" w:color="0000EE"/>
            </w:tcBorders>
            <w:gridSpan w:val="33"/>
          </w:tcPr>
          <w:p>
            <w:pPr>
              <w:spacing w:after="0" w:line="165"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Administrative Agent, dated September 7, 2017, filed as Exhibit 10.1 to the registrant’s Current Report on Form 8-</w:t>
              </w:r>
            </w:hyperlink>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4360" w:type="dxa"/>
            <w:vAlign w:val="bottom"/>
            <w:tcBorders>
              <w:bottom w:val="single" w:sz="8" w:color="0000EE"/>
            </w:tcBorders>
            <w:gridSpan w:val="7"/>
          </w:tcPr>
          <w:p>
            <w:pPr>
              <w:spacing w:after="0" w:line="177"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K filed September 13, 2017, and incorporated herein by reference.</w:t>
              </w:r>
            </w:hyperlink>
          </w:p>
        </w:tc>
        <w:tc>
          <w:tcPr>
            <w:tcW w:w="3240" w:type="dxa"/>
            <w:vAlign w:val="bottom"/>
            <w:gridSpan w:val="28"/>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7280" w:type="dxa"/>
            <w:vAlign w:val="bottom"/>
            <w:tcBorders>
              <w:bottom w:val="single" w:sz="8" w:color="0000EE"/>
            </w:tcBorders>
            <w:gridSpan w:val="22"/>
          </w:tcPr>
          <w:p>
            <w:pPr>
              <w:spacing w:after="0"/>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Second Amendment to Second Amended and Restated Credit Agreement Dated May 24, 2019, filed as Exhibit</w:t>
              </w:r>
            </w:hyperlink>
          </w:p>
        </w:tc>
        <w:tc>
          <w:tcPr>
            <w:tcW w:w="320" w:type="dxa"/>
            <w:vAlign w:val="bottom"/>
            <w:gridSpan w:val="13"/>
          </w:tcPr>
          <w:p>
            <w:pPr>
              <w:spacing w:after="0"/>
              <w:rPr>
                <w:sz w:val="23"/>
                <w:szCs w:val="23"/>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EE"/>
                </w:rPr>
                <w:t xml:space="preserve"> to the registrant’s Current Report on Form 8-K filed June 3, 2019, and incorporated herein by reference.</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100" w:type="dxa"/>
            <w:vAlign w:val="bottom"/>
            <w:tcBorders>
              <w:right w:val="single" w:sz="8" w:color="0000EE"/>
            </w:tcBorders>
            <w:gridSpan w:val="10"/>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754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Third Amendment to Second Amended and Restated Credit Agreement Dated November 26, 2019 filed as Exhibit</w:t>
              </w:r>
            </w:hyperlink>
          </w:p>
        </w:tc>
        <w:tc>
          <w:tcPr>
            <w:tcW w:w="60" w:type="dxa"/>
            <w:vAlign w:val="bottom"/>
            <w:gridSpan w:val="4"/>
          </w:tcPr>
          <w:p>
            <w:pPr>
              <w:spacing w:after="0"/>
              <w:rPr>
                <w:sz w:val="22"/>
                <w:szCs w:val="22"/>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EE"/>
                </w:rPr>
                <w:t xml:space="preserve"> to the registrant’s Current Report on Form 8-K filed November 27, 2019, and incorporated herein by</w:t>
              </w:r>
            </w:hyperlink>
          </w:p>
        </w:tc>
      </w:tr>
      <w:tr>
        <w:trPr>
          <w:trHeight w:val="164"/>
        </w:trPr>
        <w:tc>
          <w:tcPr>
            <w:tcW w:w="1340" w:type="dxa"/>
            <w:vAlign w:val="bottom"/>
          </w:tcPr>
          <w:p>
            <w:pPr>
              <w:spacing w:after="0"/>
              <w:rPr>
                <w:sz w:val="14"/>
                <w:szCs w:val="14"/>
                <w:color w:val="auto"/>
              </w:rPr>
            </w:pPr>
          </w:p>
        </w:tc>
        <w:tc>
          <w:tcPr>
            <w:tcW w:w="680" w:type="dxa"/>
            <w:vAlign w:val="bottom"/>
            <w:tcBorders>
              <w:top w:val="single" w:sz="8" w:color="0000EE"/>
              <w:bottom w:val="single" w:sz="8" w:color="0000EE"/>
            </w:tcBorders>
            <w:gridSpan w:val="3"/>
          </w:tcPr>
          <w:p>
            <w:pPr>
              <w:spacing w:after="0" w:line="165"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reference.</w:t>
              </w:r>
            </w:hyperlink>
          </w:p>
        </w:tc>
        <w:tc>
          <w:tcPr>
            <w:tcW w:w="6280" w:type="dxa"/>
            <w:vAlign w:val="bottom"/>
            <w:tcBorders>
              <w:top w:val="single" w:sz="8" w:color="0000EE"/>
            </w:tcBorders>
            <w:gridSpan w:val="12"/>
          </w:tcPr>
          <w:p>
            <w:pPr>
              <w:spacing w:after="0"/>
              <w:rPr>
                <w:sz w:val="14"/>
                <w:szCs w:val="14"/>
                <w:color w:val="auto"/>
              </w:rPr>
            </w:pPr>
          </w:p>
        </w:tc>
        <w:tc>
          <w:tcPr>
            <w:tcW w:w="2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5"/>
          </w:tcPr>
          <w:p>
            <w:pPr>
              <w:spacing w:after="0"/>
              <w:rPr>
                <w:sz w:val="14"/>
                <w:szCs w:val="14"/>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7340" w:type="dxa"/>
            <w:vAlign w:val="bottom"/>
            <w:tcBorders>
              <w:bottom w:val="single" w:sz="8" w:color="0000EE"/>
            </w:tcBorders>
            <w:gridSpan w:val="23"/>
          </w:tcPr>
          <w:p>
            <w:pPr>
              <w:spacing w:after="0"/>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Fourth Amendment to Second Amended and Restated Credit Agreement between CTO Realty Growth, Inc., the</w:t>
              </w:r>
            </w:hyperlink>
          </w:p>
        </w:tc>
        <w:tc>
          <w:tcPr>
            <w:tcW w:w="260" w:type="dxa"/>
            <w:vAlign w:val="bottom"/>
            <w:gridSpan w:val="12"/>
          </w:tcPr>
          <w:p>
            <w:pPr>
              <w:spacing w:after="0"/>
              <w:rPr>
                <w:sz w:val="23"/>
                <w:szCs w:val="23"/>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Borrower, the Guarantors party thereto, the Lenders party thereto and Bank of Montreal, as Administrative Agent,</w:t>
              </w:r>
            </w:hyperlink>
          </w:p>
        </w:tc>
      </w:tr>
      <w:tr>
        <w:trPr>
          <w:trHeight w:val="164"/>
        </w:trPr>
        <w:tc>
          <w:tcPr>
            <w:tcW w:w="1340" w:type="dxa"/>
            <w:vAlign w:val="bottom"/>
          </w:tcPr>
          <w:p>
            <w:pPr>
              <w:spacing w:after="0"/>
              <w:rPr>
                <w:sz w:val="14"/>
                <w:szCs w:val="14"/>
                <w:color w:val="auto"/>
              </w:rPr>
            </w:pPr>
          </w:p>
        </w:tc>
        <w:tc>
          <w:tcPr>
            <w:tcW w:w="7440" w:type="dxa"/>
            <w:vAlign w:val="bottom"/>
            <w:tcBorders>
              <w:top w:val="single" w:sz="8" w:color="0000EE"/>
              <w:bottom w:val="single" w:sz="8" w:color="0000EE"/>
            </w:tcBorders>
            <w:gridSpan w:val="26"/>
          </w:tcPr>
          <w:p>
            <w:pPr>
              <w:spacing w:after="0" w:line="165"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dated July 1, 2020 filed as Exhibit 10.34 to registrant’s Quarterly Report on Form 10-Q filed August 7, 2020, and</w:t>
              </w:r>
            </w:hyperlink>
          </w:p>
        </w:tc>
        <w:tc>
          <w:tcPr>
            <w:tcW w:w="40" w:type="dxa"/>
            <w:vAlign w:val="bottom"/>
            <w:tcBorders>
              <w:top w:val="single" w:sz="8" w:color="0000EE"/>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5"/>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2180" w:type="dxa"/>
            <w:vAlign w:val="bottom"/>
            <w:tcBorders>
              <w:bottom w:val="single" w:sz="8" w:color="0000EE"/>
            </w:tcBorders>
            <w:gridSpan w:val="4"/>
          </w:tcPr>
          <w:p>
            <w:pPr>
              <w:spacing w:after="0" w:line="177"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incorporated herein by reference.</w:t>
              </w:r>
            </w:hyperlink>
          </w:p>
        </w:tc>
        <w:tc>
          <w:tcPr>
            <w:tcW w:w="5420" w:type="dxa"/>
            <w:vAlign w:val="bottom"/>
            <w:gridSpan w:val="31"/>
          </w:tcPr>
          <w:p>
            <w:pPr>
              <w:spacing w:after="0"/>
              <w:rPr>
                <w:sz w:val="15"/>
                <w:szCs w:val="15"/>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7240" w:type="dxa"/>
            <w:vAlign w:val="bottom"/>
            <w:tcBorders>
              <w:bottom w:val="single" w:sz="8" w:color="0000EE"/>
            </w:tcBorders>
            <w:gridSpan w:val="21"/>
          </w:tcPr>
          <w:p>
            <w:pPr>
              <w:spacing w:after="0"/>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Fifth Amendment to Second Amended and Restated Credit Agreement between CTO Realty Growth, Inc., the</w:t>
              </w:r>
            </w:hyperlink>
          </w:p>
        </w:tc>
        <w:tc>
          <w:tcPr>
            <w:tcW w:w="360" w:type="dxa"/>
            <w:vAlign w:val="bottom"/>
            <w:gridSpan w:val="14"/>
          </w:tcPr>
          <w:p>
            <w:pPr>
              <w:spacing w:after="0"/>
              <w:rPr>
                <w:sz w:val="23"/>
                <w:szCs w:val="23"/>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Borrower, the Guarantors party thereto, the Lenders party thereto and Bank of Montreal, as Administrative Agent,</w:t>
              </w:r>
            </w:hyperlink>
          </w:p>
        </w:tc>
      </w:tr>
      <w:tr>
        <w:trPr>
          <w:trHeight w:val="164"/>
        </w:trPr>
        <w:tc>
          <w:tcPr>
            <w:tcW w:w="1340" w:type="dxa"/>
            <w:vAlign w:val="bottom"/>
          </w:tcPr>
          <w:p>
            <w:pPr>
              <w:spacing w:after="0"/>
              <w:rPr>
                <w:sz w:val="14"/>
                <w:szCs w:val="14"/>
                <w:color w:val="auto"/>
              </w:rPr>
            </w:pPr>
          </w:p>
        </w:tc>
        <w:tc>
          <w:tcPr>
            <w:tcW w:w="7220" w:type="dxa"/>
            <w:vAlign w:val="bottom"/>
            <w:tcBorders>
              <w:top w:val="single" w:sz="8" w:color="0000EE"/>
              <w:bottom w:val="single" w:sz="8" w:color="0000EE"/>
            </w:tcBorders>
            <w:gridSpan w:val="20"/>
          </w:tcPr>
          <w:p>
            <w:pPr>
              <w:spacing w:after="0" w:line="165"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dated November 9, 2020, filed as Exhibit 10.1 to registrant’s Current Report on Form 8-K filed November 13,</w:t>
              </w:r>
            </w:hyperlink>
          </w:p>
        </w:tc>
        <w:tc>
          <w:tcPr>
            <w:tcW w:w="260" w:type="dxa"/>
            <w:vAlign w:val="bottom"/>
            <w:tcBorders>
              <w:top w:val="single" w:sz="8" w:color="0000EE"/>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5"/>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2020, and incorporated herein by reference.</w:t>
              </w:r>
            </w:hyperlink>
          </w:p>
        </w:tc>
      </w:tr>
      <w:tr>
        <w:trPr>
          <w:trHeight w:val="20"/>
        </w:trPr>
        <w:tc>
          <w:tcPr>
            <w:tcW w:w="1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320" w:type="dxa"/>
            <w:vAlign w:val="bottom"/>
            <w:gridSpan w:val="14"/>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r>
      <w:tr>
        <w:trPr>
          <w:trHeight w:val="275"/>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752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Sixth Amendment to Second Amended and Restated Credit Agreement and Joinder Dated March 10, 2021 filed as</w:t>
              </w:r>
            </w:hyperlink>
          </w:p>
        </w:tc>
        <w:tc>
          <w:tcPr>
            <w:tcW w:w="80" w:type="dxa"/>
            <w:vAlign w:val="bottom"/>
            <w:gridSpan w:val="5"/>
          </w:tcPr>
          <w:p>
            <w:pPr>
              <w:spacing w:after="0"/>
              <w:rPr>
                <w:sz w:val="23"/>
                <w:szCs w:val="23"/>
                <w:color w:val="auto"/>
              </w:rPr>
            </w:pPr>
          </w:p>
        </w:tc>
      </w:tr>
      <w:tr>
        <w:trPr>
          <w:trHeight w:val="177"/>
        </w:trPr>
        <w:tc>
          <w:tcPr>
            <w:tcW w:w="1340" w:type="dxa"/>
            <w:vAlign w:val="bottom"/>
          </w:tcPr>
          <w:p>
            <w:pPr>
              <w:spacing w:after="0"/>
              <w:rPr>
                <w:sz w:val="15"/>
                <w:szCs w:val="15"/>
                <w:color w:val="auto"/>
              </w:rPr>
            </w:pPr>
          </w:p>
        </w:tc>
        <w:tc>
          <w:tcPr>
            <w:tcW w:w="7600" w:type="dxa"/>
            <w:vAlign w:val="bottom"/>
            <w:gridSpan w:val="35"/>
          </w:tcPr>
          <w:p>
            <w:pPr>
              <w:spacing w:after="0" w:line="177"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Exhibit 10.1 to the registrant’s Current Report on Form 8-K filed March 12, 2021, and incorporated herein by</w:t>
              </w:r>
            </w:hyperlink>
          </w:p>
        </w:tc>
      </w:tr>
      <w:tr>
        <w:trPr>
          <w:trHeight w:val="164"/>
        </w:trPr>
        <w:tc>
          <w:tcPr>
            <w:tcW w:w="1340" w:type="dxa"/>
            <w:vAlign w:val="bottom"/>
          </w:tcPr>
          <w:p>
            <w:pPr>
              <w:spacing w:after="0"/>
              <w:rPr>
                <w:sz w:val="14"/>
                <w:szCs w:val="14"/>
                <w:color w:val="auto"/>
              </w:rPr>
            </w:pPr>
          </w:p>
        </w:tc>
        <w:tc>
          <w:tcPr>
            <w:tcW w:w="660" w:type="dxa"/>
            <w:vAlign w:val="bottom"/>
            <w:tcBorders>
              <w:top w:val="single" w:sz="8" w:color="0000EE"/>
              <w:bottom w:val="single" w:sz="8" w:color="0000EE"/>
            </w:tcBorders>
            <w:gridSpan w:val="2"/>
          </w:tcPr>
          <w:p>
            <w:pPr>
              <w:spacing w:after="0" w:line="165"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reference.</w:t>
              </w:r>
            </w:hyperlink>
          </w:p>
        </w:tc>
        <w:tc>
          <w:tcPr>
            <w:tcW w:w="6520" w:type="dxa"/>
            <w:vAlign w:val="bottom"/>
            <w:tcBorders>
              <w:top w:val="single" w:sz="8" w:color="0000EE"/>
            </w:tcBorders>
            <w:gridSpan w:val="17"/>
          </w:tcPr>
          <w:p>
            <w:pPr>
              <w:spacing w:after="0"/>
              <w:rPr>
                <w:sz w:val="14"/>
                <w:szCs w:val="14"/>
                <w:color w:val="auto"/>
              </w:rPr>
            </w:pPr>
          </w:p>
        </w:tc>
        <w:tc>
          <w:tcPr>
            <w:tcW w:w="420" w:type="dxa"/>
            <w:vAlign w:val="bottom"/>
            <w:gridSpan w:val="16"/>
          </w:tcPr>
          <w:p>
            <w:pPr>
              <w:spacing w:after="0"/>
              <w:rPr>
                <w:sz w:val="14"/>
                <w:szCs w:val="14"/>
                <w:color w:val="auto"/>
              </w:rPr>
            </w:pPr>
          </w:p>
        </w:tc>
      </w:tr>
      <w:tr>
        <w:trPr>
          <w:trHeight w:val="608"/>
        </w:trPr>
        <w:tc>
          <w:tcPr>
            <w:tcW w:w="1340" w:type="dxa"/>
            <w:vAlign w:val="bottom"/>
          </w:tcPr>
          <w:p>
            <w:pPr>
              <w:spacing w:after="0"/>
              <w:rPr>
                <w:sz w:val="24"/>
                <w:szCs w:val="24"/>
                <w:color w:val="auto"/>
              </w:rPr>
            </w:pPr>
          </w:p>
        </w:tc>
        <w:tc>
          <w:tcPr>
            <w:tcW w:w="4360" w:type="dxa"/>
            <w:vAlign w:val="bottom"/>
            <w:gridSpan w:val="7"/>
          </w:tcPr>
          <w:p>
            <w:pPr>
              <w:ind w:left="3040"/>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8"/>
        </w:trPr>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94967277"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736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Seventh Amendment to Second Amended and Restated Credit Agreement and Joinder Dated November 5, 2021</w:t>
              </w:r>
            </w:hyperlink>
          </w:p>
        </w:tc>
        <w:tc>
          <w:tcPr>
            <w:tcW w:w="220" w:type="dxa"/>
            <w:vAlign w:val="bottom"/>
            <w:gridSpan w:val="6"/>
          </w:tcPr>
          <w:p>
            <w:pPr>
              <w:spacing w:after="0"/>
              <w:rPr>
                <w:sz w:val="16"/>
                <w:szCs w:val="16"/>
                <w:color w:val="auto"/>
              </w:rPr>
            </w:pPr>
          </w:p>
        </w:tc>
      </w:tr>
      <w:tr>
        <w:trPr>
          <w:trHeight w:val="177"/>
        </w:trPr>
        <w:tc>
          <w:tcPr>
            <w:tcW w:w="1320" w:type="dxa"/>
            <w:vAlign w:val="bottom"/>
          </w:tcPr>
          <w:p>
            <w:pPr>
              <w:spacing w:after="0"/>
              <w:rPr>
                <w:sz w:val="15"/>
                <w:szCs w:val="15"/>
                <w:color w:val="auto"/>
              </w:rPr>
            </w:pPr>
          </w:p>
        </w:tc>
        <w:tc>
          <w:tcPr>
            <w:tcW w:w="7580" w:type="dxa"/>
            <w:vAlign w:val="bottom"/>
            <w:gridSpan w:val="20"/>
          </w:tcPr>
          <w:p>
            <w:pPr>
              <w:spacing w:after="0" w:line="177"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filed as Exhibit 10.19 to the registrant’s Annual Report on Form 10-K for the year ended December 31, 2021, and</w:t>
              </w:r>
            </w:hyperlink>
          </w:p>
        </w:tc>
      </w:tr>
      <w:tr>
        <w:trPr>
          <w:trHeight w:val="164"/>
        </w:trPr>
        <w:tc>
          <w:tcPr>
            <w:tcW w:w="1320" w:type="dxa"/>
            <w:vAlign w:val="bottom"/>
          </w:tcPr>
          <w:p>
            <w:pPr>
              <w:spacing w:after="0"/>
              <w:rPr>
                <w:sz w:val="14"/>
                <w:szCs w:val="14"/>
                <w:color w:val="auto"/>
              </w:rPr>
            </w:pPr>
          </w:p>
        </w:tc>
        <w:tc>
          <w:tcPr>
            <w:tcW w:w="7460" w:type="dxa"/>
            <w:vAlign w:val="bottom"/>
            <w:tcBorders>
              <w:top w:val="single" w:sz="8" w:color="0000EE"/>
            </w:tcBorders>
            <w:gridSpan w:val="16"/>
          </w:tcPr>
          <w:p>
            <w:pPr>
              <w:spacing w:after="0" w:line="165"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incorporated herein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736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Eighth Amendment to Second Amended and Restated Credit Agreement and Joinder Dated September 20, 2022</w:t>
              </w:r>
            </w:hyperlink>
          </w:p>
        </w:tc>
        <w:tc>
          <w:tcPr>
            <w:tcW w:w="220" w:type="dxa"/>
            <w:vAlign w:val="bottom"/>
            <w:gridSpan w:val="6"/>
          </w:tcPr>
          <w:p>
            <w:pPr>
              <w:spacing w:after="0"/>
              <w:rPr>
                <w:sz w:val="23"/>
                <w:szCs w:val="23"/>
                <w:color w:val="auto"/>
              </w:rPr>
            </w:pPr>
          </w:p>
        </w:tc>
      </w:tr>
      <w:tr>
        <w:trPr>
          <w:trHeight w:val="177"/>
        </w:trPr>
        <w:tc>
          <w:tcPr>
            <w:tcW w:w="1320" w:type="dxa"/>
            <w:vAlign w:val="bottom"/>
          </w:tcPr>
          <w:p>
            <w:pPr>
              <w:spacing w:after="0"/>
              <w:rPr>
                <w:sz w:val="15"/>
                <w:szCs w:val="15"/>
                <w:color w:val="auto"/>
              </w:rPr>
            </w:pPr>
          </w:p>
        </w:tc>
        <w:tc>
          <w:tcPr>
            <w:tcW w:w="7580" w:type="dxa"/>
            <w:vAlign w:val="bottom"/>
            <w:gridSpan w:val="20"/>
          </w:tcPr>
          <w:p>
            <w:pPr>
              <w:spacing w:after="0" w:line="177"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filed as Exhibit 10.1 to the registrant’s Current Report on Form 8-K filed on September 23, 2022, and incorporated</w:t>
              </w:r>
            </w:hyperlink>
          </w:p>
        </w:tc>
      </w:tr>
      <w:tr>
        <w:trPr>
          <w:trHeight w:val="164"/>
        </w:trPr>
        <w:tc>
          <w:tcPr>
            <w:tcW w:w="132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3"/>
          </w:tcPr>
          <w:p>
            <w:pPr>
              <w:spacing w:after="0" w:line="165"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herein by reference.</w:t>
              </w:r>
            </w:hyperlink>
          </w:p>
        </w:tc>
        <w:tc>
          <w:tcPr>
            <w:tcW w:w="6220" w:type="dxa"/>
            <w:vAlign w:val="bottom"/>
            <w:tcBorders>
              <w:top w:val="single" w:sz="8" w:color="0000EE"/>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714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Tax Protection Agreement among Alpine Income Property Trust, Inc., Alpine Income Property Trust OP, LP,</w:t>
              </w:r>
            </w:hyperlink>
          </w:p>
        </w:tc>
        <w:tc>
          <w:tcPr>
            <w:tcW w:w="440" w:type="dxa"/>
            <w:vAlign w:val="bottom"/>
            <w:gridSpan w:val="8"/>
          </w:tcPr>
          <w:p>
            <w:pPr>
              <w:spacing w:after="0"/>
              <w:rPr>
                <w:sz w:val="23"/>
                <w:szCs w:val="23"/>
                <w:color w:val="auto"/>
              </w:rPr>
            </w:pPr>
          </w:p>
        </w:tc>
      </w:tr>
      <w:tr>
        <w:trPr>
          <w:trHeight w:val="177"/>
        </w:trPr>
        <w:tc>
          <w:tcPr>
            <w:tcW w:w="1320" w:type="dxa"/>
            <w:vAlign w:val="bottom"/>
          </w:tcPr>
          <w:p>
            <w:pPr>
              <w:spacing w:after="0"/>
              <w:rPr>
                <w:sz w:val="15"/>
                <w:szCs w:val="15"/>
                <w:color w:val="auto"/>
              </w:rPr>
            </w:pPr>
          </w:p>
        </w:tc>
        <w:tc>
          <w:tcPr>
            <w:tcW w:w="7580" w:type="dxa"/>
            <w:vAlign w:val="bottom"/>
            <w:gridSpan w:val="20"/>
          </w:tcPr>
          <w:p>
            <w:pPr>
              <w:spacing w:after="0" w:line="177"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Consolidated-Tomoka Land Co.( now CTO Realty Growth, Inc.) and Indigo Group Ltd. filed as Exhibit 10.4 to the</w:t>
              </w:r>
            </w:hyperlink>
          </w:p>
        </w:tc>
      </w:tr>
      <w:tr>
        <w:trPr>
          <w:trHeight w:val="164"/>
        </w:trPr>
        <w:tc>
          <w:tcPr>
            <w:tcW w:w="1320" w:type="dxa"/>
            <w:vAlign w:val="bottom"/>
          </w:tcPr>
          <w:p>
            <w:pPr>
              <w:spacing w:after="0"/>
              <w:rPr>
                <w:sz w:val="14"/>
                <w:szCs w:val="14"/>
                <w:color w:val="auto"/>
              </w:rPr>
            </w:pPr>
          </w:p>
        </w:tc>
        <w:tc>
          <w:tcPr>
            <w:tcW w:w="7560" w:type="dxa"/>
            <w:vAlign w:val="bottom"/>
            <w:tcBorders>
              <w:top w:val="single" w:sz="8" w:color="0000EE"/>
            </w:tcBorders>
            <w:gridSpan w:val="19"/>
          </w:tcPr>
          <w:p>
            <w:pPr>
              <w:spacing w:after="0" w:line="165"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registrant’s Current Report on Form 8-K filed November 27, 2019, and incorporated herein by reference.</w:t>
              </w:r>
            </w:hyperlink>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7400" w:type="dxa"/>
            <w:vAlign w:val="bottom"/>
            <w:tcBorders>
              <w:bottom w:val="single" w:sz="8" w:color="0000EE"/>
            </w:tcBorders>
            <w:gridSpan w:val="15"/>
          </w:tcPr>
          <w:p>
            <w:pPr>
              <w:spacing w:after="0"/>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Management Agreement among Alpine Income Property Trust, Inc., Alpine Income Property OP, LP and Alpine</w:t>
              </w:r>
            </w:hyperlink>
          </w:p>
        </w:tc>
        <w:tc>
          <w:tcPr>
            <w:tcW w:w="180" w:type="dxa"/>
            <w:vAlign w:val="bottom"/>
            <w:gridSpan w:val="5"/>
          </w:tcPr>
          <w:p>
            <w:pPr>
              <w:spacing w:after="0"/>
              <w:rPr>
                <w:sz w:val="24"/>
                <w:szCs w:val="24"/>
                <w:color w:val="auto"/>
              </w:rPr>
            </w:pPr>
          </w:p>
        </w:tc>
      </w:tr>
      <w:tr>
        <w:trPr>
          <w:trHeight w:val="177"/>
        </w:trPr>
        <w:tc>
          <w:tcPr>
            <w:tcW w:w="1320" w:type="dxa"/>
            <w:vAlign w:val="bottom"/>
          </w:tcPr>
          <w:p>
            <w:pPr>
              <w:spacing w:after="0"/>
              <w:rPr>
                <w:sz w:val="15"/>
                <w:szCs w:val="15"/>
                <w:color w:val="auto"/>
              </w:rPr>
            </w:pPr>
          </w:p>
        </w:tc>
        <w:tc>
          <w:tcPr>
            <w:tcW w:w="7580" w:type="dxa"/>
            <w:vAlign w:val="bottom"/>
            <w:gridSpan w:val="20"/>
          </w:tcPr>
          <w:p>
            <w:pPr>
              <w:spacing w:after="0" w:line="177"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Income Property Manager, LLC filed as Exhibit 10.2 to the registrant’s Current Report on Form 8-K filed</w:t>
              </w:r>
            </w:hyperlink>
          </w:p>
        </w:tc>
      </w:tr>
      <w:tr>
        <w:trPr>
          <w:trHeight w:val="164"/>
        </w:trPr>
        <w:tc>
          <w:tcPr>
            <w:tcW w:w="1320" w:type="dxa"/>
            <w:vAlign w:val="bottom"/>
          </w:tcPr>
          <w:p>
            <w:pPr>
              <w:spacing w:after="0"/>
              <w:rPr>
                <w:sz w:val="14"/>
                <w:szCs w:val="14"/>
                <w:color w:val="auto"/>
              </w:rPr>
            </w:pPr>
          </w:p>
        </w:tc>
        <w:tc>
          <w:tcPr>
            <w:tcW w:w="6920" w:type="dxa"/>
            <w:vAlign w:val="bottom"/>
            <w:tcBorders>
              <w:top w:val="single" w:sz="8" w:color="0000EE"/>
            </w:tcBorders>
            <w:gridSpan w:val="11"/>
          </w:tcPr>
          <w:p>
            <w:pPr>
              <w:spacing w:after="0" w:line="165"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November 27, 2019, and incorporated herein by reference.</w:t>
              </w:r>
            </w:hyperlink>
          </w:p>
        </w:tc>
        <w:tc>
          <w:tcPr>
            <w:tcW w:w="360" w:type="dxa"/>
            <w:vAlign w:val="bottom"/>
            <w:gridSpan w:val="2"/>
          </w:tcPr>
          <w:p>
            <w:pPr>
              <w:spacing w:after="0"/>
              <w:rPr>
                <w:sz w:val="14"/>
                <w:szCs w:val="14"/>
                <w:color w:val="auto"/>
              </w:rPr>
            </w:pPr>
          </w:p>
        </w:tc>
        <w:tc>
          <w:tcPr>
            <w:tcW w:w="2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7580" w:type="dxa"/>
            <w:vAlign w:val="bottom"/>
            <w:gridSpan w:val="20"/>
          </w:tcPr>
          <w:p>
            <w:pPr>
              <w:spacing w:after="0"/>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Exclusivity and Right of First Offer Agreement between Alpine Income Property Trust, Inc. and Consolidated-</w:t>
              </w:r>
            </w:hyperlink>
          </w:p>
        </w:tc>
      </w:tr>
      <w:tr>
        <w:trPr>
          <w:trHeight w:val="20"/>
        </w:trPr>
        <w:tc>
          <w:tcPr>
            <w:tcW w:w="1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320" w:type="dxa"/>
            <w:vAlign w:val="bottom"/>
          </w:tcPr>
          <w:p>
            <w:pPr>
              <w:spacing w:after="0"/>
              <w:rPr>
                <w:sz w:val="15"/>
                <w:szCs w:val="15"/>
                <w:color w:val="auto"/>
              </w:rPr>
            </w:pPr>
          </w:p>
        </w:tc>
        <w:tc>
          <w:tcPr>
            <w:tcW w:w="7580" w:type="dxa"/>
            <w:vAlign w:val="bottom"/>
            <w:gridSpan w:val="20"/>
          </w:tcPr>
          <w:p>
            <w:pPr>
              <w:spacing w:after="0" w:line="177"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Tomoka Land Co.( now CTO Realty Growth, Inc.) filed as Exhibit 10.3 to the registrant’s Current Report on Form</w:t>
              </w:r>
            </w:hyperlink>
          </w:p>
        </w:tc>
      </w:tr>
      <w:tr>
        <w:trPr>
          <w:trHeight w:val="164"/>
        </w:trPr>
        <w:tc>
          <w:tcPr>
            <w:tcW w:w="1320" w:type="dxa"/>
            <w:vAlign w:val="bottom"/>
          </w:tcPr>
          <w:p>
            <w:pPr>
              <w:spacing w:after="0"/>
              <w:rPr>
                <w:sz w:val="14"/>
                <w:szCs w:val="14"/>
                <w:color w:val="auto"/>
              </w:rPr>
            </w:pPr>
          </w:p>
        </w:tc>
        <w:tc>
          <w:tcPr>
            <w:tcW w:w="7520" w:type="dxa"/>
            <w:vAlign w:val="bottom"/>
            <w:tcBorders>
              <w:top w:val="single" w:sz="8" w:color="0000EE"/>
            </w:tcBorders>
            <w:gridSpan w:val="17"/>
          </w:tcPr>
          <w:p>
            <w:pPr>
              <w:spacing w:after="0" w:line="165"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8-K filed November 27, 2019,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758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Form of February 16, 2023 Performance Share Award Agreement (filed herewith).</w:t>
            </w:r>
          </w:p>
        </w:tc>
      </w:tr>
      <w:tr>
        <w:trPr>
          <w:trHeight w:val="257"/>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220" w:type="dxa"/>
            <w:vAlign w:val="bottom"/>
          </w:tcPr>
          <w:p>
            <w:pPr>
              <w:spacing w:after="0"/>
              <w:rPr>
                <w:sz w:val="22"/>
                <w:szCs w:val="22"/>
                <w:color w:val="auto"/>
              </w:rPr>
            </w:pPr>
          </w:p>
        </w:tc>
        <w:tc>
          <w:tcPr>
            <w:tcW w:w="1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Subsidiaries of the Registrant.</w:t>
            </w:r>
          </w:p>
        </w:tc>
        <w:tc>
          <w:tcPr>
            <w:tcW w:w="5380" w:type="dxa"/>
            <w:vAlign w:val="bottom"/>
            <w:gridSpan w:val="15"/>
          </w:tcPr>
          <w:p>
            <w:pPr>
              <w:spacing w:after="0"/>
              <w:rPr>
                <w:sz w:val="22"/>
                <w:szCs w:val="22"/>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220" w:type="dxa"/>
            <w:vAlign w:val="bottom"/>
          </w:tcPr>
          <w:p>
            <w:pPr>
              <w:spacing w:after="0"/>
              <w:rPr>
                <w:sz w:val="23"/>
                <w:szCs w:val="23"/>
                <w:color w:val="auto"/>
              </w:rPr>
            </w:pPr>
          </w:p>
        </w:tc>
        <w:tc>
          <w:tcPr>
            <w:tcW w:w="3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Consent of Independent Registered Public Accounting Firm.</w:t>
            </w:r>
          </w:p>
        </w:tc>
        <w:tc>
          <w:tcPr>
            <w:tcW w:w="3380" w:type="dxa"/>
            <w:vAlign w:val="bottom"/>
            <w:gridSpan w:val="13"/>
          </w:tcPr>
          <w:p>
            <w:pPr>
              <w:spacing w:after="0"/>
              <w:rPr>
                <w:sz w:val="23"/>
                <w:szCs w:val="23"/>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220" w:type="dxa"/>
            <w:vAlign w:val="bottom"/>
          </w:tcPr>
          <w:p>
            <w:pPr>
              <w:spacing w:after="0"/>
              <w:rPr>
                <w:sz w:val="23"/>
                <w:szCs w:val="23"/>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Certification pursuant to Section 302 of Sarbanes-Oxley Act of 2002.</w:t>
            </w: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180" w:type="dxa"/>
            <w:vAlign w:val="bottom"/>
            <w:gridSpan w:val="7"/>
            <w:shd w:val="clear" w:color="auto" w:fill="0000EE"/>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23"/>
                <w:szCs w:val="23"/>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Certification pursuant to Section 302 of Sarbanes-Oxley Act of 2002.</w:t>
            </w: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180" w:type="dxa"/>
            <w:vAlign w:val="bottom"/>
            <w:gridSpan w:val="7"/>
            <w:shd w:val="clear" w:color="auto" w:fill="0000EE"/>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 (32.1)</w:t>
            </w:r>
          </w:p>
        </w:tc>
        <w:tc>
          <w:tcPr>
            <w:tcW w:w="220" w:type="dxa"/>
            <w:vAlign w:val="bottom"/>
          </w:tcPr>
          <w:p>
            <w:pPr>
              <w:spacing w:after="0"/>
              <w:rPr>
                <w:sz w:val="23"/>
                <w:szCs w:val="23"/>
                <w:color w:val="auto"/>
              </w:rPr>
            </w:pPr>
          </w:p>
        </w:tc>
        <w:tc>
          <w:tcPr>
            <w:tcW w:w="7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Certification pursuant to 18 U.S.C. Section 1350, adopted pursuant to Section 906 of the Sarbanes-Oxley Act of</w:t>
            </w:r>
          </w:p>
        </w:tc>
      </w:tr>
      <w:tr>
        <w:trPr>
          <w:trHeight w:val="177"/>
        </w:trPr>
        <w:tc>
          <w:tcPr>
            <w:tcW w:w="1320" w:type="dxa"/>
            <w:vAlign w:val="bottom"/>
          </w:tcPr>
          <w:p>
            <w:pPr>
              <w:spacing w:after="0"/>
              <w:rPr>
                <w:sz w:val="15"/>
                <w:szCs w:val="15"/>
                <w:color w:val="auto"/>
              </w:rPr>
            </w:pPr>
          </w:p>
        </w:tc>
        <w:tc>
          <w:tcPr>
            <w:tcW w:w="58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6"/>
                <w:szCs w:val="16"/>
                <w:color w:val="0000EE"/>
                <w:w w:val="94"/>
              </w:rPr>
              <w:t>2002.</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0" w:type="dxa"/>
            <w:vAlign w:val="bottom"/>
            <w:gridSpan w:val="18"/>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 (32.2)</w:t>
            </w:r>
          </w:p>
        </w:tc>
        <w:tc>
          <w:tcPr>
            <w:tcW w:w="220" w:type="dxa"/>
            <w:vAlign w:val="bottom"/>
          </w:tcPr>
          <w:p>
            <w:pPr>
              <w:spacing w:after="0"/>
              <w:rPr>
                <w:sz w:val="22"/>
                <w:szCs w:val="22"/>
                <w:color w:val="auto"/>
              </w:rPr>
            </w:pPr>
          </w:p>
        </w:tc>
        <w:tc>
          <w:tcPr>
            <w:tcW w:w="7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rPr>
              <w:t>Certification pursuant to 18 U.S.C. Section 1350, adopted pursuant to Section 906 of the Sarbanes-Oxley Act of</w:t>
            </w:r>
          </w:p>
        </w:tc>
      </w:tr>
      <w:tr>
        <w:trPr>
          <w:trHeight w:val="177"/>
        </w:trPr>
        <w:tc>
          <w:tcPr>
            <w:tcW w:w="1320" w:type="dxa"/>
            <w:vAlign w:val="bottom"/>
          </w:tcPr>
          <w:p>
            <w:pPr>
              <w:spacing w:after="0"/>
              <w:rPr>
                <w:sz w:val="15"/>
                <w:szCs w:val="15"/>
                <w:color w:val="auto"/>
              </w:rPr>
            </w:pPr>
          </w:p>
        </w:tc>
        <w:tc>
          <w:tcPr>
            <w:tcW w:w="580" w:type="dxa"/>
            <w:vAlign w:val="bottom"/>
            <w:gridSpan w:val="2"/>
          </w:tcPr>
          <w:p>
            <w:pPr>
              <w:ind w:left="220"/>
              <w:spacing w:after="0" w:line="177" w:lineRule="exact"/>
              <w:rPr>
                <w:sz w:val="20"/>
                <w:szCs w:val="20"/>
                <w:color w:val="auto"/>
              </w:rPr>
            </w:pPr>
            <w:r>
              <w:rPr>
                <w:rFonts w:ascii="Times New Roman" w:cs="Times New Roman" w:eastAsia="Times New Roman" w:hAnsi="Times New Roman"/>
                <w:sz w:val="16"/>
                <w:szCs w:val="16"/>
                <w:color w:val="0000EE"/>
                <w:w w:val="94"/>
              </w:rPr>
              <w:t>2002.</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0" w:type="dxa"/>
            <w:vAlign w:val="bottom"/>
            <w:gridSpan w:val="18"/>
          </w:tcPr>
          <w:p>
            <w:pPr>
              <w:spacing w:after="0" w:line="20" w:lineRule="exact"/>
              <w:rPr>
                <w:sz w:val="1"/>
                <w:szCs w:val="1"/>
                <w:color w:val="auto"/>
              </w:rPr>
            </w:pPr>
          </w:p>
        </w:tc>
      </w:tr>
      <w:tr>
        <w:trPr>
          <w:trHeight w:val="28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220" w:type="dxa"/>
            <w:vAlign w:val="bottom"/>
          </w:tcPr>
          <w:p>
            <w:pPr>
              <w:spacing w:after="0"/>
              <w:rPr>
                <w:sz w:val="24"/>
                <w:szCs w:val="24"/>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The following materials from CTO Realty Growth, Inc. Annual Report on Form 10-K for the period ended</w:t>
            </w:r>
          </w:p>
        </w:tc>
      </w:tr>
      <w:tr>
        <w:trPr>
          <w:trHeight w:val="202"/>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December 31, 2022, are formatted in Extensible Business Reporting Language: (i) consolidated balance sheets,</w:t>
            </w:r>
          </w:p>
        </w:tc>
      </w:tr>
    </w:tbl>
    <w:p>
      <w:pPr>
        <w:ind w:left="1580" w:right="179" w:hanging="3"/>
        <w:spacing w:after="0" w:line="272" w:lineRule="auto"/>
        <w:tabs>
          <w:tab w:leader="none" w:pos="182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comprehensive income, (iii) consolidated statements of stockholders' equity (iv) consolidated statements of cash flows, and (v) notes to consolidated financial statements.</w:t>
      </w:r>
    </w:p>
    <w:p>
      <w:pPr>
        <w:spacing w:after="0" w:line="69"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9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7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4"/>
        </w:trPr>
        <w:tc>
          <w:tcPr>
            <w:tcW w:w="2760" w:type="dxa"/>
            <w:vAlign w:val="bottom"/>
          </w:tcPr>
          <w:p>
            <w:pPr>
              <w:spacing w:after="0"/>
              <w:rPr>
                <w:sz w:val="18"/>
                <w:szCs w:val="18"/>
                <w:color w:val="auto"/>
              </w:rPr>
            </w:pP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Document</w:t>
            </w:r>
          </w:p>
        </w:tc>
      </w:t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Inline XBRL Taxonomy Definition Linkbase Document</w:t>
            </w:r>
          </w:p>
        </w:tc>
      </w:tr>
      <w:tr>
        <w:trPr>
          <w:trHeight w:val="27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4"/>
        </w:trPr>
        <w:tc>
          <w:tcPr>
            <w:tcW w:w="2760" w:type="dxa"/>
            <w:vAlign w:val="bottom"/>
          </w:tcPr>
          <w:p>
            <w:pPr>
              <w:spacing w:after="0"/>
              <w:rPr>
                <w:sz w:val="18"/>
                <w:szCs w:val="18"/>
                <w:color w:val="auto"/>
              </w:rPr>
            </w:pP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Document</w:t>
            </w:r>
          </w:p>
        </w:tc>
      </w:tr>
      <w:tr>
        <w:trPr>
          <w:trHeight w:val="26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r>
        <w:trPr>
          <w:trHeight w:val="214"/>
        </w:trPr>
        <w:tc>
          <w:tcPr>
            <w:tcW w:w="2760" w:type="dxa"/>
            <w:vAlign w:val="bottom"/>
          </w:tcPr>
          <w:p>
            <w:pPr>
              <w:spacing w:after="0"/>
              <w:rPr>
                <w:sz w:val="18"/>
                <w:szCs w:val="18"/>
                <w:color w:val="auto"/>
              </w:rPr>
            </w:pPr>
          </w:p>
        </w:tc>
        <w:tc>
          <w:tcPr>
            <w:tcW w:w="59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Document</w:t>
            </w:r>
          </w:p>
        </w:tc>
      </w:tr>
    </w:tbl>
    <w:p>
      <w:pPr>
        <w:spacing w:after="0" w:line="69" w:lineRule="exact"/>
        <w:rPr>
          <w:sz w:val="20"/>
          <w:szCs w:val="20"/>
          <w:color w:val="auto"/>
        </w:rPr>
      </w:pPr>
    </w:p>
    <w:p>
      <w:pPr>
        <w:ind w:left="40" w:right="2439" w:firstLine="123"/>
        <w:spacing w:after="0" w:line="388" w:lineRule="auto"/>
        <w:tabs>
          <w:tab w:leader="none" w:pos="133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Management Contract or Compensatory Plan or Arrangement</w:t>
      </w:r>
    </w:p>
    <w:p>
      <w:pPr>
        <w:spacing w:after="0" w:line="1" w:lineRule="exact"/>
        <w:rPr>
          <w:rFonts w:ascii="Times New Roman" w:cs="Times New Roman" w:eastAsia="Times New Roman" w:hAnsi="Times New Roman"/>
          <w:sz w:val="16"/>
          <w:szCs w:val="16"/>
          <w:color w:val="auto"/>
        </w:rPr>
      </w:pPr>
    </w:p>
    <w:p>
      <w:pPr>
        <w:ind w:left="440" w:right="539" w:hanging="404"/>
        <w:spacing w:after="0" w:line="252" w:lineRule="auto"/>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1" w:lineRule="exact"/>
        <w:rPr>
          <w:rFonts w:ascii="Times New Roman" w:cs="Times New Roman" w:eastAsia="Times New Roman" w:hAnsi="Times New Roman"/>
          <w:sz w:val="16"/>
          <w:szCs w:val="16"/>
          <w:color w:val="auto"/>
        </w:rPr>
      </w:pPr>
    </w:p>
    <w:p>
      <w:pPr>
        <w:ind w:left="440" w:right="359" w:hanging="404"/>
        <w:spacing w:after="0" w:line="273" w:lineRule="auto"/>
        <w:tabs>
          <w:tab w:leader="none" w:pos="40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excluded because the information is both (i) not material and (ii) the type of information that the Registrant customarily and actually treats as private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-937260</wp:posOffset>
            </wp:positionV>
            <wp:extent cx="142113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1421130" cy="76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3"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586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rPr>
              <w:t>CTO REALTY GROWTH, INC. (Registrant)</w:t>
            </w:r>
          </w:p>
        </w:tc>
      </w:tr>
      <w:tr>
        <w:trPr>
          <w:trHeight w:val="39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23, 2023</w:t>
            </w:r>
          </w:p>
        </w:tc>
        <w:tc>
          <w:tcPr>
            <w:tcW w:w="18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By:</w:t>
            </w:r>
          </w:p>
        </w:tc>
        <w:tc>
          <w:tcPr>
            <w:tcW w:w="40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/S/  JOHN P. ALBRIGHT</w:t>
            </w:r>
          </w:p>
        </w:tc>
      </w:tr>
      <w:tr>
        <w:trPr>
          <w:trHeight w:val="191"/>
        </w:trPr>
        <w:tc>
          <w:tcPr>
            <w:tcW w:w="3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6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John P. Albright</w:t>
            </w:r>
          </w:p>
        </w:tc>
      </w:tr>
    </w:tbl>
    <w:p>
      <w:pPr>
        <w:ind w:left="56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72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President and Chief Executive Officer (Principal Executive/S/ JOHN P. ALBRIGHT</w:t>
            </w: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43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Officer), and Director</w:t>
            </w:r>
          </w:p>
        </w:tc>
        <w:tc>
          <w:tcPr>
            <w:tcW w:w="2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Senior Vice President, Chief Financial Officer and</w:t>
            </w: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/S/ MATTHEW M. PARTRIDGE</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38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Treasurer (Principal Financial Officer)</w:t>
            </w: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6"/>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Vice President and Chief Accounting Officer</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LISA M. VORAKOUN</w:t>
            </w: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43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Chairman of the Board, Director</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LAURA M. FRANKLIN</w:t>
            </w:r>
          </w:p>
        </w:tc>
        <w:tc>
          <w:tcPr>
            <w:tcW w:w="0" w:type="dxa"/>
            <w:vAlign w:val="bottom"/>
          </w:tcPr>
          <w:p>
            <w:pPr>
              <w:spacing w:after="0"/>
              <w:rPr>
                <w:sz w:val="1"/>
                <w:szCs w:val="1"/>
                <w:color w:val="auto"/>
              </w:rPr>
            </w:pPr>
          </w:p>
        </w:tc>
      </w:tr>
      <w:tr>
        <w:trPr>
          <w:trHeight w:val="34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Director</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GEORGE R. BROKAW</w:t>
            </w:r>
          </w:p>
        </w:tc>
        <w:tc>
          <w:tcPr>
            <w:tcW w:w="0" w:type="dxa"/>
            <w:vAlign w:val="bottom"/>
          </w:tcPr>
          <w:p>
            <w:pPr>
              <w:spacing w:after="0"/>
              <w:rPr>
                <w:sz w:val="1"/>
                <w:szCs w:val="1"/>
                <w:color w:val="auto"/>
              </w:rPr>
            </w:pPr>
          </w:p>
        </w:tc>
      </w:tr>
      <w:tr>
        <w:trPr>
          <w:trHeight w:val="34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Director</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CHRISTOPHER J. DREW</w:t>
            </w:r>
          </w:p>
        </w:tc>
        <w:tc>
          <w:tcPr>
            <w:tcW w:w="0" w:type="dxa"/>
            <w:vAlign w:val="bottom"/>
          </w:tcPr>
          <w:p>
            <w:pPr>
              <w:spacing w:after="0"/>
              <w:rPr>
                <w:sz w:val="1"/>
                <w:szCs w:val="1"/>
                <w:color w:val="auto"/>
              </w:rPr>
            </w:pPr>
          </w:p>
        </w:tc>
      </w:tr>
      <w:tr>
        <w:trPr>
          <w:trHeight w:val="34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Director</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 BLAKESLEE GABLE</w:t>
            </w:r>
          </w:p>
        </w:tc>
        <w:tc>
          <w:tcPr>
            <w:tcW w:w="0" w:type="dxa"/>
            <w:vAlign w:val="bottom"/>
          </w:tcPr>
          <w:p>
            <w:pPr>
              <w:spacing w:after="0"/>
              <w:rPr>
                <w:sz w:val="1"/>
                <w:szCs w:val="1"/>
                <w:color w:val="auto"/>
              </w:rPr>
            </w:pPr>
          </w:p>
        </w:tc>
      </w:tr>
      <w:tr>
        <w:trPr>
          <w:trHeight w:val="34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2023</w:t>
            </w:r>
          </w:p>
        </w:tc>
        <w:tc>
          <w:tcPr>
            <w:tcW w:w="4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Director</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CHRISTOPHER W. HAGA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50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Reports of Independent Registered Public Accounting Firm</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0"/>
        </w:trPr>
        <w:tc>
          <w:tcPr>
            <w:tcW w:w="39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7"/>
        </w:trPr>
        <w:tc>
          <w:tcPr>
            <w:tcW w:w="4240" w:type="dxa"/>
            <w:vAlign w:val="bottom"/>
            <w:tcBorders>
              <w:bottom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6"/>
                <w:szCs w:val="16"/>
                <w:color w:val="0000EE"/>
              </w:rPr>
              <w:t>Consolidated Balance Sheets as of December 31, 2022 and 2021</w:t>
            </w:r>
          </w:p>
        </w:tc>
        <w:tc>
          <w:tcPr>
            <w:tcW w:w="3260" w:type="dxa"/>
            <w:vAlign w:val="bottom"/>
            <w:gridSpan w:val="5"/>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F-5</w:t>
            </w:r>
          </w:p>
        </w:tc>
      </w:tr>
      <w:tr>
        <w:trPr>
          <w:trHeight w:val="177"/>
        </w:trPr>
        <w:tc>
          <w:tcPr>
            <w:tcW w:w="7500" w:type="dxa"/>
            <w:vAlign w:val="bottom"/>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Operations for the three years ended December 31, 2022, 2021, and 2020</w:t>
            </w: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F-6</w:t>
            </w:r>
          </w:p>
        </w:tc>
      </w:tr>
      <w:tr>
        <w:trPr>
          <w:trHeight w:val="20"/>
        </w:trPr>
        <w:tc>
          <w:tcPr>
            <w:tcW w:w="6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7"/>
        </w:trPr>
        <w:tc>
          <w:tcPr>
            <w:tcW w:w="7500" w:type="dxa"/>
            <w:vAlign w:val="bottom"/>
            <w:tcBorders>
              <w:bottom w:val="single" w:sz="8" w:color="0000EE"/>
            </w:tcBorders>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years ended December 31, 2022, 2021, and 2020</w:t>
            </w: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F-7</w:t>
            </w:r>
          </w:p>
        </w:tc>
      </w:tr>
      <w:tr>
        <w:trPr>
          <w:trHeight w:val="177"/>
        </w:trPr>
        <w:tc>
          <w:tcPr>
            <w:tcW w:w="7320" w:type="dxa"/>
            <w:vAlign w:val="bottom"/>
            <w:tcBorders>
              <w:bottom w:val="single" w:sz="8" w:color="0000EE"/>
            </w:tcBorders>
            <w:gridSpan w:val="6"/>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Stockholders’ Equity for the three years ended December 31, 2022, 2021, and 2020</w:t>
            </w:r>
          </w:p>
        </w:tc>
        <w:tc>
          <w:tcPr>
            <w:tcW w:w="18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F-8</w:t>
            </w:r>
          </w:p>
        </w:tc>
      </w:tr>
      <w:tr>
        <w:trPr>
          <w:trHeight w:val="177"/>
        </w:trPr>
        <w:tc>
          <w:tcPr>
            <w:tcW w:w="7500" w:type="dxa"/>
            <w:vAlign w:val="bottom"/>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Consolidated Statements of Cash Flows for the three years ended December 31, 2022, 2021, and 2020</w:t>
            </w: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F-9</w:t>
            </w:r>
          </w:p>
        </w:tc>
      </w:tr>
      <w:tr>
        <w:trPr>
          <w:trHeight w:val="20"/>
        </w:trPr>
        <w:tc>
          <w:tcPr>
            <w:tcW w:w="67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7"/>
        </w:trPr>
        <w:tc>
          <w:tcPr>
            <w:tcW w:w="6960" w:type="dxa"/>
            <w:vAlign w:val="bottom"/>
            <w:tcBorders>
              <w:bottom w:val="single" w:sz="8" w:color="0000EE"/>
            </w:tcBorders>
            <w:gridSpan w:val="5"/>
          </w:tcPr>
          <w:p>
            <w:pPr>
              <w:spacing w:after="0" w:line="177" w:lineRule="exact"/>
              <w:rPr>
                <w:sz w:val="20"/>
                <w:szCs w:val="20"/>
                <w:color w:val="auto"/>
              </w:rPr>
            </w:pPr>
            <w:r>
              <w:rPr>
                <w:rFonts w:ascii="Times New Roman" w:cs="Times New Roman" w:eastAsia="Times New Roman" w:hAnsi="Times New Roman"/>
                <w:sz w:val="16"/>
                <w:szCs w:val="16"/>
                <w:color w:val="0000EE"/>
              </w:rPr>
              <w:t>Notes to Consolidated Financial Statements for the three years ended December 31, 2022, 2021, and 2020</w:t>
            </w:r>
          </w:p>
        </w:tc>
        <w:tc>
          <w:tcPr>
            <w:tcW w:w="540" w:type="dxa"/>
            <w:vAlign w:val="bottom"/>
            <w:gridSpan w:val="2"/>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F-11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of Directors and Stockholders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jc w:val="both"/>
        <w:ind w:left="40" w:right="39"/>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CTO Realty Growth, Inc. (a Maryland corporation) and subsidiaries (the “Company”) as of December 31, 2022 and 2021, the related consolidated statements of operations, comprehensive income, stockholders’ equity, and cash flows for each of the three years in the period ended December 31, 2022, and the related notes and financial statement schedules included under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6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Times New Roman" w:cs="Times New Roman" w:eastAsia="Times New Roman" w:hAnsi="Times New Roman"/>
          <w:sz w:val="16"/>
          <w:szCs w:val="16"/>
          <w:i w:val="1"/>
          <w:iCs w:val="1"/>
          <w:color w:val="auto"/>
        </w:rPr>
        <w:t xml:space="preserve">Internal Control—Integrated Framework </w:t>
      </w:r>
      <w:r>
        <w:rPr>
          <w:rFonts w:ascii="Times New Roman" w:cs="Times New Roman" w:eastAsia="Times New Roman" w:hAnsi="Times New Roman"/>
          <w:sz w:val="16"/>
          <w:szCs w:val="16"/>
          <w:color w:val="auto"/>
        </w:rPr>
        <w:t>issued by the Committee of Sponsoring Organizations of the Treadway Commission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(“COSO”), and our report dated February 23, 2023 expressed an unqualified opinion.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7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75"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Fair value of real estate acquired with in-place leases</w:t>
      </w:r>
    </w:p>
    <w:p>
      <w:pPr>
        <w:spacing w:after="0" w:line="212" w:lineRule="exact"/>
        <w:rPr>
          <w:sz w:val="20"/>
          <w:szCs w:val="20"/>
          <w:color w:val="auto"/>
        </w:rPr>
      </w:pPr>
    </w:p>
    <w:p>
      <w:pPr>
        <w:jc w:val="both"/>
        <w:ind w:left="40" w:right="39"/>
        <w:spacing w:after="0" w:line="263" w:lineRule="auto"/>
        <w:rPr>
          <w:sz w:val="20"/>
          <w:szCs w:val="20"/>
          <w:color w:val="auto"/>
        </w:rPr>
      </w:pPr>
      <w:r>
        <w:rPr>
          <w:rFonts w:ascii="Times New Roman" w:cs="Times New Roman" w:eastAsia="Times New Roman" w:hAnsi="Times New Roman"/>
          <w:sz w:val="16"/>
          <w:szCs w:val="16"/>
          <w:color w:val="auto"/>
        </w:rPr>
        <w:t>As described further in note 3 to the consolidated financial statements, the Company acquired four multi-tenant income properties and one portfolio of three single-tenant income properties during 2022 for a total acquisition cost of $315.6 million. As described further in note 2 to the consolidated financial statements, the acquisition cost of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values are recorded as other assets or liabilities based on the present value. We identified the evaluation of the fair value of real estate acquired with in-place leases as a critical audit matter.</w:t>
      </w:r>
    </w:p>
    <w:p>
      <w:pPr>
        <w:spacing w:after="0" w:line="138"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6"/>
          <w:szCs w:val="16"/>
          <w:color w:val="auto"/>
        </w:rPr>
        <w:t>The principal considerations for our determination that the evaluation of the fair value of real estate acquired with in-place leases was a critical audit matter is that auditing the estimates of fair values of the acquired tangible assets and identified intangible assets and liabilities was complex due to the significant assumptions being sensitive to changes, including discount rates, terminal rates, and market rental rates that can be impacted by expectations about future market or economic conditions.</w:t>
      </w:r>
    </w:p>
    <w:p>
      <w:pPr>
        <w:spacing w:after="0" w:line="159"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Our audit procedures related to the evaluation of the fair value of real estate acquired with in-place leases included the following, among others.</w:t>
      </w:r>
    </w:p>
    <w:p>
      <w:pPr>
        <w:spacing w:after="0" w:line="138" w:lineRule="exact"/>
        <w:rPr>
          <w:sz w:val="20"/>
          <w:szCs w:val="20"/>
          <w:color w:val="auto"/>
        </w:rPr>
      </w:pPr>
    </w:p>
    <w:p>
      <w:pPr>
        <w:jc w:val="both"/>
        <w:ind w:left="660" w:right="59" w:hanging="304"/>
        <w:spacing w:after="0" w:line="276"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design and tested the operating effectiveness of the key controls relating to the Company’s process to account for real estate acquisitions with in-place leases, including those addressing the development of the significant assumptions, including discount rates, terminal rates and market rental rates.</w:t>
      </w:r>
    </w:p>
    <w:p>
      <w:pPr>
        <w:spacing w:after="0" w:line="152" w:lineRule="exact"/>
        <w:rPr>
          <w:sz w:val="20"/>
          <w:szCs w:val="20"/>
          <w:color w:val="auto"/>
        </w:rPr>
      </w:pPr>
    </w:p>
    <w:p>
      <w:pPr>
        <w:ind w:left="660" w:right="59" w:hanging="304"/>
        <w:spacing w:after="0" w:line="295"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involved internal valuation professionals who assisted in comparing the discount rates, terminal rates and market rental rates to independently developed ranges.</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/s/ GRANT THORNTON LLP</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 have served as the Company’s auditor since 2012.</w:t>
      </w: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Orlando, Florida</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of Directors and Stockholders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50"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CTO Realty Growth, Inc. (a Maryland corporation) and subsidiaries (the “Company”) as of December 31, 2022, based on criteria established in the 2013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Times New Roman" w:cs="Times New Roman" w:eastAsia="Times New Roman" w:hAnsi="Times New Roman"/>
          <w:sz w:val="16"/>
          <w:szCs w:val="16"/>
          <w:i w:val="1"/>
          <w:iCs w:val="1"/>
          <w:color w:val="auto"/>
        </w:rPr>
        <w:t xml:space="preserve">Internal Control—Integrated Framework </w:t>
      </w:r>
      <w:r>
        <w:rPr>
          <w:rFonts w:ascii="Times New Roman" w:cs="Times New Roman" w:eastAsia="Times New Roman" w:hAnsi="Times New Roman"/>
          <w:sz w:val="16"/>
          <w:szCs w:val="16"/>
          <w:color w:val="auto"/>
        </w:rPr>
        <w:t>issued by COSO.</w:t>
      </w:r>
    </w:p>
    <w:p>
      <w:pPr>
        <w:spacing w:after="0" w:line="16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financial statements of the Company as of and for the year ended December 31, 2022, and our report dated February 23, 2023 expressed an unqualified opinion on those financial statements.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8" w:lineRule="exact"/>
        <w:rPr>
          <w:sz w:val="20"/>
          <w:szCs w:val="20"/>
          <w:color w:val="auto"/>
        </w:rPr>
      </w:pPr>
    </w:p>
    <w:p>
      <w:pPr>
        <w:jc w:val="both"/>
        <w:ind w:left="40" w:right="39"/>
        <w:spacing w:after="0" w:line="264"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5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67"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/s/ GRANT THORNTON LLP</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Orlando, Florida</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February 23,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20" w:type="dxa"/>
            <w:vAlign w:val="bottom"/>
            <w:tcBorders>
              <w:bottom w:val="single" w:sz="8" w:color="auto"/>
            </w:tcBorders>
          </w:tcPr>
          <w:p>
            <w:pPr>
              <w:spacing w:after="0"/>
              <w:rPr>
                <w:sz w:val="18"/>
                <w:szCs w:val="18"/>
                <w:color w:val="auto"/>
              </w:rPr>
            </w:pPr>
          </w:p>
        </w:tc>
      </w:tr>
      <w:tr>
        <w:trPr>
          <w:trHeight w:val="169"/>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6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6220" w:type="dxa"/>
            <w:vAlign w:val="bottom"/>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Real Estate: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Land, at Cost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233,930</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189,589</w:t>
            </w:r>
          </w:p>
        </w:tc>
      </w:tr>
      <w:tr>
        <w:trPr>
          <w:trHeight w:val="197"/>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Building and Improvements, at Cost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325,418</w:t>
            </w: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Furnishings and Equipment, at Cost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197"/>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Construction in Process, at Cost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r>
      <w:tr>
        <w:trPr>
          <w:trHeight w:val="189"/>
        </w:trPr>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Real Estate, at Cost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770,759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518,864</w:t>
            </w:r>
          </w:p>
        </w:tc>
      </w:tr>
      <w:tr>
        <w:trPr>
          <w:trHeight w:val="197"/>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(24,169)</w:t>
            </w:r>
          </w:p>
        </w:tc>
      </w:tr>
      <w:tr>
        <w:trPr>
          <w:trHeight w:val="189"/>
        </w:trPr>
        <w:tc>
          <w:tcPr>
            <w:tcW w:w="6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Real Estate—Net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734,721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494,695</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Land and Development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Lease Assets—Net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79,492</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Assets Held for Sale—See Note 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6,720</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Alpine Income Property Trust, Inc.</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41,037</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Mitigation Credits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Mitigation Credit Rights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21,018</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39,095</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Refundable Income Taxes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Assets—See Note 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14,897</w:t>
            </w:r>
          </w:p>
        </w:tc>
      </w:tr>
      <w:tr>
        <w:trPr>
          <w:trHeight w:val="229"/>
        </w:trPr>
        <w:tc>
          <w:tcPr>
            <w:tcW w:w="62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986,545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733,139</w:t>
            </w:r>
          </w:p>
        </w:tc>
      </w:tr>
      <w:tr>
        <w:trPr>
          <w:trHeight w:val="174"/>
        </w:trPr>
        <w:tc>
          <w:tcPr>
            <w:tcW w:w="6220" w:type="dxa"/>
            <w:vAlign w:val="bottom"/>
            <w:shd w:val="clear" w:color="auto" w:fill="CCEEFF"/>
          </w:tcPr>
          <w:p>
            <w:pPr>
              <w:ind w:left="1380"/>
              <w:spacing w:after="0" w:line="174"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197"/>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and Other Liabilities—See Note 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13,121</w:t>
            </w: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Revenue—See Note 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r>
      <w:tr>
        <w:trPr>
          <w:trHeight w:val="197"/>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Lease Liabilities—Net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w:t>
            </w: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Taxes—Net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197"/>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445,583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278,273</w:t>
            </w:r>
          </w:p>
        </w:tc>
      </w:tr>
      <w:tr>
        <w:trPr>
          <w:trHeight w:val="189"/>
        </w:trPr>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481,775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302,659</w:t>
            </w:r>
          </w:p>
        </w:tc>
      </w:tr>
      <w:tr>
        <w:trPr>
          <w:trHeight w:val="189"/>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Contingencies—See Note 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0"/>
        </w:trPr>
        <w:tc>
          <w:tcPr>
            <w:tcW w:w="6220" w:type="dxa"/>
            <w:vAlign w:val="bottom"/>
          </w:tcPr>
          <w:p>
            <w:pPr>
              <w:ind w:left="100"/>
              <w:spacing w:after="0" w:line="181" w:lineRule="exact"/>
              <w:rPr>
                <w:sz w:val="20"/>
                <w:szCs w:val="20"/>
                <w:color w:val="auto"/>
              </w:rPr>
            </w:pPr>
            <w:r>
              <w:rPr>
                <w:rFonts w:ascii="Times New Roman" w:cs="Times New Roman" w:eastAsia="Times New Roman" w:hAnsi="Times New Roman"/>
                <w:sz w:val="16"/>
                <w:szCs w:val="16"/>
                <w:color w:val="auto"/>
              </w:rPr>
              <w:t>Preferred Stock – 100,000,000 shares authorized; $0.01 par value, 6.375% Series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Cumulative Redeemable Preferred Stock, $25.00 Per Share Liquidation Preference,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3,000,000 shares issued and outstanding at December 31, 2022 and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80"/>
        </w:trPr>
        <w:tc>
          <w:tcPr>
            <w:tcW w:w="62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6"/>
                <w:szCs w:val="16"/>
                <w:color w:val="auto"/>
              </w:rPr>
              <w:t>Common Stock – 500,000,000 shares authorized; $0.01 par value, 22,854,775 shares issued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and outstanding at December 31, 2022 and 17,748,678 shares issued and outstanding at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7"/>
        </w:trPr>
        <w:tc>
          <w:tcPr>
            <w:tcW w:w="6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85,414</w:t>
            </w:r>
          </w:p>
        </w:tc>
      </w:tr>
      <w:tr>
        <w:trPr>
          <w:trHeight w:val="197"/>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343,459</w:t>
            </w:r>
          </w:p>
        </w:tc>
      </w:tr>
      <w:tr>
        <w:trPr>
          <w:trHeight w:val="197"/>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189"/>
        </w:trPr>
        <w:tc>
          <w:tcPr>
            <w:tcW w:w="6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504,770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430,480</w:t>
            </w:r>
          </w:p>
        </w:tc>
      </w:tr>
      <w:tr>
        <w:trPr>
          <w:trHeight w:val="189"/>
        </w:trPr>
        <w:tc>
          <w:tcPr>
            <w:tcW w:w="6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986,545</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733,139</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5" w:name="page76"/>
    <w:bookmarkEnd w:id="75"/>
    <w:p>
      <w:pPr>
        <w:ind w:left="12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5560" w:type="dxa"/>
            <w:vAlign w:val="bottom"/>
          </w:tcPr>
          <w:p>
            <w:pPr>
              <w:spacing w:after="0"/>
              <w:rPr>
                <w:sz w:val="14"/>
                <w:szCs w:val="14"/>
                <w:color w:val="auto"/>
              </w:rPr>
            </w:pPr>
          </w:p>
        </w:tc>
        <w:tc>
          <w:tcPr>
            <w:tcW w:w="1240" w:type="dxa"/>
            <w:vAlign w:val="bottom"/>
            <w:gridSpan w:val="3"/>
          </w:tcPr>
          <w:p>
            <w:pPr>
              <w:ind w:left="6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3"/>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r>
      <w:tr>
        <w:trPr>
          <w:trHeight w:val="217"/>
        </w:trPr>
        <w:tc>
          <w:tcPr>
            <w:tcW w:w="5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r>
      <w:tr>
        <w:trPr>
          <w:trHeight w:val="18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5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Properties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80" w:type="dxa"/>
            <w:vAlign w:val="bottom"/>
          </w:tcPr>
          <w:p>
            <w:pPr>
              <w:spacing w:after="0"/>
              <w:rPr>
                <w:sz w:val="17"/>
                <w:szCs w:val="17"/>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49,953</w:t>
            </w:r>
          </w:p>
        </w:tc>
        <w:tc>
          <w:tcPr>
            <w:tcW w:w="20" w:type="dxa"/>
            <w:vAlign w:val="bottom"/>
          </w:tcPr>
          <w:p>
            <w:pPr>
              <w:spacing w:after="0"/>
              <w:rPr>
                <w:sz w:val="17"/>
                <w:szCs w:val="17"/>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Management Fee Income</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0" w:type="dxa"/>
            <w:vAlign w:val="bottom"/>
          </w:tcPr>
          <w:p>
            <w:pPr>
              <w:spacing w:after="0"/>
              <w:rPr>
                <w:sz w:val="17"/>
                <w:szCs w:val="17"/>
                <w:color w:val="auto"/>
              </w:rPr>
            </w:pPr>
          </w:p>
        </w:tc>
      </w:tr>
      <w:tr>
        <w:trPr>
          <w:trHeight w:val="197"/>
        </w:trPr>
        <w:tc>
          <w:tcPr>
            <w:tcW w:w="5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 From Commercial Loans and Investments</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20" w:type="dxa"/>
            <w:vAlign w:val="bottom"/>
          </w:tcPr>
          <w:p>
            <w:pPr>
              <w:spacing w:after="0"/>
              <w:rPr>
                <w:sz w:val="17"/>
                <w:szCs w:val="17"/>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Real Estate Operations</w:t>
            </w: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tcPr>
          <w:p>
            <w:pPr>
              <w:spacing w:after="0"/>
              <w:rPr>
                <w:sz w:val="17"/>
                <w:szCs w:val="17"/>
                <w:color w:val="auto"/>
              </w:rPr>
            </w:pPr>
          </w:p>
        </w:tc>
      </w:tr>
      <w:tr>
        <w:trPr>
          <w:trHeight w:val="189"/>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70,272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56,381</w:t>
            </w:r>
          </w:p>
        </w:tc>
        <w:tc>
          <w:tcPr>
            <w:tcW w:w="20" w:type="dxa"/>
            <w:vAlign w:val="bottom"/>
          </w:tcPr>
          <w:p>
            <w:pPr>
              <w:spacing w:after="0"/>
              <w:rPr>
                <w:sz w:val="16"/>
                <w:szCs w:val="16"/>
                <w:color w:val="auto"/>
              </w:rPr>
            </w:pPr>
          </w:p>
        </w:tc>
      </w:tr>
      <w:tr>
        <w:trPr>
          <w:trHeight w:val="18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 of Revenues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5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Properties</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(20,364)</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(13,815)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(11,988)</w:t>
            </w:r>
          </w:p>
        </w:tc>
        <w:tc>
          <w:tcPr>
            <w:tcW w:w="20" w:type="dxa"/>
            <w:vAlign w:val="bottom"/>
          </w:tcPr>
          <w:p>
            <w:pPr>
              <w:spacing w:after="0"/>
              <w:rPr>
                <w:sz w:val="17"/>
                <w:szCs w:val="17"/>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Real Estate Operations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(2,493)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(8,615)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20" w:type="dxa"/>
            <w:vAlign w:val="bottom"/>
          </w:tcPr>
          <w:p>
            <w:pPr>
              <w:spacing w:after="0"/>
              <w:rPr>
                <w:sz w:val="17"/>
                <w:szCs w:val="17"/>
                <w:color w:val="auto"/>
              </w:rPr>
            </w:pPr>
          </w:p>
        </w:tc>
      </w:tr>
      <w:tr>
        <w:trPr>
          <w:trHeight w:val="189"/>
        </w:trPr>
        <w:tc>
          <w:tcPr>
            <w:tcW w:w="5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Direct Cost of Revenues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(22,430)</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(15,211)</w:t>
            </w:r>
          </w:p>
        </w:tc>
        <w:tc>
          <w:tcPr>
            <w:tcW w:w="20" w:type="dxa"/>
            <w:vAlign w:val="bottom"/>
          </w:tcPr>
          <w:p>
            <w:pPr>
              <w:spacing w:after="0"/>
              <w:rPr>
                <w:sz w:val="16"/>
                <w:szCs w:val="16"/>
                <w:color w:val="auto"/>
              </w:rPr>
            </w:pPr>
          </w:p>
        </w:tc>
      </w:tr>
      <w:tr>
        <w:trPr>
          <w:trHeight w:val="19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(12,899)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(11,202)</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20" w:type="dxa"/>
            <w:vAlign w:val="bottom"/>
          </w:tcPr>
          <w:p>
            <w:pPr>
              <w:spacing w:after="0"/>
              <w:rPr>
                <w:sz w:val="17"/>
                <w:szCs w:val="17"/>
                <w:color w:val="auto"/>
              </w:rPr>
            </w:pPr>
          </w:p>
        </w:tc>
      </w:tr>
      <w:tr>
        <w:trPr>
          <w:trHeight w:val="19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Impairment Charges</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(17,599)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20" w:type="dxa"/>
            <w:vAlign w:val="bottom"/>
          </w:tcPr>
          <w:p>
            <w:pPr>
              <w:spacing w:after="0"/>
              <w:rPr>
                <w:sz w:val="17"/>
                <w:szCs w:val="17"/>
                <w:color w:val="auto"/>
              </w:rPr>
            </w:pPr>
          </w:p>
        </w:tc>
      </w:tr>
      <w:tr>
        <w:trPr>
          <w:trHeight w:val="19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(28,855)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(20,581)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20" w:type="dxa"/>
            <w:vAlign w:val="bottom"/>
          </w:tcPr>
          <w:p>
            <w:pPr>
              <w:spacing w:after="0"/>
              <w:rPr>
                <w:sz w:val="17"/>
                <w:szCs w:val="17"/>
                <w:color w:val="auto"/>
              </w:rPr>
            </w:pPr>
          </w:p>
        </w:tc>
      </w:tr>
      <w:tr>
        <w:trPr>
          <w:trHeight w:val="189"/>
        </w:trPr>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(64,611)</w:t>
            </w:r>
          </w:p>
        </w:tc>
        <w:tc>
          <w:tcPr>
            <w:tcW w:w="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(71,812)</w:t>
            </w:r>
          </w:p>
        </w:tc>
        <w:tc>
          <w:tcPr>
            <w:tcW w:w="1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(54,988)</w:t>
            </w:r>
          </w:p>
        </w:tc>
        <w:tc>
          <w:tcPr>
            <w:tcW w:w="20" w:type="dxa"/>
            <w:vAlign w:val="bottom"/>
          </w:tcPr>
          <w:p>
            <w:pPr>
              <w:spacing w:after="0"/>
              <w:rPr>
                <w:sz w:val="16"/>
                <w:szCs w:val="16"/>
                <w:color w:val="auto"/>
              </w:rPr>
            </w:pPr>
          </w:p>
        </w:tc>
      </w:tr>
      <w:tr>
        <w:trPr>
          <w:trHeight w:val="18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28,316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20" w:type="dxa"/>
            <w:vAlign w:val="bottom"/>
          </w:tcPr>
          <w:p>
            <w:pPr>
              <w:spacing w:after="0"/>
              <w:rPr>
                <w:sz w:val="16"/>
                <w:szCs w:val="16"/>
                <w:color w:val="auto"/>
              </w:rPr>
            </w:pPr>
          </w:p>
        </w:tc>
      </w:tr>
      <w:tr>
        <w:trPr>
          <w:trHeight w:val="19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(3,431)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0" w:type="dxa"/>
            <w:vAlign w:val="bottom"/>
          </w:tcPr>
          <w:p>
            <w:pPr>
              <w:spacing w:after="0"/>
              <w:rPr>
                <w:sz w:val="17"/>
                <w:szCs w:val="17"/>
                <w:color w:val="auto"/>
              </w:rPr>
            </w:pPr>
          </w:p>
        </w:tc>
      </w:tr>
      <w:tr>
        <w:trPr>
          <w:trHeight w:val="189"/>
        </w:trPr>
        <w:tc>
          <w:tcPr>
            <w:tcW w:w="5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Gain (Loss)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24,885</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20" w:type="dxa"/>
            <w:vAlign w:val="bottom"/>
          </w:tcPr>
          <w:p>
            <w:pPr>
              <w:spacing w:after="0"/>
              <w:rPr>
                <w:sz w:val="16"/>
                <w:szCs w:val="16"/>
                <w:color w:val="auto"/>
              </w:rPr>
            </w:pPr>
          </w:p>
        </w:tc>
      </w:tr>
      <w:tr>
        <w:trPr>
          <w:trHeight w:val="189"/>
        </w:trPr>
        <w:tc>
          <w:tcPr>
            <w:tcW w:w="5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Operating Income</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20" w:type="dxa"/>
            <w:vAlign w:val="bottom"/>
          </w:tcPr>
          <w:p>
            <w:pPr>
              <w:spacing w:after="0"/>
              <w:rPr>
                <w:sz w:val="16"/>
                <w:szCs w:val="16"/>
                <w:color w:val="auto"/>
              </w:rPr>
            </w:pPr>
          </w:p>
        </w:tc>
      </w:tr>
      <w:tr>
        <w:trPr>
          <w:trHeight w:val="19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and Other Income (Loss)</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20" w:type="dxa"/>
            <w:vAlign w:val="bottom"/>
          </w:tcPr>
          <w:p>
            <w:pPr>
              <w:spacing w:after="0"/>
              <w:rPr>
                <w:sz w:val="17"/>
                <w:szCs w:val="17"/>
                <w:color w:val="auto"/>
              </w:rPr>
            </w:pPr>
          </w:p>
        </w:tc>
      </w:tr>
      <w:tr>
        <w:trPr>
          <w:trHeight w:val="19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(11,115)</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(8,929)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20" w:type="dxa"/>
            <w:vAlign w:val="bottom"/>
          </w:tcPr>
          <w:p>
            <w:pPr>
              <w:spacing w:after="0"/>
              <w:rPr>
                <w:sz w:val="17"/>
                <w:szCs w:val="17"/>
                <w:color w:val="auto"/>
              </w:rPr>
            </w:pPr>
          </w:p>
        </w:tc>
      </w:tr>
      <w:tr>
        <w:trPr>
          <w:trHeight w:val="189"/>
        </w:trPr>
        <w:tc>
          <w:tcPr>
            <w:tcW w:w="5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(Loss) Before Income Tax Benefit</w:t>
            </w: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26,861</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20" w:type="dxa"/>
            <w:vAlign w:val="bottom"/>
          </w:tcPr>
          <w:p>
            <w:pPr>
              <w:spacing w:after="0"/>
              <w:rPr>
                <w:sz w:val="16"/>
                <w:szCs w:val="16"/>
                <w:color w:val="auto"/>
              </w:rPr>
            </w:pPr>
          </w:p>
        </w:tc>
      </w:tr>
      <w:tr>
        <w:trPr>
          <w:trHeight w:val="197"/>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83,499</w:t>
            </w:r>
          </w:p>
        </w:tc>
        <w:tc>
          <w:tcPr>
            <w:tcW w:w="20" w:type="dxa"/>
            <w:vAlign w:val="bottom"/>
          </w:tcPr>
          <w:p>
            <w:pPr>
              <w:spacing w:after="0"/>
              <w:rPr>
                <w:sz w:val="17"/>
                <w:szCs w:val="17"/>
                <w:color w:val="auto"/>
              </w:rPr>
            </w:pPr>
          </w:p>
        </w:tc>
      </w:tr>
      <w:tr>
        <w:trPr>
          <w:trHeight w:val="189"/>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20" w:type="dxa"/>
            <w:vAlign w:val="bottom"/>
          </w:tcPr>
          <w:p>
            <w:pPr>
              <w:spacing w:after="0"/>
              <w:rPr>
                <w:sz w:val="16"/>
                <w:szCs w:val="16"/>
                <w:color w:val="auto"/>
              </w:rPr>
            </w:pPr>
          </w:p>
        </w:tc>
      </w:tr>
      <w:tr>
        <w:trPr>
          <w:trHeight w:val="19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Preferred Stockholders</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(4,781)</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(2,325)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89"/>
        </w:trPr>
        <w:tc>
          <w:tcPr>
            <w:tcW w:w="5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20" w:type="dxa"/>
            <w:vAlign w:val="bottom"/>
          </w:tcPr>
          <w:p>
            <w:pPr>
              <w:spacing w:after="0"/>
              <w:rPr>
                <w:sz w:val="16"/>
                <w:szCs w:val="16"/>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Information—See Note 14:</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 and Diluted Net Income (Loss) Attributable to Common Stockholders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7"/>
                <w:szCs w:val="17"/>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0" w:type="dxa"/>
            <w:vAlign w:val="bottom"/>
          </w:tcPr>
          <w:p>
            <w:pPr>
              <w:spacing w:after="0"/>
              <w:rPr>
                <w:sz w:val="17"/>
                <w:szCs w:val="17"/>
                <w:color w:val="auto"/>
              </w:rPr>
            </w:pPr>
          </w:p>
        </w:tc>
      </w:tr>
      <w:tr>
        <w:trPr>
          <w:trHeight w:val="197"/>
        </w:trPr>
        <w:tc>
          <w:tcPr>
            <w:tcW w:w="5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18,508,201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17,676,809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14,114,631</w:t>
            </w:r>
          </w:p>
        </w:tc>
        <w:tc>
          <w:tcPr>
            <w:tcW w:w="20" w:type="dxa"/>
            <w:vAlign w:val="bottom"/>
          </w:tcPr>
          <w:p>
            <w:pPr>
              <w:spacing w:after="0"/>
              <w:rPr>
                <w:sz w:val="17"/>
                <w:szCs w:val="17"/>
                <w:color w:val="auto"/>
              </w:rPr>
            </w:pPr>
          </w:p>
        </w:tc>
      </w:tr>
    </w:tbl>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330835</wp:posOffset>
            </wp:positionV>
            <wp:extent cx="567690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160"/>
          </w:cols>
          <w:pgMar w:left="1360" w:top="480" w:right="1379"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69"/>
        </w:trPr>
        <w:tc>
          <w:tcPr>
            <w:tcW w:w="4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42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7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29,940</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r>
      <w:tr>
        <w:trPr>
          <w:trHeight w:val="189"/>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Flow Hedging Derivative - Interest Rate Swaps</w:t>
            </w: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189"/>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(1,984)</w:t>
            </w:r>
          </w:p>
        </w:tc>
      </w:tr>
      <w:tr>
        <w:trPr>
          <w:trHeight w:val="189"/>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76,525</w:t>
            </w:r>
          </w:p>
        </w:tc>
      </w:tr>
      <w:tr>
        <w:trPr>
          <w:trHeight w:val="20"/>
        </w:trPr>
        <w:tc>
          <w:tcPr>
            <w:tcW w:w="4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79"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r>
        <w:rPr>
          <w:rFonts w:ascii="Times New Roman" w:cs="Times New Roman" w:eastAsia="Times New Roman" w:hAnsi="Times New Roman"/>
          <w:sz w:val="13"/>
          <w:szCs w:val="13"/>
          <w:b w:val="1"/>
          <w:bCs w:val="1"/>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3"/>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63"/>
              <w:spacing w:after="0" w:line="12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tc>
      </w:tr>
      <w:tr>
        <w:trPr>
          <w:trHeight w:val="115"/>
        </w:trPr>
        <w:tc>
          <w:tcPr>
            <w:tcW w:w="20" w:type="dxa"/>
            <w:vAlign w:val="bottom"/>
          </w:tcPr>
          <w:p>
            <w:pPr>
              <w:spacing w:after="0"/>
              <w:rPr>
                <w:sz w:val="10"/>
                <w:szCs w:val="10"/>
                <w:color w:val="auto"/>
              </w:rPr>
            </w:pPr>
          </w:p>
        </w:tc>
        <w:tc>
          <w:tcPr>
            <w:tcW w:w="27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January 1, 2020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ind w:left="7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6,017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(73,441)</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26,690</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326,073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74</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285,413</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Net Income Attributable to the Company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78,509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78,509</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Stock Repurchase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(4,100)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(4,100)</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Equity Component of Convertible Debt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5,248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5,248</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Vested Restricted Stock</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(562)</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(538)</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Stock Issuance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503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513</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2,308</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2,308</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Cash Dividends ($0.63 per share)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(8,866)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(8,866)</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Special Distribution - REIT Conversion ($3.99 per share)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1,199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48,996</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(55,799)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(5,604)</w:t>
            </w:r>
          </w:p>
        </w:tc>
      </w:tr>
      <w:tr>
        <w:trPr>
          <w:trHeight w:val="123"/>
        </w:trPr>
        <w:tc>
          <w:tcPr>
            <w:tcW w:w="20" w:type="dxa"/>
            <w:vAlign w:val="bottom"/>
          </w:tcPr>
          <w:p>
            <w:pPr>
              <w:spacing w:after="0"/>
              <w:rPr>
                <w:sz w:val="10"/>
                <w:szCs w:val="10"/>
                <w:color w:val="auto"/>
              </w:rPr>
            </w:pPr>
          </w:p>
        </w:tc>
        <w:tc>
          <w:tcPr>
            <w:tcW w:w="2720" w:type="dxa"/>
            <w:vAlign w:val="bottom"/>
            <w:tcBorders>
              <w:bottom w:val="single" w:sz="8" w:color="CCEEFF"/>
            </w:tcBorders>
          </w:tcPr>
          <w:p>
            <w:pPr>
              <w:spacing w:after="0" w:line="123" w:lineRule="exact"/>
              <w:rPr>
                <w:sz w:val="20"/>
                <w:szCs w:val="20"/>
                <w:color w:val="auto"/>
              </w:rPr>
            </w:pPr>
            <w:r>
              <w:rPr>
                <w:rFonts w:ascii="Times New Roman" w:cs="Times New Roman" w:eastAsia="Times New Roman" w:hAnsi="Times New Roman"/>
                <w:sz w:val="11"/>
                <w:szCs w:val="11"/>
                <w:color w:val="auto"/>
              </w:rPr>
              <w:t>Other Comprehensive Loss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(1,984)</w:t>
            </w:r>
          </w:p>
        </w:tc>
        <w:tc>
          <w:tcPr>
            <w:tcW w:w="1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(1,984)</w:t>
            </w:r>
          </w:p>
        </w:tc>
      </w:tr>
      <w:tr>
        <w:trPr>
          <w:trHeight w:val="115"/>
        </w:trPr>
        <w:tc>
          <w:tcPr>
            <w:tcW w:w="20" w:type="dxa"/>
            <w:vAlign w:val="bottom"/>
          </w:tcPr>
          <w:p>
            <w:pPr>
              <w:spacing w:after="0"/>
              <w:rPr>
                <w:sz w:val="10"/>
                <w:szCs w:val="10"/>
                <w:color w:val="auto"/>
              </w:rPr>
            </w:pPr>
          </w:p>
        </w:tc>
        <w:tc>
          <w:tcPr>
            <w:tcW w:w="27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December 31, 2020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7,250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(77,541)</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83,183</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339,917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(1,910)</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350,899</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Net Income Attributable to the Company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29,940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29,940</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Stock Repurchase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(2,210)</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(2,210)</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Vested Restricted Stock and Performance Shares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(436)</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(436)</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Exercise of Stock Options and Common Stock Issuance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357</w:t>
            </w:r>
          </w:p>
        </w:tc>
      </w:tr>
      <w:tr>
        <w:trPr>
          <w:trHeight w:val="107"/>
        </w:trPr>
        <w:tc>
          <w:tcPr>
            <w:tcW w:w="20" w:type="dxa"/>
            <w:vAlign w:val="bottom"/>
          </w:tcPr>
          <w:p>
            <w:pPr>
              <w:spacing w:after="0"/>
              <w:rPr>
                <w:sz w:val="9"/>
                <w:szCs w:val="9"/>
                <w:color w:val="auto"/>
              </w:rPr>
            </w:pPr>
          </w:p>
        </w:tc>
        <w:tc>
          <w:tcPr>
            <w:tcW w:w="272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Issuance of Preferred Stock, Net of Underwriting</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9"/>
        </w:trPr>
        <w:tc>
          <w:tcPr>
            <w:tcW w:w="2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 and Expenses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72,430</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Common Stock Equity Issuance Costs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(197)</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(197)</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2,668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2,668</w:t>
            </w:r>
          </w:p>
        </w:tc>
      </w:tr>
      <w:tr>
        <w:trPr>
          <w:trHeight w:val="107"/>
        </w:trPr>
        <w:tc>
          <w:tcPr>
            <w:tcW w:w="20" w:type="dxa"/>
            <w:vAlign w:val="bottom"/>
          </w:tcPr>
          <w:p>
            <w:pPr>
              <w:spacing w:after="0"/>
              <w:rPr>
                <w:sz w:val="9"/>
                <w:szCs w:val="9"/>
                <w:color w:val="auto"/>
              </w:rPr>
            </w:pPr>
          </w:p>
        </w:tc>
        <w:tc>
          <w:tcPr>
            <w:tcW w:w="27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Par Value $0.01 per Share and Treasury Stock</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3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Derecognized at January 29, 2021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77,541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(70,351)</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Preferred Stock Dividends Declared for the Period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(2,325)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(2,325)</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Common Stock Dividends Declared for the Period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(24,073)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(24,073)</w:t>
            </w:r>
          </w:p>
        </w:tc>
      </w:tr>
      <w:tr>
        <w:trPr>
          <w:trHeight w:val="123"/>
        </w:trPr>
        <w:tc>
          <w:tcPr>
            <w:tcW w:w="20" w:type="dxa"/>
            <w:vAlign w:val="bottom"/>
          </w:tcPr>
          <w:p>
            <w:pPr>
              <w:spacing w:after="0"/>
              <w:rPr>
                <w:sz w:val="10"/>
                <w:szCs w:val="10"/>
                <w:color w:val="auto"/>
              </w:rPr>
            </w:pPr>
          </w:p>
        </w:tc>
        <w:tc>
          <w:tcPr>
            <w:tcW w:w="2720" w:type="dxa"/>
            <w:vAlign w:val="bottom"/>
            <w:tcBorders>
              <w:bottom w:val="single" w:sz="8" w:color="CCEEFF"/>
            </w:tcBorders>
          </w:tcPr>
          <w:p>
            <w:pPr>
              <w:spacing w:after="0" w:line="123" w:lineRule="exact"/>
              <w:rPr>
                <w:sz w:val="20"/>
                <w:szCs w:val="20"/>
                <w:color w:val="auto"/>
              </w:rPr>
            </w:pPr>
            <w:r>
              <w:rPr>
                <w:rFonts w:ascii="Times New Roman" w:cs="Times New Roman" w:eastAsia="Times New Roman" w:hAnsi="Times New Roman"/>
                <w:sz w:val="11"/>
                <w:szCs w:val="11"/>
                <w:color w:val="auto"/>
              </w:rPr>
              <w:t>Other Comprehensive Income</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3,427</w:t>
            </w:r>
          </w:p>
        </w:tc>
        <w:tc>
          <w:tcPr>
            <w:tcW w:w="1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1"/>
                <w:szCs w:val="11"/>
                <w:color w:val="auto"/>
              </w:rPr>
              <w:t>3,427</w:t>
            </w:r>
          </w:p>
        </w:tc>
      </w:tr>
      <w:tr>
        <w:trPr>
          <w:trHeight w:val="115"/>
        </w:trPr>
        <w:tc>
          <w:tcPr>
            <w:tcW w:w="20" w:type="dxa"/>
            <w:vAlign w:val="bottom"/>
          </w:tcPr>
          <w:p>
            <w:pPr>
              <w:spacing w:after="0"/>
              <w:rPr>
                <w:sz w:val="10"/>
                <w:szCs w:val="10"/>
                <w:color w:val="auto"/>
              </w:rPr>
            </w:pPr>
          </w:p>
        </w:tc>
        <w:tc>
          <w:tcPr>
            <w:tcW w:w="27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December 31, 2021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15"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85,414</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343,459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1,517</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430,480</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Net Income Attributable to the Company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3,158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3,158</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Three-for-One Stock Split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122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(122)</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r>
      <w:tr>
        <w:trPr>
          <w:trHeight w:val="107"/>
        </w:trPr>
        <w:tc>
          <w:tcPr>
            <w:tcW w:w="20" w:type="dxa"/>
            <w:vAlign w:val="bottom"/>
          </w:tcPr>
          <w:p>
            <w:pPr>
              <w:spacing w:after="0"/>
              <w:rPr>
                <w:sz w:val="9"/>
                <w:szCs w:val="9"/>
                <w:color w:val="auto"/>
              </w:rPr>
            </w:pPr>
          </w:p>
        </w:tc>
        <w:tc>
          <w:tcPr>
            <w:tcW w:w="2720" w:type="dxa"/>
            <w:vAlign w:val="bottom"/>
          </w:tcPr>
          <w:p>
            <w:pPr>
              <w:spacing w:after="0" w:line="107" w:lineRule="exact"/>
              <w:rPr>
                <w:sz w:val="20"/>
                <w:szCs w:val="20"/>
                <w:color w:val="auto"/>
              </w:rPr>
            </w:pPr>
            <w:r>
              <w:rPr>
                <w:rFonts w:ascii="Times New Roman" w:cs="Times New Roman" w:eastAsia="Times New Roman" w:hAnsi="Times New Roman"/>
                <w:sz w:val="11"/>
                <w:szCs w:val="11"/>
                <w:color w:val="auto"/>
              </w:rPr>
              <w:t>Adjustment to Equity Component of Convertible Debt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9"/>
        </w:trPr>
        <w:tc>
          <w:tcPr>
            <w:tcW w:w="2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Upon Adoption of ASU 2020-06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(3,012)</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Stock Repurchase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(2,791)</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(2,792)</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Vested Restricted Stock and Performance Shares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(845)</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(845)</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Exercise of Stock Options and Common Stock Issuance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315</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315</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Stock Issuance, Net of Equity Issuance Costs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94,803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94,851</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2,731</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2,731</w:t>
            </w:r>
          </w:p>
        </w:tc>
      </w:tr>
      <w:tr>
        <w:trPr>
          <w:trHeight w:val="123"/>
        </w:trPr>
        <w:tc>
          <w:tcPr>
            <w:tcW w:w="20" w:type="dxa"/>
            <w:vAlign w:val="bottom"/>
          </w:tcPr>
          <w:p>
            <w:pPr>
              <w:spacing w:after="0"/>
              <w:rPr>
                <w:sz w:val="10"/>
                <w:szCs w:val="10"/>
                <w:color w:val="auto"/>
              </w:rPr>
            </w:pPr>
          </w:p>
        </w:tc>
        <w:tc>
          <w:tcPr>
            <w:tcW w:w="2720" w:type="dxa"/>
            <w:vAlign w:val="bottom"/>
          </w:tcPr>
          <w:p>
            <w:pPr>
              <w:spacing w:after="0" w:line="123" w:lineRule="exact"/>
              <w:rPr>
                <w:sz w:val="20"/>
                <w:szCs w:val="20"/>
                <w:color w:val="auto"/>
              </w:rPr>
            </w:pPr>
            <w:r>
              <w:rPr>
                <w:rFonts w:ascii="Times New Roman" w:cs="Times New Roman" w:eastAsia="Times New Roman" w:hAnsi="Times New Roman"/>
                <w:sz w:val="11"/>
                <w:szCs w:val="11"/>
                <w:color w:val="auto"/>
              </w:rPr>
              <w:t>Preferred Stock Dividends Declared for the Period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(4,781)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3" w:lineRule="exact"/>
              <w:rPr>
                <w:sz w:val="20"/>
                <w:szCs w:val="20"/>
                <w:color w:val="auto"/>
              </w:rPr>
            </w:pPr>
            <w:r>
              <w:rPr>
                <w:rFonts w:ascii="Times New Roman" w:cs="Times New Roman" w:eastAsia="Times New Roman" w:hAnsi="Times New Roman"/>
                <w:sz w:val="11"/>
                <w:szCs w:val="11"/>
                <w:color w:val="auto"/>
              </w:rPr>
              <w:t>(4,781)</w:t>
            </w:r>
          </w:p>
        </w:tc>
      </w:tr>
      <w:tr>
        <w:trPr>
          <w:trHeight w:val="123"/>
        </w:trPr>
        <w:tc>
          <w:tcPr>
            <w:tcW w:w="20" w:type="dxa"/>
            <w:vAlign w:val="bottom"/>
          </w:tcPr>
          <w:p>
            <w:pPr>
              <w:spacing w:after="0"/>
              <w:rPr>
                <w:sz w:val="10"/>
                <w:szCs w:val="10"/>
                <w:color w:val="auto"/>
              </w:rPr>
            </w:pPr>
          </w:p>
        </w:tc>
        <w:tc>
          <w:tcPr>
            <w:tcW w:w="27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Common Stock Dividends Declared for the Period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ind w:left="7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(29,579)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(29,579)</w:t>
            </w:r>
          </w:p>
        </w:tc>
      </w:tr>
      <w:tr>
        <w:trPr>
          <w:trHeight w:val="209"/>
        </w:trPr>
        <w:tc>
          <w:tcPr>
            <w:tcW w:w="2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14,244</w:t>
            </w:r>
          </w:p>
        </w:tc>
      </w:tr>
      <w:tr>
        <w:trPr>
          <w:trHeight w:val="115"/>
        </w:trPr>
        <w:tc>
          <w:tcPr>
            <w:tcW w:w="20" w:type="dxa"/>
            <w:vAlign w:val="bottom"/>
          </w:tcPr>
          <w:p>
            <w:pPr>
              <w:spacing w:after="0"/>
              <w:rPr>
                <w:sz w:val="10"/>
                <w:szCs w:val="10"/>
                <w:color w:val="auto"/>
              </w:rPr>
            </w:pPr>
          </w:p>
        </w:tc>
        <w:tc>
          <w:tcPr>
            <w:tcW w:w="27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December 31, 2022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ind w:left="740"/>
              <w:spacing w:after="0" w:line="115" w:lineRule="exact"/>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229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172,471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316,279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15,761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504,770</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330835</wp:posOffset>
            </wp:positionV>
            <wp:extent cx="664464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6644640" cy="15875"/>
                    </a:xfrm>
                    <a:prstGeom prst="rect">
                      <a:avLst/>
                    </a:prstGeom>
                    <a:noFill/>
                  </pic:spPr>
                </pic:pic>
              </a:graphicData>
            </a:graphic>
          </wp:anchor>
        </w:drawing>
      </w:r>
    </w:p>
    <w:p>
      <w:pPr>
        <w:sectPr>
          <w:pgSz w:w="11900" w:h="16838" w:orient="portrait"/>
          <w:cols w:equalWidth="0" w:num="1">
            <w:col w:w="10480"/>
          </w:cols>
          <w:pgMar w:left="700" w:top="480" w:right="719"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3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60" w:type="dxa"/>
            <w:vAlign w:val="bottom"/>
          </w:tcPr>
          <w:p>
            <w:pPr>
              <w:spacing w:after="0"/>
              <w:rPr>
                <w:sz w:val="11"/>
                <w:szCs w:val="11"/>
                <w:color w:val="auto"/>
              </w:rPr>
            </w:pPr>
          </w:p>
        </w:tc>
        <w:tc>
          <w:tcPr>
            <w:tcW w:w="1140" w:type="dxa"/>
            <w:vAlign w:val="bottom"/>
          </w:tcPr>
          <w:p>
            <w:pPr>
              <w:jc w:val="right"/>
              <w:ind w:right="14"/>
              <w:spacing w:after="0" w:line="128" w:lineRule="exact"/>
              <w:rPr>
                <w:sz w:val="20"/>
                <w:szCs w:val="20"/>
                <w:color w:val="auto"/>
              </w:rPr>
            </w:pPr>
            <w:r>
              <w:rPr>
                <w:rFonts w:ascii="Times New Roman" w:cs="Times New Roman" w:eastAsia="Times New Roman" w:hAnsi="Times New Roman"/>
                <w:sz w:val="13"/>
                <w:szCs w:val="13"/>
                <w:b w:val="1"/>
                <w:bCs w:val="1"/>
                <w:color w:val="auto"/>
                <w:w w:val="98"/>
              </w:rPr>
              <w:t>December 31, 2020</w:t>
            </w:r>
          </w:p>
        </w:tc>
        <w:tc>
          <w:tcPr>
            <w:tcW w:w="20" w:type="dxa"/>
            <w:vAlign w:val="bottom"/>
          </w:tcPr>
          <w:p>
            <w:pPr>
              <w:spacing w:after="0"/>
              <w:rPr>
                <w:sz w:val="11"/>
                <w:szCs w:val="11"/>
                <w:color w:val="auto"/>
              </w:rPr>
            </w:pPr>
          </w:p>
        </w:tc>
      </w:tr>
      <w:tr>
        <w:trPr>
          <w:trHeight w:val="128"/>
        </w:trPr>
        <w:tc>
          <w:tcPr>
            <w:tcW w:w="506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Cash Flow from Operating Activities:</w:t>
            </w: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Net Income Attributable to the Company</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3,158</w:t>
            </w:r>
          </w:p>
        </w:tc>
        <w:tc>
          <w:tcPr>
            <w:tcW w:w="12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29,940</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78,509</w:t>
            </w:r>
          </w:p>
        </w:tc>
        <w:tc>
          <w:tcPr>
            <w:tcW w:w="20" w:type="dxa"/>
            <w:vAlign w:val="bottom"/>
          </w:tcPr>
          <w:p>
            <w:pPr>
              <w:spacing w:after="0"/>
              <w:rPr>
                <w:sz w:val="11"/>
                <w:szCs w:val="11"/>
                <w:color w:val="auto"/>
              </w:rPr>
            </w:pPr>
          </w:p>
        </w:tc>
      </w:tr>
      <w:tr>
        <w:trPr>
          <w:trHeight w:val="115"/>
        </w:trPr>
        <w:tc>
          <w:tcPr>
            <w:tcW w:w="50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Adjustments to Reconcile Net Income Attributable to the Company to Net Cash Provided by</w:t>
            </w: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28,855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20,581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19,063</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Amortization of Intangible Liabilities to Income Property Revenue</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2,161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(404)</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(1,754)</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Amortization of Deferred Financing Costs to Interest Expense</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454</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Amortization of Discount on Convertible Debt</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189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1,379</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Gain on Disposition of Real Estate and Intangible Lease Assets and Liabilities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(3,869)</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(28,316)</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(7,509)</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Loss on Disposition of Mitigation Bank</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11,713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Gain on Disposition of Assets Held for Sale</w:t>
            </w:r>
          </w:p>
        </w:tc>
        <w:tc>
          <w:tcPr>
            <w:tcW w:w="80" w:type="dxa"/>
            <w:vAlign w:val="bottom"/>
          </w:tcPr>
          <w:p>
            <w:pPr>
              <w:spacing w:after="0"/>
              <w:rPr>
                <w:sz w:val="11"/>
                <w:szCs w:val="11"/>
                <w:color w:val="auto"/>
              </w:rPr>
            </w:pPr>
          </w:p>
        </w:tc>
        <w:tc>
          <w:tcPr>
            <w:tcW w:w="12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(2,590)</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Loss (Gain) on Disposition of Commercial Loans and Investments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(802)</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353</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Loss (Gain) on Extinguishment of Debt</w:t>
            </w:r>
          </w:p>
        </w:tc>
        <w:tc>
          <w:tcPr>
            <w:tcW w:w="80" w:type="dxa"/>
            <w:vAlign w:val="bottom"/>
          </w:tcPr>
          <w:p>
            <w:pPr>
              <w:spacing w:after="0"/>
              <w:rPr>
                <w:sz w:val="11"/>
                <w:szCs w:val="11"/>
                <w:color w:val="auto"/>
              </w:rPr>
            </w:pPr>
          </w:p>
        </w:tc>
        <w:tc>
          <w:tcPr>
            <w:tcW w:w="12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3,431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(1,141)</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Impairment Charges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17,599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9,147</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Accretion of Commercial Loans and Investments Origination Fees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(161)</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Non-Cash Imputed Interest</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(438)</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(428)</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Deferred Income Taxes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(3,013)</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(3,038)</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(90,532)</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Unrealized (Gain) Loss on Investment Securities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(10,340)</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8,240</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Non-Cash Compensation</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3,168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2,786</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Decrease (Increase) in Assets: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Refundable Income Taxes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(416)</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Assets Held for Sale</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833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Land and Development Costs</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6,391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(493)</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Mitigation Credits and Mitigation Credit Rights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10,427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(15,750)</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3,323</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(5,067)</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(3,191)</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(1,802)</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(Decrease) Increase in Liabilities: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(370)</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(340)</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Accrued and Other Liabilities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3,863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5,680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3,402</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1,186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(2,511)</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Liabilities Held for Sale</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(831)</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Income Taxes Payable</w:t>
            </w:r>
          </w:p>
        </w:tc>
        <w:tc>
          <w:tcPr>
            <w:tcW w:w="80" w:type="dxa"/>
            <w:vAlign w:val="bottom"/>
          </w:tcPr>
          <w:p>
            <w:pPr>
              <w:spacing w:after="0"/>
              <w:rPr>
                <w:sz w:val="11"/>
                <w:szCs w:val="11"/>
                <w:color w:val="auto"/>
              </w:rPr>
            </w:pPr>
          </w:p>
        </w:tc>
        <w:tc>
          <w:tcPr>
            <w:tcW w:w="12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(439)</w:t>
            </w:r>
          </w:p>
        </w:tc>
        <w:tc>
          <w:tcPr>
            <w:tcW w:w="20" w:type="dxa"/>
            <w:vAlign w:val="bottom"/>
          </w:tcPr>
          <w:p>
            <w:pPr>
              <w:spacing w:after="0"/>
              <w:rPr>
                <w:sz w:val="11"/>
                <w:szCs w:val="11"/>
                <w:color w:val="auto"/>
              </w:rPr>
            </w:pPr>
          </w:p>
        </w:tc>
      </w:tr>
      <w:tr>
        <w:trPr>
          <w:trHeight w:val="128"/>
        </w:trPr>
        <w:tc>
          <w:tcPr>
            <w:tcW w:w="5060" w:type="dxa"/>
            <w:vAlign w:val="bottom"/>
            <w:tcBorders>
              <w:top w:val="single" w:sz="8" w:color="CCEEFF"/>
            </w:tcBorders>
            <w:gridSpan w:val="2"/>
            <w:shd w:val="clear" w:color="auto" w:fill="CCEEFF"/>
          </w:tcPr>
          <w:p>
            <w:pPr>
              <w:ind w:left="300"/>
              <w:spacing w:after="0" w:line="128"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56,097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27,577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16,930</w:t>
            </w:r>
          </w:p>
        </w:tc>
        <w:tc>
          <w:tcPr>
            <w:tcW w:w="20" w:type="dxa"/>
            <w:vAlign w:val="bottom"/>
          </w:tcPr>
          <w:p>
            <w:pPr>
              <w:spacing w:after="0"/>
              <w:rPr>
                <w:sz w:val="11"/>
                <w:szCs w:val="11"/>
                <w:color w:val="auto"/>
              </w:rPr>
            </w:pPr>
          </w:p>
        </w:tc>
      </w:tr>
      <w:tr>
        <w:trPr>
          <w:trHeight w:val="128"/>
        </w:trPr>
        <w:tc>
          <w:tcPr>
            <w:tcW w:w="506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Cash Flow from Investing Activities:</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Acquisition of Real Estate and Intangible Lease Assets and Liabilities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(313,926)</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(256,381)</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(167,811)</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Acquisition of Commercial Loans and Investments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(53,369)</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(364)</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(28,235)</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Acquisition of Mitigation Credits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(3,621)</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Restricted Cash Balance Received in Acquisition of Interest in Joint Venture</w:t>
            </w:r>
          </w:p>
        </w:tc>
        <w:tc>
          <w:tcPr>
            <w:tcW w:w="80" w:type="dxa"/>
            <w:vAlign w:val="bottom"/>
          </w:tcPr>
          <w:p>
            <w:pPr>
              <w:spacing w:after="0"/>
              <w:rPr>
                <w:sz w:val="11"/>
                <w:szCs w:val="11"/>
                <w:color w:val="auto"/>
              </w:rPr>
            </w:pPr>
          </w:p>
        </w:tc>
        <w:tc>
          <w:tcPr>
            <w:tcW w:w="12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596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Received (Contribution to) Joint Ventures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23,864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Proceeds from Disposition of Property, Plant, and Equipment, Net, and Assets Held for Sale</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40,777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129,461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85,621</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Principal Payments Received on Commercial Loans and Investments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61,628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22,965</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Acquisition of Investment Securities</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(2,739)</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(143)</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28"/>
        </w:trPr>
        <w:tc>
          <w:tcPr>
            <w:tcW w:w="5060" w:type="dxa"/>
            <w:vAlign w:val="bottom"/>
            <w:tcBorders>
              <w:top w:val="single" w:sz="8" w:color="CCEEFF"/>
            </w:tcBorders>
            <w:gridSpan w:val="2"/>
            <w:shd w:val="clear" w:color="auto" w:fill="CCEEFF"/>
          </w:tcPr>
          <w:p>
            <w:pPr>
              <w:ind w:left="300"/>
              <w:spacing w:after="0" w:line="128"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(267,629)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(102,967)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(91,122)</w:t>
            </w:r>
          </w:p>
        </w:tc>
        <w:tc>
          <w:tcPr>
            <w:tcW w:w="20" w:type="dxa"/>
            <w:vAlign w:val="bottom"/>
          </w:tcPr>
          <w:p>
            <w:pPr>
              <w:spacing w:after="0"/>
              <w:rPr>
                <w:sz w:val="11"/>
                <w:szCs w:val="11"/>
                <w:color w:val="auto"/>
              </w:rPr>
            </w:pPr>
          </w:p>
        </w:tc>
      </w:tr>
      <w:tr>
        <w:trPr>
          <w:trHeight w:val="128"/>
        </w:trPr>
        <w:tc>
          <w:tcPr>
            <w:tcW w:w="506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Cash Flow From Financing Activities:</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Proceeds from Long-Term Debt</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380,500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314,500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66,640</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Payments on Long-Term Debt</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(233,750)</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(283,519)</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(72,269)</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Paid for Loan Fees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(2,724)</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(1,587)</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(2,187)</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Received (Paid for) Exercise of Stock Options and Common Stock Issuance</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(162)</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Proceeds from Issuance of Preferred Stock, Net of Underwriting Discount and Expenses</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72,430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Used to Purchase Common Stock</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(2,792)</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(2,210)</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(4,100)</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Paid for Vesting of Restricted Stock</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(845)</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(436)</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(502)</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Proceeds from (Cash Paid for) Issuance of Common Stock, Net</w:t>
            </w:r>
          </w:p>
        </w:tc>
        <w:tc>
          <w:tcPr>
            <w:tcW w:w="8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94,350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(197)</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Dividends Paid - Preferred Stock</w:t>
            </w: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(4,781)</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(2,325)</w:t>
            </w: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6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color w:val="auto"/>
              </w:rPr>
              <w:t>Dividends Paid - Common Stock</w:t>
            </w:r>
          </w:p>
        </w:tc>
        <w:tc>
          <w:tcPr>
            <w:tcW w:w="80" w:type="dxa"/>
            <w:vAlign w:val="bottom"/>
          </w:tcPr>
          <w:p>
            <w:pPr>
              <w:spacing w:after="0"/>
              <w:rPr>
                <w:sz w:val="11"/>
                <w:szCs w:val="11"/>
                <w:color w:val="auto"/>
              </w:rPr>
            </w:pP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(28,896)</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(23,580)</w:t>
            </w:r>
          </w:p>
        </w:tc>
        <w:tc>
          <w:tcPr>
            <w:tcW w:w="60" w:type="dxa"/>
            <w:vAlign w:val="bottom"/>
          </w:tcPr>
          <w:p>
            <w:pPr>
              <w:spacing w:after="0"/>
              <w:rPr>
                <w:sz w:val="11"/>
                <w:szCs w:val="11"/>
                <w:color w:val="auto"/>
              </w:rPr>
            </w:pP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(14,470)</w:t>
            </w:r>
          </w:p>
        </w:tc>
        <w:tc>
          <w:tcPr>
            <w:tcW w:w="20" w:type="dxa"/>
            <w:vAlign w:val="bottom"/>
          </w:tcPr>
          <w:p>
            <w:pPr>
              <w:spacing w:after="0"/>
              <w:rPr>
                <w:sz w:val="11"/>
                <w:szCs w:val="11"/>
                <w:color w:val="auto"/>
              </w:rPr>
            </w:pPr>
          </w:p>
        </w:tc>
      </w:tr>
      <w:tr>
        <w:trPr>
          <w:trHeight w:val="128"/>
        </w:trPr>
        <w:tc>
          <w:tcPr>
            <w:tcW w:w="5060" w:type="dxa"/>
            <w:vAlign w:val="bottom"/>
            <w:tcBorders>
              <w:top w:val="single" w:sz="8" w:color="CCEEFF"/>
            </w:tcBorders>
            <w:gridSpan w:val="2"/>
            <w:shd w:val="clear" w:color="auto" w:fill="CCEEFF"/>
          </w:tcPr>
          <w:p>
            <w:pPr>
              <w:ind w:left="300"/>
              <w:spacing w:after="0" w:line="128"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201,377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72,914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(26,888)</w:t>
            </w:r>
          </w:p>
        </w:tc>
        <w:tc>
          <w:tcPr>
            <w:tcW w:w="20" w:type="dxa"/>
            <w:vAlign w:val="bottom"/>
          </w:tcPr>
          <w:p>
            <w:pPr>
              <w:spacing w:after="0"/>
              <w:rPr>
                <w:sz w:val="11"/>
                <w:szCs w:val="11"/>
                <w:color w:val="auto"/>
              </w:rPr>
            </w:pPr>
          </w:p>
        </w:tc>
      </w:tr>
      <w:tr>
        <w:trPr>
          <w:trHeight w:val="128"/>
        </w:trPr>
        <w:tc>
          <w:tcPr>
            <w:tcW w:w="506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80" w:type="dxa"/>
            <w:vAlign w:val="bottom"/>
          </w:tcPr>
          <w:p>
            <w:pPr>
              <w:spacing w:after="0"/>
              <w:rPr>
                <w:sz w:val="11"/>
                <w:szCs w:val="11"/>
                <w:color w:val="auto"/>
              </w:rPr>
            </w:pPr>
          </w:p>
        </w:tc>
        <w:tc>
          <w:tcPr>
            <w:tcW w:w="11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(10,155)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(2,476)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(101,080)</w:t>
            </w:r>
          </w:p>
        </w:tc>
        <w:tc>
          <w:tcPr>
            <w:tcW w:w="20" w:type="dxa"/>
            <w:vAlign w:val="bottom"/>
          </w:tcPr>
          <w:p>
            <w:pPr>
              <w:spacing w:after="0"/>
              <w:rPr>
                <w:sz w:val="11"/>
                <w:szCs w:val="11"/>
                <w:color w:val="auto"/>
              </w:rPr>
            </w:pPr>
          </w:p>
        </w:tc>
      </w:tr>
      <w:tr>
        <w:trPr>
          <w:trHeight w:val="135"/>
        </w:trPr>
        <w:tc>
          <w:tcPr>
            <w:tcW w:w="50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31,349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33,825</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134,905</w:t>
            </w:r>
          </w:p>
        </w:tc>
        <w:tc>
          <w:tcPr>
            <w:tcW w:w="20" w:type="dxa"/>
            <w:vAlign w:val="bottom"/>
          </w:tcPr>
          <w:p>
            <w:pPr>
              <w:spacing w:after="0"/>
              <w:rPr>
                <w:sz w:val="11"/>
                <w:szCs w:val="11"/>
                <w:color w:val="auto"/>
              </w:rPr>
            </w:pPr>
          </w:p>
        </w:tc>
      </w:tr>
      <w:tr>
        <w:trPr>
          <w:trHeight w:val="168"/>
        </w:trPr>
        <w:tc>
          <w:tcPr>
            <w:tcW w:w="5060" w:type="dxa"/>
            <w:vAlign w:val="bottom"/>
            <w:tcBorders>
              <w:bottom w:val="single" w:sz="8" w:color="CCEEFF"/>
            </w:tcBorders>
            <w:gridSpan w:val="2"/>
          </w:tcPr>
          <w:p>
            <w:pPr>
              <w:spacing w:after="0" w:line="128" w:lineRule="exact"/>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21,194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31,349</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3"/>
                <w:szCs w:val="13"/>
                <w:color w:val="auto"/>
              </w:rPr>
              <w:t>33,825</w:t>
            </w:r>
          </w:p>
        </w:tc>
        <w:tc>
          <w:tcPr>
            <w:tcW w:w="20" w:type="dxa"/>
            <w:vAlign w:val="bottom"/>
          </w:tcPr>
          <w:p>
            <w:pPr>
              <w:spacing w:after="0"/>
              <w:rPr>
                <w:sz w:val="14"/>
                <w:szCs w:val="14"/>
                <w:color w:val="auto"/>
              </w:rPr>
            </w:pPr>
          </w:p>
        </w:tc>
      </w:tr>
      <w:tr>
        <w:trPr>
          <w:trHeight w:val="112"/>
        </w:trPr>
        <w:tc>
          <w:tcPr>
            <w:tcW w:w="312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20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Reconciliation of Cash to the Consolidated Balance Sheets: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8"/>
        </w:trPr>
        <w:tc>
          <w:tcPr>
            <w:tcW w:w="50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19,333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8,615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4,289</w:t>
            </w:r>
          </w:p>
        </w:tc>
        <w:tc>
          <w:tcPr>
            <w:tcW w:w="20" w:type="dxa"/>
            <w:vAlign w:val="bottom"/>
          </w:tcPr>
          <w:p>
            <w:pPr>
              <w:spacing w:after="0"/>
              <w:rPr>
                <w:sz w:val="11"/>
                <w:szCs w:val="11"/>
                <w:color w:val="auto"/>
              </w:rPr>
            </w:pPr>
          </w:p>
        </w:tc>
      </w:tr>
      <w:tr>
        <w:trPr>
          <w:trHeight w:val="135"/>
        </w:trPr>
        <w:tc>
          <w:tcPr>
            <w:tcW w:w="5060" w:type="dxa"/>
            <w:vAlign w:val="bottom"/>
            <w:tcBorders>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3"/>
                <w:szCs w:val="13"/>
                <w:color w:val="auto"/>
              </w:rPr>
              <w:t>Restricted Cash</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1,861</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22,734</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29,536</w:t>
            </w:r>
          </w:p>
        </w:tc>
        <w:tc>
          <w:tcPr>
            <w:tcW w:w="20" w:type="dxa"/>
            <w:vAlign w:val="bottom"/>
          </w:tcPr>
          <w:p>
            <w:pPr>
              <w:spacing w:after="0"/>
              <w:rPr>
                <w:sz w:val="11"/>
                <w:szCs w:val="11"/>
                <w:color w:val="auto"/>
              </w:rPr>
            </w:pPr>
          </w:p>
        </w:tc>
      </w:tr>
      <w:tr>
        <w:trPr>
          <w:trHeight w:val="128"/>
        </w:trPr>
        <w:tc>
          <w:tcPr>
            <w:tcW w:w="5060" w:type="dxa"/>
            <w:vAlign w:val="bottom"/>
            <w:tcBorders>
              <w:bottom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Total Cash</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21,194</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31,349</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33,825</w:t>
            </w:r>
          </w:p>
        </w:tc>
        <w:tc>
          <w:tcPr>
            <w:tcW w:w="20" w:type="dxa"/>
            <w:vAlign w:val="bottom"/>
          </w:tcPr>
          <w:p>
            <w:pPr>
              <w:spacing w:after="0"/>
              <w:rPr>
                <w:sz w:val="11"/>
                <w:szCs w:val="11"/>
                <w:color w:val="auto"/>
              </w:rPr>
            </w:pPr>
          </w:p>
        </w:tc>
      </w:tr>
      <w:tr>
        <w:trPr>
          <w:trHeight w:val="20"/>
        </w:trPr>
        <w:tc>
          <w:tcPr>
            <w:tcW w:w="3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CTO REALTY GROWTH,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22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2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80" w:type="dxa"/>
            <w:vAlign w:val="bottom"/>
          </w:tcPr>
          <w:p>
            <w:pPr>
              <w:spacing w:after="0"/>
              <w:rPr>
                <w:sz w:val="11"/>
                <w:szCs w:val="11"/>
                <w:color w:val="auto"/>
              </w:rPr>
            </w:pPr>
          </w:p>
        </w:tc>
        <w:tc>
          <w:tcPr>
            <w:tcW w:w="1140" w:type="dxa"/>
            <w:vAlign w:val="bottom"/>
          </w:tcPr>
          <w:p>
            <w:pPr>
              <w:jc w:val="right"/>
              <w:ind w:right="14"/>
              <w:spacing w:after="0" w:line="128" w:lineRule="exact"/>
              <w:rPr>
                <w:sz w:val="20"/>
                <w:szCs w:val="20"/>
                <w:color w:val="auto"/>
              </w:rPr>
            </w:pPr>
            <w:r>
              <w:rPr>
                <w:rFonts w:ascii="Times New Roman" w:cs="Times New Roman" w:eastAsia="Times New Roman" w:hAnsi="Times New Roman"/>
                <w:sz w:val="13"/>
                <w:szCs w:val="13"/>
                <w:b w:val="1"/>
                <w:bCs w:val="1"/>
                <w:color w:val="auto"/>
                <w:w w:val="98"/>
              </w:rPr>
              <w:t>December 31, 2020</w:t>
            </w:r>
          </w:p>
        </w:tc>
        <w:tc>
          <w:tcPr>
            <w:tcW w:w="20" w:type="dxa"/>
            <w:vAlign w:val="bottom"/>
          </w:tcPr>
          <w:p>
            <w:pPr>
              <w:spacing w:after="0"/>
              <w:rPr>
                <w:sz w:val="11"/>
                <w:szCs w:val="11"/>
                <w:color w:val="auto"/>
              </w:rPr>
            </w:pPr>
          </w:p>
        </w:tc>
      </w:tr>
      <w:tr>
        <w:trPr>
          <w:trHeight w:val="128"/>
        </w:trPr>
        <w:tc>
          <w:tcPr>
            <w:tcW w:w="5020" w:type="dxa"/>
            <w:vAlign w:val="bottom"/>
            <w:tcBorders>
              <w:top w:val="single" w:sz="8" w:color="CCEEFF"/>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Cash Paid for Taxes, Net of Refunds Received</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107</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406</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5,026</w:t>
            </w:r>
          </w:p>
        </w:tc>
        <w:tc>
          <w:tcPr>
            <w:tcW w:w="20" w:type="dxa"/>
            <w:vAlign w:val="bottom"/>
          </w:tcPr>
          <w:p>
            <w:pPr>
              <w:spacing w:after="0"/>
              <w:rPr>
                <w:sz w:val="11"/>
                <w:szCs w:val="11"/>
                <w:color w:val="auto"/>
              </w:rPr>
            </w:pPr>
          </w:p>
        </w:tc>
      </w:tr>
      <w:tr>
        <w:trPr>
          <w:trHeight w:val="135"/>
        </w:trPr>
        <w:tc>
          <w:tcPr>
            <w:tcW w:w="5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 xml:space="preserve">Cash Paid for Interest </w:t>
            </w:r>
            <w:r>
              <w:rPr>
                <w:rFonts w:ascii="Times New Roman" w:cs="Times New Roman" w:eastAsia="Times New Roman" w:hAnsi="Times New Roman"/>
                <w:sz w:val="15"/>
                <w:szCs w:val="15"/>
                <w:color w:val="auto"/>
                <w:vertAlign w:val="superscript"/>
              </w:rPr>
              <w:t>(1)</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9,862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7,274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9,716</w:t>
            </w:r>
          </w:p>
        </w:tc>
        <w:tc>
          <w:tcPr>
            <w:tcW w:w="20" w:type="dxa"/>
            <w:vAlign w:val="bottom"/>
          </w:tcPr>
          <w:p>
            <w:pPr>
              <w:spacing w:after="0"/>
              <w:rPr>
                <w:sz w:val="11"/>
                <w:szCs w:val="11"/>
                <w:color w:val="auto"/>
              </w:rPr>
            </w:pPr>
          </w:p>
        </w:tc>
      </w:tr>
      <w:tr>
        <w:trPr>
          <w:trHeight w:val="135"/>
        </w:trPr>
        <w:tc>
          <w:tcPr>
            <w:tcW w:w="2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Supplemental Disclosure of Non-Cash Investing and Financing Activities:</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Unrealized Gain (Loss) on Cash Flow Hedges</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14,244</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3,427</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(1,984)</w:t>
            </w:r>
          </w:p>
        </w:tc>
        <w:tc>
          <w:tcPr>
            <w:tcW w:w="20" w:type="dxa"/>
            <w:vAlign w:val="bottom"/>
          </w:tcPr>
          <w:p>
            <w:pPr>
              <w:spacing w:after="0"/>
              <w:rPr>
                <w:sz w:val="11"/>
                <w:szCs w:val="11"/>
                <w:color w:val="auto"/>
              </w:rPr>
            </w:pPr>
          </w:p>
        </w:tc>
      </w:tr>
      <w:tr>
        <w:trPr>
          <w:trHeight w:val="135"/>
        </w:trPr>
        <w:tc>
          <w:tcPr>
            <w:tcW w:w="5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Convertible Note Exchange</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57,359</w:t>
            </w:r>
          </w:p>
        </w:tc>
        <w:tc>
          <w:tcPr>
            <w:tcW w:w="20" w:type="dxa"/>
            <w:vAlign w:val="bottom"/>
          </w:tcPr>
          <w:p>
            <w:pPr>
              <w:spacing w:after="0"/>
              <w:rPr>
                <w:sz w:val="11"/>
                <w:szCs w:val="11"/>
                <w:color w:val="auto"/>
              </w:rPr>
            </w:pPr>
          </w:p>
        </w:tc>
      </w:tr>
      <w:tr>
        <w:trPr>
          <w:trHeight w:val="135"/>
        </w:trPr>
        <w:tc>
          <w:tcPr>
            <w:tcW w:w="50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Equity Component of Convertible Debt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5,248</w:t>
            </w:r>
          </w:p>
        </w:tc>
        <w:tc>
          <w:tcPr>
            <w:tcW w:w="20" w:type="dxa"/>
            <w:vAlign w:val="bottom"/>
          </w:tcPr>
          <w:p>
            <w:pPr>
              <w:spacing w:after="0"/>
              <w:rPr>
                <w:sz w:val="11"/>
                <w:szCs w:val="11"/>
                <w:color w:val="auto"/>
              </w:rPr>
            </w:pPr>
          </w:p>
        </w:tc>
      </w:tr>
      <w:tr>
        <w:trPr>
          <w:trHeight w:val="135"/>
        </w:trPr>
        <w:tc>
          <w:tcPr>
            <w:tcW w:w="5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Capital Expenditures included in Accrued and Other Liabilities</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1,600</w:t>
            </w:r>
          </w:p>
        </w:tc>
        <w:tc>
          <w:tcPr>
            <w:tcW w:w="20" w:type="dxa"/>
            <w:vAlign w:val="bottom"/>
          </w:tcPr>
          <w:p>
            <w:pPr>
              <w:spacing w:after="0"/>
              <w:rPr>
                <w:sz w:val="11"/>
                <w:szCs w:val="11"/>
                <w:color w:val="auto"/>
              </w:rPr>
            </w:pPr>
          </w:p>
        </w:tc>
      </w:tr>
      <w:tr>
        <w:trPr>
          <w:trHeight w:val="135"/>
        </w:trPr>
        <w:tc>
          <w:tcPr>
            <w:tcW w:w="50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Special Distribution Paid in Stock</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50,194</w:t>
            </w:r>
          </w:p>
        </w:tc>
        <w:tc>
          <w:tcPr>
            <w:tcW w:w="20" w:type="dxa"/>
            <w:vAlign w:val="bottom"/>
          </w:tcPr>
          <w:p>
            <w:pPr>
              <w:spacing w:after="0"/>
              <w:rPr>
                <w:sz w:val="11"/>
                <w:szCs w:val="11"/>
                <w:color w:val="auto"/>
              </w:rPr>
            </w:pPr>
          </w:p>
        </w:tc>
      </w:tr>
      <w:tr>
        <w:trPr>
          <w:trHeight w:val="135"/>
        </w:trPr>
        <w:tc>
          <w:tcPr>
            <w:tcW w:w="5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Adjustment to Equity Component of Convertible Debt Upon Adoption of ASU 2020-06</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3,012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Common Stock Dividends Declared and Unpaid</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683</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493</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35"/>
        </w:trPr>
        <w:tc>
          <w:tcPr>
            <w:tcW w:w="502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Assumption of Mortgage Note Payable</w:t>
            </w: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17,800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r>
      <w:tr>
        <w:trPr>
          <w:trHeight w:val="103"/>
        </w:trPr>
        <w:tc>
          <w:tcPr>
            <w:tcW w:w="22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54" w:lineRule="exact"/>
        <w:rPr>
          <w:sz w:val="20"/>
          <w:szCs w:val="20"/>
          <w:color w:val="auto"/>
        </w:rPr>
      </w:pPr>
    </w:p>
    <w:p>
      <w:pPr>
        <w:ind w:left="340" w:right="59" w:hanging="304"/>
        <w:spacing w:after="0" w:line="182" w:lineRule="auto"/>
        <w:tabs>
          <w:tab w:leader="none" w:pos="34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capitalized interest of $0.2 million during the year ended December 31, 2022, with no interest capitalized during the years ended December 31, 2021 or 2020.</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 2021, and 2020</w:t>
      </w:r>
    </w:p>
    <w:p>
      <w:pPr>
        <w:spacing w:after="0" w:line="22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ORGANIZATION</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NATURE OF OPERATIONS</w:t>
      </w:r>
    </w:p>
    <w:p>
      <w:pPr>
        <w:spacing w:after="0" w:line="213"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terms “us,” “we,” “our,” and “the Company” as used in this report refer to CTO Realty Growth, Inc. together with our consolidated subsidiaries.</w:t>
      </w:r>
    </w:p>
    <w:p>
      <w:pPr>
        <w:spacing w:after="0" w:line="89"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12"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We own and manage, sometimes utilizing third-party property management companies, 23 commercial real estate properties in 9 states in the United States. As of December 31, 2022, we owned 8 single-tenant and 15 multi-tenant income-producing properties comprising 3.7 million square feet of gross leasable space.</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addition to our income property portfolio, as of December 31, 2022, our business included the following:</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Management Services:</w:t>
      </w:r>
    </w:p>
    <w:p>
      <w:pPr>
        <w:spacing w:after="0" w:line="210" w:lineRule="exact"/>
        <w:rPr>
          <w:sz w:val="20"/>
          <w:szCs w:val="20"/>
          <w:color w:val="auto"/>
        </w:rPr>
      </w:pPr>
    </w:p>
    <w:p>
      <w:pPr>
        <w:ind w:left="740" w:right="59" w:hanging="286"/>
        <w:spacing w:after="0" w:line="295" w:lineRule="auto"/>
        <w:tabs>
          <w:tab w:leader="none" w:pos="7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fee-based management business that is engaged in managing Alpine Income Property Trust, Inc. (“PINE”), see Note 5, “Related Party Management Services Business.”</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Commercial Loans and Investments:</w:t>
      </w:r>
    </w:p>
    <w:p>
      <w:pPr>
        <w:spacing w:after="0" w:line="210" w:lineRule="exact"/>
        <w:rPr>
          <w:sz w:val="20"/>
          <w:szCs w:val="20"/>
          <w:color w:val="auto"/>
        </w:rPr>
      </w:pPr>
    </w:p>
    <w:p>
      <w:pPr>
        <w:ind w:left="740" w:right="59" w:hanging="286"/>
        <w:spacing w:after="0" w:line="295" w:lineRule="auto"/>
        <w:tabs>
          <w:tab w:leader="none" w:pos="7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three commercial loan investments and one preferred equity investment which is classified as a commercial loan investment.</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u w:val="single" w:color="auto"/>
          <w:color w:val="auto"/>
        </w:rPr>
        <w:t>Real Estate Operations:</w:t>
      </w:r>
    </w:p>
    <w:p>
      <w:pPr>
        <w:spacing w:after="0" w:line="210" w:lineRule="exact"/>
        <w:rPr>
          <w:sz w:val="20"/>
          <w:szCs w:val="20"/>
          <w:color w:val="auto"/>
        </w:rPr>
      </w:pPr>
    </w:p>
    <w:p>
      <w:pPr>
        <w:ind w:left="740" w:right="59" w:hanging="286"/>
        <w:spacing w:after="0" w:line="295" w:lineRule="auto"/>
        <w:tabs>
          <w:tab w:leader="none" w:pos="7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portfolio of subsurface mineral interests associated with approximately 355,000 surface acres in 19 counties in the State of Florida (“Subsurface Interests”); and</w:t>
      </w:r>
    </w:p>
    <w:p>
      <w:pPr>
        <w:spacing w:after="0" w:line="137" w:lineRule="exact"/>
        <w:rPr>
          <w:rFonts w:ascii="Times New Roman" w:cs="Times New Roman" w:eastAsia="Times New Roman" w:hAnsi="Times New Roman"/>
          <w:sz w:val="16"/>
          <w:szCs w:val="16"/>
          <w:color w:val="auto"/>
        </w:rPr>
      </w:pPr>
    </w:p>
    <w:p>
      <w:pPr>
        <w:ind w:left="740" w:right="59" w:hanging="286"/>
        <w:spacing w:after="0" w:line="295" w:lineRule="auto"/>
        <w:tabs>
          <w:tab w:leader="none" w:pos="7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inventory of mitigation credits as well as mitigation credits to be produced by the Company’s formerly owned mitigation bank.</w:t>
      </w:r>
    </w:p>
    <w:p>
      <w:pPr>
        <w:spacing w:after="0" w:line="138"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On December 10, 2021, the entity that held approximately 1,600 acres of undeveloped land in Daytona Beach, Florida (the “Land JV”), of which the Company previously held a 33.5% retained interest, completed the sale of all of its remaining land holdings for $66.3 million to Timberline Acquisition Partners, LLC an affiliate of Timberline Real Estate Partners (the “Land JV Sale”). Proceeds to the Company after distributions to the other member of the Land JV, and before taxes, were $24.5 million. Prior to the completion of the Land JV Sale, the Company was engaged in managing the Land JV, as further described in Note 5, “Related Party Management Services Business” in the notes to the consolidated financial statements in Item 8. As a result of the Land JV Sale and corresponding dissolution of the Land JV, the Company no longer holds a retained interest in the Land JV as of December 31, 2021.</w:t>
      </w:r>
    </w:p>
    <w:p>
      <w:pPr>
        <w:spacing w:after="0" w:line="163"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Our business also includes our investment in PINE. As of December 31, 2022, the fair value of our investment totaled $42.0 million, or 14.6%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REIT CONVERSION</w:t>
      </w:r>
    </w:p>
    <w:p>
      <w:pPr>
        <w:spacing w:after="0" w:line="213"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As of December 31, 2020, the Company had completed certain internal reorganization transactions necessary to begin operating in compliance with the requirements for qualification and taxation as a REIT for U.S. federal income tax purposes under the Internal Revenue Code of 1986, as amended (the “Code”), commencing with the taxable year ended December 31, 2020.</w:t>
      </w:r>
    </w:p>
    <w:p>
      <w:pPr>
        <w:spacing w:after="0" w:line="152"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On January 29, 2021, in connection with the REIT conversion, the Company completed the merger of CTO Realty Growth, Inc., a Florida corporation (“CTO FL”), with and into CTO NEWCO REIT, Inc., a wholly owned Maryland subsidiary of CTO FL (“CTO MD”), in order to reincorporate in Maryland and facilitate its ongoing compliance with the REIT requirements (the “Merger”).</w:t>
      </w:r>
    </w:p>
    <w:p>
      <w:pPr>
        <w:spacing w:after="0" w:line="189"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As a result of the Merger, existing shares of CTO FL common stock were automatically converted, on a one-for-one basis, into shares of common stock of the surviving entity (the “CTO Company”). The CTO Company is a corporation organized in the state of Maryland and has been renamed “CTO Realty Growth, Inc.” The CTO Company’s charter includes certain standard REIT provisions, including ownership limitations and transfer restrictions applicable to the Company’s capital stock.</w:t>
      </w:r>
    </w:p>
    <w:p>
      <w:pPr>
        <w:spacing w:after="0" w:line="179"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w:t>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50"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December 31, 2022, the Company has an equity investment in PINE.</w:t>
      </w:r>
    </w:p>
    <w:p>
      <w:pPr>
        <w:spacing w:after="0" w:line="161"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Prior to the Interest Purchase (hereinafter defined in Note 7, “Investment in Joint Ventures”) completed on September 30, 2021, the Company held a 30% retained interest in the entity that owns the Mitigation Bank. On December 29, 2022, the Company completed the sale of the entity that owned the Mitigation Bank.</w:t>
      </w:r>
    </w:p>
    <w:p>
      <w:pPr>
        <w:spacing w:after="0" w:line="152"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Additionally, the Company held a 33.5% retained interest in the entity that held approximately 1,600 acres of undeveloped land in Daytona Beach, FL (the “Land JV”) prior the sale of all of its remaining land holdings, which sale was completed on December 10, 2021, for $66.3 million to Timberline Acquisition Partners, LLC an affiliate of Timberline Real Estate Partners (the “Land JV Sale”).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248"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color w:val="auto"/>
        </w:rPr>
        <w:t>ASC Topic 280</w:t>
      </w:r>
      <w:r>
        <w:rPr>
          <w:rFonts w:ascii="Times New Roman" w:cs="Times New Roman" w:eastAsia="Times New Roman" w:hAnsi="Times New Roman"/>
          <w:sz w:val="16"/>
          <w:szCs w:val="16"/>
          <w:i w:val="1"/>
          <w:iCs w:val="1"/>
          <w:color w:val="auto"/>
        </w:rPr>
        <w:t>, Segment Reporting</w:t>
      </w:r>
      <w:r>
        <w:rPr>
          <w:rFonts w:ascii="Times New Roman" w:cs="Times New Roman" w:eastAsia="Times New Roman" w:hAnsi="Times New Roman"/>
          <w:sz w:val="16"/>
          <w:szCs w:val="16"/>
          <w:color w:val="auto"/>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23, “Business Segment Data”. The Company has no other reportable segments. The Company’s chief executive officer, who is the chief operating decision maker, reviews financial information on an aggregate basis for purposes of allocating and evaluating financial performance.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 IN THE PREPARATION OF FINANCIAL STATEMENTS</w:t>
      </w:r>
    </w:p>
    <w:p>
      <w:pPr>
        <w:spacing w:after="0" w:line="214"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9"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Among other factors, fluctuating market conditions that can exist in the national real estate markets and the volatility and uncertainty in the financial and credit markets make it possible that the estimates and assumptions, most notably those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related to the Company’s investment in income properties, could change materially due to continued volatility in the real estate and financial markets, or as a result of a significant dislocation in those markets.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w:t>
      </w:r>
    </w:p>
    <w:p>
      <w:pPr>
        <w:spacing w:after="0" w:line="212"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Cessation of LIBOR. </w:t>
      </w:r>
      <w:r>
        <w:rPr>
          <w:rFonts w:ascii="Times New Roman" w:cs="Times New Roman" w:eastAsia="Times New Roman" w:hAnsi="Times New Roman"/>
          <w:sz w:val="16"/>
          <w:szCs w:val="16"/>
          <w:color w:val="auto"/>
        </w:rPr>
        <w:t>In January 2021, the Financial Accounting Standards Board (“FASB”) issued Accounting Standards Update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(“ASU”) 2021-01 which is in response to concerns about structural 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that its interest rate swaps, hereinafter described in Note 17, “Interest Rate Swaps”, meet the scope of Topic 848-10-15-3A and therefore, the Company will be able to continue to apply a perfectly effective assessment method for each interest rate swap by electing the corresponding optional expedient for subsequent assessments.</w:t>
      </w:r>
    </w:p>
    <w:p>
      <w:pPr>
        <w:spacing w:after="0" w:line="167"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Debt with Conversion and Other Options. </w:t>
      </w:r>
      <w:r>
        <w:rPr>
          <w:rFonts w:ascii="Times New Roman" w:cs="Times New Roman" w:eastAsia="Times New Roman" w:hAnsi="Times New Roman"/>
          <w:sz w:val="16"/>
          <w:szCs w:val="16"/>
          <w:color w:val="auto"/>
        </w:rPr>
        <w:t>In August 2020, the FASB issued ASU 2020-06 related to simplifying the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if-converted method. Further, the Company elected, upon adoption, to utilize the modified retrospective approach, negating the required restatement of EPS for periods prior to adoption.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1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Cash and cash equivalents includes cash on hand, bank demand accounts, and money market accounts having original maturities of 90 days or less. The Company’s bank balances as of December 31, 2022 and 2021 include certain amounts over the Federal Deposit Insurance Corporation limits.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RESTRICTED CASH</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Restricted cash totaled $1.9 million at December 31, 2022, of which $0.6 million is being held in an escrow account in connection with the Mitigation Bank as required by the applicable state and federal permitting authorities, and $1.3 million is being held in two interest reserve accounts related to the Company’s commercial loans and investments.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INVESTMENT SECURITIES</w:t>
      </w:r>
    </w:p>
    <w:p>
      <w:pPr>
        <w:spacing w:after="0" w:line="199" w:lineRule="exact"/>
        <w:rPr>
          <w:sz w:val="20"/>
          <w:szCs w:val="20"/>
          <w:color w:val="auto"/>
        </w:rPr>
      </w:pPr>
    </w:p>
    <w:p>
      <w:pPr>
        <w:jc w:val="both"/>
        <w:ind w:left="40" w:right="39" w:firstLine="369"/>
        <w:spacing w:after="0" w:line="270" w:lineRule="auto"/>
        <w:rPr>
          <w:sz w:val="20"/>
          <w:szCs w:val="20"/>
          <w:color w:val="auto"/>
        </w:rPr>
      </w:pPr>
      <w:r>
        <w:rPr>
          <w:rFonts w:ascii="Times New Roman" w:cs="Times New Roman" w:eastAsia="Times New Roman" w:hAnsi="Times New Roman"/>
          <w:sz w:val="16"/>
          <w:szCs w:val="16"/>
          <w:color w:val="auto"/>
        </w:rPr>
        <w:t xml:space="preserve">In accordance with FASB ASC Topic 320, </w:t>
      </w:r>
      <w:r>
        <w:rPr>
          <w:rFonts w:ascii="Times New Roman" w:cs="Times New Roman" w:eastAsia="Times New Roman" w:hAnsi="Times New Roman"/>
          <w:sz w:val="16"/>
          <w:szCs w:val="16"/>
          <w:i w:val="1"/>
          <w:iCs w:val="1"/>
          <w:color w:val="auto"/>
        </w:rPr>
        <w:t>Investments – Debt and Equity Securities</w:t>
      </w:r>
      <w:r>
        <w:rPr>
          <w:rFonts w:ascii="Times New Roman" w:cs="Times New Roman" w:eastAsia="Times New Roman" w:hAnsi="Times New Roman"/>
          <w:sz w:val="16"/>
          <w:szCs w:val="16"/>
          <w:color w:val="auto"/>
        </w:rPr>
        <w:t xml:space="preserve"> and pursuant to ASU 2016-01, effective January 1, 2018, the Company’s investments in equity securities (“Investment Securities”) are carried at fair value in the consolidated balance sheets, with the unrealized gains and losses recognized in net income. The unrealized gains and losses are included in investment income in the consolidated statements of operations.</w:t>
      </w:r>
    </w:p>
    <w:p>
      <w:pPr>
        <w:spacing w:after="0" w:line="145" w:lineRule="exact"/>
        <w:rPr>
          <w:sz w:val="20"/>
          <w:szCs w:val="20"/>
          <w:color w:val="auto"/>
        </w:rPr>
      </w:pPr>
    </w:p>
    <w:p>
      <w:pPr>
        <w:jc w:val="both"/>
        <w:ind w:left="40" w:right="59" w:firstLine="393"/>
        <w:spacing w:after="0" w:line="295" w:lineRule="auto"/>
        <w:rPr>
          <w:sz w:val="20"/>
          <w:szCs w:val="20"/>
          <w:color w:val="auto"/>
        </w:rPr>
      </w:pPr>
      <w:r>
        <w:rPr>
          <w:rFonts w:ascii="Times New Roman" w:cs="Times New Roman" w:eastAsia="Times New Roman" w:hAnsi="Times New Roman"/>
          <w:sz w:val="16"/>
          <w:szCs w:val="16"/>
          <w:color w:val="auto"/>
        </w:rPr>
        <w:t>The cost of Investment Securities sold, if any, is based on the specific identification method. Interest and dividends on Investment Securities are included in investment income in the consolidated statements of operations.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 AND HEDGING ACTIVITY</w:t>
      </w:r>
    </w:p>
    <w:p>
      <w:pPr>
        <w:spacing w:after="0" w:line="248" w:lineRule="exact"/>
        <w:rPr>
          <w:sz w:val="20"/>
          <w:szCs w:val="20"/>
          <w:color w:val="auto"/>
        </w:rPr>
      </w:pPr>
    </w:p>
    <w:p>
      <w:pPr>
        <w:jc w:val="both"/>
        <w:ind w:left="40" w:right="39" w:firstLine="402"/>
        <w:spacing w:after="0" w:line="270" w:lineRule="auto"/>
        <w:rPr>
          <w:sz w:val="20"/>
          <w:szCs w:val="20"/>
          <w:color w:val="auto"/>
        </w:rPr>
      </w:pPr>
      <w:r>
        <w:rPr>
          <w:rFonts w:ascii="Times New Roman" w:cs="Times New Roman" w:eastAsia="Times New Roman" w:hAnsi="Times New Roman"/>
          <w:sz w:val="16"/>
          <w:szCs w:val="16"/>
          <w:color w:val="auto"/>
        </w:rPr>
        <w:t xml:space="preserve">The Company accounts for its cash flow hedging derivatives in accordance with FASB ASC Topic 815-20, </w:t>
      </w:r>
      <w:r>
        <w:rPr>
          <w:rFonts w:ascii="Times New Roman" w:cs="Times New Roman" w:eastAsia="Times New Roman" w:hAnsi="Times New Roman"/>
          <w:sz w:val="16"/>
          <w:szCs w:val="16"/>
          <w:i w:val="1"/>
          <w:iCs w:val="1"/>
          <w:color w:val="auto"/>
        </w:rPr>
        <w:t>Derivatives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Hedging</w:t>
      </w:r>
      <w:r>
        <w:rPr>
          <w:rFonts w:ascii="Times New Roman" w:cs="Times New Roman" w:eastAsia="Times New Roman" w:hAnsi="Times New Roman"/>
          <w:sz w:val="16"/>
          <w:szCs w:val="16"/>
          <w:color w:val="auto"/>
        </w:rPr>
        <w:t>. Depending upon the hedge’s value at each balance sheet date, the derivatives are included in either other assets or accrued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Company documented the relationship between the hedging instruments and the hedged item, as well as its risk-management objective and strategy for undertaking the hedge transactions. At the hedges’ inception, the Company assessed</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whether the derivatives that are used in hedging the transactions are highly effective in offsetting changes in cash flows of the hedged items, and we will continue to do so on a quarterly basis.</w:t>
      </w:r>
    </w:p>
    <w:p>
      <w:pPr>
        <w:spacing w:after="0" w:line="175"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17, “Interest Rate Swaps”).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201"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The carrying amounts of the Company’s financial assets and liabilities including cash and cash equivalents, restricted cash, accounts receivable, accounts payable, and accrued and other liabilities at December 31, 2022 and 2021, approximate fair value because of the short maturity of these instruments. The carrying value of the Company’s Credit Facility (hereinafter defined) as of December 31, 2022 and 2021,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December 31, 2022 and 2021 are measured at fair value based on current market rates for financial instruments with similar risks and maturities (see Note 9, “Fair Value of Financial Instruments”).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213"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61" w:lineRule="exact"/>
        <w:rPr>
          <w:sz w:val="20"/>
          <w:szCs w:val="20"/>
          <w:color w:val="auto"/>
        </w:rPr>
      </w:pPr>
    </w:p>
    <w:p>
      <w:pPr>
        <w:ind w:left="740" w:hanging="286"/>
        <w:spacing w:after="0"/>
        <w:tabs>
          <w:tab w:leader="none" w:pos="7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Valuation is based upon quoted prices in active markets for identical assets or liabilities.</w:t>
      </w:r>
    </w:p>
    <w:p>
      <w:pPr>
        <w:spacing w:after="0" w:line="184" w:lineRule="exact"/>
        <w:rPr>
          <w:rFonts w:ascii="Times New Roman" w:cs="Times New Roman" w:eastAsia="Times New Roman" w:hAnsi="Times New Roman"/>
          <w:sz w:val="16"/>
          <w:szCs w:val="16"/>
          <w:color w:val="auto"/>
        </w:rPr>
      </w:pPr>
    </w:p>
    <w:p>
      <w:pPr>
        <w:jc w:val="both"/>
        <w:ind w:left="740" w:right="59" w:hanging="286"/>
        <w:spacing w:after="0" w:line="268" w:lineRule="auto"/>
        <w:tabs>
          <w:tab w:leader="none" w:pos="7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rFonts w:ascii="Times New Roman" w:cs="Times New Roman" w:eastAsia="Times New Roman" w:hAnsi="Times New Roman"/>
          <w:sz w:val="16"/>
          <w:szCs w:val="16"/>
          <w:color w:val="auto"/>
        </w:rPr>
      </w:pPr>
    </w:p>
    <w:p>
      <w:pPr>
        <w:jc w:val="both"/>
        <w:ind w:left="740" w:right="59" w:hanging="286"/>
        <w:spacing w:after="0" w:line="261" w:lineRule="auto"/>
        <w:tabs>
          <w:tab w:leader="none" w:pos="7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RECOGNITION OF INTEREST INCOME FROM COMMERCIAL LOANS AND INVESTMENTS</w:t>
      </w:r>
    </w:p>
    <w:p>
      <w:pPr>
        <w:spacing w:after="0" w:line="214"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MITIGATION CREDITS AND MITIGATION CREDIT RIGHTS</w:t>
      </w:r>
    </w:p>
    <w:p>
      <w:pPr>
        <w:spacing w:after="0" w:line="214" w:lineRule="exact"/>
        <w:rPr>
          <w:sz w:val="20"/>
          <w:szCs w:val="20"/>
          <w:color w:val="auto"/>
        </w:rPr>
      </w:pPr>
    </w:p>
    <w:p>
      <w:pPr>
        <w:jc w:val="both"/>
        <w:ind w:left="40" w:right="59" w:firstLine="402"/>
        <w:spacing w:after="0" w:line="288" w:lineRule="auto"/>
        <w:rPr>
          <w:sz w:val="20"/>
          <w:szCs w:val="20"/>
          <w:color w:val="auto"/>
        </w:rPr>
      </w:pPr>
      <w:r>
        <w:rPr>
          <w:rFonts w:ascii="Times New Roman" w:cs="Times New Roman" w:eastAsia="Times New Roman" w:hAnsi="Times New Roman"/>
          <w:sz w:val="16"/>
          <w:szCs w:val="16"/>
          <w:color w:val="auto"/>
        </w:rPr>
        <w:t>Mitigation credits and mitigation credit rights are stated at historical cost. As these assets are sold, the related revenues and cost of sales are reported as revenues from, and direct costs of, real estate operations, respectively, in the consolidated statements of operations.</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214"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$2.2 million and $0.9 million as of December 31, 2022 and 2021, respectively. The $1.3</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spacing w:after="0" w:line="295" w:lineRule="auto"/>
        <w:rPr>
          <w:sz w:val="20"/>
          <w:szCs w:val="20"/>
          <w:color w:val="auto"/>
        </w:rPr>
      </w:pPr>
      <w:r>
        <w:rPr>
          <w:rFonts w:ascii="Times New Roman" w:cs="Times New Roman" w:eastAsia="Times New Roman" w:hAnsi="Times New Roman"/>
          <w:sz w:val="16"/>
          <w:szCs w:val="16"/>
          <w:color w:val="auto"/>
        </w:rPr>
        <w:t>million increase is primarily attributable to an increase in estimated accrued receivables for variable lease payments including common area maintenance, insurance, real estate taxes and other operating expenses.</w:t>
      </w:r>
    </w:p>
    <w:p>
      <w:pPr>
        <w:spacing w:after="0" w:line="138"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Accounts receivable related to real estate operations, which are classified in other assets on the consolidated balance sheets, totaled $0.8 million and $1.1 million as of December 31, 2022 and 2021, respectively. The accounts receivable as of December 31, 2022 and 2021 are primarily related to the reimbursement of certain infrastructure costs completed by the Company in conjunction with two land sale transactions that closed during the fourth quarter of 2015 as more fully described in Note 12, “Other Assets.”</w:t>
      </w:r>
    </w:p>
    <w:p>
      <w:pPr>
        <w:spacing w:after="0" w:line="159"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As of December 31, 2022 and 2021, $0.2 million and $0.3 million was due from the buyer of the golf operations for the rounds surcharge the Company paid to the City of Daytona Beach, respectively.</w:t>
      </w:r>
    </w:p>
    <w:p>
      <w:pPr>
        <w:spacing w:after="0" w:line="138"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 xml:space="preserve">The collectability of the aforementioned receivables shall be considered and adjusted through an allowance for credit losses pursuant to ASC 326, </w:t>
      </w:r>
      <w:r>
        <w:rPr>
          <w:rFonts w:ascii="Times New Roman" w:cs="Times New Roman" w:eastAsia="Times New Roman" w:hAnsi="Times New Roman"/>
          <w:sz w:val="16"/>
          <w:szCs w:val="16"/>
          <w:i w:val="1"/>
          <w:iCs w:val="1"/>
          <w:color w:val="auto"/>
        </w:rPr>
        <w:t>Financial Instruments-Credit Losses</w:t>
      </w:r>
      <w:r>
        <w:rPr>
          <w:rFonts w:ascii="Times New Roman" w:cs="Times New Roman" w:eastAsia="Times New Roman" w:hAnsi="Times New Roman"/>
          <w:sz w:val="16"/>
          <w:szCs w:val="16"/>
          <w:color w:val="auto"/>
        </w:rPr>
        <w:t>. As of December 31, 2022 and 2021, the Company recorded an allowance for doubtful accounts of $1.8 million and $0.5 million, respectively.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PURCHASE ACCOUNTING FOR ACQUISITIONS OF REAL ESTATE SUBJECT TO A LEASE</w:t>
      </w:r>
    </w:p>
    <w:p>
      <w:pPr>
        <w:spacing w:after="0" w:line="213" w:lineRule="exact"/>
        <w:rPr>
          <w:sz w:val="20"/>
          <w:szCs w:val="20"/>
          <w:color w:val="auto"/>
        </w:rPr>
      </w:pPr>
    </w:p>
    <w:p>
      <w:pPr>
        <w:jc w:val="both"/>
        <w:ind w:left="40" w:right="39" w:firstLine="456"/>
        <w:spacing w:after="0" w:line="260" w:lineRule="auto"/>
        <w:rPr>
          <w:sz w:val="20"/>
          <w:szCs w:val="20"/>
          <w:color w:val="auto"/>
        </w:rPr>
      </w:pPr>
      <w:r>
        <w:rPr>
          <w:rFonts w:ascii="Times New Roman" w:cs="Times New Roman" w:eastAsia="Times New Roman" w:hAnsi="Times New Roman"/>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 w:cs="Times New Roman" w:eastAsia="Times New Roman" w:hAnsi="Times New Roman"/>
          <w:sz w:val="16"/>
          <w:szCs w:val="16"/>
          <w:i w:val="1"/>
          <w:iCs w:val="1"/>
          <w:color w:val="auto"/>
        </w:rPr>
        <w:t>Business Combinations (Topic 805): Clarifying the Definition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 Business</w:t>
      </w:r>
      <w:r>
        <w:rPr>
          <w:rFonts w:ascii="Times New Roman" w:cs="Times New Roman" w:eastAsia="Times New Roman" w:hAnsi="Times New Roman"/>
          <w:sz w:val="16"/>
          <w:szCs w:val="16"/>
          <w:color w:val="auto"/>
        </w:rPr>
        <w:t>, an acquisition does not qualify as a business when there is no substantive process acquired or substantially all of the fair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1"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368"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SALES OF REAL ESTATE</w:t>
      </w:r>
    </w:p>
    <w:p>
      <w:pPr>
        <w:spacing w:after="0" w:line="214"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on disposition of assets. In accordance with the FASB guidance, gains or losses on sales of real estate are generally recognized using the full accrual method.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w:t>
      </w:r>
    </w:p>
    <w:p>
      <w:pPr>
        <w:spacing w:after="0" w:line="201" w:lineRule="exact"/>
        <w:rPr>
          <w:sz w:val="20"/>
          <w:szCs w:val="20"/>
          <w:color w:val="auto"/>
        </w:rPr>
      </w:pPr>
    </w:p>
    <w:p>
      <w:pPr>
        <w:jc w:val="both"/>
        <w:ind w:left="40" w:right="39" w:firstLine="393"/>
        <w:spacing w:after="0" w:line="262"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and amortization. Such properties are depreciated on a straight-line basis over their estimated useful lives. Renewals and betterments are capitalized to property accounts. The cost of maintenance and repairs is expensed as incurred. The cost of property retired or otherwise disposed of, and the related accumulated depreciation or amortization, are removed from the accounts, and any resulting gain or loss is recorded in the consolidated statement of operations. The amount of depreciation of property, plant, and equipment, exclusive of amortization related to intangible assets, recognized for the years ended December 31, 2022, 2021, and 2020, was $16.6 million, $12.3 million, and $11.3 million, respectively. No interest was capitalized during the years ended December 31, 2021 or 2020. During the year ended December 31, 2022, $0.2 million of interest was capitalized.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Properties Buildings and Improvements</w:t>
            </w:r>
          </w:p>
        </w:tc>
        <w:tc>
          <w:tcPr>
            <w:tcW w:w="28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6"/>
                <w:szCs w:val="16"/>
                <w:color w:val="auto"/>
              </w:rPr>
              <w:t>3 - 48</w:t>
            </w: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Years</w:t>
            </w:r>
          </w:p>
        </w:tc>
      </w:tr>
      <w:tr>
        <w:trPr>
          <w:trHeight w:val="214"/>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Furnishings and Equipment</w:t>
            </w:r>
          </w:p>
        </w:tc>
        <w:tc>
          <w:tcPr>
            <w:tcW w:w="2880" w:type="dxa"/>
            <w:vAlign w:val="bottom"/>
          </w:tcPr>
          <w:p>
            <w:pPr>
              <w:jc w:val="right"/>
              <w:ind w:right="218"/>
              <w:spacing w:after="0"/>
              <w:rPr>
                <w:sz w:val="20"/>
                <w:szCs w:val="20"/>
                <w:color w:val="auto"/>
              </w:rPr>
            </w:pPr>
            <w:r>
              <w:rPr>
                <w:rFonts w:ascii="Times New Roman" w:cs="Times New Roman" w:eastAsia="Times New Roman" w:hAnsi="Times New Roman"/>
                <w:sz w:val="16"/>
                <w:szCs w:val="16"/>
                <w:color w:val="auto"/>
              </w:rPr>
              <w:t>3 - 25</w:t>
            </w:r>
          </w:p>
        </w:tc>
        <w:tc>
          <w:tcPr>
            <w:tcW w:w="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Years</w:t>
            </w:r>
          </w:p>
        </w:tc>
      </w:tr>
    </w:tbl>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p>
      <w:pPr>
        <w:spacing w:after="0" w:line="212" w:lineRule="exact"/>
        <w:rPr>
          <w:sz w:val="20"/>
          <w:szCs w:val="20"/>
          <w:color w:val="auto"/>
        </w:rPr>
      </w:pPr>
    </w:p>
    <w:p>
      <w:pPr>
        <w:jc w:val="both"/>
        <w:ind w:left="40" w:right="39" w:firstLine="393"/>
        <w:spacing w:after="0" w:line="262" w:lineRule="auto"/>
        <w:rPr>
          <w:sz w:val="20"/>
          <w:szCs w:val="20"/>
          <w:color w:val="auto"/>
        </w:rPr>
      </w:pPr>
      <w:r>
        <w:rPr>
          <w:rFonts w:ascii="Times New Roman" w:cs="Times New Roman" w:eastAsia="Times New Roman" w:hAnsi="Times New Roman"/>
          <w:sz w:val="16"/>
          <w:szCs w:val="16"/>
          <w:color w:val="auto"/>
        </w:rPr>
        <w:t xml:space="preserve">The Company follows FASB ASC Topic 360-10,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PROPERTY LEASES</w:t>
      </w:r>
    </w:p>
    <w:p>
      <w:pPr>
        <w:spacing w:after="0" w:line="199" w:lineRule="exact"/>
        <w:rPr>
          <w:sz w:val="20"/>
          <w:szCs w:val="20"/>
          <w:color w:val="auto"/>
        </w:rPr>
      </w:pPr>
    </w:p>
    <w:p>
      <w:pPr>
        <w:jc w:val="both"/>
        <w:ind w:left="40" w:right="39" w:firstLine="393"/>
        <w:spacing w:after="0" w:line="263" w:lineRule="auto"/>
        <w:rPr>
          <w:sz w:val="20"/>
          <w:szCs w:val="20"/>
          <w:color w:val="auto"/>
        </w:rPr>
      </w:pPr>
      <w:r>
        <w:rPr>
          <w:rFonts w:ascii="Times New Roman" w:cs="Times New Roman" w:eastAsia="Times New Roman" w:hAnsi="Times New Roman"/>
          <w:sz w:val="16"/>
          <w:szCs w:val="16"/>
          <w:color w:val="auto"/>
        </w:rPr>
        <w:t xml:space="preserve">The rental of the Company’s income properties are classified as operating leases. Pursuant to FASB ASC Topic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the Company recognizes lease income on these properties on a straight-line basis over the term of the lease. The periodic difference between lease income recognized under this method and contractual lease payment terms (i.e., straight-line rent) is recorded as a deferred operating lease receivable and is included in straight-line rent adjustment within other assets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 EXPENSE</w:t>
      </w:r>
    </w:p>
    <w:p>
      <w:pPr>
        <w:spacing w:after="0" w:line="201" w:lineRule="exact"/>
        <w:rPr>
          <w:sz w:val="20"/>
          <w:szCs w:val="20"/>
          <w:color w:val="auto"/>
        </w:rPr>
      </w:pPr>
    </w:p>
    <w:p>
      <w:pPr>
        <w:jc w:val="both"/>
        <w:ind w:left="40" w:right="59" w:firstLine="393"/>
        <w:spacing w:after="0" w:line="295" w:lineRule="auto"/>
        <w:rPr>
          <w:sz w:val="20"/>
          <w:szCs w:val="20"/>
          <w:color w:val="auto"/>
        </w:rPr>
      </w:pPr>
      <w:r>
        <w:rPr>
          <w:rFonts w:ascii="Times New Roman" w:cs="Times New Roman" w:eastAsia="Times New Roman" w:hAnsi="Times New Roman"/>
          <w:sz w:val="16"/>
          <w:szCs w:val="16"/>
          <w:color w:val="auto"/>
        </w:rPr>
        <w:t>The Company leases property and equipment, which are classified as operating leases. The Company recognizes lease expense on a straight-line basis over the term of the lease.</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OTHER REAL ESTATE INTERESTS</w:t>
      </w:r>
    </w:p>
    <w:p>
      <w:pPr>
        <w:spacing w:after="0" w:line="201" w:lineRule="exact"/>
        <w:rPr>
          <w:sz w:val="20"/>
          <w:szCs w:val="20"/>
          <w:color w:val="auto"/>
        </w:rPr>
      </w:pPr>
    </w:p>
    <w:p>
      <w:pPr>
        <w:jc w:val="both"/>
        <w:ind w:left="40" w:right="59" w:firstLine="393"/>
        <w:spacing w:after="0" w:line="269" w:lineRule="auto"/>
        <w:rPr>
          <w:sz w:val="20"/>
          <w:szCs w:val="20"/>
          <w:color w:val="auto"/>
        </w:rPr>
      </w:pPr>
      <w:r>
        <w:rPr>
          <w:rFonts w:ascii="Times New Roman" w:cs="Times New Roman" w:eastAsia="Times New Roman" w:hAnsi="Times New Roman"/>
          <w:sz w:val="16"/>
          <w:szCs w:val="16"/>
          <w:color w:val="auto"/>
        </w:rPr>
        <w:t xml:space="preserve">From time to time, the Company will release surface entry rights related to subsurface acres owned by the Company upon request of the surface owner. The Company recognizes revenue from the release at the time the transaction is consummated, unless the right is released under a deferred payment plan and the initial payment does not meet the criteria established under FASB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1"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71" w:lineRule="exact"/>
        <w:rPr>
          <w:sz w:val="20"/>
          <w:szCs w:val="20"/>
          <w:color w:val="auto"/>
        </w:rPr>
      </w:pPr>
    </w:p>
    <w:p>
      <w:pPr>
        <w:jc w:val="both"/>
        <w:ind w:left="40" w:right="39" w:firstLine="402"/>
        <w:spacing w:after="0" w:line="247" w:lineRule="auto"/>
        <w:rPr>
          <w:sz w:val="20"/>
          <w:szCs w:val="20"/>
          <w:color w:val="auto"/>
        </w:rPr>
      </w:pPr>
      <w:r>
        <w:rPr>
          <w:rFonts w:ascii="Times New Roman" w:cs="Times New Roman" w:eastAsia="Times New Roman" w:hAnsi="Times New Roman"/>
          <w:sz w:val="16"/>
          <w:szCs w:val="16"/>
          <w:color w:val="auto"/>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EARNINGS PER COMMON SHARE</w:t>
      </w:r>
    </w:p>
    <w:p>
      <w:pPr>
        <w:spacing w:after="0" w:line="214" w:lineRule="exact"/>
        <w:rPr>
          <w:sz w:val="20"/>
          <w:szCs w:val="20"/>
          <w:color w:val="auto"/>
        </w:rPr>
      </w:pPr>
    </w:p>
    <w:p>
      <w:pPr>
        <w:jc w:val="both"/>
        <w:ind w:left="40" w:right="39" w:firstLine="393"/>
        <w:spacing w:after="0" w:line="266" w:lineRule="auto"/>
        <w:rPr>
          <w:sz w:val="20"/>
          <w:szCs w:val="20"/>
          <w:color w:val="auto"/>
        </w:rPr>
      </w:pPr>
      <w:r>
        <w:rPr>
          <w:rFonts w:ascii="Times New Roman" w:cs="Times New Roman" w:eastAsia="Times New Roman" w:hAnsi="Times New Roman"/>
          <w:sz w:val="16"/>
          <w:szCs w:val="16"/>
          <w:color w:val="auto"/>
        </w:rPr>
        <w:t>Basic earnings per common share is computed by dividing net income attributable to common stockholders for the period by the weighted average number of shares outstanding for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(hereinafter defined) on an if-converted basis, see Note 14, “Common Stock and Earnings Per Share.”</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189" w:lineRule="exact"/>
        <w:rPr>
          <w:sz w:val="20"/>
          <w:szCs w:val="20"/>
          <w:color w:val="auto"/>
        </w:rPr>
      </w:pPr>
    </w:p>
    <w:p>
      <w:pPr>
        <w:jc w:val="both"/>
        <w:ind w:left="40" w:right="59" w:firstLine="402"/>
        <w:spacing w:after="0" w:line="279" w:lineRule="auto"/>
        <w:rPr>
          <w:sz w:val="20"/>
          <w:szCs w:val="20"/>
          <w:color w:val="auto"/>
        </w:rPr>
      </w:pPr>
      <w:r>
        <w:rPr>
          <w:rFonts w:ascii="Times New Roman" w:cs="Times New Roman" w:eastAsia="Times New Roman" w:hAnsi="Times New Roman"/>
          <w:sz w:val="16"/>
          <w:szCs w:val="16"/>
          <w:color w:val="auto"/>
        </w:rPr>
        <w:t>Financial instruments which potentially subject the Company to concentrations of credit risk consist principally of cash and cash equivalents.</w:t>
      </w:r>
    </w:p>
    <w:p>
      <w:pPr>
        <w:spacing w:after="0" w:line="138"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The Company also has certain tenants within our income property portfolio that make up more than 10% of our geographic concentration and/or revenues, as described below:</w:t>
      </w:r>
    </w:p>
    <w:p>
      <w:pPr>
        <w:spacing w:after="0" w:line="124" w:lineRule="exact"/>
        <w:rPr>
          <w:sz w:val="20"/>
          <w:szCs w:val="20"/>
          <w:color w:val="auto"/>
        </w:rPr>
      </w:pPr>
    </w:p>
    <w:p>
      <w:pPr>
        <w:jc w:val="both"/>
        <w:ind w:left="740" w:right="59" w:hanging="286"/>
        <w:spacing w:after="0" w:line="270" w:lineRule="auto"/>
        <w:tabs>
          <w:tab w:leader="none" w:pos="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Square Footage Concentrations. </w:t>
      </w:r>
      <w:r>
        <w:rPr>
          <w:rFonts w:ascii="Times New Roman" w:cs="Times New Roman" w:eastAsia="Times New Roman" w:hAnsi="Times New Roman"/>
          <w:sz w:val="16"/>
          <w:szCs w:val="16"/>
          <w:color w:val="auto"/>
        </w:rPr>
        <w:t>As of December 31, 2022, a total of 29%, 15%, 12%, and 11% of the Company’s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portfolio, based on square footage, were located in the state of Georgia, Texas, Virginia, and Florida, respectively. As of December 31, 2021, a total of 23%, 13%, 13%, 12%, and 16% of the Company’s income property portfolio, based on square footage, were located in the state of Florida, Georgia, New Mexico, North Carolina, and Texas, respectively.</w:t>
      </w:r>
    </w:p>
    <w:p>
      <w:pPr>
        <w:spacing w:after="0" w:line="57" w:lineRule="exact"/>
        <w:rPr>
          <w:rFonts w:ascii="Times New Roman" w:cs="Times New Roman" w:eastAsia="Times New Roman" w:hAnsi="Times New Roman"/>
          <w:sz w:val="16"/>
          <w:szCs w:val="16"/>
          <w:color w:val="auto"/>
        </w:rPr>
      </w:pPr>
    </w:p>
    <w:p>
      <w:pPr>
        <w:jc w:val="both"/>
        <w:ind w:left="740" w:right="59" w:hanging="286"/>
        <w:spacing w:after="0" w:line="270" w:lineRule="auto"/>
        <w:tabs>
          <w:tab w:leader="none" w:pos="7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Tenant Concentrations. </w:t>
      </w:r>
      <w:r>
        <w:rPr>
          <w:rFonts w:ascii="Times New Roman" w:cs="Times New Roman" w:eastAsia="Times New Roman" w:hAnsi="Times New Roman"/>
          <w:sz w:val="16"/>
          <w:szCs w:val="16"/>
          <w:color w:val="auto"/>
        </w:rPr>
        <w:t>We did not have any tenants that accounted for more than 10% of total revenues during the years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2022 or 2021. We had one tenant, Wells Fargo, located in Raleigh, North Carolina, that accounted for 10.9% of our total revenue during the year ended December 31, 2020. This property also represented 18.1% of the total square footage of our income property portfolio as of December 31, 2020.</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40" w:right="59" w:hanging="286"/>
        <w:spacing w:after="0" w:line="298" w:lineRule="auto"/>
        <w:tabs>
          <w:tab w:leader="none" w:pos="7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Base Rent Concentrations. </w:t>
      </w:r>
      <w:r>
        <w:rPr>
          <w:rFonts w:ascii="Times New Roman" w:cs="Times New Roman" w:eastAsia="Times New Roman" w:hAnsi="Times New Roman"/>
          <w:sz w:val="16"/>
          <w:szCs w:val="16"/>
          <w:color w:val="auto"/>
        </w:rPr>
        <w:t>A total of 33%, 16%, 13%, and 12% of our base rent revenue during the year ended December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31, 2022 was generated from tenants located in Georgia, Texas, Virginia and Florida, respectively.</w:t>
      </w:r>
    </w:p>
    <w:p>
      <w:pPr>
        <w:spacing w:after="0" w:line="7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3.</w:t>
      </w:r>
      <w:r>
        <w:rPr>
          <w:sz w:val="20"/>
          <w:szCs w:val="20"/>
          <w:color w:val="auto"/>
        </w:rPr>
        <w:tab/>
      </w:r>
      <w:r>
        <w:rPr>
          <w:rFonts w:ascii="Times New Roman" w:cs="Times New Roman" w:eastAsia="Times New Roman" w:hAnsi="Times New Roman"/>
          <w:sz w:val="16"/>
          <w:szCs w:val="16"/>
          <w:b w:val="1"/>
          <w:bCs w:val="1"/>
          <w:color w:val="auto"/>
        </w:rPr>
        <w:t>INCOME PROPERTIES</w:t>
      </w:r>
    </w:p>
    <w:p>
      <w:pPr>
        <w:spacing w:after="0" w:line="213" w:lineRule="exact"/>
        <w:rPr>
          <w:sz w:val="20"/>
          <w:szCs w:val="20"/>
          <w:color w:val="auto"/>
        </w:rPr>
      </w:pPr>
    </w:p>
    <w:p>
      <w:pPr>
        <w:jc w:val="both"/>
        <w:ind w:left="40" w:right="59" w:firstLine="402"/>
        <w:spacing w:after="0" w:line="268" w:lineRule="auto"/>
        <w:rPr>
          <w:sz w:val="20"/>
          <w:szCs w:val="20"/>
          <w:color w:val="auto"/>
        </w:rPr>
      </w:pPr>
      <w:r>
        <w:rPr>
          <w:rFonts w:ascii="Times New Roman" w:cs="Times New Roman" w:eastAsia="Times New Roman" w:hAnsi="Times New Roman"/>
          <w:sz w:val="16"/>
          <w:szCs w:val="16"/>
          <w:color w:val="auto"/>
        </w:rPr>
        <w:t>Leasing revenue consists of long-term rental revenue from retail, office, and commercial income properties, and billboards,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reimbursements from tenants for common area maintenance, insurance, real estate taxes, and other operating expenses.</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components of leasing revenue are as follows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89"/>
        </w:trPr>
        <w:tc>
          <w:tcPr>
            <w:tcW w:w="37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Leasing Revenue</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7"/>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Payments</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54,083</w:t>
            </w:r>
          </w:p>
        </w:tc>
        <w:tc>
          <w:tcPr>
            <w:tcW w:w="60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41,791</w:t>
            </w:r>
          </w:p>
        </w:tc>
        <w:tc>
          <w:tcPr>
            <w:tcW w:w="220" w:type="dxa"/>
            <w:vAlign w:val="bottom"/>
          </w:tcPr>
          <w:p>
            <w:pPr>
              <w:spacing w:after="0"/>
              <w:rPr>
                <w:sz w:val="17"/>
                <w:szCs w:val="17"/>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39,825</w:t>
            </w:r>
          </w:p>
        </w:tc>
      </w:tr>
      <w:tr>
        <w:trPr>
          <w:trHeight w:val="197"/>
        </w:trPr>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Variable Lease Payments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14,774</w:t>
            </w:r>
          </w:p>
        </w:tc>
        <w:tc>
          <w:tcPr>
            <w:tcW w:w="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w:t>
            </w:r>
          </w:p>
        </w:tc>
      </w:tr>
      <w:tr>
        <w:trPr>
          <w:trHeight w:val="189"/>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Leasing Revenue</w:t>
            </w:r>
          </w:p>
        </w:tc>
        <w:tc>
          <w:tcPr>
            <w:tcW w:w="100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68,857</w:t>
            </w:r>
          </w:p>
        </w:tc>
        <w:tc>
          <w:tcPr>
            <w:tcW w:w="240" w:type="dxa"/>
            <w:vAlign w:val="bottom"/>
          </w:tcPr>
          <w:p>
            <w:pPr>
              <w:spacing w:after="0"/>
              <w:rPr>
                <w:sz w:val="16"/>
                <w:szCs w:val="16"/>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220" w:type="dxa"/>
            <w:vAlign w:val="bottom"/>
          </w:tcPr>
          <w:p>
            <w:pPr>
              <w:spacing w:after="0"/>
              <w:rPr>
                <w:sz w:val="16"/>
                <w:szCs w:val="16"/>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49,953</w:t>
            </w:r>
          </w:p>
        </w:tc>
      </w:tr>
      <w:tr>
        <w:trPr>
          <w:trHeight w:val="20"/>
        </w:trPr>
        <w:tc>
          <w:tcPr>
            <w:tcW w:w="3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Minimum future base rental revenue on non-cancelable leases subsequent to December 31, 2022, for the next five years ended December 31 are summarized as follows (in thousands). Certain of our tenant leases include tenant renewal options which could be exercised at the tenant’s election and are not included in the amounts in the table below.</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420" w:type="dxa"/>
            <w:vAlign w:val="bottom"/>
          </w:tcPr>
          <w:p>
            <w:pPr>
              <w:spacing w:after="0"/>
              <w:rPr>
                <w:sz w:val="18"/>
                <w:szCs w:val="18"/>
                <w:color w:val="auto"/>
              </w:rPr>
            </w:pPr>
          </w:p>
        </w:tc>
        <w:tc>
          <w:tcPr>
            <w:tcW w:w="1740" w:type="dxa"/>
            <w:vAlign w:val="bottom"/>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89"/>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72,552</w:t>
            </w:r>
          </w:p>
        </w:tc>
      </w:tr>
      <w:tr>
        <w:trPr>
          <w:trHeight w:val="19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66,390</w:t>
            </w:r>
          </w:p>
        </w:tc>
      </w:tr>
      <w:tr>
        <w:trPr>
          <w:trHeight w:val="19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61,717</w:t>
            </w:r>
          </w:p>
        </w:tc>
      </w:tr>
      <w:tr>
        <w:trPr>
          <w:trHeight w:val="19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52,866</w:t>
            </w:r>
          </w:p>
        </w:tc>
      </w:tr>
      <w:tr>
        <w:trPr>
          <w:trHeight w:val="19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42,785</w:t>
            </w:r>
          </w:p>
        </w:tc>
      </w:tr>
      <w:tr>
        <w:trPr>
          <w:trHeight w:val="197"/>
        </w:trPr>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2028 and Thereafter (Cumulative)</w:t>
            </w: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118,490</w:t>
            </w:r>
          </w:p>
        </w:tc>
      </w:tr>
      <w:tr>
        <w:trPr>
          <w:trHeight w:val="189"/>
        </w:trPr>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414,800</w:t>
            </w:r>
          </w:p>
        </w:tc>
      </w:tr>
      <w:tr>
        <w:trPr>
          <w:trHeight w:val="20"/>
        </w:trPr>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left="40" w:right="59" w:firstLine="295"/>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2022 Acquisitions. </w:t>
      </w:r>
      <w:r>
        <w:rPr>
          <w:rFonts w:ascii="Times New Roman" w:cs="Times New Roman" w:eastAsia="Times New Roman" w:hAnsi="Times New Roman"/>
          <w:sz w:val="16"/>
          <w:szCs w:val="16"/>
          <w:color w:val="auto"/>
        </w:rPr>
        <w:t>During the year ended December 31, 2022, the Company acquired four multi-tenant income properties and 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of three single-tenant properties for an aggregate purchase price of $314.0 million, or a total acquisition cost of $315.6 million, as follows:</w:t>
      </w:r>
    </w:p>
    <w:p>
      <w:pPr>
        <w:spacing w:after="0" w:line="133" w:lineRule="exact"/>
        <w:rPr>
          <w:sz w:val="20"/>
          <w:szCs w:val="20"/>
          <w:color w:val="auto"/>
        </w:rPr>
      </w:pPr>
    </w:p>
    <w:p>
      <w:pPr>
        <w:jc w:val="both"/>
        <w:ind w:left="940" w:right="59" w:hanging="289"/>
        <w:spacing w:after="0" w:line="266" w:lineRule="auto"/>
        <w:tabs>
          <w:tab w:leader="none" w:pos="9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Price Plaza Shopping Center on March 3, 2022, a multi-tenant income property located in Katy, Texas for a purchase price of $39.1 million, or a total acquisition cost of $39.2 million including capitalized acquisition costs. Price Plaza Shopping Center comprises 200,576 square feet and was 95% leased at acquisition. In connection with the acquisition of Price Plaza Shopping Center, the Company assumed a $17.8 million fixed-rate mortgage note, as further discussed in Note 16, “Long-Term Debt.”</w:t>
      </w:r>
    </w:p>
    <w:p>
      <w:pPr>
        <w:spacing w:after="0" w:line="62" w:lineRule="exact"/>
        <w:rPr>
          <w:rFonts w:ascii="Times New Roman" w:cs="Times New Roman" w:eastAsia="Times New Roman" w:hAnsi="Times New Roman"/>
          <w:sz w:val="16"/>
          <w:szCs w:val="16"/>
          <w:color w:val="auto"/>
        </w:rPr>
      </w:pPr>
    </w:p>
    <w:p>
      <w:pPr>
        <w:jc w:val="both"/>
        <w:ind w:left="940" w:right="59" w:hanging="289"/>
        <w:spacing w:after="0" w:line="276" w:lineRule="auto"/>
        <w:tabs>
          <w:tab w:leader="none" w:pos="9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Madison Yards on July 8, 2022, a multi-tenant grocery-anchored income property located in Atlanta, Georgia for a purchase price of $80.2 million, or a total acquisition cost of $80.5 million including capitalized acquisition costs. Madison Yards comprises 162,521 square feet and was 98% leased at acquisition.</w:t>
      </w:r>
    </w:p>
    <w:p>
      <w:pPr>
        <w:spacing w:after="0" w:line="53" w:lineRule="exact"/>
        <w:rPr>
          <w:rFonts w:ascii="Times New Roman" w:cs="Times New Roman" w:eastAsia="Times New Roman" w:hAnsi="Times New Roman"/>
          <w:sz w:val="16"/>
          <w:szCs w:val="16"/>
          <w:color w:val="auto"/>
        </w:rPr>
      </w:pPr>
    </w:p>
    <w:p>
      <w:pPr>
        <w:jc w:val="both"/>
        <w:ind w:left="940" w:right="59" w:hanging="289"/>
        <w:spacing w:after="0" w:line="276" w:lineRule="auto"/>
        <w:tabs>
          <w:tab w:leader="none" w:pos="9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West Broad Village on October 14, 2022, a multi-tenant income property located in Glen Allen, Virgina for a purchase price of $93.9 million, or a total acquisition cost of $94.6 million including capitalized acquisition costs. West Broad Village comprises 392,007 square feet and was 83% leased at acquisition.</w:t>
      </w:r>
    </w:p>
    <w:p>
      <w:pPr>
        <w:spacing w:after="0" w:line="53" w:lineRule="exact"/>
        <w:rPr>
          <w:rFonts w:ascii="Times New Roman" w:cs="Times New Roman" w:eastAsia="Times New Roman" w:hAnsi="Times New Roman"/>
          <w:sz w:val="16"/>
          <w:szCs w:val="16"/>
          <w:color w:val="auto"/>
        </w:rPr>
      </w:pPr>
    </w:p>
    <w:p>
      <w:pPr>
        <w:jc w:val="both"/>
        <w:ind w:left="940" w:right="59" w:hanging="289"/>
        <w:spacing w:after="0" w:line="276" w:lineRule="auto"/>
        <w:tabs>
          <w:tab w:leader="none" w:pos="9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Collection at Forsyth on December 29, 2022, a multi-tenant income property located in Cummings, Georgia for a purchase price of $96.0 million, or a total acquisition cost of $96.4 million including capitalized acquisition costs. Collection at Forsyth comprises 560,434 square feet and was 80% leased at acquisition.</w:t>
      </w:r>
    </w:p>
    <w:p>
      <w:pPr>
        <w:spacing w:after="0" w:line="53" w:lineRule="exact"/>
        <w:rPr>
          <w:rFonts w:ascii="Times New Roman" w:cs="Times New Roman" w:eastAsia="Times New Roman" w:hAnsi="Times New Roman"/>
          <w:sz w:val="16"/>
          <w:szCs w:val="16"/>
          <w:color w:val="auto"/>
        </w:rPr>
      </w:pPr>
    </w:p>
    <w:p>
      <w:pPr>
        <w:ind w:left="940" w:hanging="289"/>
        <w:spacing w:after="0"/>
        <w:tabs>
          <w:tab w:leader="none" w:pos="9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MainStreet Portfolio on December 29, 2022, a restaurant portfolio comprised of three single tenant income</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properties located in Daytona Beach,</w:t>
            </w:r>
          </w:p>
        </w:tc>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Florida for a purchase price of $4.8 million, or a total acquisition cost</w:t>
            </w:r>
          </w:p>
        </w:tc>
      </w:tr>
      <w:tr>
        <w:trPr>
          <w:trHeight w:val="197"/>
        </w:trPr>
        <w:tc>
          <w:tcPr>
            <w:tcW w:w="36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of $4.9 million including capitalized</w:t>
            </w:r>
          </w:p>
        </w:tc>
        <w:tc>
          <w:tcPr>
            <w:tcW w:w="5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acquisition costs. MainStreet Portfolio comprises 28,511  square  feet  and</w:t>
            </w:r>
          </w:p>
        </w:tc>
      </w:tr>
      <w:tr>
        <w:trPr>
          <w:trHeight w:val="214"/>
        </w:trPr>
        <w:tc>
          <w:tcPr>
            <w:tcW w:w="36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was 100% leased at acquisition.</w:t>
            </w:r>
          </w:p>
        </w:tc>
        <w:tc>
          <w:tcPr>
            <w:tcW w:w="5340" w:type="dxa"/>
            <w:vAlign w:val="bottom"/>
          </w:tcPr>
          <w:p>
            <w:pPr>
              <w:spacing w:after="0"/>
              <w:rPr>
                <w:sz w:val="18"/>
                <w:szCs w:val="18"/>
                <w:color w:val="auto"/>
              </w:rPr>
            </w:pPr>
          </w:p>
        </w:tc>
      </w:tr>
      <w:tr>
        <w:trPr>
          <w:trHeight w:val="689"/>
        </w:trPr>
        <w:tc>
          <w:tcPr>
            <w:tcW w:w="3600" w:type="dxa"/>
            <w:vAlign w:val="bottom"/>
          </w:tcPr>
          <w:p>
            <w:pPr>
              <w:spacing w:after="0"/>
              <w:rPr>
                <w:sz w:val="24"/>
                <w:szCs w:val="24"/>
                <w:color w:val="auto"/>
              </w:rPr>
            </w:pPr>
          </w:p>
        </w:tc>
        <w:tc>
          <w:tcPr>
            <w:tcW w:w="5340" w:type="dxa"/>
            <w:vAlign w:val="bottom"/>
          </w:tcPr>
          <w:p>
            <w:pPr>
              <w:jc w:val="right"/>
              <w:ind w:right="4238"/>
              <w:spacing w:after="0"/>
              <w:rPr>
                <w:sz w:val="20"/>
                <w:szCs w:val="20"/>
                <w:color w:val="auto"/>
              </w:rPr>
            </w:pPr>
            <w:r>
              <w:rPr>
                <w:rFonts w:ascii="Times New Roman" w:cs="Times New Roman" w:eastAsia="Times New Roman" w:hAnsi="Times New Roman"/>
                <w:sz w:val="16"/>
                <w:szCs w:val="16"/>
                <w:color w:val="auto"/>
              </w:rPr>
              <w:t>F-18</w:t>
            </w:r>
          </w:p>
        </w:tc>
      </w:tr>
      <w:tr>
        <w:trPr>
          <w:trHeight w:val="508"/>
        </w:trPr>
        <w:tc>
          <w:tcPr>
            <w:tcW w:w="36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firstLine="295"/>
        <w:spacing w:after="0" w:line="269" w:lineRule="auto"/>
        <w:rPr>
          <w:sz w:val="20"/>
          <w:szCs w:val="20"/>
          <w:color w:val="auto"/>
        </w:rPr>
      </w:pPr>
      <w:r>
        <w:rPr>
          <w:rFonts w:ascii="Times New Roman" w:cs="Times New Roman" w:eastAsia="Times New Roman" w:hAnsi="Times New Roman"/>
          <w:sz w:val="16"/>
          <w:szCs w:val="16"/>
          <w:color w:val="auto"/>
        </w:rPr>
        <w:t>Of the aggregate $315.6 acquisition cost, $60.1 million was allocated to land, $208.3 million was allocated to buildings and improvements, $52.7 million was allocated to intangible assets pertaining to the in-place lease value, leasing costs, and above market lease value, and $5.5 million was allocated to intangible liabilities for the below market lease value. The weighted average amortization period for the intangible assets and liabilities was 6.0 years at acquisition.</w:t>
      </w:r>
    </w:p>
    <w:p>
      <w:pPr>
        <w:spacing w:after="0" w:line="157" w:lineRule="exact"/>
        <w:rPr>
          <w:sz w:val="20"/>
          <w:szCs w:val="20"/>
          <w:color w:val="auto"/>
        </w:rPr>
      </w:pPr>
    </w:p>
    <w:p>
      <w:pPr>
        <w:jc w:val="both"/>
        <w:ind w:left="40" w:right="59"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2022 Dispositions. </w:t>
      </w:r>
      <w:r>
        <w:rPr>
          <w:rFonts w:ascii="Times New Roman" w:cs="Times New Roman" w:eastAsia="Times New Roman" w:hAnsi="Times New Roman"/>
          <w:sz w:val="16"/>
          <w:szCs w:val="16"/>
          <w:color w:val="auto"/>
        </w:rPr>
        <w:t>During the year ended December 31, 2022, the Company sold six income properties, including (i) Party City,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single-tenant income property located in Oceanside, New York for $6.9 million, (ii) the Carpenter Hotel ground lease, a single-tenant income property located in Austin, Texas, which was recorded as a commercial loan investment prior to its disposition, for $17.1 million, (iii) the multi-tenant Westland Gateway Plaza located in Hialeah, Florida, which was recorded as a commercial loan investment prior to its disposition, for $22.2 million, (iv) Chuy’s, a single-tenant property, located in Jacksonville, Florida for $5.8 million, (v) Firebirds, a single-tenant property, located in Jacksonville, Florida for $5.5 million, and (vi) 245 Riverside, a multi-tenant office income property located in Jacksonville, Florida for $23.6 million. The sale of these six properties reflect a total disposition volume of $81.1 million, resulting in aggregate gains of $4.7 million.</w:t>
      </w:r>
    </w:p>
    <w:p>
      <w:pPr>
        <w:spacing w:after="0" w:line="164" w:lineRule="exact"/>
        <w:rPr>
          <w:sz w:val="20"/>
          <w:szCs w:val="20"/>
          <w:color w:val="auto"/>
        </w:rPr>
      </w:pPr>
    </w:p>
    <w:p>
      <w:pPr>
        <w:jc w:val="both"/>
        <w:ind w:left="40" w:right="39" w:firstLine="295"/>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2021 Acquisitions. </w:t>
      </w:r>
      <w:r>
        <w:rPr>
          <w:rFonts w:ascii="Times New Roman" w:cs="Times New Roman" w:eastAsia="Times New Roman" w:hAnsi="Times New Roman"/>
          <w:sz w:val="16"/>
          <w:szCs w:val="16"/>
          <w:color w:val="auto"/>
        </w:rPr>
        <w:t>During the year ended December 31, 2021, the Company acquired eight multi-tenant income properties for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purchase price of $249.1 million, or a total acquisition cost of $249.8 million including capitalized acquisition costs. Of the total acquisition cost, $78.0 million was allocated to land, $124.9 million was allocated to buildings and improvements, and $49.7 million was allocated to intangible assets pertaining to the in-place lease value, leasing costs, and above market lease value and $2.8 million was allocated to intangible liabilities for the below market lease value. The weighted average amortization period for the intangible assets and liabilities was 6.8 years at acquisition.</w:t>
      </w:r>
    </w:p>
    <w:p>
      <w:pPr>
        <w:spacing w:after="0" w:line="158" w:lineRule="exact"/>
        <w:rPr>
          <w:sz w:val="20"/>
          <w:szCs w:val="20"/>
          <w:color w:val="auto"/>
        </w:rPr>
      </w:pPr>
    </w:p>
    <w:p>
      <w:pPr>
        <w:jc w:val="both"/>
        <w:ind w:left="40" w:right="39" w:firstLine="295"/>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2021 Dispositions. </w:t>
      </w:r>
      <w:r>
        <w:rPr>
          <w:rFonts w:ascii="Times New Roman" w:cs="Times New Roman" w:eastAsia="Times New Roman" w:hAnsi="Times New Roman"/>
          <w:sz w:val="16"/>
          <w:szCs w:val="16"/>
          <w:color w:val="auto"/>
        </w:rPr>
        <w:t>During the year ended December 31, 2021, the Company disposed of one multi-tenant income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14 single-tenant income properties, including (i) World of Beer/Fuzzy’s Taco Shop, a multi-tenant income property located in Brandon, Florida for $2.3 million, (ii) Moe’s Southwest Grill, a single-tenant income property located in Jacksonville, Florida for $2.5 million, (iii) Burlington, a single-tenant income property located in North Richland Hills, Texas for $11.5 million, (iv) Staples, a single-tenant income property located in Sarasota, Florida for $4.7 million, (v) the CMBS Portfolio, sold to PINE, consisting of six single-tenant income properties for $44.5 million, (vi) Chick-fil-A, a single-tenant property, located in Chandler, Arizona for $2.9 million, (vii) JPMorgan Chase Bank, a single-tenant property, located in Chandler, Arizona for $4.7 million, (viii) Fogo De Chao, a single-tenant property, located in Jacksonville, Florida for $4.7 million, (ix) Wells Fargo, a single-tenant office income property located in Raleigh, North Carolina for $63.0 million, and (x) 24 Hour Fitness, a single-tenant income property located in Falls Church, VA for $21.5 million. The sale of the properties reflect a total disposition volume of $162.3 million, resulting in aggregate gains of $28.2 million.</w:t>
      </w:r>
    </w:p>
    <w:p>
      <w:pPr>
        <w:spacing w:after="0" w:line="360" w:lineRule="exact"/>
        <w:rPr>
          <w:sz w:val="20"/>
          <w:szCs w:val="20"/>
          <w:color w:val="auto"/>
        </w:rPr>
      </w:pPr>
    </w:p>
    <w:p>
      <w:pPr>
        <w:jc w:val="both"/>
        <w:ind w:left="40" w:right="39" w:firstLine="295"/>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2020 Acquisitions. </w:t>
      </w:r>
      <w:r>
        <w:rPr>
          <w:rFonts w:ascii="Times New Roman" w:cs="Times New Roman" w:eastAsia="Times New Roman" w:hAnsi="Times New Roman"/>
          <w:sz w:val="16"/>
          <w:szCs w:val="16"/>
          <w:color w:val="auto"/>
        </w:rPr>
        <w:t>During the year ended December 31, 2020, the Company acquired two multi-tenant income properties and two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single-tenant income properties for an aggregate purchase price of $185.1 million, or a total acquisition cost of $185.7 million including capitalized acquisition costs. Of the total acquisition cost, $50.0 million was allocated to land, $94.6 million was allocated to buildings and improvements, $21.9 million was allocated to intangible assets pertaining to the in-place lease value, leasing costs, and above market lease value, and $1.8 million was allocated to intangible liabilities for the below market lease value. The remaining $21.0 million was classified as a commercial loan investment, see below in addition to Note 4, “Commercial Loans and Investments.” The weighted average amortization period for the intangible assets and liabilities was 4.5 years at acquisition.</w:t>
      </w:r>
    </w:p>
    <w:p>
      <w:pPr>
        <w:spacing w:after="0" w:line="163" w:lineRule="exact"/>
        <w:rPr>
          <w:sz w:val="20"/>
          <w:szCs w:val="20"/>
          <w:color w:val="auto"/>
        </w:rPr>
      </w:pPr>
    </w:p>
    <w:p>
      <w:pPr>
        <w:jc w:val="both"/>
        <w:ind w:left="40" w:right="39"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2020 Dispositions. </w:t>
      </w:r>
      <w:r>
        <w:rPr>
          <w:rFonts w:ascii="Times New Roman" w:cs="Times New Roman" w:eastAsia="Times New Roman" w:hAnsi="Times New Roman"/>
          <w:sz w:val="16"/>
          <w:szCs w:val="16"/>
          <w:color w:val="auto"/>
        </w:rPr>
        <w:t>During the year ended December 31, 2020, the Company sold 11 income properties and one vacant land parcel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 total disposition volume of $86.5 million. The sale of the properties generated aggregate gains of $8.6 million. In addition to the income property and vacant land parcel dispositions, the Company sold eight of its remaining nine billboard sites for a sales price of $1.5 million, resulting in a gain equal to the sales price.</w:t>
      </w:r>
    </w:p>
    <w:p>
      <w:pPr>
        <w:spacing w:after="0" w:line="19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4.</w:t>
      </w:r>
      <w:r>
        <w:rPr>
          <w:sz w:val="20"/>
          <w:szCs w:val="20"/>
          <w:color w:val="auto"/>
        </w:rPr>
        <w:tab/>
      </w:r>
      <w:r>
        <w:rPr>
          <w:rFonts w:ascii="Times New Roman" w:cs="Times New Roman" w:eastAsia="Times New Roman" w:hAnsi="Times New Roman"/>
          <w:sz w:val="16"/>
          <w:szCs w:val="16"/>
          <w:b w:val="1"/>
          <w:bCs w:val="1"/>
          <w:color w:val="auto"/>
        </w:rPr>
        <w:t>COMMERCIAL LOANS AND INVESTMENTS</w:t>
      </w:r>
    </w:p>
    <w:p>
      <w:pPr>
        <w:spacing w:after="0" w:line="238"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50" w:lineRule="exact"/>
        <w:rPr>
          <w:sz w:val="20"/>
          <w:szCs w:val="20"/>
          <w:color w:val="auto"/>
        </w:rPr>
      </w:pPr>
    </w:p>
    <w:p>
      <w:pPr>
        <w:jc w:val="both"/>
        <w:ind w:left="40" w:right="59" w:firstLine="402"/>
        <w:spacing w:after="0" w:line="263" w:lineRule="auto"/>
        <w:rPr>
          <w:sz w:val="20"/>
          <w:szCs w:val="20"/>
          <w:color w:val="auto"/>
        </w:rPr>
      </w:pPr>
      <w:r>
        <w:rPr>
          <w:rFonts w:ascii="Times New Roman" w:cs="Times New Roman" w:eastAsia="Times New Roman" w:hAnsi="Times New Roman"/>
          <w:sz w:val="16"/>
          <w:szCs w:val="16"/>
          <w:i w:val="1"/>
          <w:iCs w:val="1"/>
          <w:color w:val="auto"/>
        </w:rPr>
        <w:t>2022 Activity</w:t>
      </w:r>
      <w:r>
        <w:rPr>
          <w:rFonts w:ascii="Times New Roman" w:cs="Times New Roman" w:eastAsia="Times New Roman" w:hAnsi="Times New Roman"/>
          <w:sz w:val="16"/>
          <w:szCs w:val="16"/>
          <w:color w:val="auto"/>
        </w:rPr>
        <w:t>. On January 26, 2022, the Company originated a construction loan secured by the property and improvements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constructed thereon for the second phase of The Exchange at Gwinnett project located in Buford, Georgia for $8.7 million. The construction loan matures on January 26, 2024, has a one-year extension option, bears a fixed interest rate of 7.25%, and requires payments of interest only prior to maturity. At closing, an origination fee of $0.1 million was received by the Company. Funding of the loan occurs as the borrower completes the underlying construction. As of December 31, 2022, the Company had funded $3.2 million to the borrower, leaving a remaining commitment of $5.5 million to the borrower. During the year ended December 31, 2022, the Company received principal payments totaling $2.9 million, leaving an outstanding loan balance of $0.2 million as of December 31, 2022.</w:t>
      </w:r>
    </w:p>
    <w:p>
      <w:pPr>
        <w:spacing w:after="0" w:line="361"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 xml:space="preserve">On March 11, 2022, the Company sold the Carpenter Hotel ground lease located in Austin, Texas for $17.1 million. The lease with Carpenter Hotel included two tenant repurchase options. Pursuant to FASB ASC Topic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the initial $16.25 million investment was recorded in the consolidated balance sheets as a commercial loan investment at the time of acquisition. The carrying value at the time of sale totaled $17.3 million, resulting in a loss of $0.2 million.</w:t>
      </w:r>
    </w:p>
    <w:p>
      <w:pPr>
        <w:spacing w:after="0" w:line="159" w:lineRule="exact"/>
        <w:rPr>
          <w:sz w:val="20"/>
          <w:szCs w:val="20"/>
          <w:color w:val="auto"/>
        </w:rPr>
      </w:pPr>
    </w:p>
    <w:p>
      <w:pPr>
        <w:jc w:val="both"/>
        <w:ind w:left="40" w:right="39" w:firstLine="448"/>
        <w:spacing w:after="0" w:line="262" w:lineRule="auto"/>
        <w:rPr>
          <w:sz w:val="20"/>
          <w:szCs w:val="20"/>
          <w:color w:val="auto"/>
        </w:rPr>
      </w:pPr>
      <w:r>
        <w:rPr>
          <w:rFonts w:ascii="Times New Roman" w:cs="Times New Roman" w:eastAsia="Times New Roman" w:hAnsi="Times New Roman"/>
          <w:sz w:val="16"/>
          <w:szCs w:val="16"/>
          <w:color w:val="auto"/>
        </w:rPr>
        <w:t xml:space="preserve">On April 7, 2022, the Company entered into a preferred equity agreement to provide $30.0 million of funding towards the total investment in Watters Creek at Montgomery Farm, a grocery-anchored, mixed-use property located in Allen, Texas (the “Watters Creek Investment”). Pursuant to FASB ASC Topic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and as further described in Note 7. “Investment in Joint Ventures,” the Company determined it is not the primary beneficiary of the entity underlying the Watters Creek Investment; accordingly, the $30.0 million was recorded in the consolidated balance sheets as a commercial loan investment at the time of acquisition.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w:t>
      </w:r>
    </w:p>
    <w:p>
      <w:pPr>
        <w:spacing w:after="0" w:line="164" w:lineRule="exact"/>
        <w:rPr>
          <w:sz w:val="20"/>
          <w:szCs w:val="20"/>
          <w:color w:val="auto"/>
        </w:rPr>
      </w:pPr>
    </w:p>
    <w:p>
      <w:pPr>
        <w:jc w:val="both"/>
        <w:ind w:left="40" w:right="59" w:firstLine="448"/>
        <w:spacing w:after="0" w:line="264" w:lineRule="auto"/>
        <w:rPr>
          <w:sz w:val="20"/>
          <w:szCs w:val="20"/>
          <w:color w:val="auto"/>
        </w:rPr>
      </w:pPr>
      <w:r>
        <w:rPr>
          <w:rFonts w:ascii="Times New Roman" w:cs="Times New Roman" w:eastAsia="Times New Roman" w:hAnsi="Times New Roman"/>
          <w:sz w:val="16"/>
          <w:szCs w:val="16"/>
          <w:color w:val="auto"/>
        </w:rPr>
        <w:t>On April 29, 2022, the Company originated a construction loan secured by the property and improvements to be constructed thereon for the WaterStar Residential and Retail project located in Kissimmee, Florida for $19.0 million. The construction loan matures on August 31, 2022, bears a fixed interest rate of 8.00%, and requires payments of interest only prior to maturity. At closing, an origination fee of $0.1 million was received by the Company. Funding of the loan occurred as the borrower completed the underlying construction. The entire $19.0 million was funded to the borrower, leaving no remaining commitment. As of December 31, 2022, the borrower had repaid the $19.0 million construction loan principal balance.</w:t>
      </w:r>
    </w:p>
    <w:p>
      <w:pPr>
        <w:spacing w:after="0" w:line="163" w:lineRule="exact"/>
        <w:rPr>
          <w:sz w:val="20"/>
          <w:szCs w:val="20"/>
          <w:color w:val="auto"/>
        </w:rPr>
      </w:pPr>
    </w:p>
    <w:p>
      <w:pPr>
        <w:jc w:val="both"/>
        <w:ind w:left="40" w:right="59" w:firstLine="448"/>
        <w:spacing w:after="0" w:line="266" w:lineRule="auto"/>
        <w:rPr>
          <w:sz w:val="20"/>
          <w:szCs w:val="20"/>
          <w:color w:val="auto"/>
        </w:rPr>
      </w:pPr>
      <w:r>
        <w:rPr>
          <w:rFonts w:ascii="Times New Roman" w:cs="Times New Roman" w:eastAsia="Times New Roman" w:hAnsi="Times New Roman"/>
          <w:sz w:val="16"/>
          <w:szCs w:val="16"/>
          <w:color w:val="auto"/>
        </w:rPr>
        <w:t>On May 9, 2022, the Company originated an improvement loan for a tenant at the Ashford Lane property located in Atlanta, Georgia for $1.5 million. The improvement loan matures on April 30, 2025, bears a fixed interest rate of 12.00%, until the location is open at which time the fixed interest rate will be 10.00%, and requires payments of interest only prior to maturity. Funding of the loan will occur as the borrower completes the underlying improvements. As of December 31, 2022, the Company had funded $1.5 million to the borrower.</w:t>
      </w:r>
    </w:p>
    <w:p>
      <w:pPr>
        <w:spacing w:after="0" w:line="161"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 xml:space="preserve">On July 28, 2022, the Company sold the Westland Gateway Plaza located in Hialeah, Florida for $22.2 million. The lease with Westland Gateway Plaza included a tenant purchase option. Pursuant to FASB ASC Topic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the initial $21.1 million investment was recorded in the consolidated balance sheets as a commercial loan investment at the time of acquisition. The carrying value at the time of sale totaled $21.2 million, resulting in a gain of $1.0 million.</w:t>
      </w:r>
    </w:p>
    <w:p>
      <w:pPr>
        <w:spacing w:after="0" w:line="159" w:lineRule="exact"/>
        <w:rPr>
          <w:sz w:val="20"/>
          <w:szCs w:val="20"/>
          <w:color w:val="auto"/>
        </w:rPr>
      </w:pPr>
    </w:p>
    <w:p>
      <w:pPr>
        <w:jc w:val="both"/>
        <w:ind w:left="40" w:right="59" w:firstLine="295"/>
        <w:spacing w:after="0" w:line="295" w:lineRule="auto"/>
        <w:rPr>
          <w:sz w:val="20"/>
          <w:szCs w:val="20"/>
          <w:color w:val="auto"/>
        </w:rPr>
      </w:pPr>
      <w:r>
        <w:rPr>
          <w:rFonts w:ascii="Times New Roman" w:cs="Times New Roman" w:eastAsia="Times New Roman" w:hAnsi="Times New Roman"/>
          <w:sz w:val="16"/>
          <w:szCs w:val="16"/>
          <w:color w:val="auto"/>
        </w:rPr>
        <w:t>On November 4, 2022, the borrower of the 110 N Beach St. mortgage note repaid the principal balance of $0.4 million, leaving no remaining balance outstanding at December 31, 2022.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Company’s commercial loans and investments were comprised of the following at December 31, 2022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Original</w:t>
            </w: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120" w:type="dxa"/>
            <w:vAlign w:val="bottom"/>
          </w:tcPr>
          <w:p>
            <w:pPr>
              <w:spacing w:after="0"/>
              <w:rPr>
                <w:sz w:val="12"/>
                <w:szCs w:val="12"/>
                <w:color w:val="auto"/>
              </w:rPr>
            </w:pPr>
          </w:p>
        </w:tc>
        <w:tc>
          <w:tcPr>
            <w:tcW w:w="6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120" w:type="dxa"/>
            <w:vAlign w:val="bottom"/>
          </w:tcPr>
          <w:p>
            <w:pPr>
              <w:spacing w:after="0"/>
              <w:rPr>
                <w:sz w:val="12"/>
                <w:szCs w:val="12"/>
                <w:color w:val="auto"/>
              </w:rPr>
            </w:pPr>
          </w:p>
        </w:tc>
        <w:tc>
          <w:tcPr>
            <w:tcW w:w="6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6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5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Coupon</w:t>
            </w:r>
          </w:p>
        </w:tc>
      </w:tr>
      <w:tr>
        <w:trPr>
          <w:trHeight w:val="167"/>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140"/>
        </w:trPr>
        <w:tc>
          <w:tcPr>
            <w:tcW w:w="3960" w:type="dxa"/>
            <w:vAlign w:val="bottom"/>
            <w:tcBorders>
              <w:top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Mortgage Note – 4311 Maple Avenue – Dallas, TX</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October 2020</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April 2023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395</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7.50%</w:t>
            </w:r>
          </w:p>
        </w:tc>
      </w:tr>
      <w:tr>
        <w:trPr>
          <w:trHeight w:val="148"/>
        </w:trPr>
        <w:tc>
          <w:tcPr>
            <w:tcW w:w="41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Construction Loan – The Exchange At Gwinnett – Buford, GA</w:t>
            </w:r>
          </w:p>
        </w:tc>
        <w:tc>
          <w:tcPr>
            <w:tcW w:w="98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rPr>
              <w:t>January 2022</w:t>
            </w:r>
          </w:p>
        </w:tc>
        <w:tc>
          <w:tcPr>
            <w:tcW w:w="10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w w:val="98"/>
              </w:rPr>
              <w:t>January 2024</w:t>
            </w: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8,700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173</w:t>
            </w:r>
          </w:p>
        </w:tc>
        <w:tc>
          <w:tcPr>
            <w:tcW w:w="700" w:type="dxa"/>
            <w:vAlign w:val="bottom"/>
            <w:gridSpan w:val="2"/>
          </w:tcPr>
          <w:p>
            <w:pPr>
              <w:jc w:val="center"/>
              <w:ind w:left="70"/>
              <w:spacing w:after="0" w:line="147" w:lineRule="exact"/>
              <w:rPr>
                <w:sz w:val="20"/>
                <w:szCs w:val="20"/>
                <w:color w:val="auto"/>
              </w:rPr>
            </w:pPr>
            <w:r>
              <w:rPr>
                <w:rFonts w:ascii="Times New Roman" w:cs="Times New Roman" w:eastAsia="Times New Roman" w:hAnsi="Times New Roman"/>
                <w:sz w:val="14"/>
                <w:szCs w:val="14"/>
                <w:color w:val="auto"/>
                <w:w w:val="99"/>
              </w:rPr>
              <w:t>7.25%</w:t>
            </w:r>
          </w:p>
        </w:tc>
      </w:tr>
      <w:tr>
        <w:trPr>
          <w:trHeight w:val="148"/>
        </w:trPr>
        <w:tc>
          <w:tcPr>
            <w:tcW w:w="41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Preferred Investment - Watters Creek – Allen, TX</w:t>
            </w:r>
          </w:p>
        </w:tc>
        <w:tc>
          <w:tcPr>
            <w:tcW w:w="980" w:type="dxa"/>
            <w:vAlign w:val="bottom"/>
            <w:gridSpan w:val="2"/>
            <w:shd w:val="clear" w:color="auto" w:fill="CCEEFF"/>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w w:val="98"/>
              </w:rPr>
              <w:t>April 2022</w:t>
            </w:r>
          </w:p>
        </w:tc>
        <w:tc>
          <w:tcPr>
            <w:tcW w:w="100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8"/>
              </w:rPr>
              <w:t>April 2025</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29,887</w:t>
            </w:r>
          </w:p>
        </w:tc>
        <w:tc>
          <w:tcPr>
            <w:tcW w:w="700" w:type="dxa"/>
            <w:vAlign w:val="bottom"/>
            <w:gridSpan w:val="2"/>
            <w:shd w:val="clear" w:color="auto" w:fill="CCEEFF"/>
          </w:tcPr>
          <w:p>
            <w:pPr>
              <w:jc w:val="center"/>
              <w:ind w:left="70"/>
              <w:spacing w:after="0" w:line="147" w:lineRule="exact"/>
              <w:rPr>
                <w:sz w:val="20"/>
                <w:szCs w:val="20"/>
                <w:color w:val="auto"/>
              </w:rPr>
            </w:pPr>
            <w:r>
              <w:rPr>
                <w:rFonts w:ascii="Times New Roman" w:cs="Times New Roman" w:eastAsia="Times New Roman" w:hAnsi="Times New Roman"/>
                <w:sz w:val="14"/>
                <w:szCs w:val="14"/>
                <w:color w:val="auto"/>
                <w:w w:val="99"/>
              </w:rPr>
              <w:t>8.50%</w:t>
            </w:r>
          </w:p>
        </w:tc>
      </w:tr>
      <w:tr>
        <w:trPr>
          <w:trHeight w:val="148"/>
        </w:trPr>
        <w:tc>
          <w:tcPr>
            <w:tcW w:w="412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4"/>
                <w:szCs w:val="14"/>
                <w:color w:val="auto"/>
              </w:rPr>
              <w:t>Improvement Loan - Ashford Lane – Atlanta, GA</w:t>
            </w:r>
          </w:p>
        </w:tc>
        <w:tc>
          <w:tcPr>
            <w:tcW w:w="980" w:type="dxa"/>
            <w:vAlign w:val="bottom"/>
            <w:tcBorders>
              <w:bottom w:val="single" w:sz="8" w:color="CCEEFF"/>
            </w:tcBorders>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w w:val="97"/>
              </w:rPr>
              <w:t>May 2022</w:t>
            </w:r>
          </w:p>
        </w:tc>
        <w:tc>
          <w:tcPr>
            <w:tcW w:w="1000" w:type="dxa"/>
            <w:vAlign w:val="bottom"/>
            <w:tcBorders>
              <w:bottom w:val="single" w:sz="8" w:color="CCEEFF"/>
            </w:tcBorders>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8"/>
              </w:rPr>
              <w:t>April 2025</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1,500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1,453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1,453</w:t>
            </w:r>
          </w:p>
        </w:tc>
        <w:tc>
          <w:tcPr>
            <w:tcW w:w="700" w:type="dxa"/>
            <w:vAlign w:val="bottom"/>
            <w:tcBorders>
              <w:bottom w:val="single" w:sz="8" w:color="CCEEFF"/>
            </w:tcBorders>
            <w:gridSpan w:val="2"/>
          </w:tcPr>
          <w:p>
            <w:pPr>
              <w:jc w:val="center"/>
              <w:ind w:left="90"/>
              <w:spacing w:after="0" w:line="147" w:lineRule="exact"/>
              <w:rPr>
                <w:sz w:val="20"/>
                <w:szCs w:val="20"/>
                <w:color w:val="auto"/>
              </w:rPr>
            </w:pPr>
            <w:r>
              <w:rPr>
                <w:rFonts w:ascii="Times New Roman" w:cs="Times New Roman" w:eastAsia="Times New Roman" w:hAnsi="Times New Roman"/>
                <w:sz w:val="14"/>
                <w:szCs w:val="14"/>
                <w:color w:val="auto"/>
                <w:w w:val="97"/>
              </w:rPr>
              <w:t>12.00%</w:t>
            </w:r>
          </w:p>
        </w:tc>
      </w:tr>
      <w:tr>
        <w:trPr>
          <w:trHeight w:val="140"/>
        </w:trPr>
        <w:tc>
          <w:tcPr>
            <w:tcW w:w="39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40,600</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32,073</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31,908</w:t>
            </w: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left="40" w:right="39" w:firstLine="402"/>
        <w:spacing w:after="0" w:line="277" w:lineRule="auto"/>
        <w:rPr>
          <w:sz w:val="20"/>
          <w:szCs w:val="20"/>
          <w:color w:val="auto"/>
        </w:rPr>
      </w:pPr>
      <w:r>
        <w:rPr>
          <w:rFonts w:ascii="Times New Roman" w:cs="Times New Roman" w:eastAsia="Times New Roman" w:hAnsi="Times New Roman"/>
          <w:sz w:val="16"/>
          <w:szCs w:val="16"/>
          <w:i w:val="1"/>
          <w:iCs w:val="1"/>
          <w:color w:val="auto"/>
        </w:rPr>
        <w:t>2021 Activity</w:t>
      </w:r>
      <w:r>
        <w:rPr>
          <w:rFonts w:ascii="Times New Roman" w:cs="Times New Roman" w:eastAsia="Times New Roman" w:hAnsi="Times New Roman"/>
          <w:sz w:val="16"/>
          <w:szCs w:val="16"/>
          <w:color w:val="auto"/>
        </w:rPr>
        <w:t>. On June 30, 2021, the Company originated a loan in connection with the sale of a land parcel with an existing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structure located in Daytona Beach, Florida. The principal loan amount of $0.4 million bears interest at a fixed rate of 10.00% and had an initial term of 1.5 years.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Company’s commercial loans and investments were comprised of the following at December 31, 2021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Original</w:t>
            </w:r>
          </w:p>
        </w:tc>
        <w:tc>
          <w:tcPr>
            <w:tcW w:w="8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8"/>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9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6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6"/>
              </w:rPr>
              <w:t>Coupon</w:t>
            </w:r>
          </w:p>
        </w:tc>
      </w:tr>
      <w:tr>
        <w:trPr>
          <w:trHeight w:val="167"/>
        </w:trPr>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4"/>
                <w:szCs w:val="14"/>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140"/>
        </w:trPr>
        <w:tc>
          <w:tcPr>
            <w:tcW w:w="3740" w:type="dxa"/>
            <w:vAlign w:val="bottom"/>
            <w:tcBorders>
              <w:top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Carpenter Hotel – 400 Josephine Street, Austin, TX</w:t>
            </w: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July 2019</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16,250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16,250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17,189</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color w:val="auto"/>
                <w:w w:val="99"/>
              </w:rPr>
              <w:t>N/A</w:t>
            </w:r>
          </w:p>
        </w:tc>
      </w:tr>
      <w:tr>
        <w:trPr>
          <w:trHeight w:val="148"/>
        </w:trPr>
        <w:tc>
          <w:tcPr>
            <w:tcW w:w="388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Westland Gateway Plaza – Hialeah, FL</w:t>
            </w:r>
          </w:p>
        </w:tc>
        <w:tc>
          <w:tcPr>
            <w:tcW w:w="11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color w:val="auto"/>
                <w:w w:val="98"/>
              </w:rPr>
              <w:t>September 2020</w:t>
            </w:r>
          </w:p>
        </w:tc>
        <w:tc>
          <w:tcPr>
            <w:tcW w:w="9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21,085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21,085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21,148</w:t>
            </w:r>
          </w:p>
        </w:tc>
        <w:tc>
          <w:tcPr>
            <w:tcW w:w="160" w:type="dxa"/>
            <w:vAlign w:val="bottom"/>
          </w:tcPr>
          <w:p>
            <w:pPr>
              <w:spacing w:after="0"/>
              <w:rPr>
                <w:sz w:val="12"/>
                <w:szCs w:val="12"/>
                <w:color w:val="auto"/>
              </w:rPr>
            </w:pPr>
          </w:p>
        </w:tc>
        <w:tc>
          <w:tcPr>
            <w:tcW w:w="5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N/A</w:t>
            </w:r>
          </w:p>
        </w:tc>
      </w:tr>
      <w:tr>
        <w:trPr>
          <w:trHeight w:val="148"/>
        </w:trPr>
        <w:tc>
          <w:tcPr>
            <w:tcW w:w="38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Mortgage Note – 4311 Maple Avenue – Dallas, TX</w:t>
            </w:r>
          </w:p>
        </w:tc>
        <w:tc>
          <w:tcPr>
            <w:tcW w:w="116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9"/>
              </w:rPr>
              <w:t>October 2020</w:t>
            </w:r>
          </w:p>
        </w:tc>
        <w:tc>
          <w:tcPr>
            <w:tcW w:w="960" w:type="dxa"/>
            <w:vAlign w:val="bottom"/>
            <w:gridSpan w:val="2"/>
            <w:shd w:val="clear" w:color="auto" w:fill="CCEEFF"/>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w w:val="98"/>
              </w:rPr>
              <w:t>April 2023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394</w:t>
            </w:r>
          </w:p>
        </w:tc>
        <w:tc>
          <w:tcPr>
            <w:tcW w:w="740" w:type="dxa"/>
            <w:vAlign w:val="bottom"/>
            <w:gridSpan w:val="2"/>
            <w:shd w:val="clear" w:color="auto" w:fill="CCEEFF"/>
          </w:tcPr>
          <w:p>
            <w:pPr>
              <w:jc w:val="right"/>
              <w:ind w:right="50"/>
              <w:spacing w:after="0" w:line="147" w:lineRule="exact"/>
              <w:rPr>
                <w:sz w:val="20"/>
                <w:szCs w:val="20"/>
                <w:color w:val="auto"/>
              </w:rPr>
            </w:pPr>
            <w:r>
              <w:rPr>
                <w:rFonts w:ascii="Times New Roman" w:cs="Times New Roman" w:eastAsia="Times New Roman" w:hAnsi="Times New Roman"/>
                <w:sz w:val="14"/>
                <w:szCs w:val="14"/>
                <w:color w:val="auto"/>
              </w:rPr>
              <w:t>7.50%</w:t>
            </w:r>
          </w:p>
        </w:tc>
      </w:tr>
      <w:tr>
        <w:trPr>
          <w:trHeight w:val="130"/>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color w:val="auto"/>
              </w:rPr>
              <w:t>December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5"/>
        </w:trPr>
        <w:tc>
          <w:tcPr>
            <w:tcW w:w="3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Mortgage Note – 110 N Beach Street – Daytona Beach, FL</w:t>
            </w:r>
          </w:p>
        </w:tc>
        <w:tc>
          <w:tcPr>
            <w:tcW w:w="116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June 2021</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7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10.00%</w:t>
            </w:r>
          </w:p>
        </w:tc>
      </w:tr>
      <w:tr>
        <w:trPr>
          <w:trHeight w:val="140"/>
        </w:trPr>
        <w:tc>
          <w:tcPr>
            <w:tcW w:w="3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38,099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38,099</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4"/>
                <w:szCs w:val="14"/>
                <w:color w:val="auto"/>
              </w:rPr>
              <w:t>39,095</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carrying value of the commercial loans and investment portfolio at December 31, 2022 and 2021 consisted of the following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6"/>
                <w:szCs w:val="16"/>
                <w:color w:val="auto"/>
              </w:rPr>
            </w:pPr>
          </w:p>
        </w:tc>
        <w:tc>
          <w:tcPr>
            <w:tcW w:w="148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Pr>
          <w:p>
            <w:pPr>
              <w:spacing w:after="0"/>
              <w:rPr>
                <w:sz w:val="16"/>
                <w:szCs w:val="16"/>
                <w:color w:val="auto"/>
              </w:rPr>
            </w:pPr>
          </w:p>
        </w:tc>
      </w:tr>
      <w:tr>
        <w:trPr>
          <w:trHeight w:val="18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Face Amount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38,099</w:t>
            </w:r>
          </w:p>
        </w:tc>
        <w:tc>
          <w:tcPr>
            <w:tcW w:w="20" w:type="dxa"/>
            <w:vAlign w:val="bottom"/>
          </w:tcPr>
          <w:p>
            <w:pPr>
              <w:spacing w:after="0"/>
              <w:rPr>
                <w:sz w:val="16"/>
                <w:szCs w:val="16"/>
                <w:color w:val="auto"/>
              </w:rPr>
            </w:pP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Imputed Interest over Rent Payments Received</w:t>
            </w:r>
          </w:p>
        </w:tc>
        <w:tc>
          <w:tcPr>
            <w:tcW w:w="12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0" w:type="dxa"/>
            <w:vAlign w:val="bottom"/>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Unaccreted Origination Fees</w:t>
            </w: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CECL Reserve</w:t>
            </w:r>
          </w:p>
        </w:tc>
        <w:tc>
          <w:tcPr>
            <w:tcW w:w="120" w:type="dxa"/>
            <w:vAlign w:val="bottom"/>
          </w:tcPr>
          <w:p>
            <w:pPr>
              <w:spacing w:after="0"/>
              <w:rPr>
                <w:sz w:val="17"/>
                <w:szCs w:val="17"/>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7"/>
                <w:szCs w:val="17"/>
                <w:color w:val="auto"/>
              </w:rPr>
            </w:pPr>
          </w:p>
        </w:tc>
      </w:tr>
      <w:tr>
        <w:trPr>
          <w:trHeight w:val="189"/>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Commercial Loans and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39,095</w:t>
            </w:r>
          </w:p>
        </w:tc>
        <w:tc>
          <w:tcPr>
            <w:tcW w:w="20" w:type="dxa"/>
            <w:vAlign w:val="bottom"/>
          </w:tcPr>
          <w:p>
            <w:pPr>
              <w:spacing w:after="0"/>
              <w:rPr>
                <w:sz w:val="16"/>
                <w:szCs w:val="16"/>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5.</w:t>
      </w:r>
      <w:r>
        <w:rPr>
          <w:sz w:val="20"/>
          <w:szCs w:val="20"/>
          <w:color w:val="auto"/>
        </w:rPr>
        <w:tab/>
      </w:r>
      <w:r>
        <w:rPr>
          <w:rFonts w:ascii="Times New Roman" w:cs="Times New Roman" w:eastAsia="Times New Roman" w:hAnsi="Times New Roman"/>
          <w:sz w:val="16"/>
          <w:szCs w:val="16"/>
          <w:b w:val="1"/>
          <w:bCs w:val="1"/>
          <w:color w:val="auto"/>
        </w:rPr>
        <w:t>RELATED PARTY MANAGEMENT SERVICES BUSINESS</w:t>
      </w:r>
    </w:p>
    <w:p>
      <w:pPr>
        <w:spacing w:after="0" w:line="212" w:lineRule="exact"/>
        <w:rPr>
          <w:sz w:val="20"/>
          <w:szCs w:val="20"/>
          <w:color w:val="auto"/>
        </w:rPr>
      </w:pPr>
    </w:p>
    <w:p>
      <w:pPr>
        <w:jc w:val="both"/>
        <w:ind w:left="40" w:right="39" w:firstLine="402"/>
        <w:spacing w:after="0" w:line="277" w:lineRule="auto"/>
        <w:rPr>
          <w:sz w:val="20"/>
          <w:szCs w:val="20"/>
          <w:color w:val="auto"/>
        </w:rPr>
      </w:pPr>
      <w:r>
        <w:rPr>
          <w:rFonts w:ascii="Times New Roman" w:cs="Times New Roman" w:eastAsia="Times New Roman" w:hAnsi="Times New Roman"/>
          <w:sz w:val="16"/>
          <w:szCs w:val="16"/>
          <w:color w:val="auto"/>
        </w:rPr>
        <w:t xml:space="preserve">The Company’s management fee income is within the scope of FASB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and totaled $3.8 million, $3.3 million, and $2.7 million during the years ended December 31, 2022, 2021, and 2020, respectively. Management fee income is recognized as revenue over time, over the period the services are performed.</w:t>
      </w:r>
    </w:p>
    <w:p>
      <w:pPr>
        <w:spacing w:after="0" w:line="150" w:lineRule="exact"/>
        <w:rPr>
          <w:sz w:val="20"/>
          <w:szCs w:val="20"/>
          <w:color w:val="auto"/>
        </w:rPr>
      </w:pPr>
    </w:p>
    <w:p>
      <w:pPr>
        <w:jc w:val="both"/>
        <w:ind w:left="40" w:right="59" w:firstLine="402"/>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Alpine Income Property Trust. </w:t>
      </w:r>
      <w:r>
        <w:rPr>
          <w:rFonts w:ascii="Times New Roman" w:cs="Times New Roman" w:eastAsia="Times New Roman" w:hAnsi="Times New Roman"/>
          <w:sz w:val="16"/>
          <w:szCs w:val="16"/>
          <w:color w:val="auto"/>
        </w:rPr>
        <w:t>Pursuant to the Company’s management agreement with PINE, the Company generates a base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fee equal to 0.375% per quarter of PINE’s total equity (as defined in the management agreement and based on a 1.5% annual rate), calculated and payable in cash, quarterly in arrears.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2022 or 2021.</w:t>
      </w:r>
    </w:p>
    <w:p>
      <w:pPr>
        <w:spacing w:after="0" w:line="169"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During the years ended December 31, 2022, 2021, and 2020, the Company earned management fee revenue from PINE totaling $3.8 million, $3.2 million, and $2.6 million, respectively. Dividend income for the years ended December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6"/>
          <w:szCs w:val="16"/>
          <w:color w:val="auto"/>
        </w:rPr>
        <w:t>31, 2022, 2021, and 2020 totaled $2.3 million, $2.1 million, and $1.7 million, respectively. Management fee revenue from PINE, included in management services, and dividend income, included in investment and other income (loss), are reflected in the accompanying consolidated statements of operations.</w:t>
      </w:r>
    </w:p>
    <w:p>
      <w:pPr>
        <w:spacing w:after="0" w:line="15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represents amounts due from PINE to the Company as of December 31, 2022 and 2021 which are included in other assets on the consolidated balance sheets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6"/>
                <w:szCs w:val="16"/>
                <w:color w:val="auto"/>
              </w:rPr>
            </w:pPr>
          </w:p>
        </w:tc>
        <w:tc>
          <w:tcPr>
            <w:tcW w:w="154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8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Services Fee due From PINE</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197"/>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 Receivable</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197"/>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89"/>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61"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On October 26, 2021, the Board authorized the purchase by the Company of up to $5.0 million in shares of common stock of PINE, at a weighted average price not to exceed $17.75 per share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 As of December 31, 2022, CTO owns, in the aggregate, 1,223,854 OP Units and 979,543 shares of PINE common stock, representing an investment totaling $42.0 million, or 14.6% of PINE’s outstanding equity.</w:t>
      </w:r>
    </w:p>
    <w:p>
      <w:pPr>
        <w:spacing w:after="0" w:line="365"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On February 16, 2023, the Board cancelled the Prior PINE Share Purchase Authorization and authorized the purchase by the Company of up to $2.1 million in shares of common stock of PINE, at a weighted average price not to exceed $18.50 per share (the “2023 PINE Share Purchase Authorization”). Shares of PINE may be purchased under the 2023 PINE Share Purchase Authorization through open market purchases or unsolicited or solicited privately negotiated transactions. The 2023 PINE Share Purchase Authorization does not obligate the Company to acquire any particular amount of shares of PINE and may be modified or suspended.</w:t>
      </w:r>
    </w:p>
    <w:p>
      <w:pPr>
        <w:spacing w:after="0" w:line="161"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w:t>
      </w:r>
    </w:p>
    <w:p>
      <w:pPr>
        <w:spacing w:after="0" w:line="363"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Land JV. </w:t>
      </w:r>
      <w:r>
        <w:rPr>
          <w:rFonts w:ascii="Times New Roman" w:cs="Times New Roman" w:eastAsia="Times New Roman" w:hAnsi="Times New Roman"/>
          <w:sz w:val="16"/>
          <w:szCs w:val="16"/>
          <w:color w:val="auto"/>
        </w:rPr>
        <w:t>Prior to the Land JV Sale on December 10, 2021, pursuant to the terms of the operating agreement for the Land JV,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initial amount of the management fee was $20,000 per month. The management fee was evaluated quarterly and as land sales occurred in the Land JV, the basis for the Company’s management fee was reduced as the management fee was based on the value of real property that remained in the Land JV. The monthly management fee as of December 31, 2021 was $10,000 per month. As a result of the Land JV Sale, no management fee revenues pertaining to the Land JV were earned during the year ended December 31, 2022. During the years ended December 31, 2021, and 2020, the Company earned management fee revenue from the Land JV totaling $0.1 million, $0.2 million,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6.</w:t>
      </w:r>
      <w:r>
        <w:rPr>
          <w:sz w:val="20"/>
          <w:szCs w:val="20"/>
          <w:color w:val="auto"/>
        </w:rPr>
        <w:tab/>
      </w:r>
      <w:r>
        <w:rPr>
          <w:rFonts w:ascii="Times New Roman" w:cs="Times New Roman" w:eastAsia="Times New Roman" w:hAnsi="Times New Roman"/>
          <w:sz w:val="16"/>
          <w:szCs w:val="16"/>
          <w:b w:val="1"/>
          <w:bCs w:val="1"/>
          <w:color w:val="auto"/>
        </w:rPr>
        <w:t>REAL ESTATE OPERATIONS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Operations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Land and development costs at December 31, 2022 and 2021 were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00" w:type="dxa"/>
            <w:vAlign w:val="bottom"/>
            <w:tcBorders>
              <w:bottom w:val="single" w:sz="8" w:color="auto"/>
            </w:tcBorders>
          </w:tcPr>
          <w:p>
            <w:pPr>
              <w:spacing w:after="0"/>
              <w:rPr>
                <w:sz w:val="18"/>
                <w:szCs w:val="18"/>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6"/>
                <w:szCs w:val="16"/>
                <w:color w:val="auto"/>
              </w:rPr>
            </w:pPr>
          </w:p>
        </w:tc>
        <w:tc>
          <w:tcPr>
            <w:tcW w:w="17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8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Development Costs</w:t>
            </w: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197"/>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Subsurface Interests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189"/>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Land and Development Costs</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left="40" w:right="59" w:firstLine="402"/>
        <w:spacing w:after="0" w:line="277" w:lineRule="auto"/>
        <w:rPr>
          <w:sz w:val="20"/>
          <w:szCs w:val="20"/>
          <w:color w:val="auto"/>
        </w:rPr>
      </w:pPr>
      <w:r>
        <w:rPr>
          <w:rFonts w:ascii="Times New Roman" w:cs="Times New Roman" w:eastAsia="Times New Roman" w:hAnsi="Times New Roman"/>
          <w:sz w:val="16"/>
          <w:szCs w:val="16"/>
          <w:color w:val="auto"/>
        </w:rPr>
        <w:t xml:space="preserve">The Company’s real estate operations revenue is within the scope of FASB ASC Topic 606,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as summarized below. Revenue from real estate operations is recognized at the point in time the underlying assets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transferred.</w:t>
      </w:r>
    </w:p>
    <w:p>
      <w:pPr>
        <w:spacing w:after="0" w:line="152"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Revenue from continuing real estate operations consisted of the following for the years ended December 31, 2022, 2021, and 2020 (in thousands):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89"/>
        </w:trPr>
        <w:tc>
          <w:tcPr>
            <w:tcW w:w="40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Mitigation Credit Sales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Subsurface Revenue - Other</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19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Sales Revenue</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Fill Dirt and Other Revenue</w:t>
            </w:r>
          </w:p>
        </w:tc>
        <w:tc>
          <w:tcPr>
            <w:tcW w:w="92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89"/>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Real Estate Operations Revenue</w:t>
            </w:r>
          </w:p>
        </w:tc>
        <w:tc>
          <w:tcPr>
            <w:tcW w:w="92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0"/>
        </w:trPr>
        <w:tc>
          <w:tcPr>
            <w:tcW w:w="4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Daytona Beach Development. </w:t>
      </w:r>
      <w:r>
        <w:rPr>
          <w:rFonts w:ascii="Times New Roman" w:cs="Times New Roman" w:eastAsia="Times New Roman" w:hAnsi="Times New Roman"/>
          <w:sz w:val="16"/>
          <w:szCs w:val="16"/>
          <w:color w:val="auto"/>
        </w:rPr>
        <w:t>During the year ended December 31, 2021, the Company entered into a purchase and sale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to sell a six-acre parcel of land with existing structures in downtown Daytona Beach and other contiguous parcels (the “Daytona Beach Development”) for a sales price of $6.25 million, which sale was completed on December 28, 2021, resulting in a gain of $0.2 million. The Daytona Beach Development, representing a substantial portion of an entire city block in downtown Daytona Beach adjacent to International Speedway Boulevard, a major thoroughfare in Daytona Beach, was acquired by the Company for $4.1 million. Prior to its disposition, the Company incurred $1.6 million in raze and entitlement costs related to the Daytona Beach Development.</w:t>
      </w:r>
    </w:p>
    <w:p>
      <w:pPr>
        <w:spacing w:after="0" w:line="384"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Mitigation Credits and Mitigation Credit Rights. </w:t>
      </w:r>
      <w:r>
        <w:rPr>
          <w:rFonts w:ascii="Times New Roman" w:cs="Times New Roman" w:eastAsia="Times New Roman" w:hAnsi="Times New Roman"/>
          <w:sz w:val="16"/>
          <w:szCs w:val="16"/>
          <w:color w:val="auto"/>
        </w:rPr>
        <w:t>The Company owns mitigation credits and mitigation credit rights with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aggregate cost basis of $2.6 million as of December 31, 2022, representing a $22.1 million decrease from the balance as of December 31, 2021. 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w:t>
      </w:r>
    </w:p>
    <w:p>
      <w:pPr>
        <w:spacing w:after="0" w:line="196"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Revenues and the cost of sales of mitigation credit sales are reported as revenues from, and direct costs of, real estate operations, respectively, in the consolidated statements of operations. During the year ended December 31, 2022, the Company sold 34 mitigation credits for proceeds of $3.5 million with a cost basis of $2.3 million. During the year ended December 31, 2021, the Company sold six mitigation credits for proceeds of $0.7 million with a cost basis of $0.5 million. Additionally, two mitigation credits with a cost basis of $0.1 million were accrued for as an expense during the year ended December 31, 2021, as such credits are to be provided to buyers of land at no cost. Mitigation credit sales totaled less than $0.1 million during the year ended December 31, 2020, which sales were offset by an aggregate charge to cost of sales totaling $3.1 million, comprised of (i) 42 mitigation credits with a cost basis of $2.9 million that were provided at no cost to buyers, (ii) the Company’s purchase of two mitigation credits for $0.2 million, and (iii) 31 mitigation credits with a cost basis of less than $0.1 million transferred to buyers of land previously sold and of which costs were accrued for in prior years at the time of the original land sale. Additionally, during the year ended December 31, 2020, the Company transferred 13.31 federal mitigation credits to the permit related to the land that gave rise to an environmental restoration matter that has been fully resolved as of December 31, 2021. These credits had an aggregate cost basis of $0.1 million and are included in general and administrative expenses in the consolidated statements of operations for the year ended December 31, 2020.</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Subsurface Interests. </w:t>
      </w:r>
      <w:r>
        <w:rPr>
          <w:rFonts w:ascii="Times New Roman" w:cs="Times New Roman" w:eastAsia="Times New Roman" w:hAnsi="Times New Roman"/>
          <w:sz w:val="16"/>
          <w:szCs w:val="16"/>
          <w:color w:val="auto"/>
        </w:rPr>
        <w:t>As of December 31, 2022, the Company owns 355,000 acres of Subsurface Interests. The Company leases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year ended December 31, 2022, the Company sold approximately 14,600 acres of subsurface oil, gas, and mineral rights for a sales price of $1.7 million. During the year ended December 31, 2021, the Company sold approximately 84,900 acres of subsurface oil, gas, and mineral rights for a sales price of $4.6 million. During the year ended December 31, 2020, the Company sold 345 acres of subsurface interests totaling $0.4 million.</w:t>
      </w:r>
    </w:p>
    <w:p>
      <w:pPr>
        <w:spacing w:after="0" w:line="20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During the years ended December 31, 2022, 2021, and 2020, the Company also received oil royalties from operating oil wells on 800 acres under a separate lease with a separate operator. Revenues received from oil royalties totaled less than $0.1 million during each respective year.</w:t>
      </w:r>
    </w:p>
    <w:p>
      <w:pPr>
        <w:spacing w:after="0" w:line="177" w:lineRule="exact"/>
        <w:rPr>
          <w:sz w:val="20"/>
          <w:szCs w:val="20"/>
          <w:color w:val="auto"/>
        </w:rPr>
      </w:pPr>
    </w:p>
    <w:p>
      <w:pPr>
        <w:jc w:val="both"/>
        <w:ind w:left="40" w:right="59" w:firstLine="402"/>
        <w:spacing w:after="0" w:line="264" w:lineRule="auto"/>
        <w:rPr>
          <w:sz w:val="20"/>
          <w:szCs w:val="20"/>
          <w:color w:val="auto"/>
        </w:rPr>
      </w:pPr>
      <w:r>
        <w:rPr>
          <w:rFonts w:ascii="Times New Roman" w:cs="Times New Roman" w:eastAsia="Times New Roman" w:hAnsi="Times New Roman"/>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$0.2 million, $0.1 million, and $0.2 million during the years ended December 31, 2022, 2021 and 2020, respectively.</w:t>
      </w:r>
    </w:p>
    <w:p>
      <w:pPr>
        <w:spacing w:after="0" w:line="161" w:lineRule="exact"/>
        <w:rPr>
          <w:sz w:val="20"/>
          <w:szCs w:val="20"/>
          <w:color w:val="auto"/>
        </w:rPr>
      </w:pPr>
    </w:p>
    <w:p>
      <w:pPr>
        <w:jc w:val="both"/>
        <w:ind w:left="40" w:right="39" w:firstLine="402"/>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Land Impairments. </w:t>
      </w:r>
      <w:r>
        <w:rPr>
          <w:rFonts w:ascii="Times New Roman" w:cs="Times New Roman" w:eastAsia="Times New Roman" w:hAnsi="Times New Roman"/>
          <w:sz w:val="16"/>
          <w:szCs w:val="16"/>
          <w:color w:val="auto"/>
        </w:rPr>
        <w:t>There were no impairment charges on the Company’s undeveloped land holdings, or its income property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during the years ended December 31, 2022, 2021, or 2020. The $17.6 million impairment charge recognized during the year ended December 31, 2021 is related to the Company’s previously held retained interest in the Land JV. The aggregate impairment charge of $17.6 million is a result of eliminating the investment in joint ventures based on the final proceeds received through distributions of the Land JV in connection with closing the sale of substantially all of the Land JV’s remaining land to Timberline Acquisition Partners, an affiliate of Timberline Real Estate Partners (“Timberline”), for a final sales price of $66.3 million.</w:t>
      </w:r>
    </w:p>
    <w:p>
      <w:pPr>
        <w:spacing w:after="0" w:line="160"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Additionally, during the year ended December 31, 2020, the Company recognized an aggregate $7.2 million impairment charge comprised of a $0.1 million impairment charge on one of the land parcels included in the Daytona Beach Development and a $7.1 million impairment charge on the Company’s previously held retained interest in the Land LV. The $7.1 million impairment on the Company’s previously held retained interest in the Land JV was the result of a re-forecast of the anticipated undiscounted future cash flows to be received by the Company based on the estimated timing of future land sales from the Land JV.</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Operations – Land JV</w:t>
      </w:r>
    </w:p>
    <w:p>
      <w:pPr>
        <w:spacing w:after="0" w:line="250"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The Land JV, of which the Company previously held a 33.5% retained interest, completed the sale of all of its remaining land holdings on December 10, 2021. From its inception on October 16, 2019 through December 31, 2021, the Land JV completed $147.0 million in land sales. Upon the closing of the sale of the Land JV's remaining assets to Timberline, the value of the Company’s previously held retained interest in the Land JV was realized in the form of proceeds, which totaled $24.5 million, to the Company after distributions to the other member of the Land JV.</w:t>
      </w:r>
    </w:p>
    <w:p>
      <w:pPr>
        <w:spacing w:after="0" w:line="198"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Through December 31, 2021, the Company served as the manager of the Land JV and was responsible for day-to-day operations at the direction of the partners of the Land JV (the “JV Partners”). All major decisions and certain other actions taken by the manager were approved by the unanimous consent of the JV Partners (the “Unanimous Actions”). Unanimous Actions included such matters as the approval of pricing for all land parcels in the Land JV; approval of contracts for the sale of land that contain material revisions to the standard purchase contract of the Land JV; entry into any lease agreement affiliated with the Land JV; entering into listing or brokerage agreements; approval and amendment of the Land JV’s operating budget; obtaining financing for the Land JV; admission of additional members; and dispositions of the Land JV’s real property for amounts less than market value. As a result of the Land JV Sale, no management fee revenues pertaining to the Land JV were earned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7. INVESTMENT IN JOINT VENTURES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 has no investments in joint ventures as of December 31, 2022 or 2021.</w:t>
      </w:r>
    </w:p>
    <w:p>
      <w:pPr>
        <w:spacing w:after="0" w:line="208"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Watters Creek Investment. </w:t>
      </w:r>
      <w:r>
        <w:rPr>
          <w:rFonts w:ascii="Times New Roman" w:cs="Times New Roman" w:eastAsia="Times New Roman" w:hAnsi="Times New Roman"/>
          <w:sz w:val="16"/>
          <w:szCs w:val="16"/>
          <w:color w:val="auto"/>
        </w:rPr>
        <w:t>As described in Note 4. “Commercial Loans and Investments,” on April 7, 2022, the Company entered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into the Watters Creek Investment.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 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spacing w:after="0" w:line="163"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Land JV. </w:t>
      </w:r>
      <w:r>
        <w:rPr>
          <w:rFonts w:ascii="Times New Roman" w:cs="Times New Roman" w:eastAsia="Times New Roman" w:hAnsi="Times New Roman"/>
          <w:sz w:val="16"/>
          <w:szCs w:val="16"/>
          <w:color w:val="auto"/>
        </w:rPr>
        <w:t>The Company’s previously held retained interest in the Land JV represented a notional 33.5% stake in the venture,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value of which was realized in the form of distributions based on the timing and the amount of proceeds achieved when the land was ultimately sold by the Land JV. As of September 30, 2021, the Land JV had completed $80.7 million in land sales since its inception in mid-October 2019. On December 10, 2021, the Land JV completed the sale of all of its remaining land holdings to Timberline for $66.3 million. Proceeds to the Company after distributions to the other member of the Land JV, and before taxes, were $24.5 million.</w:t>
      </w:r>
    </w:p>
    <w:p>
      <w:pPr>
        <w:spacing w:after="0" w:line="159"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Through December 31, 2021, the Company served as the manager of the Land JV and was responsible for day-to-day operations at the direction of the JV Partners. All Unanimous Actions taken by the manager were approved by the unanimous consent of the JV Partners. Pursuant to the Land JV’s operating agreement, the Land JV paid the manager a management fee in the initial amount of $20,000 per month. The management fee was evaluated quarterly, and as land sales occurred in the Land JV, the basis for our management fee was reduced as the management fee was based on the value of real property that remained in the Land JV. The monthly management fee as of December 31, 2021, was $10,000 per month. No management fees pertaining to the Land JV were earned during the year ended December 31, 2022.</w:t>
      </w:r>
    </w:p>
    <w:p>
      <w:pPr>
        <w:spacing w:after="0" w:line="163"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 xml:space="preserve">Prior to the Land JV Sale, the investment in joint ventures on the Company’s consolidated balance sheets included the Company’s previously held ownership interest in the Land JV. We concluded the Land JV to be a variable interest entity and therefore, it was accounted for under the equity method of accounting as the Company was not the primary beneficiary as defined in FASB ASC Topic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xml:space="preserve">. The significant factors related to this determination included, but were not limited to, the Land JV being jointly controlled by the members through the use of unanimous approval for all material actions. Under the guidance of FASB ASC 323, </w:t>
      </w:r>
      <w:r>
        <w:rPr>
          <w:rFonts w:ascii="Times New Roman" w:cs="Times New Roman" w:eastAsia="Times New Roman" w:hAnsi="Times New Roman"/>
          <w:sz w:val="16"/>
          <w:szCs w:val="16"/>
          <w:i w:val="1"/>
          <w:iCs w:val="1"/>
          <w:color w:val="auto"/>
        </w:rPr>
        <w:t>Investments-Equity Method and Joint Ventures</w:t>
      </w:r>
      <w:r>
        <w:rPr>
          <w:rFonts w:ascii="Times New Roman" w:cs="Times New Roman" w:eastAsia="Times New Roman" w:hAnsi="Times New Roman"/>
          <w:sz w:val="16"/>
          <w:szCs w:val="16"/>
          <w:color w:val="auto"/>
        </w:rPr>
        <w:t>, the Company used the equity method to account for the Land JV investment.</w:t>
      </w:r>
    </w:p>
    <w:p>
      <w:pPr>
        <w:spacing w:after="0" w:line="163"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During the year ended December 31, 2021, the Company recognized impairment charges on its previously held retained interest in the Land JV totaling $17.6 million. The aggregate $17.6 million impairment on the previously held retained interest in the Land JV was a result of eliminating the investment in joint ventures based on the final proceeds received through distributions of the Land JV in connection with the sale of the Land JV’s remaining land.</w:t>
      </w:r>
    </w:p>
    <w:p>
      <w:pPr>
        <w:spacing w:after="0" w:line="159"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Additionally, during the year ended December 31, 2020, the Company recognized an impairment on its previously held retained interest in the Land JV totaling $7.1 million. The $7.1 million impairment on the Company’s previously held retained interest in the Land JV is the result of a re-forecast of the then anticipated undiscounted future cash flows to be received by the Company based on the estimated timing of future land sales from the Land JV.</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provides summarized financial information of the Land JV for the years ended December 31, 2022, 2021, and 2020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9"/>
        </w:trPr>
        <w:tc>
          <w:tcPr>
            <w:tcW w:w="3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189"/>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67,367</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65,446</w:t>
            </w: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 of Revenues</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(8,867)</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w:t>
            </w:r>
          </w:p>
        </w:tc>
      </w:tr>
      <w:tr>
        <w:trPr>
          <w:trHeight w:val="189"/>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58,500</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52,434</w:t>
            </w: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(376)</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189"/>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58,124</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51,972</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59" w:firstLine="402"/>
        <w:spacing w:after="0" w:line="260" w:lineRule="auto"/>
        <w:rPr>
          <w:sz w:val="20"/>
          <w:szCs w:val="20"/>
          <w:color w:val="auto"/>
        </w:rPr>
      </w:pPr>
      <w:r>
        <w:rPr>
          <w:rFonts w:ascii="Times New Roman" w:cs="Times New Roman" w:eastAsia="Times New Roman" w:hAnsi="Times New Roman"/>
          <w:sz w:val="16"/>
          <w:szCs w:val="16"/>
          <w:color w:val="auto"/>
        </w:rPr>
        <w:t>The Company’s share of the Land JV’s net income (loss) was zero for the years ended December 31, 2022,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was evaluated each quarter upon determining the Company’s share of the Land JV’s net income. As a result of the Land JV Sale, the liquidation of the Land JV’s assets, and the dissolution of the underlying entities, such evaluation was and will no longer be required as of and subsequent to December 31, 2021.</w:t>
      </w:r>
    </w:p>
    <w:p>
      <w:pPr>
        <w:spacing w:after="0" w:line="169"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Mitigation Bank. </w:t>
      </w:r>
      <w:r>
        <w:rPr>
          <w:rFonts w:ascii="Times New Roman" w:cs="Times New Roman" w:eastAsia="Times New Roman" w:hAnsi="Times New Roman"/>
          <w:sz w:val="16"/>
          <w:szCs w:val="16"/>
          <w:color w:val="auto"/>
        </w:rPr>
        <w:t>The mitigation bank transaction completed in June 2018 consisted of the sale of a 70% interest in the entity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owns the Mitigation Bank (the “Mitigation Bank JV”). The purchaser of the 70% interest in the Mitigation Bank JV was comprised of certain funds and accounts managed by an investment advisor subsidiary of BlackRock, Inc. (“BlackRock”). The Company retained a 30% non-controlling interest in the Mitigation Bank JV. A third-party was retained by the Mitigation Bank JV as the day-to-day manager of the Mitigation Bank JV property, responsible for the maintenance, generation, tracking, and other aspects of wetland mitigation credits. Prior to September 30, 2021, the investment in joint ventures included on the Company’s consolidated balance sheets included $6.9 million related to the fair market value of the 30% retained interest in the Mitigation Bank JV.</w:t>
      </w:r>
    </w:p>
    <w:p>
      <w:pPr>
        <w:spacing w:after="0" w:line="165"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 xml:space="preserve">On September 30, 2021, the Company, through a wholly owned and fully consolidated TRS, purchased the remaining 70% interest in the Mitigation Bank JV from BlackRock for $18.0 million (the “Interest Purchase”) resulting in a net cash payment by the Company of $16.1 million after utilizing the available cash in the Mitigation Bank JV of $1.9 million. As a result of the Interest Purchase, the Mitigation Bank JV is now wholly owned by the Company and is referred to as the Mitigation Bank. Pursuant to ASU 2017-01, </w:t>
      </w:r>
      <w:r>
        <w:rPr>
          <w:rFonts w:ascii="Times New Roman" w:cs="Times New Roman" w:eastAsia="Times New Roman" w:hAnsi="Times New Roman"/>
          <w:sz w:val="16"/>
          <w:szCs w:val="16"/>
          <w:i w:val="1"/>
          <w:iCs w:val="1"/>
          <w:color w:val="auto"/>
        </w:rPr>
        <w:t>Business Combinations: Clarifying the Definition of a Business</w:t>
      </w:r>
      <w:r>
        <w:rPr>
          <w:rFonts w:ascii="Times New Roman" w:cs="Times New Roman" w:eastAsia="Times New Roman" w:hAnsi="Times New Roman"/>
          <w:sz w:val="16"/>
          <w:szCs w:val="16"/>
          <w:color w:val="auto"/>
        </w:rPr>
        <w:t>, the Interest Purchase represents an asset acquisition as substantially all of the fair value of the gross assets acquired are concentrated in a group of similar identifiable assets, i.e. the mitigation credits and mitigation credit rights. Accordingly, the Company recorded the Interest Purchase by allocating the total cost of the asset group to the individual assets acquired. The Company’s total cost of the Interest Purchase totaled $24.9 million which is comprised of</w:t>
      </w:r>
    </w:p>
    <w:p>
      <w:pPr>
        <w:spacing w:after="0" w:line="3" w:lineRule="exact"/>
        <w:rPr>
          <w:sz w:val="20"/>
          <w:szCs w:val="20"/>
          <w:color w:val="auto"/>
        </w:rPr>
      </w:pPr>
    </w:p>
    <w:p>
      <w:pPr>
        <w:jc w:val="both"/>
        <w:ind w:left="40" w:right="59" w:hanging="4"/>
        <w:spacing w:after="0" w:line="262" w:lineRule="auto"/>
        <w:tabs>
          <w:tab w:leader="none" w:pos="2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$18.0 million Interest Purchase and (ii) the $6.9 million previously recorded value of the retained interest in the entity that owns the Mitigation Bank. In connection with the Interest Purchase, the previously recorded value of $6.9 million of the retained interest was eliminated and the $24.9 million total cost was allocated as follows: (i) $1.8 million to cash and cash equivalents, (ii) $0.6 million to restricted cash, (iii) $0.9 million to the mitigation credits, and (iv) $21.6 million to the mitigation credit rights.</w:t>
      </w:r>
    </w:p>
    <w:p>
      <w:pPr>
        <w:spacing w:after="0" w:line="163"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On December 29, 2022, the Company completed the sale of the entity that owned the Mitigation Bank for a sales price of $8.1 million resulting in a loss on disposition of assets of $11.9 million. A balance of mitigation credits and mitigation credit rights were retained by the Company as part of the sale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provides summarized financial information of the Mitigation Bank JV for the years ended December 31, 2022, 2021 and 2020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189"/>
        </w:trPr>
        <w:tc>
          <w:tcPr>
            <w:tcW w:w="4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18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4,109</w:t>
            </w:r>
          </w:p>
        </w:tc>
      </w:tr>
      <w:tr>
        <w:trPr>
          <w:trHeight w:val="19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Cost of Revenues</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18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w:t>
            </w:r>
          </w:p>
        </w:tc>
      </w:tr>
      <w:tr>
        <w:trPr>
          <w:trHeight w:val="19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18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 Company’s share of the Mitigation Bank JV’s net income (loss) was zero for the years ended December 31, 2022,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was evaluated each quarter upon determining the Company’s share of the Mitigation Bank JV’s net income. As a result of the Interest Purchase, such evaluation was and will no longer be required as of and subsequent to December 31, 2021.</w:t>
      </w:r>
    </w:p>
    <w:p>
      <w:pPr>
        <w:spacing w:after="0" w:line="265"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NOTE 8.</w:t>
      </w:r>
      <w:r>
        <w:rPr>
          <w:sz w:val="20"/>
          <w:szCs w:val="20"/>
          <w:color w:val="auto"/>
        </w:rPr>
        <w:tab/>
      </w:r>
      <w:r>
        <w:rPr>
          <w:rFonts w:ascii="Times New Roman" w:cs="Times New Roman" w:eastAsia="Times New Roman" w:hAnsi="Times New Roman"/>
          <w:sz w:val="16"/>
          <w:szCs w:val="16"/>
          <w:b w:val="1"/>
          <w:bCs w:val="1"/>
          <w:color w:val="auto"/>
        </w:rPr>
        <w:t>INVESTMENT SECURITIES</w:t>
      </w:r>
    </w:p>
    <w:p>
      <w:pPr>
        <w:spacing w:after="0" w:line="312" w:lineRule="exact"/>
        <w:rPr>
          <w:sz w:val="20"/>
          <w:szCs w:val="20"/>
          <w:color w:val="auto"/>
        </w:rPr>
      </w:pPr>
    </w:p>
    <w:p>
      <w:pPr>
        <w:jc w:val="both"/>
        <w:ind w:left="40" w:right="59" w:firstLine="402"/>
        <w:spacing w:after="0" w:line="263" w:lineRule="auto"/>
        <w:rPr>
          <w:sz w:val="20"/>
          <w:szCs w:val="20"/>
          <w:color w:val="auto"/>
        </w:rPr>
      </w:pPr>
      <w:r>
        <w:rPr>
          <w:rFonts w:ascii="Times New Roman" w:cs="Times New Roman" w:eastAsia="Times New Roman" w:hAnsi="Times New Roman"/>
          <w:sz w:val="16"/>
          <w:szCs w:val="16"/>
          <w:color w:val="auto"/>
        </w:rPr>
        <w:t>As of December 31, 2022, the Company owns, in the aggregate and on a fully diluted basis, 2.2 million shares of PINE, or 14.6% of PINE’s total shares outstanding for an investment value of $42.0 million, which total includes 1.2 million OP Units, or 8.1%, which the Company received in exchange for the contribution of certain income properties to the PINE Operating Partnership, in addition to 979,543 shares of common stock owned by the Company, or 6.5%.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6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Company’s available-for-sale securities as of December 31, 2022 and 2021 are summarized below (in thousands):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6"/>
                <w:szCs w:val="16"/>
                <w:color w:val="auto"/>
              </w:rPr>
            </w:pPr>
          </w:p>
        </w:tc>
        <w:tc>
          <w:tcPr>
            <w:tcW w:w="124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197"/>
        </w:trPr>
        <w:tc>
          <w:tcPr>
            <w:tcW w:w="2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Gains in</w:t>
            </w:r>
          </w:p>
        </w:tc>
        <w:tc>
          <w:tcPr>
            <w:tcW w:w="18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 in</w:t>
            </w:r>
          </w:p>
        </w:tc>
        <w:tc>
          <w:tcPr>
            <w:tcW w:w="120" w:type="dxa"/>
            <w:vAlign w:val="bottom"/>
          </w:tcPr>
          <w:p>
            <w:pPr>
              <w:spacing w:after="0"/>
              <w:rPr>
                <w:sz w:val="17"/>
                <w:szCs w:val="17"/>
                <w:color w:val="auto"/>
              </w:rPr>
            </w:pPr>
          </w:p>
        </w:tc>
        <w:tc>
          <w:tcPr>
            <w:tcW w:w="124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7"/>
        </w:trPr>
        <w:tc>
          <w:tcPr>
            <w:tcW w:w="29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Cost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20" w:type="dxa"/>
            <w:vAlign w:val="bottom"/>
          </w:tcPr>
          <w:p>
            <w:pPr>
              <w:spacing w:after="0"/>
              <w:rPr>
                <w:sz w:val="18"/>
                <w:szCs w:val="18"/>
                <w:color w:val="auto"/>
              </w:rPr>
            </w:pPr>
          </w:p>
        </w:tc>
        <w:tc>
          <w:tcPr>
            <w:tcW w:w="124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(Level 1 Inputs)</w:t>
            </w:r>
          </w:p>
        </w:tc>
      </w:tr>
      <w:tr>
        <w:trPr>
          <w:trHeight w:val="18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jc w:val="right"/>
              <w:ind w:right="67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18,382</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18,690</w:t>
            </w:r>
          </w:p>
        </w:tc>
      </w:tr>
      <w:tr>
        <w:trPr>
          <w:trHeight w:val="19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Units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23,253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23,351</w:t>
            </w:r>
          </w:p>
        </w:tc>
      </w:tr>
      <w:tr>
        <w:trPr>
          <w:trHeight w:val="189"/>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 Securities</w:t>
            </w:r>
          </w:p>
        </w:tc>
        <w:tc>
          <w:tcPr>
            <w:tcW w:w="8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41,635</w:t>
            </w:r>
          </w:p>
        </w:tc>
        <w:tc>
          <w:tcPr>
            <w:tcW w:w="1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42,041</w:t>
            </w:r>
          </w:p>
        </w:tc>
      </w:tr>
      <w:tr>
        <w:trPr>
          <w:trHeight w:val="189"/>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41,635</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42,041</w:t>
            </w:r>
          </w:p>
        </w:tc>
      </w:tr>
      <w:tr>
        <w:trPr>
          <w:trHeight w:val="20"/>
        </w:trPr>
        <w:tc>
          <w:tcPr>
            <w:tcW w:w="2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4"/>
        </w:trPr>
        <w:tc>
          <w:tcPr>
            <w:tcW w:w="2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Pr>
          <w:p>
            <w:pPr>
              <w:jc w:val="right"/>
              <w:ind w:right="67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15,643</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16,511</w:t>
            </w:r>
          </w:p>
        </w:tc>
      </w:tr>
      <w:tr>
        <w:trPr>
          <w:trHeight w:val="19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Units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23,253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24,526</w:t>
            </w:r>
          </w:p>
        </w:tc>
      </w:tr>
      <w:tr>
        <w:trPr>
          <w:trHeight w:val="189"/>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 Securities</w:t>
            </w:r>
          </w:p>
        </w:tc>
        <w:tc>
          <w:tcPr>
            <w:tcW w:w="8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38,896</w:t>
            </w:r>
          </w:p>
        </w:tc>
        <w:tc>
          <w:tcPr>
            <w:tcW w:w="1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41,037</w:t>
            </w:r>
          </w:p>
        </w:tc>
      </w:tr>
      <w:tr>
        <w:trPr>
          <w:trHeight w:val="189"/>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38,896</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41,037</w:t>
            </w:r>
          </w:p>
        </w:tc>
      </w:tr>
      <w:tr>
        <w:trPr>
          <w:trHeight w:val="20"/>
        </w:trPr>
        <w:tc>
          <w:tcPr>
            <w:tcW w:w="2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9.</w:t>
      </w:r>
      <w:r>
        <w:rPr>
          <w:sz w:val="20"/>
          <w:szCs w:val="20"/>
          <w:color w:val="auto"/>
        </w:rPr>
        <w:tab/>
      </w:r>
      <w:r>
        <w:rPr>
          <w:rFonts w:ascii="Times New Roman" w:cs="Times New Roman" w:eastAsia="Times New Roman" w:hAnsi="Times New Roman"/>
          <w:sz w:val="16"/>
          <w:szCs w:val="16"/>
          <w:b w:val="1"/>
          <w:bCs w:val="1"/>
          <w:color w:val="auto"/>
        </w:rPr>
        <w:t>FAIR VALUE OF FINANCIAL INSTRUMENTS</w:t>
      </w:r>
    </w:p>
    <w:p>
      <w:pPr>
        <w:spacing w:after="0" w:line="115"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presents the carrying value and estimated fair value of the Company’s financial instruments not carried at fair value on the consolidated balance sheets at December 31, 2022 and 2021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8"/>
                <w:szCs w:val="18"/>
                <w:color w:val="auto"/>
              </w:rPr>
            </w:pPr>
          </w:p>
        </w:tc>
        <w:tc>
          <w:tcPr>
            <w:tcW w:w="2180" w:type="dxa"/>
            <w:vAlign w:val="bottom"/>
            <w:gridSpan w:val="4"/>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69"/>
        </w:trPr>
        <w:tc>
          <w:tcPr>
            <w:tcW w:w="4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320"/>
              <w:spacing w:after="0" w:line="16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ind w:left="60"/>
              <w:spacing w:after="0" w:line="16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7"/>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94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Level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19,333</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r>
      <w:tr>
        <w:trPr>
          <w:trHeight w:val="197"/>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w:t>
            </w:r>
          </w:p>
        </w:tc>
      </w:tr>
      <w:tr>
        <w:trPr>
          <w:trHeight w:val="197"/>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 - 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39,109</w:t>
            </w: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 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445,583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426,421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278,273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288,000</w:t>
            </w:r>
          </w:p>
        </w:tc>
      </w:tr>
    </w:tbl>
    <w:p>
      <w:pPr>
        <w:spacing w:after="0" w:line="163" w:lineRule="exact"/>
        <w:rPr>
          <w:sz w:val="20"/>
          <w:szCs w:val="20"/>
          <w:color w:val="auto"/>
        </w:rPr>
      </w:pPr>
    </w:p>
    <w:p>
      <w:pPr>
        <w:jc w:val="both"/>
        <w:ind w:left="40" w:right="59" w:firstLine="402"/>
        <w:spacing w:after="0" w:line="259" w:lineRule="auto"/>
        <w:rPr>
          <w:sz w:val="20"/>
          <w:szCs w:val="20"/>
          <w:color w:val="auto"/>
        </w:rPr>
      </w:pPr>
      <w:r>
        <w:rPr>
          <w:rFonts w:ascii="Times New Roman" w:cs="Times New Roman" w:eastAsia="Times New Roman" w:hAnsi="Times New Roman"/>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53" w:lineRule="exact"/>
        <w:rPr>
          <w:sz w:val="20"/>
          <w:szCs w:val="20"/>
          <w:color w:val="auto"/>
        </w:rPr>
      </w:pPr>
    </w:p>
    <w:p>
      <w:pPr>
        <w:jc w:val="both"/>
        <w:ind w:left="40" w:right="59" w:firstLine="402"/>
        <w:spacing w:after="0" w:line="279" w:lineRule="auto"/>
        <w:rPr>
          <w:sz w:val="20"/>
          <w:szCs w:val="20"/>
          <w:color w:val="auto"/>
        </w:rPr>
      </w:pPr>
      <w:r>
        <w:rPr>
          <w:rFonts w:ascii="Times New Roman" w:cs="Times New Roman" w:eastAsia="Times New Roman" w:hAnsi="Times New Roman"/>
          <w:sz w:val="16"/>
          <w:szCs w:val="16"/>
          <w:color w:val="auto"/>
        </w:rPr>
        <w:t>The following table presents the fair value of assets (liabilities) measured on a recurring basis by level as of December 31, 2022 and 2021 (in thousands). See Note 17, “Interest Rate Swaps” for further disclosure related to the Company’s interest rate swaps.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7"/>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8"/>
              </w:rPr>
              <w:t>Fair Value at Reporting Date Using</w:t>
            </w:r>
          </w:p>
        </w:tc>
      </w:tr>
      <w:tr>
        <w:trPr>
          <w:trHeight w:val="165"/>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60"/>
              <w:spacing w:after="0" w:line="165" w:lineRule="exact"/>
              <w:rPr>
                <w:sz w:val="20"/>
                <w:szCs w:val="20"/>
                <w:color w:val="auto"/>
              </w:rPr>
            </w:pPr>
            <w:r>
              <w:rPr>
                <w:rFonts w:ascii="Times New Roman" w:cs="Times New Roman" w:eastAsia="Times New Roman" w:hAnsi="Times New Roman"/>
                <w:sz w:val="15"/>
                <w:szCs w:val="15"/>
                <w:b w:val="1"/>
                <w:bCs w:val="1"/>
                <w:color w:val="auto"/>
                <w:w w:val="97"/>
              </w:rPr>
              <w:t>Quoted Prices in</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4"/>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Active Markets</w:t>
            </w:r>
          </w:p>
        </w:tc>
        <w:tc>
          <w:tcPr>
            <w:tcW w:w="12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Significant Other</w:t>
            </w:r>
          </w:p>
        </w:tc>
        <w:tc>
          <w:tcPr>
            <w:tcW w:w="100" w:type="dxa"/>
            <w:vAlign w:val="bottom"/>
          </w:tcPr>
          <w:p>
            <w:pPr>
              <w:spacing w:after="0"/>
              <w:rPr>
                <w:sz w:val="16"/>
                <w:szCs w:val="16"/>
                <w:color w:val="auto"/>
              </w:rPr>
            </w:pP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8"/>
              </w:rPr>
              <w:t>Significant</w:t>
            </w:r>
          </w:p>
        </w:tc>
      </w:tr>
      <w:tr>
        <w:trPr>
          <w:trHeight w:val="184"/>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for Identical</w:t>
            </w:r>
          </w:p>
        </w:tc>
        <w:tc>
          <w:tcPr>
            <w:tcW w:w="1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100" w:type="dxa"/>
            <w:vAlign w:val="bottom"/>
          </w:tcPr>
          <w:p>
            <w:pPr>
              <w:spacing w:after="0"/>
              <w:rPr>
                <w:sz w:val="16"/>
                <w:szCs w:val="16"/>
                <w:color w:val="auto"/>
              </w:rPr>
            </w:pPr>
          </w:p>
        </w:tc>
        <w:tc>
          <w:tcPr>
            <w:tcW w:w="1020" w:type="dxa"/>
            <w:vAlign w:val="bottom"/>
          </w:tcPr>
          <w:p>
            <w:pPr>
              <w:jc w:val="center"/>
              <w:ind w:right="26"/>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Assets (Level 1)</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Inputs (Level 2)</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Inputs (Level 3)</w:t>
            </w:r>
          </w:p>
        </w:tc>
      </w:tr>
      <w:tr>
        <w:trPr>
          <w:trHeight w:val="17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84"/>
        </w:trPr>
        <w:tc>
          <w:tcPr>
            <w:tcW w:w="4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Flow Hedge - 2026 Term Loan Interest Rate Swap</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4,586</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Flow Hedge - 2026 Term Loan Interest Rate Swap</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Flow Hedge - 2027 Term Loan Interest Rate Swap</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10,111</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10,111</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Flow Hedge - 2028 Term Loan Interest Rate Swap</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Investment Securities</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42,041</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42,041</w:t>
            </w:r>
          </w:p>
        </w:tc>
        <w:tc>
          <w:tcPr>
            <w:tcW w:w="16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4"/>
        </w:trPr>
        <w:tc>
          <w:tcPr>
            <w:tcW w:w="4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Flow Hedge - 2026 Term Loan Interest Rate Swap</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Flow Hedge - 2026 Term Loan Interest Rate Swap</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Flow Hedge - 2027 Term Loan Interest Rate Swap</w:t>
            </w:r>
          </w:p>
        </w:tc>
        <w:tc>
          <w:tcPr>
            <w:tcW w:w="1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Investment Securities</w:t>
            </w: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41,037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41,037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r>
    </w:tbl>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No assets were measured on a non-recurring basis as of December 31, 2022 or 2021.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10.</w:t>
      </w:r>
      <w:r>
        <w:rPr>
          <w:sz w:val="20"/>
          <w:szCs w:val="20"/>
          <w:color w:val="auto"/>
        </w:rPr>
        <w:tab/>
      </w:r>
      <w:r>
        <w:rPr>
          <w:rFonts w:ascii="Times New Roman" w:cs="Times New Roman" w:eastAsia="Times New Roman" w:hAnsi="Times New Roman"/>
          <w:sz w:val="16"/>
          <w:szCs w:val="16"/>
          <w:b w:val="1"/>
          <w:bCs w:val="1"/>
          <w:color w:val="auto"/>
        </w:rPr>
        <w:t>INTANGIBLE ASSETS AND LIABILITIES</w:t>
      </w:r>
    </w:p>
    <w:p>
      <w:pPr>
        <w:spacing w:after="0" w:line="21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December 31, 2022 and 2021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169"/>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33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3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4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Lease Assets: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97"/>
        </w:trPr>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Value of In-Place Leases</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90,335</w:t>
            </w:r>
          </w:p>
        </w:tc>
        <w:tc>
          <w:tcPr>
            <w:tcW w:w="50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59,293</w:t>
            </w:r>
          </w:p>
        </w:tc>
      </w:tr>
      <w:tr>
        <w:trPr>
          <w:trHeight w:val="197"/>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Value of Above Market In-Place Leases</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w:t>
            </w:r>
          </w:p>
        </w:tc>
      </w:tr>
      <w:tr>
        <w:trPr>
          <w:trHeight w:val="197"/>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Value of Intangible Leasing Costs</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25,531</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18,456</w:t>
            </w:r>
          </w:p>
        </w:tc>
      </w:tr>
      <w:tr>
        <w:trPr>
          <w:trHeight w:val="189"/>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Sub-total Intangible Lease Assets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147,874</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100,965</w:t>
            </w:r>
          </w:p>
        </w:tc>
      </w:tr>
      <w:tr>
        <w:trPr>
          <w:trHeight w:val="197"/>
        </w:trPr>
        <w:tc>
          <w:tcPr>
            <w:tcW w:w="4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(31,890)</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(21,473)</w:t>
            </w:r>
          </w:p>
        </w:tc>
      </w:tr>
      <w:tr>
        <w:trPr>
          <w:trHeight w:val="189"/>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Sub-total Intangible Lease Assets—Net</w:t>
            </w: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115,984</w:t>
            </w:r>
          </w:p>
        </w:tc>
        <w:tc>
          <w:tcPr>
            <w:tcW w:w="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79,492</w:t>
            </w:r>
          </w:p>
        </w:tc>
      </w:tr>
      <w:tr>
        <w:trPr>
          <w:trHeight w:val="18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Intangible Lease Liabilities (Included in Accrued and Other Liabilities):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7"/>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Value of Below Market In-Place Leases</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w:t>
            </w:r>
          </w:p>
        </w:tc>
      </w:tr>
      <w:tr>
        <w:trPr>
          <w:trHeight w:val="189"/>
        </w:trPr>
        <w:tc>
          <w:tcPr>
            <w:tcW w:w="4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Sub-total Intangible Lease Liabilities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(6,942)</w:t>
            </w:r>
          </w:p>
        </w:tc>
      </w:tr>
      <w:tr>
        <w:trPr>
          <w:trHeight w:val="197"/>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189"/>
        </w:trPr>
        <w:tc>
          <w:tcPr>
            <w:tcW w:w="4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Sub-total Intangible Lease Liabilities—Net</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(5,601)</w:t>
            </w:r>
          </w:p>
        </w:tc>
      </w:tr>
      <w:tr>
        <w:trPr>
          <w:trHeight w:val="18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 and Liabilities—Net</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106,099</w:t>
            </w: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73,891</w:t>
            </w: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reflects the net amortization of intangible assets and liabilities during the years ended December 31, 2022, 2021, and 2020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4"/>
                <w:szCs w:val="14"/>
                <w:color w:val="auto"/>
              </w:rPr>
            </w:pPr>
          </w:p>
        </w:tc>
        <w:tc>
          <w:tcPr>
            <w:tcW w:w="1620" w:type="dxa"/>
            <w:vAlign w:val="bottom"/>
            <w:gridSpan w:val="2"/>
          </w:tcPr>
          <w:p>
            <w:pPr>
              <w:jc w:val="center"/>
              <w:ind w:right="40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4"/>
                <w:szCs w:val="14"/>
                <w:color w:val="auto"/>
              </w:rPr>
            </w:pPr>
          </w:p>
        </w:tc>
        <w:tc>
          <w:tcPr>
            <w:tcW w:w="1420" w:type="dxa"/>
            <w:vAlign w:val="bottom"/>
          </w:tcPr>
          <w:p>
            <w:pPr>
              <w:jc w:val="right"/>
              <w:ind w:right="2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Accretion to Income Properties Revenue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4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Amortization of Intangible Assets and</w:t>
            </w:r>
          </w:p>
        </w:tc>
        <w:tc>
          <w:tcPr>
            <w:tcW w:w="220" w:type="dxa"/>
            <w:vAlign w:val="bottom"/>
            <w:tcBorders>
              <w:top w:val="single" w:sz="8" w:color="auto"/>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estimated future amortization expense (income) related to net intangible assets and liabilities is as follows (in thousands):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Net Future</w:t>
            </w:r>
          </w:p>
        </w:tc>
      </w:tr>
      <w:tr>
        <w:trPr>
          <w:trHeight w:val="197"/>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Future</w:t>
            </w:r>
          </w:p>
        </w:tc>
        <w:tc>
          <w:tcPr>
            <w:tcW w:w="16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Future Accretion to</w:t>
            </w:r>
          </w:p>
        </w:tc>
        <w:tc>
          <w:tcPr>
            <w:tcW w:w="140" w:type="dxa"/>
            <w:vAlign w:val="bottom"/>
          </w:tcPr>
          <w:p>
            <w:pPr>
              <w:spacing w:after="0"/>
              <w:rPr>
                <w:sz w:val="17"/>
                <w:szCs w:val="17"/>
                <w:color w:val="auto"/>
              </w:rPr>
            </w:pPr>
          </w:p>
        </w:tc>
        <w:tc>
          <w:tcPr>
            <w:tcW w:w="14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Amortization of</w:t>
            </w:r>
          </w:p>
        </w:tc>
      </w:tr>
      <w:tr>
        <w:trPr>
          <w:trHeight w:val="197"/>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Income Property</w:t>
            </w:r>
          </w:p>
        </w:tc>
        <w:tc>
          <w:tcPr>
            <w:tcW w:w="140" w:type="dxa"/>
            <w:vAlign w:val="bottom"/>
          </w:tcPr>
          <w:p>
            <w:pPr>
              <w:spacing w:after="0"/>
              <w:rPr>
                <w:sz w:val="17"/>
                <w:szCs w:val="17"/>
                <w:color w:val="auto"/>
              </w:rPr>
            </w:pPr>
          </w:p>
        </w:tc>
        <w:tc>
          <w:tcPr>
            <w:tcW w:w="14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Intangible Assets</w:t>
            </w:r>
          </w:p>
        </w:tc>
      </w:tr>
      <w:tr>
        <w:trPr>
          <w:trHeight w:val="217"/>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14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and Liabilities</w:t>
            </w:r>
          </w:p>
        </w:tc>
      </w:tr>
      <w:tr>
        <w:trPr>
          <w:trHeight w:val="189"/>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17,734</w:t>
            </w:r>
          </w:p>
        </w:tc>
      </w:tr>
      <w:tr>
        <w:trPr>
          <w:trHeight w:val="197"/>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17,567</w:t>
            </w:r>
          </w:p>
        </w:tc>
      </w:tr>
      <w:tr>
        <w:trPr>
          <w:trHeight w:val="19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15,822</w:t>
            </w:r>
          </w:p>
        </w:tc>
      </w:tr>
      <w:tr>
        <w:trPr>
          <w:trHeight w:val="197"/>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13,830</w:t>
            </w:r>
          </w:p>
        </w:tc>
      </w:tr>
      <w:tr>
        <w:trPr>
          <w:trHeight w:val="19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w:t>
            </w:r>
          </w:p>
        </w:tc>
      </w:tr>
      <w:tr>
        <w:trPr>
          <w:trHeight w:val="197"/>
        </w:trPr>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2028 and Thereafter</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28,760</w:t>
            </w:r>
          </w:p>
        </w:tc>
      </w:tr>
      <w:tr>
        <w:trPr>
          <w:trHeight w:val="189"/>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90,405</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15,694</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106,099</w:t>
            </w: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As of December 31, 2022, the weighted average amortization period of total intangible assets and liabilities was 6.1 years and 7.7 years, respectively.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NOTE 11.</w:t>
      </w:r>
      <w:r>
        <w:rPr>
          <w:sz w:val="20"/>
          <w:szCs w:val="20"/>
          <w:color w:val="auto"/>
        </w:rPr>
        <w:tab/>
      </w:r>
      <w:r>
        <w:rPr>
          <w:rFonts w:ascii="Times New Roman" w:cs="Times New Roman" w:eastAsia="Times New Roman" w:hAnsi="Times New Roman"/>
          <w:sz w:val="16"/>
          <w:szCs w:val="16"/>
          <w:b w:val="1"/>
          <w:bCs w:val="1"/>
          <w:color w:val="auto"/>
        </w:rPr>
        <w:t>IMPAIRMENT OF LONG-LIVED ASSETS</w:t>
      </w:r>
    </w:p>
    <w:p>
      <w:pPr>
        <w:spacing w:after="0" w:line="213"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61" w:lineRule="exact"/>
        <w:rPr>
          <w:sz w:val="20"/>
          <w:szCs w:val="20"/>
          <w:color w:val="auto"/>
        </w:rPr>
      </w:pPr>
    </w:p>
    <w:p>
      <w:pPr>
        <w:jc w:val="both"/>
        <w:ind w:left="40" w:right="39" w:firstLine="402"/>
        <w:spacing w:after="0" w:line="266" w:lineRule="auto"/>
        <w:rPr>
          <w:sz w:val="20"/>
          <w:szCs w:val="20"/>
          <w:color w:val="auto"/>
        </w:rPr>
      </w:pPr>
      <w:r>
        <w:rPr>
          <w:rFonts w:ascii="Times New Roman" w:cs="Times New Roman" w:eastAsia="Times New Roman" w:hAnsi="Times New Roman"/>
          <w:sz w:val="16"/>
          <w:szCs w:val="16"/>
          <w:color w:val="auto"/>
        </w:rPr>
        <w:t>There were no impairment charges on the Company’s undeveloped land holdings, or its income property portfolio, during the years ended December 31, 2022, 2021, or 2020. The $17.6 million impairment charge recognized during the year ended December 31, 2021, is related to the Company’s previously held retained interest in the Land JV as a result of the estimated proceeds received in connection with the contract entered into with Timberline Acquisition Partners, an affiliate of Timberline Real Estate Partners (“Timberline”), which closed on December 10, 2021.</w:t>
      </w:r>
    </w:p>
    <w:p>
      <w:pPr>
        <w:spacing w:after="0" w:line="161"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Additionally, during the year ended December 31, 2020, the Company recognized an aggregate $7.2 million impairment charge as a result of a re-forecast of the anticipated undiscounted future cash flows to be received by the Company based on the estimated timing of future land sales from the Land JV.</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12.</w:t>
            </w:r>
          </w:p>
        </w:tc>
        <w:tc>
          <w:tcPr>
            <w:tcW w:w="5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5"/>
        </w:trPr>
        <w:tc>
          <w:tcPr>
            <w:tcW w:w="64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Other assets consisted of the following as of December 31, 2022 and 2021 (in thousands):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7"/>
        </w:trPr>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40" w:type="dxa"/>
            <w:vAlign w:val="bottom"/>
            <w:tcBorders>
              <w:bottom w:val="single" w:sz="8" w:color="auto"/>
            </w:tcBorders>
          </w:tcPr>
          <w:p>
            <w:pPr>
              <w:spacing w:after="0"/>
              <w:rPr>
                <w:sz w:val="24"/>
                <w:szCs w:val="24"/>
                <w:color w:val="auto"/>
              </w:rPr>
            </w:pPr>
          </w:p>
        </w:tc>
      </w:tr>
      <w:tr>
        <w:trPr>
          <w:trHeight w:val="169"/>
        </w:trPr>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7"/>
        </w:trPr>
        <w:tc>
          <w:tcPr>
            <w:tcW w:w="8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6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 xml:space="preserve">Income Property Tenant Receivables, Net of Allowance for Doubtful Accounts </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197"/>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Property Straight-line Rent Adjustment and COVID-19 Deferral Balance</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r>
      <w:tr>
        <w:trPr>
          <w:trHeight w:val="19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 Right-of-Use Asset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197"/>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Golf Rounds Surcharge</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19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 - Interest Rate Swap</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r>
      <w:tr>
        <w:trPr>
          <w:trHeight w:val="197"/>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Infrastructure Reimbursement Receivables</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19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Deposits, and Other</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w:t>
            </w:r>
          </w:p>
        </w:tc>
      </w:tr>
      <w:tr>
        <w:trPr>
          <w:trHeight w:val="197"/>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Due from Alpine Income Property Trust, Inc.</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r>
      <w:tr>
        <w:trPr>
          <w:trHeight w:val="19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Costs, Net of Accumulated Amortization</w:t>
            </w: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189"/>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Other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34,453</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14,897</w:t>
            </w:r>
          </w:p>
        </w:tc>
      </w:tr>
      <w:tr>
        <w:trPr>
          <w:trHeight w:val="20"/>
        </w:trPr>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0"/>
        </w:trPr>
        <w:tc>
          <w:tcPr>
            <w:tcW w:w="8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ind w:left="640" w:hanging="604"/>
        <w:spacing w:after="0" w:line="212" w:lineRule="auto"/>
        <w:tabs>
          <w:tab w:leader="none" w:pos="64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a $1.8 million and $0.5 million allowance for doubtful accounts as of December 31, 2022 and 2021, respectively.</w:t>
      </w:r>
    </w:p>
    <w:p>
      <w:pPr>
        <w:spacing w:after="0" w:line="164"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Income Property Straight-Line Rent Adjustment. </w:t>
      </w:r>
      <w:r>
        <w:rPr>
          <w:rFonts w:ascii="Times New Roman" w:cs="Times New Roman" w:eastAsia="Times New Roman" w:hAnsi="Times New Roman"/>
          <w:sz w:val="16"/>
          <w:szCs w:val="16"/>
          <w:color w:val="auto"/>
        </w:rPr>
        <w:t>As of December 31, 2022 and 2021, the straight-line rent adjustment includes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balance of $0.05 million and $0.1 million of deferred rent related to the COVID-19 Pandemic, respectively. Pursuant to the interpretive guidance issued by the FASB in April 2020 on lease modifications, for leases in which deferred rent agreements were reached, the Company has continued to account for the lease concessions by recognizing the normal straight-line rental income and as the deferred rents are repaid by the tenant, the straight-line receivable will be reduced.</w:t>
      </w:r>
    </w:p>
    <w:p>
      <w:pPr>
        <w:spacing w:after="0" w:line="157"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Infrastructure Reimbursement Receivables. </w:t>
      </w:r>
      <w:r>
        <w:rPr>
          <w:rFonts w:ascii="Times New Roman" w:cs="Times New Roman" w:eastAsia="Times New Roman" w:hAnsi="Times New Roman"/>
          <w:sz w:val="16"/>
          <w:szCs w:val="16"/>
          <w:color w:val="auto"/>
        </w:rPr>
        <w:t>As of December 31, 2022 and 2021, the infrastructure reimbursement receivables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all related to the land sales within the Tomoka Town Center. The balance as of December 31, 2022 consisted of $0.7 million due from Tanger for infrastructure reimbursement to be repaid in four remaining annual installments of approximately $0.2 million each, net of a discount of $0.08 million, and $0.2 million due from Sam’s Club for infrastructure reimbursement to be repaid in two remaining annual installments of $0.1 million each, net of a discount of $0.02 million.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13.</w:t>
      </w:r>
      <w:r>
        <w:rPr>
          <w:sz w:val="20"/>
          <w:szCs w:val="20"/>
          <w:color w:val="auto"/>
        </w:rPr>
        <w:tab/>
      </w:r>
      <w:r>
        <w:rPr>
          <w:rFonts w:ascii="Times New Roman" w:cs="Times New Roman" w:eastAsia="Times New Roman" w:hAnsi="Times New Roman"/>
          <w:sz w:val="16"/>
          <w:szCs w:val="16"/>
          <w:b w:val="1"/>
          <w:bCs w:val="1"/>
          <w:color w:val="auto"/>
        </w:rPr>
        <w:t>EQUITY</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 SPLIT</w:t>
      </w:r>
    </w:p>
    <w:p>
      <w:pPr>
        <w:spacing w:after="0" w:line="212"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 xml:space="preserve">On April 27, 2022, the Company announced that its Board of Directors approved a three-for-one stock split of the Company’s common stock to be effected in the form of a stock dividend. Each stockholder of record at the close of business on June 27, 2022 (the “Record Date”), received two additional shares of the Company’s common stock for each share held as of the Record Date. The new shares were distributed after the market closed on June 30, 2022. The Company’s stock began trading at the post-split price on July 1, 2022. Pursuant to FASB ASC Topic 505, </w:t>
      </w:r>
      <w:r>
        <w:rPr>
          <w:rFonts w:ascii="Times New Roman" w:cs="Times New Roman" w:eastAsia="Times New Roman" w:hAnsi="Times New Roman"/>
          <w:sz w:val="16"/>
          <w:szCs w:val="16"/>
          <w:i w:val="1"/>
          <w:iCs w:val="1"/>
          <w:color w:val="auto"/>
        </w:rPr>
        <w:t>Equity</w:t>
      </w:r>
      <w:r>
        <w:rPr>
          <w:rFonts w:ascii="Times New Roman" w:cs="Times New Roman" w:eastAsia="Times New Roman" w:hAnsi="Times New Roman"/>
          <w:sz w:val="16"/>
          <w:szCs w:val="16"/>
          <w:color w:val="auto"/>
        </w:rPr>
        <w:t>, the Company has adjusted the computations of basic and diluted earnings per share retroactively for all periods presented. Similarly, the Company has retroactively updated the disclosures in each prior period presented to conform to the split-adjusted dividend amount, for per share amounts including but not limited to dividends declared, stock-based compensation shares outstanding, ATM program activity, and share repurchases.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SHELF REGISTRATION</w:t>
      </w:r>
    </w:p>
    <w:p>
      <w:pPr>
        <w:spacing w:after="0" w:line="199"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pacing w:after="0" w:line="152"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Securities and Exchange Commission declared the Form S-3 effective on October 26, 2022.</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EQUITY OFFERING</w:t>
      </w:r>
    </w:p>
    <w:p>
      <w:pPr>
        <w:spacing w:after="0" w:line="199"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ATM PROGRAM</w:t>
      </w:r>
    </w:p>
    <w:p>
      <w:pPr>
        <w:spacing w:after="0" w:line="199"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On April 30, 2021, the Company implemented a $150.0 million “at-the-market” equity offering program (the “2021 ATM Program”) pursuant to which the Company may sell, from time to time,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Company was not active under the 2021 ATM Program during the year ended December 31, 2021. The 2021 ATM Program was terminated in connection with the establishment of the 2022 ATM Program, hereinafter defined.</w:t>
      </w:r>
    </w:p>
    <w:p>
      <w:pPr>
        <w:spacing w:after="0" w:line="163"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6"/>
          <w:szCs w:val="16"/>
          <w:color w:val="auto"/>
        </w:rPr>
        <w:t>n October 28, 2022, the Company implemented a $150.0 million “at-the-market” equity offering program (the “2022 ATM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In the aggregate, under the 2021 ATM Program and 2022 ATM Program, during the year ended December 31, 2022,</w:t>
      </w:r>
    </w:p>
    <w:p>
      <w:pPr>
        <w:spacing w:after="0" w:line="30"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color w:val="auto"/>
        </w:rPr>
        <w:t>the Company sold 1,566,026 shares for gross proceeds of $33.4 million at a weighted average price of $21.33 per share, generating net proceeds of $32.9 million after deducting transaction fees totaling $0.5 million.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PREFERRED STOCK</w:t>
      </w:r>
    </w:p>
    <w:p>
      <w:pPr>
        <w:spacing w:after="0" w:line="187" w:lineRule="exact"/>
        <w:rPr>
          <w:sz w:val="20"/>
          <w:szCs w:val="20"/>
          <w:color w:val="auto"/>
        </w:rPr>
      </w:pPr>
    </w:p>
    <w:p>
      <w:pPr>
        <w:jc w:val="both"/>
        <w:ind w:left="40" w:right="39" w:firstLine="295"/>
        <w:spacing w:after="0" w:line="252" w:lineRule="auto"/>
        <w:rPr>
          <w:sz w:val="20"/>
          <w:szCs w:val="20"/>
          <w:color w:val="auto"/>
        </w:rPr>
      </w:pPr>
      <w:r>
        <w:rPr>
          <w:rFonts w:ascii="Times New Roman" w:cs="Times New Roman" w:eastAsia="Times New Roman" w:hAnsi="Times New Roman"/>
          <w:sz w:val="16"/>
          <w:szCs w:val="16"/>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0" w:right="39"/>
        <w:spacing w:after="0" w:line="244" w:lineRule="auto"/>
        <w:rPr>
          <w:sz w:val="20"/>
          <w:szCs w:val="20"/>
          <w:color w:val="auto"/>
        </w:rPr>
      </w:pPr>
      <w:r>
        <w:rPr>
          <w:rFonts w:ascii="Times New Roman" w:cs="Times New Roman" w:eastAsia="Times New Roman" w:hAnsi="Times New Roman"/>
          <w:sz w:val="16"/>
          <w:szCs w:val="16"/>
          <w:color w:val="auto"/>
        </w:rPr>
        <w:t>discount and expenses. 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40" w:lineRule="exact"/>
        <w:rPr>
          <w:sz w:val="20"/>
          <w:szCs w:val="20"/>
          <w:color w:val="auto"/>
        </w:rPr>
      </w:pPr>
    </w:p>
    <w:p>
      <w:pPr>
        <w:jc w:val="both"/>
        <w:ind w:left="40" w:right="39" w:firstLine="295"/>
        <w:spacing w:after="0" w:line="234" w:lineRule="auto"/>
        <w:rPr>
          <w:sz w:val="20"/>
          <w:szCs w:val="20"/>
          <w:color w:val="auto"/>
        </w:rPr>
      </w:pPr>
      <w:r>
        <w:rPr>
          <w:rFonts w:ascii="Times New Roman" w:cs="Times New Roman" w:eastAsia="Times New Roman" w:hAnsi="Times New Roman"/>
          <w:sz w:val="16"/>
          <w:szCs w:val="16"/>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details the public offering (in thousands, except per share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12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Earliest</w:t>
            </w:r>
          </w:p>
        </w:tc>
      </w:tr>
      <w:tr>
        <w:trPr>
          <w:trHeight w:val="217"/>
        </w:trPr>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Series</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Proceeds</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Redemption Date</w:t>
            </w:r>
          </w:p>
        </w:tc>
      </w:tr>
      <w:tr>
        <w:trPr>
          <w:trHeight w:val="189"/>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6.375%</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2021</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0.3984</w:t>
            </w:r>
          </w:p>
        </w:tc>
        <w:tc>
          <w:tcPr>
            <w:tcW w:w="1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2026</w:t>
            </w: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SERIES A PREFERRED STOCK REPURCHASE PROGRAM</w:t>
      </w:r>
    </w:p>
    <w:p>
      <w:pPr>
        <w:spacing w:after="0" w:line="212"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at a purchase price per share equal to or less than $19.00.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12"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63"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outlines dividends declared and paid for each issuance of CTO’s stock during the years ended December 31, 2022, 2021, and 2020 (in thousands, except per share data):</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69"/>
        </w:trPr>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4"/>
                <w:szCs w:val="14"/>
                <w:color w:val="auto"/>
              </w:rPr>
            </w:pPr>
          </w:p>
        </w:tc>
        <w:tc>
          <w:tcPr>
            <w:tcW w:w="1740" w:type="dxa"/>
            <w:vAlign w:val="bottom"/>
            <w:gridSpan w:val="2"/>
          </w:tcPr>
          <w:p>
            <w:pPr>
              <w:jc w:val="center"/>
              <w:ind w:right="46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4"/>
                <w:szCs w:val="14"/>
                <w:color w:val="auto"/>
              </w:rPr>
            </w:pPr>
          </w:p>
        </w:tc>
        <w:tc>
          <w:tcPr>
            <w:tcW w:w="1540" w:type="dxa"/>
            <w:vAlign w:val="bottom"/>
          </w:tcPr>
          <w:p>
            <w:pPr>
              <w:jc w:val="right"/>
              <w:ind w:right="33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4"/>
                <w:szCs w:val="14"/>
                <w:color w:val="auto"/>
              </w:rPr>
            </w:pPr>
          </w:p>
        </w:tc>
      </w:tr>
      <w:tr>
        <w:trPr>
          <w:trHeight w:val="217"/>
        </w:trPr>
        <w:tc>
          <w:tcPr>
            <w:tcW w:w="22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r>
      <w:tr>
        <w:trPr>
          <w:trHeight w:val="189"/>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197"/>
        </w:trPr>
        <w:tc>
          <w:tcPr>
            <w:tcW w:w="2920" w:type="dxa"/>
            <w:vAlign w:val="bottom"/>
            <w:gridSpan w:val="2"/>
          </w:tcPr>
          <w:p>
            <w:pPr>
              <w:jc w:val="center"/>
              <w:ind w:right="1860"/>
              <w:spacing w:after="0"/>
              <w:rPr>
                <w:sz w:val="20"/>
                <w:szCs w:val="20"/>
                <w:color w:val="auto"/>
              </w:rPr>
            </w:pPr>
            <w:r>
              <w:rPr>
                <w:rFonts w:ascii="Times New Roman" w:cs="Times New Roman" w:eastAsia="Times New Roman" w:hAnsi="Times New Roman"/>
                <w:sz w:val="16"/>
                <w:szCs w:val="16"/>
                <w:color w:val="auto"/>
              </w:rPr>
              <w:t>Dividends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200" w:type="dxa"/>
            <w:vAlign w:val="bottom"/>
          </w:tcPr>
          <w:p>
            <w:pPr>
              <w:spacing w:after="0"/>
              <w:rPr>
                <w:sz w:val="17"/>
                <w:szCs w:val="17"/>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220" w:type="dxa"/>
            <w:vAlign w:val="bottom"/>
          </w:tcPr>
          <w:p>
            <w:pPr>
              <w:spacing w:after="0"/>
              <w:rPr>
                <w:sz w:val="17"/>
                <w:szCs w:val="17"/>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r>
      <w:tr>
        <w:trPr>
          <w:trHeight w:val="197"/>
        </w:trPr>
        <w:tc>
          <w:tcPr>
            <w:tcW w:w="2920" w:type="dxa"/>
            <w:vAlign w:val="bottom"/>
            <w:gridSpan w:val="2"/>
            <w:shd w:val="clear" w:color="auto" w:fill="CCEEFF"/>
          </w:tcPr>
          <w:p>
            <w:pPr>
              <w:jc w:val="center"/>
              <w:ind w:right="1900"/>
              <w:spacing w:after="0"/>
              <w:rPr>
                <w:sz w:val="20"/>
                <w:szCs w:val="20"/>
                <w:color w:val="auto"/>
              </w:rPr>
            </w:pPr>
            <w:r>
              <w:rPr>
                <w:rFonts w:ascii="Times New Roman" w:cs="Times New Roman" w:eastAsia="Times New Roman" w:hAnsi="Times New Roman"/>
                <w:sz w:val="16"/>
                <w:szCs w:val="16"/>
                <w:color w:val="auto"/>
              </w:rPr>
              <w:t>Per Share</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r>
      <w:tr>
        <w:trPr>
          <w:trHeight w:val="197"/>
        </w:trPr>
        <w:tc>
          <w:tcPr>
            <w:tcW w:w="2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7"/>
        </w:trPr>
        <w:tc>
          <w:tcPr>
            <w:tcW w:w="2920" w:type="dxa"/>
            <w:vAlign w:val="bottom"/>
            <w:gridSpan w:val="2"/>
            <w:shd w:val="clear" w:color="auto" w:fill="CCEEFF"/>
          </w:tcPr>
          <w:p>
            <w:pPr>
              <w:jc w:val="center"/>
              <w:ind w:right="190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197"/>
        </w:trPr>
        <w:tc>
          <w:tcPr>
            <w:tcW w:w="2920" w:type="dxa"/>
            <w:vAlign w:val="bottom"/>
            <w:gridSpan w:val="2"/>
          </w:tcPr>
          <w:p>
            <w:pPr>
              <w:jc w:val="center"/>
              <w:ind w:right="1860"/>
              <w:spacing w:after="0"/>
              <w:rPr>
                <w:sz w:val="20"/>
                <w:szCs w:val="20"/>
                <w:color w:val="auto"/>
              </w:rPr>
            </w:pPr>
            <w:r>
              <w:rPr>
                <w:rFonts w:ascii="Times New Roman" w:cs="Times New Roman" w:eastAsia="Times New Roman" w:hAnsi="Times New Roman"/>
                <w:sz w:val="16"/>
                <w:szCs w:val="16"/>
                <w:color w:val="auto"/>
              </w:rPr>
              <w:t>Dividends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200" w:type="dxa"/>
            <w:vAlign w:val="bottom"/>
          </w:tcPr>
          <w:p>
            <w:pPr>
              <w:spacing w:after="0"/>
              <w:rPr>
                <w:sz w:val="17"/>
                <w:szCs w:val="17"/>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23,580</w:t>
            </w:r>
          </w:p>
        </w:tc>
        <w:tc>
          <w:tcPr>
            <w:tcW w:w="220" w:type="dxa"/>
            <w:vAlign w:val="bottom"/>
          </w:tcPr>
          <w:p>
            <w:pPr>
              <w:spacing w:after="0"/>
              <w:rPr>
                <w:sz w:val="17"/>
                <w:szCs w:val="17"/>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64,665</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85"/>
              </w:rPr>
              <w:t>(1)</w:t>
            </w:r>
          </w:p>
        </w:tc>
      </w:tr>
      <w:tr>
        <w:trPr>
          <w:trHeight w:val="197"/>
        </w:trPr>
        <w:tc>
          <w:tcPr>
            <w:tcW w:w="2920" w:type="dxa"/>
            <w:vAlign w:val="bottom"/>
            <w:gridSpan w:val="2"/>
            <w:shd w:val="clear" w:color="auto" w:fill="CCEEFF"/>
          </w:tcPr>
          <w:p>
            <w:pPr>
              <w:jc w:val="center"/>
              <w:ind w:right="1900"/>
              <w:spacing w:after="0"/>
              <w:rPr>
                <w:sz w:val="20"/>
                <w:szCs w:val="20"/>
                <w:color w:val="auto"/>
              </w:rPr>
            </w:pPr>
            <w:r>
              <w:rPr>
                <w:rFonts w:ascii="Times New Roman" w:cs="Times New Roman" w:eastAsia="Times New Roman" w:hAnsi="Times New Roman"/>
                <w:sz w:val="16"/>
                <w:szCs w:val="16"/>
                <w:color w:val="auto"/>
              </w:rPr>
              <w:t>Per Share</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85"/>
              </w:rPr>
              <w:t>(1)</w:t>
            </w:r>
          </w:p>
        </w:tc>
      </w:tr>
      <w:tr>
        <w:trPr>
          <w:trHeight w:val="98"/>
        </w:trPr>
        <w:tc>
          <w:tcPr>
            <w:tcW w:w="22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78" w:lineRule="exact"/>
        <w:rPr>
          <w:sz w:val="20"/>
          <w:szCs w:val="20"/>
          <w:color w:val="auto"/>
        </w:rPr>
      </w:pPr>
    </w:p>
    <w:p>
      <w:pPr>
        <w:ind w:left="400" w:right="59" w:hanging="364"/>
        <w:spacing w:after="0" w:line="212" w:lineRule="auto"/>
        <w:tabs>
          <w:tab w:leader="none" w:pos="400" w:val="left"/>
        </w:tabs>
        <w:numPr>
          <w:ilvl w:val="0"/>
          <w:numId w:val="4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aggregate of (i) $0.63 per share of regular cash dividends totaling $8.9 million and (ii) $3.99 per share Special Distribution totaling $55.8 million, of which $5.6 million was paid in cash.</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2025 NOTES</w:t>
      </w:r>
    </w:p>
    <w:p>
      <w:pPr>
        <w:spacing w:after="0" w:line="212"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2025 NOTES REPURCHASE PROGRAM</w:t>
      </w:r>
    </w:p>
    <w:p>
      <w:pPr>
        <w:spacing w:after="0" w:line="248" w:lineRule="exact"/>
        <w:rPr>
          <w:sz w:val="20"/>
          <w:szCs w:val="20"/>
          <w:color w:val="auto"/>
        </w:rPr>
      </w:pPr>
    </w:p>
    <w:p>
      <w:pPr>
        <w:jc w:val="both"/>
        <w:ind w:left="40" w:right="39" w:firstLine="295"/>
        <w:spacing w:after="0" w:line="266" w:lineRule="auto"/>
        <w:rPr>
          <w:sz w:val="20"/>
          <w:szCs w:val="20"/>
          <w:color w:val="auto"/>
        </w:rPr>
      </w:pPr>
      <w:r>
        <w:rPr>
          <w:rFonts w:ascii="Times New Roman" w:cs="Times New Roman" w:eastAsia="Times New Roman" w:hAnsi="Times New Roman"/>
          <w:sz w:val="16"/>
          <w:szCs w:val="16"/>
          <w:color w:val="auto"/>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at a price not to exceed 117% of par value. The 2025 Notes Repurchase Program does not obligate the Company to acquire any particular amount of 2025 Notes and may be modified or suspended.</w:t>
      </w:r>
    </w:p>
    <w:p>
      <w:pPr>
        <w:spacing w:after="0" w:line="145"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14.</w:t>
      </w:r>
      <w:r>
        <w:rPr>
          <w:sz w:val="20"/>
          <w:szCs w:val="20"/>
          <w:color w:val="auto"/>
        </w:rPr>
        <w:tab/>
      </w:r>
      <w:r>
        <w:rPr>
          <w:rFonts w:ascii="Times New Roman" w:cs="Times New Roman" w:eastAsia="Times New Roman" w:hAnsi="Times New Roman"/>
          <w:sz w:val="16"/>
          <w:szCs w:val="16"/>
          <w:b w:val="1"/>
          <w:bCs w:val="1"/>
          <w:color w:val="auto"/>
        </w:rPr>
        <w:t>COMMON STOCK AND EARNINGS PER SHARE</w:t>
      </w:r>
    </w:p>
    <w:p>
      <w:pPr>
        <w:spacing w:after="0" w:line="115"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161"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The following is a reconciliation of basic and diluted earnings per common share for each of the periods presented (in thousands, except share and per share data):</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gridSpan w:val="3"/>
          </w:tcPr>
          <w:p>
            <w:pPr>
              <w:ind w:left="6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3"/>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Basic and Diluted Earnings: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183"/>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Common Stockholders, Used in Basic EPS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0" w:type="dxa"/>
            <w:vAlign w:val="bottom"/>
          </w:tcPr>
          <w:p>
            <w:pPr>
              <w:spacing w:after="0"/>
              <w:rPr>
                <w:sz w:val="1"/>
                <w:szCs w:val="1"/>
                <w:color w:val="auto"/>
              </w:rPr>
            </w:pPr>
          </w:p>
        </w:tc>
      </w:tr>
      <w:tr>
        <w:trPr>
          <w:trHeight w:val="197"/>
        </w:trPr>
        <w:tc>
          <w:tcPr>
            <w:tcW w:w="5380" w:type="dxa"/>
            <w:vAlign w:val="bottom"/>
            <w:gridSpan w:val="2"/>
          </w:tcPr>
          <w:p>
            <w:pPr>
              <w:spacing w:after="0" w:line="197" w:lineRule="exact"/>
              <w:rPr>
                <w:sz w:val="20"/>
                <w:szCs w:val="20"/>
                <w:color w:val="auto"/>
              </w:rPr>
            </w:pPr>
            <w:r>
              <w:rPr>
                <w:rFonts w:ascii="Times New Roman" w:cs="Times New Roman" w:eastAsia="Times New Roman" w:hAnsi="Times New Roman"/>
                <w:sz w:val="15"/>
                <w:szCs w:val="15"/>
                <w:color w:val="auto"/>
              </w:rPr>
              <w:t xml:space="preserve">Add Back: Effect of Dilutive Interest Related to 2025 Notes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Common Stockholders, Used in Diluted EPS</w:t>
            </w: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Shares: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18,508,201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17,676,809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14,114,631</w:t>
            </w:r>
          </w:p>
        </w:tc>
        <w:tc>
          <w:tcPr>
            <w:tcW w:w="0" w:type="dxa"/>
            <w:vAlign w:val="bottom"/>
          </w:tcPr>
          <w:p>
            <w:pPr>
              <w:spacing w:after="0"/>
              <w:rPr>
                <w:sz w:val="1"/>
                <w:szCs w:val="1"/>
                <w:color w:val="auto"/>
              </w:rPr>
            </w:pPr>
          </w:p>
        </w:tc>
      </w:tr>
      <w:tr>
        <w:trPr>
          <w:trHeight w:val="197"/>
        </w:trPr>
        <w:tc>
          <w:tcPr>
            <w:tcW w:w="53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 xml:space="preserve">Common Shares Applicable to Dilutive Effect of 2025 Notes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18,508,201</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17,676,809</w:t>
            </w:r>
          </w:p>
        </w:tc>
        <w:tc>
          <w:tcPr>
            <w:tcW w:w="1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14,114,631</w:t>
            </w:r>
          </w:p>
        </w:tc>
        <w:tc>
          <w:tcPr>
            <w:tcW w:w="0" w:type="dxa"/>
            <w:vAlign w:val="bottom"/>
          </w:tcPr>
          <w:p>
            <w:pPr>
              <w:spacing w:after="0"/>
              <w:rPr>
                <w:sz w:val="1"/>
                <w:szCs w:val="1"/>
                <w:color w:val="auto"/>
              </w:rPr>
            </w:pPr>
          </w:p>
        </w:tc>
      </w:tr>
      <w:tr>
        <w:trPr>
          <w:trHeight w:val="174"/>
        </w:trPr>
        <w:tc>
          <w:tcPr>
            <w:tcW w:w="224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 Share Information:</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6"/>
                <w:szCs w:val="16"/>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24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60" w:right="79" w:hanging="304"/>
        <w:spacing w:after="0" w:line="236" w:lineRule="auto"/>
        <w:tabs>
          <w:tab w:leader="none" w:pos="6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applicable, includes interest expense, amortization of discount, amortization of fees, and other changes in net income or loss that would result from the assumed conversion of the 2025 Convertible Senior Notes to derive FFO effective January 1, 2022 due to the implementation of ASU 2020-06 which requires presentation on an if-converted basis. For the year ended December 31 2022, a total of $2.2 million of interest was not included, as the impact of the 2025 Notes, if-converted, would be antidilutive to the net loss attributable to common stockholders of $1.6 million.</w:t>
      </w:r>
    </w:p>
    <w:p>
      <w:pPr>
        <w:spacing w:after="0" w:line="2" w:lineRule="exact"/>
        <w:rPr>
          <w:rFonts w:ascii="Times New Roman" w:cs="Times New Roman" w:eastAsia="Times New Roman" w:hAnsi="Times New Roman"/>
          <w:sz w:val="22"/>
          <w:szCs w:val="22"/>
          <w:color w:val="auto"/>
          <w:vertAlign w:val="superscript"/>
        </w:rPr>
      </w:pPr>
    </w:p>
    <w:p>
      <w:pPr>
        <w:ind w:left="660" w:right="79" w:hanging="304"/>
        <w:spacing w:after="0" w:line="222" w:lineRule="auto"/>
        <w:tabs>
          <w:tab w:leader="none" w:pos="66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 total of 3.1 million shares, representing the dilutive impact of the 2025 Notes, upon adoption of ASU 2020-06 effective January 1, 2022, were not included in the computation of diluted net loss attributable to common stockholders for the year ended December 31, 2022 because they were antidilutive to the net loss attributable to common stockholders of $1.6 million.</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There were no potentially dilutive securities for years ended December 31, 2022, 2021, or 2020. The effect of 68,269, 2,497, and 39,558 potentially dilutive securities were not included for the years ended December 31, 2022, 2021 and 2020, respectively, as the effect would be anti-dilutive.</w:t>
      </w:r>
    </w:p>
    <w:p>
      <w:pPr>
        <w:spacing w:after="0" w:line="152"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Effective January 1, 2022, the Company adopted ASU 2020-06 whereby diluted EPS includes the dilutive impact, if any, of the 2025 Notes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Company overcame the presumption of share settlement prior to the adoption of ASU 2020-06, and therefore, there was no dilutive impact for the years ended December 31, 2021 or 2020. The effect of 3.1 million potentially dilutive 2025 Notes, if-converted, were not included for the year ended December 31, 2022, as the effect would be anti-dilutive.</w:t>
      </w:r>
    </w:p>
    <w:p>
      <w:pPr>
        <w:spacing w:after="0" w:line="361"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15.</w:t>
      </w:r>
      <w:r>
        <w:rPr>
          <w:sz w:val="20"/>
          <w:szCs w:val="20"/>
          <w:color w:val="auto"/>
        </w:rPr>
        <w:tab/>
      </w:r>
      <w:r>
        <w:rPr>
          <w:rFonts w:ascii="Times New Roman" w:cs="Times New Roman" w:eastAsia="Times New Roman" w:hAnsi="Times New Roman"/>
          <w:sz w:val="16"/>
          <w:szCs w:val="16"/>
          <w:b w:val="1"/>
          <w:bCs w:val="1"/>
          <w:color w:val="auto"/>
        </w:rPr>
        <w:t>SHARE REPURCHASES</w:t>
      </w:r>
    </w:p>
    <w:p>
      <w:pPr>
        <w:spacing w:after="0" w:line="213"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Prior to March 31, 2021, repurchases of the Company’s common stock were returned to treasury. 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year ended December 31, 2021 and is reflected in the accompanying consolidated statements of stockholders’ equity.</w:t>
      </w:r>
    </w:p>
    <w:p>
      <w:pPr>
        <w:spacing w:after="0" w:line="159"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In February 2020, the Company’s Board approved a $10.0 million common stock repurchase program (the “$10.0 Million Common Stock Repurchase Program”). During the year ended December 31, 2020, the Company repurchased 88,565 shares of its common stock on the open market for a total cost of $4.1 million, or an average price per share of $46.29. During the year ended December 31, 2021, the Company repurchased 40,553 shares of its common stock on the open market for a total cost of $2.2 million, or an average price per share of $54.48. During the year ended December 31, 2022, the Company repurchased 145,724 shares of its common stock on the open market for a total cost of $2.8 million, or an average price per share of $19.15. The $10.0 Million Common Stock Repurchase Program does not have an expiration date.</w:t>
      </w:r>
    </w:p>
    <w:p>
      <w:pPr>
        <w:spacing w:after="0" w:line="163" w:lineRule="exact"/>
        <w:rPr>
          <w:sz w:val="20"/>
          <w:szCs w:val="20"/>
          <w:color w:val="auto"/>
        </w:rPr>
      </w:pPr>
    </w:p>
    <w:p>
      <w:pPr>
        <w:jc w:val="both"/>
        <w:ind w:left="40" w:right="39" w:firstLine="295"/>
        <w:spacing w:after="0" w:line="262" w:lineRule="auto"/>
        <w:rPr>
          <w:sz w:val="20"/>
          <w:szCs w:val="20"/>
          <w:color w:val="auto"/>
        </w:rPr>
      </w:pPr>
      <w:r>
        <w:rPr>
          <w:rFonts w:ascii="Times New Roman" w:cs="Times New Roman" w:eastAsia="Times New Roman" w:hAnsi="Times New Roman"/>
          <w:sz w:val="16"/>
          <w:szCs w:val="16"/>
          <w:color w:val="auto"/>
        </w:rPr>
        <w:t>On February 16, 2023, the Company’s Board of Directors approved a common stock repurchase program, which is expected to be in effect until the approved dollar amount has been used to repurchase shares (the “$5.0 Million Common Stock Repurchase Program”). Pursuant to the $5.0 Million Common Stock Repurchase Program, the Company may repurchase shares of its common stock for a total purchase price of up to $5.0 million at an average per share purchase price equal to or less than $17.00. Shares may be purchased under the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$5.0 Million Common Stock Repurchase Program does not obligate the Company to acquire any particular amount of shares of its common stock and may be modified or suspended.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16.</w:t>
      </w:r>
      <w:r>
        <w:rPr>
          <w:sz w:val="20"/>
          <w:szCs w:val="20"/>
          <w:color w:val="auto"/>
        </w:rPr>
        <w:tab/>
      </w:r>
      <w:r>
        <w:rPr>
          <w:rFonts w:ascii="Times New Roman" w:cs="Times New Roman" w:eastAsia="Times New Roman" w:hAnsi="Times New Roman"/>
          <w:sz w:val="16"/>
          <w:szCs w:val="16"/>
          <w:b w:val="1"/>
          <w:bCs w:val="1"/>
          <w:color w:val="auto"/>
        </w:rPr>
        <w:t>LONG-TERM DEBT</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December 31, 2022, the Company’s outstanding indebtedness, at face value, was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Face Value Debt</w:t>
            </w:r>
          </w:p>
        </w:tc>
        <w:tc>
          <w:tcPr>
            <w:tcW w:w="1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6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173"/>
        </w:trPr>
        <w:tc>
          <w:tcPr>
            <w:tcW w:w="224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ind w:left="360"/>
              <w:spacing w:after="0" w:line="173" w:lineRule="exact"/>
              <w:rPr>
                <w:sz w:val="20"/>
                <w:szCs w:val="20"/>
                <w:color w:val="auto"/>
              </w:rPr>
            </w:pPr>
            <w:r>
              <w:rPr>
                <w:rFonts w:ascii="Times New Roman" w:cs="Times New Roman" w:eastAsia="Times New Roman" w:hAnsi="Times New Roman"/>
                <w:sz w:val="16"/>
                <w:szCs w:val="16"/>
                <w:color w:val="auto"/>
              </w:rPr>
              <w:t>30-day SOFR +</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6"/>
                <w:szCs w:val="16"/>
                <w:color w:val="auto"/>
                <w:w w:val="99"/>
              </w:rPr>
              <w:t>0.10% +</w:t>
            </w:r>
          </w:p>
        </w:tc>
        <w:tc>
          <w:tcPr>
            <w:tcW w:w="0" w:type="dxa"/>
            <w:vAlign w:val="bottom"/>
          </w:tcPr>
          <w:p>
            <w:pPr>
              <w:spacing w:after="0"/>
              <w:rPr>
                <w:sz w:val="1"/>
                <w:szCs w:val="1"/>
                <w:color w:val="auto"/>
              </w:rPr>
            </w:pPr>
          </w:p>
        </w:tc>
      </w:tr>
      <w:tr>
        <w:trPr>
          <w:trHeight w:val="21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113,750</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160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6"/>
                <w:szCs w:val="16"/>
                <w:color w:val="auto"/>
              </w:rPr>
              <w:t>[1.25% - 2.20%]</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ind w:left="360"/>
              <w:spacing w:after="0" w:line="181" w:lineRule="exact"/>
              <w:rPr>
                <w:sz w:val="20"/>
                <w:szCs w:val="20"/>
                <w:color w:val="auto"/>
              </w:rPr>
            </w:pPr>
            <w:r>
              <w:rPr>
                <w:rFonts w:ascii="Times New Roman" w:cs="Times New Roman" w:eastAsia="Times New Roman" w:hAnsi="Times New Roman"/>
                <w:sz w:val="16"/>
                <w:szCs w:val="16"/>
                <w:color w:val="auto"/>
              </w:rPr>
              <w:t>30-day SOFR +</w:t>
            </w:r>
          </w:p>
        </w:tc>
        <w:tc>
          <w:tcPr>
            <w:tcW w:w="0" w:type="dxa"/>
            <w:vAlign w:val="bottom"/>
          </w:tcPr>
          <w:p>
            <w:pPr>
              <w:spacing w:after="0"/>
              <w:rPr>
                <w:sz w:val="1"/>
                <w:szCs w:val="1"/>
                <w:color w:val="auto"/>
              </w:rPr>
            </w:pPr>
          </w:p>
        </w:tc>
      </w:tr>
      <w:tr>
        <w:trPr>
          <w:trHeight w:val="19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xml:space="preserve">2026 Term Loan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w w:val="99"/>
              </w:rPr>
              <w:t>0.10% +</w:t>
            </w:r>
          </w:p>
        </w:tc>
        <w:tc>
          <w:tcPr>
            <w:tcW w:w="0" w:type="dxa"/>
            <w:vAlign w:val="bottom"/>
          </w:tcPr>
          <w:p>
            <w:pPr>
              <w:spacing w:after="0"/>
              <w:rPr>
                <w:sz w:val="1"/>
                <w:szCs w:val="1"/>
                <w:color w:val="auto"/>
              </w:rPr>
            </w:pPr>
          </w:p>
        </w:tc>
      </w:tr>
      <w:tr>
        <w:trPr>
          <w:trHeight w:val="213"/>
        </w:trPr>
        <w:tc>
          <w:tcPr>
            <w:tcW w:w="3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2026</w:t>
            </w: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[1.25% - 2.20%]</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6"/>
                <w:szCs w:val="16"/>
                <w:color w:val="auto"/>
              </w:rPr>
              <w:t>30-day SOFR +</w:t>
            </w:r>
          </w:p>
        </w:tc>
        <w:tc>
          <w:tcPr>
            <w:tcW w:w="0" w:type="dxa"/>
            <w:vAlign w:val="bottom"/>
          </w:tcPr>
          <w:p>
            <w:pPr>
              <w:spacing w:after="0"/>
              <w:rPr>
                <w:sz w:val="1"/>
                <w:szCs w:val="1"/>
                <w:color w:val="auto"/>
              </w:rPr>
            </w:pPr>
          </w:p>
        </w:tc>
      </w:tr>
      <w:tr>
        <w:trPr>
          <w:trHeight w:val="197"/>
        </w:trPr>
        <w:tc>
          <w:tcPr>
            <w:tcW w:w="3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2027 Term Loan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6"/>
                <w:szCs w:val="16"/>
                <w:color w:val="auto"/>
                <w:w w:val="99"/>
              </w:rPr>
              <w:t>0.10% +</w:t>
            </w:r>
          </w:p>
        </w:tc>
        <w:tc>
          <w:tcPr>
            <w:tcW w:w="0" w:type="dxa"/>
            <w:vAlign w:val="bottom"/>
          </w:tcPr>
          <w:p>
            <w:pPr>
              <w:spacing w:after="0"/>
              <w:rPr>
                <w:sz w:val="1"/>
                <w:szCs w:val="1"/>
                <w:color w:val="auto"/>
              </w:rPr>
            </w:pPr>
          </w:p>
        </w:tc>
      </w:tr>
      <w:tr>
        <w:trPr>
          <w:trHeight w:val="213"/>
        </w:trPr>
        <w:tc>
          <w:tcPr>
            <w:tcW w:w="3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160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6"/>
                <w:szCs w:val="16"/>
                <w:color w:val="auto"/>
              </w:rPr>
              <w:t>[1.25% - 2.20%]</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ind w:left="360"/>
              <w:spacing w:after="0" w:line="181" w:lineRule="exact"/>
              <w:rPr>
                <w:sz w:val="20"/>
                <w:szCs w:val="20"/>
                <w:color w:val="auto"/>
              </w:rPr>
            </w:pPr>
            <w:r>
              <w:rPr>
                <w:rFonts w:ascii="Times New Roman" w:cs="Times New Roman" w:eastAsia="Times New Roman" w:hAnsi="Times New Roman"/>
                <w:sz w:val="16"/>
                <w:szCs w:val="16"/>
                <w:color w:val="auto"/>
              </w:rPr>
              <w:t>30-day SOFR +</w:t>
            </w:r>
          </w:p>
        </w:tc>
        <w:tc>
          <w:tcPr>
            <w:tcW w:w="0" w:type="dxa"/>
            <w:vAlign w:val="bottom"/>
          </w:tcPr>
          <w:p>
            <w:pPr>
              <w:spacing w:after="0"/>
              <w:rPr>
                <w:sz w:val="1"/>
                <w:szCs w:val="1"/>
                <w:color w:val="auto"/>
              </w:rPr>
            </w:pPr>
          </w:p>
        </w:tc>
      </w:tr>
      <w:tr>
        <w:trPr>
          <w:trHeight w:val="197"/>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 xml:space="preserve">2028 Term Loan </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w w:val="99"/>
              </w:rPr>
              <w:t>0.10% +</w:t>
            </w:r>
          </w:p>
        </w:tc>
        <w:tc>
          <w:tcPr>
            <w:tcW w:w="0" w:type="dxa"/>
            <w:vAlign w:val="bottom"/>
          </w:tcPr>
          <w:p>
            <w:pPr>
              <w:spacing w:after="0"/>
              <w:rPr>
                <w:sz w:val="1"/>
                <w:szCs w:val="1"/>
                <w:color w:val="auto"/>
              </w:rPr>
            </w:pPr>
          </w:p>
        </w:tc>
      </w:tr>
      <w:tr>
        <w:trPr>
          <w:trHeight w:val="213"/>
        </w:trPr>
        <w:tc>
          <w:tcPr>
            <w:tcW w:w="3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January 2028</w:t>
            </w: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6"/>
                <w:szCs w:val="16"/>
                <w:color w:val="auto"/>
              </w:rPr>
              <w:t>[1.20% - 2.15%]</w:t>
            </w:r>
          </w:p>
        </w:tc>
        <w:tc>
          <w:tcPr>
            <w:tcW w:w="0" w:type="dxa"/>
            <w:vAlign w:val="bottom"/>
          </w:tcPr>
          <w:p>
            <w:pPr>
              <w:spacing w:after="0"/>
              <w:rPr>
                <w:sz w:val="1"/>
                <w:szCs w:val="1"/>
                <w:color w:val="auto"/>
              </w:rPr>
            </w:pPr>
          </w:p>
        </w:tc>
      </w:tr>
      <w:tr>
        <w:trPr>
          <w:trHeight w:val="19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3.875% Convertible Senior Notes due 2025</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51,034</w:t>
            </w: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2025</w:t>
            </w:r>
          </w:p>
        </w:tc>
        <w:tc>
          <w:tcPr>
            <w:tcW w:w="1600" w:type="dxa"/>
            <w:vAlign w:val="bottom"/>
            <w:shd w:val="clear" w:color="auto" w:fill="CCEEFF"/>
          </w:tcPr>
          <w:p>
            <w:pPr>
              <w:jc w:val="center"/>
              <w:ind w:left="58"/>
              <w:spacing w:after="0"/>
              <w:rPr>
                <w:sz w:val="20"/>
                <w:szCs w:val="20"/>
                <w:color w:val="auto"/>
              </w:rPr>
            </w:pPr>
            <w:r>
              <w:rPr>
                <w:rFonts w:ascii="Times New Roman" w:cs="Times New Roman" w:eastAsia="Times New Roman" w:hAnsi="Times New Roman"/>
                <w:sz w:val="16"/>
                <w:szCs w:val="16"/>
                <w:color w:val="auto"/>
              </w:rPr>
              <w:t>3.875%</w:t>
            </w:r>
          </w:p>
        </w:tc>
        <w:tc>
          <w:tcPr>
            <w:tcW w:w="0" w:type="dxa"/>
            <w:vAlign w:val="bottom"/>
          </w:tcPr>
          <w:p>
            <w:pPr>
              <w:spacing w:after="0"/>
              <w:rPr>
                <w:sz w:val="1"/>
                <w:szCs w:val="1"/>
                <w:color w:val="auto"/>
              </w:rPr>
            </w:pPr>
          </w:p>
        </w:tc>
      </w:tr>
      <w:tr>
        <w:trPr>
          <w:trHeight w:val="19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Mortgage Note Payable</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17,800</w:t>
            </w:r>
          </w:p>
        </w:tc>
        <w:tc>
          <w:tcPr>
            <w:tcW w:w="18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2026</w:t>
            </w:r>
          </w:p>
        </w:tc>
        <w:tc>
          <w:tcPr>
            <w:tcW w:w="1600" w:type="dxa"/>
            <w:vAlign w:val="bottom"/>
            <w:tcBorders>
              <w:bottom w:val="single" w:sz="8" w:color="CCEEFF"/>
            </w:tcBorders>
          </w:tcPr>
          <w:p>
            <w:pPr>
              <w:jc w:val="center"/>
              <w:ind w:left="58"/>
              <w:spacing w:after="0"/>
              <w:rPr>
                <w:sz w:val="20"/>
                <w:szCs w:val="20"/>
                <w:color w:val="auto"/>
              </w:rPr>
            </w:pPr>
            <w:r>
              <w:rPr>
                <w:rFonts w:ascii="Times New Roman" w:cs="Times New Roman" w:eastAsia="Times New Roman" w:hAnsi="Times New Roman"/>
                <w:sz w:val="16"/>
                <w:szCs w:val="16"/>
                <w:color w:val="auto"/>
              </w:rPr>
              <w:t>4.060%</w:t>
            </w:r>
          </w:p>
        </w:tc>
        <w:tc>
          <w:tcPr>
            <w:tcW w:w="0" w:type="dxa"/>
            <w:vAlign w:val="bottom"/>
          </w:tcPr>
          <w:p>
            <w:pPr>
              <w:spacing w:after="0"/>
              <w:rPr>
                <w:sz w:val="1"/>
                <w:szCs w:val="1"/>
                <w:color w:val="auto"/>
              </w:rPr>
            </w:pPr>
          </w:p>
        </w:tc>
      </w:tr>
      <w:tr>
        <w:trPr>
          <w:trHeight w:val="189"/>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Face Value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447,584</w:t>
            </w: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40" w:right="59" w:hanging="304"/>
        <w:spacing w:after="0" w:line="228" w:lineRule="auto"/>
        <w:tabs>
          <w:tab w:leader="none" w:pos="34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Company utilized interest rate swaps on the $65.0 million 2026 Term Loan balance to fix SOFR and achieve a weighted average fixed swap rate of 0.26% plus the 10 bps SOFR adjustment plus the applicable spread.</w:t>
      </w:r>
    </w:p>
    <w:p>
      <w:pPr>
        <w:ind w:left="340" w:right="59" w:hanging="304"/>
        <w:spacing w:after="0" w:line="217" w:lineRule="auto"/>
        <w:tabs>
          <w:tab w:leader="none" w:pos="34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Company utilized interest rate swaps on the $100.0 million 2027 Term Loan balance to fix SOFR and achieve a fixed swap rate of 0.64% plus the 10 bps SOFR adjustment plus the applicable spread</w:t>
      </w:r>
    </w:p>
    <w:p>
      <w:pPr>
        <w:ind w:left="340" w:right="59" w:hanging="304"/>
        <w:spacing w:after="0" w:line="234" w:lineRule="auto"/>
        <w:tabs>
          <w:tab w:leader="none" w:pos="34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Company entered into interest rate swaps on the $100.0 million 2028 Term Loan balance to fix SOFR and achieve a weighted average fixed swap rate of 3.78% plus the 10 bps SOFR adjustment plus the applicable spread.</w:t>
      </w:r>
    </w:p>
    <w:p>
      <w:pPr>
        <w:spacing w:after="0" w:line="163" w:lineRule="exact"/>
        <w:rPr>
          <w:sz w:val="20"/>
          <w:szCs w:val="20"/>
          <w:color w:val="auto"/>
        </w:rPr>
      </w:pPr>
    </w:p>
    <w:p>
      <w:pPr>
        <w:jc w:val="both"/>
        <w:ind w:left="40" w:right="59" w:firstLine="402"/>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Credit Facility. </w:t>
      </w:r>
      <w:r>
        <w:rPr>
          <w:rFonts w:ascii="Times New Roman" w:cs="Times New Roman" w:eastAsia="Times New Roman" w:hAnsi="Times New Roman"/>
          <w:sz w:val="16"/>
          <w:szCs w:val="16"/>
          <w:color w:val="auto"/>
        </w:rPr>
        <w:t>The Credit Facility, with Bank of Montreal (“BMO”) as the administrative agent for the lenders thereunder,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March 2021 Revolver Amendment, as defined below, The Huntington National Bank was added as a lender to the Company’s Credit Facility.</w:t>
      </w:r>
    </w:p>
    <w:p>
      <w:pPr>
        <w:spacing w:after="0" w:line="159"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the 2017 Amended Credit Facility, as amended by the May 2019 Revolver Amendment. The Credit Facility also accrues 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spacing w:after="0" w:line="171"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pacing w:after="0" w:line="16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3"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64"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61"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On September 20, 2022, the Company entered into the eighth amendment to the 2017 Amended Credit Facility (the “Eighth Amendment”), which includes among other things: (i) the origination of the 2028 Term Loan, as defined in the Credit Agreement, (ii) the increase of Revolving Credit Commitments, as defined in the Credit Facility,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Revolving Credit Termination Date, as defined in the Credit Facility, from May 24, 2023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Facility, and PNC and Regions Bank as Revolving Lenders, as defined in the Credit Facility.</w:t>
      </w:r>
    </w:p>
    <w:p>
      <w:pPr>
        <w:spacing w:after="0" w:line="171"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At December 31, 2022, the current commitment level under the Credit Facility was $300.0 million. The undrawn borrowing capacity under the Credit Facility was $186.2 million, based on the level of borrowing base assets. As of December 31, 2022, the Credit Facility had a $113.8 million balance outstanding.</w:t>
      </w:r>
    </w:p>
    <w:p>
      <w:pPr>
        <w:spacing w:after="0" w:line="152" w:lineRule="exact"/>
        <w:rPr>
          <w:sz w:val="20"/>
          <w:szCs w:val="20"/>
          <w:color w:val="auto"/>
        </w:rPr>
      </w:pPr>
    </w:p>
    <w:p>
      <w:pPr>
        <w:jc w:val="both"/>
        <w:ind w:left="40" w:right="39" w:firstLine="402"/>
        <w:spacing w:after="0" w:line="267" w:lineRule="auto"/>
        <w:rPr>
          <w:sz w:val="20"/>
          <w:szCs w:val="20"/>
          <w:color w:val="auto"/>
        </w:rPr>
      </w:pPr>
      <w:r>
        <w:rPr>
          <w:rFonts w:ascii="Times New Roman" w:cs="Times New Roman" w:eastAsia="Times New Roman" w:hAnsi="Times New Roman"/>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w:t>
      </w:r>
    </w:p>
    <w:p>
      <w:pPr>
        <w:spacing w:after="0" w:line="1" w:lineRule="exact"/>
        <w:rPr>
          <w:sz w:val="20"/>
          <w:szCs w:val="20"/>
          <w:color w:val="auto"/>
        </w:rPr>
      </w:pPr>
    </w:p>
    <w:p>
      <w:pPr>
        <w:jc w:val="both"/>
        <w:ind w:left="40" w:right="39" w:hanging="4"/>
        <w:spacing w:after="0" w:line="259" w:lineRule="auto"/>
        <w:tabs>
          <w:tab w:leader="none" w:pos="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7" w:lineRule="exact"/>
        <w:rPr>
          <w:sz w:val="20"/>
          <w:szCs w:val="20"/>
          <w:color w:val="auto"/>
        </w:rPr>
      </w:pPr>
    </w:p>
    <w:p>
      <w:pPr>
        <w:jc w:val="both"/>
        <w:ind w:left="40" w:right="59" w:firstLine="402"/>
        <w:spacing w:after="0" w:line="277" w:lineRule="auto"/>
        <w:rPr>
          <w:sz w:val="20"/>
          <w:szCs w:val="20"/>
          <w:color w:val="auto"/>
        </w:rPr>
      </w:pPr>
      <w:r>
        <w:rPr>
          <w:rFonts w:ascii="Times New Roman" w:cs="Times New Roman" w:eastAsia="Times New Roman" w:hAnsi="Times New Roman"/>
          <w:sz w:val="16"/>
          <w:szCs w:val="16"/>
          <w:i w:val="1"/>
          <w:iCs w:val="1"/>
          <w:color w:val="auto"/>
        </w:rPr>
        <w:t>Mortgage Notes Payable</w:t>
      </w:r>
      <w:r>
        <w:rPr>
          <w:rFonts w:ascii="Times New Roman" w:cs="Times New Roman" w:eastAsia="Times New Roman" w:hAnsi="Times New Roman"/>
          <w:sz w:val="16"/>
          <w:szCs w:val="16"/>
          <w:color w:val="auto"/>
        </w:rPr>
        <w:t>. On March 3, 2022, in connection with the acquisition of Price Plaza Shopping Center,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assumed an existing $17.8 million secured fixed-rate mortgage note payable, which bears interest at a fixed rate of 4.06% and matures in August 2026.</w:t>
      </w:r>
    </w:p>
    <w:p>
      <w:pPr>
        <w:spacing w:after="0" w:line="150" w:lineRule="exact"/>
        <w:rPr>
          <w:sz w:val="20"/>
          <w:szCs w:val="20"/>
          <w:color w:val="auto"/>
        </w:rPr>
      </w:pPr>
    </w:p>
    <w:p>
      <w:pPr>
        <w:jc w:val="both"/>
        <w:ind w:left="40" w:right="39" w:firstLine="402"/>
        <w:spacing w:after="0" w:line="270" w:lineRule="auto"/>
        <w:rPr>
          <w:sz w:val="20"/>
          <w:szCs w:val="20"/>
          <w:color w:val="auto"/>
        </w:rPr>
      </w:pPr>
      <w:r>
        <w:rPr>
          <w:rFonts w:ascii="Times New Roman" w:cs="Times New Roman" w:eastAsia="Times New Roman" w:hAnsi="Times New Roman"/>
          <w:sz w:val="16"/>
          <w:szCs w:val="16"/>
          <w:i w:val="1"/>
          <w:iCs w:val="1"/>
          <w:color w:val="auto"/>
        </w:rPr>
        <w:t>Convertible Debt</w:t>
      </w:r>
      <w:r>
        <w:rPr>
          <w:rFonts w:ascii="Times New Roman" w:cs="Times New Roman" w:eastAsia="Times New Roman" w:hAnsi="Times New Roman"/>
          <w:sz w:val="16"/>
          <w:szCs w:val="16"/>
          <w:color w:val="auto"/>
        </w:rPr>
        <w:t>. The Company had an initial aggregate principal amount of $75.0 million of 3.875% Convertible Notes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Notes at a $1.6 million premium, resulting in a loss on extinguishment of debt of $2.9 million. Following the repurchases, $51.0 million aggregate principal amount of the 2025 Notes remains outstanding at December 31, 2022.</w:t>
      </w:r>
    </w:p>
    <w:p>
      <w:pPr>
        <w:spacing w:after="0" w:line="138" w:lineRule="exact"/>
        <w:rPr>
          <w:sz w:val="20"/>
          <w:szCs w:val="20"/>
          <w:color w:val="auto"/>
        </w:rPr>
      </w:pPr>
    </w:p>
    <w:p>
      <w:pPr>
        <w:jc w:val="both"/>
        <w:ind w:left="40" w:right="39" w:firstLine="402"/>
        <w:spacing w:after="0" w:line="260" w:lineRule="auto"/>
        <w:rPr>
          <w:sz w:val="20"/>
          <w:szCs w:val="20"/>
          <w:color w:val="auto"/>
        </w:rPr>
      </w:pPr>
      <w:r>
        <w:rPr>
          <w:rFonts w:ascii="Times New Roman" w:cs="Times New Roman" w:eastAsia="Times New Roman" w:hAnsi="Times New Roman"/>
          <w:sz w:val="16"/>
          <w:szCs w:val="16"/>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fourth quarter 2022 dividend, the conversion rate is equal to 62.2047 shares of common stock for each $1,000 principal amount of 2025 Notes, which represents an adjusted conversion price of $16.08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66" w:lineRule="exact"/>
        <w:rPr>
          <w:sz w:val="20"/>
          <w:szCs w:val="20"/>
          <w:color w:val="auto"/>
        </w:rPr>
      </w:pPr>
    </w:p>
    <w:p>
      <w:pPr>
        <w:jc w:val="both"/>
        <w:ind w:left="40" w:right="39" w:firstLine="402"/>
        <w:spacing w:after="0" w:line="261" w:lineRule="auto"/>
        <w:rPr>
          <w:sz w:val="20"/>
          <w:szCs w:val="20"/>
          <w:color w:val="auto"/>
        </w:rPr>
      </w:pPr>
      <w:r>
        <w:rPr>
          <w:rFonts w:ascii="Times New Roman" w:cs="Times New Roman" w:eastAsia="Times New Roman" w:hAnsi="Times New Roman"/>
          <w:sz w:val="16"/>
          <w:szCs w:val="16"/>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67"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As of December 31, 2022, the unamortized debt discount of our 2025 Notes was $0.4 million, which represents the cash component of the discount.</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Long-term debt consisted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18"/>
                <w:szCs w:val="18"/>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69"/>
        </w:trPr>
        <w:tc>
          <w:tcPr>
            <w:tcW w:w="3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Due Within</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b w:val="1"/>
                <w:bCs w:val="1"/>
                <w:color w:val="auto"/>
              </w:rPr>
              <w:t>Due Within</w:t>
            </w:r>
          </w:p>
        </w:tc>
        <w:tc>
          <w:tcPr>
            <w:tcW w:w="20" w:type="dxa"/>
            <w:vAlign w:val="bottom"/>
          </w:tcPr>
          <w:p>
            <w:pPr>
              <w:spacing w:after="0"/>
              <w:rPr>
                <w:sz w:val="14"/>
                <w:szCs w:val="14"/>
                <w:color w:val="auto"/>
              </w:rPr>
            </w:pPr>
          </w:p>
        </w:tc>
      </w:tr>
      <w:tr>
        <w:trPr>
          <w:trHeight w:val="217"/>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One Year</w:t>
            </w:r>
          </w:p>
        </w:tc>
        <w:tc>
          <w:tcPr>
            <w:tcW w:w="2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One Year</w:t>
            </w:r>
          </w:p>
        </w:tc>
      </w:tr>
      <w:tr>
        <w:trPr>
          <w:trHeight w:val="18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 Facility</w:t>
            </w: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113,750</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67,000</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2026 Term Loan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9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 Term Loan</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2028 Term Loan</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180"/>
        </w:trPr>
        <w:tc>
          <w:tcPr>
            <w:tcW w:w="3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3.875% Convertible Senior Notes, net of</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19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Mortgage Note Payable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32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Financing Costs, net of Accumulated</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(1,637)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189"/>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445,583</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278,273</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F-37</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8"/>
        </w:trPr>
        <w:tc>
          <w:tcPr>
            <w:tcW w:w="3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Payments applicable to reduction of principal amounts as of December 31, 2022 will be required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8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51,034</w:t>
            </w: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w:t>
            </w:r>
          </w:p>
        </w:tc>
      </w:tr>
      <w:tr>
        <w:trPr>
          <w:trHeight w:val="19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213,750</w:t>
            </w:r>
          </w:p>
        </w:tc>
      </w:tr>
      <w:tr>
        <w:trPr>
          <w:trHeight w:val="197"/>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2028 and Thereafter</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189"/>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Debt - Face Value</w:t>
            </w: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447,584</w:t>
            </w:r>
          </w:p>
        </w:tc>
      </w:tr>
      <w:tr>
        <w:trPr>
          <w:trHeight w:val="20"/>
        </w:trPr>
        <w:tc>
          <w:tcPr>
            <w:tcW w:w="6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71"/>
        </w:trPr>
        <w:tc>
          <w:tcPr>
            <w:tcW w:w="730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auto"/>
              </w:rPr>
              <w:t>The carrying value of long-term debt as of December 31, 2022 consisted of the following (in thousands):</w:t>
            </w:r>
          </w:p>
        </w:tc>
        <w:tc>
          <w:tcPr>
            <w:tcW w:w="1640" w:type="dxa"/>
            <w:vAlign w:val="bottom"/>
          </w:tcPr>
          <w:p>
            <w:pPr>
              <w:spacing w:after="0"/>
              <w:rPr>
                <w:sz w:val="24"/>
                <w:szCs w:val="24"/>
                <w:color w:val="auto"/>
              </w:rPr>
            </w:pPr>
          </w:p>
        </w:tc>
      </w:tr>
      <w:tr>
        <w:trPr>
          <w:trHeight w:val="405"/>
        </w:trPr>
        <w:tc>
          <w:tcPr>
            <w:tcW w:w="60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07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Face Amount</w:t>
            </w:r>
          </w:p>
        </w:tc>
        <w:tc>
          <w:tcPr>
            <w:tcW w:w="260" w:type="dxa"/>
            <w:vAlign w:val="bottom"/>
            <w:gridSpan w:val="2"/>
            <w:shd w:val="clear" w:color="auto" w:fill="CCEEFF"/>
          </w:tcPr>
          <w:p>
            <w:pPr>
              <w:spacing w:after="0"/>
              <w:rPr>
                <w:sz w:val="16"/>
                <w:szCs w:val="16"/>
                <w:color w:val="auto"/>
              </w:rPr>
            </w:pPr>
          </w:p>
        </w:tc>
        <w:tc>
          <w:tcPr>
            <w:tcW w:w="100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447,584</w:t>
            </w:r>
          </w:p>
        </w:tc>
      </w:tr>
      <w:tr>
        <w:trPr>
          <w:trHeight w:val="197"/>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Discount on Convertible Debt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19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Costs, net of Accumulated Amortization</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r>
      <w:tr>
        <w:trPr>
          <w:trHeight w:val="189"/>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260" w:type="dxa"/>
            <w:vAlign w:val="bottom"/>
            <w:gridSpan w:val="2"/>
          </w:tcPr>
          <w:p>
            <w:pPr>
              <w:spacing w:after="0"/>
              <w:rPr>
                <w:sz w:val="16"/>
                <w:szCs w:val="16"/>
                <w:color w:val="auto"/>
              </w:rPr>
            </w:pPr>
          </w:p>
        </w:tc>
        <w:tc>
          <w:tcPr>
            <w:tcW w:w="1000" w:type="dxa"/>
            <w:vAlign w:val="bottom"/>
          </w:tcPr>
          <w:p>
            <w:pPr>
              <w:jc w:val="right"/>
              <w:ind w:right="8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445,583</w:t>
            </w: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In addition to the $1.6 million of financing costs, net of accumulated amortization included in the table above, as of December 31, 2022, the Company also had financing costs, net of accumulated amortization related to the Credit Facility of $2.1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59"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The following table reflects a summary of interest expense incurred and paid during the years ended December 31, 2022, 2021 and 2020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6"/>
                <w:szCs w:val="16"/>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18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10,171</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w:t>
            </w:r>
          </w:p>
        </w:tc>
      </w:tr>
      <w:tr>
        <w:trPr>
          <w:trHeight w:val="197"/>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19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Discount on Convertible Notes</w:t>
            </w: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29"/>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10,838</w:t>
            </w:r>
          </w:p>
        </w:tc>
      </w:tr>
      <w:tr>
        <w:trPr>
          <w:trHeight w:val="174"/>
        </w:trPr>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7"/>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Total Interest Paid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w:t>
            </w: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 was in compliance with all of its debt covenants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17.</w:t>
      </w:r>
      <w:r>
        <w:rPr>
          <w:sz w:val="20"/>
          <w:szCs w:val="20"/>
          <w:color w:val="auto"/>
        </w:rPr>
        <w:tab/>
      </w:r>
      <w:r>
        <w:rPr>
          <w:rFonts w:ascii="Times New Roman" w:cs="Times New Roman" w:eastAsia="Times New Roman" w:hAnsi="Times New Roman"/>
          <w:sz w:val="16"/>
          <w:szCs w:val="16"/>
          <w:b w:val="1"/>
          <w:bCs w:val="1"/>
          <w:color w:val="auto"/>
        </w:rPr>
        <w:t>INTEREST RATE SWAPS</w:t>
      </w:r>
    </w:p>
    <w:p>
      <w:pPr>
        <w:spacing w:after="0" w:line="250" w:lineRule="exact"/>
        <w:rPr>
          <w:sz w:val="20"/>
          <w:szCs w:val="20"/>
          <w:color w:val="auto"/>
        </w:rPr>
      </w:pPr>
    </w:p>
    <w:p>
      <w:pPr>
        <w:jc w:val="both"/>
        <w:ind w:left="40" w:right="59" w:firstLine="448"/>
        <w:spacing w:after="0" w:line="264" w:lineRule="auto"/>
        <w:rPr>
          <w:sz w:val="20"/>
          <w:szCs w:val="20"/>
          <w:color w:val="auto"/>
        </w:rPr>
      </w:pPr>
      <w:r>
        <w:rPr>
          <w:rFonts w:ascii="Times New Roman" w:cs="Times New Roman" w:eastAsia="Times New Roman" w:hAnsi="Times New Roman"/>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years ended December 31, 2022, 2021, and 2020.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 xml:space="preserve">Hedged Item </w:t>
            </w:r>
            <w:r>
              <w:rPr>
                <w:rFonts w:ascii="Times New Roman" w:cs="Times New Roman" w:eastAsia="Times New Roman" w:hAnsi="Times New Roman"/>
                <w:sz w:val="22"/>
                <w:szCs w:val="22"/>
                <w:b w:val="1"/>
                <w:bCs w:val="1"/>
                <w:color w:val="auto"/>
                <w:vertAlign w:val="superscript"/>
              </w:rPr>
              <w:t>(1)</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Maturity</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46"/>
              <w:spacing w:after="0"/>
              <w:rPr>
                <w:sz w:val="20"/>
                <w:szCs w:val="20"/>
                <w:color w:val="auto"/>
              </w:rPr>
            </w:pPr>
            <w:r>
              <w:rPr>
                <w:rFonts w:ascii="Times New Roman" w:cs="Times New Roman" w:eastAsia="Times New Roman" w:hAnsi="Times New Roman"/>
                <w:sz w:val="15"/>
                <w:szCs w:val="15"/>
                <w:b w:val="1"/>
                <w:bCs w:val="1"/>
                <w:color w:val="auto"/>
              </w:rPr>
              <w:t>Fair Value as of</w:t>
            </w:r>
          </w:p>
        </w:tc>
        <w:tc>
          <w:tcPr>
            <w:tcW w:w="0" w:type="dxa"/>
            <w:vAlign w:val="bottom"/>
          </w:tcPr>
          <w:p>
            <w:pPr>
              <w:spacing w:after="0"/>
              <w:rPr>
                <w:sz w:val="1"/>
                <w:szCs w:val="1"/>
                <w:color w:val="auto"/>
              </w:rPr>
            </w:pPr>
          </w:p>
        </w:tc>
      </w:tr>
      <w:tr>
        <w:trPr>
          <w:trHeight w:val="199"/>
        </w:trPr>
        <w:tc>
          <w:tcPr>
            <w:tcW w:w="1840" w:type="dxa"/>
            <w:vAlign w:val="bottom"/>
            <w:gridSpan w:val="2"/>
            <w:vMerge w:val="continue"/>
          </w:tcPr>
          <w:p>
            <w:pPr>
              <w:spacing w:after="0"/>
              <w:rPr>
                <w:sz w:val="17"/>
                <w:szCs w:val="17"/>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Effective Date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3"/>
              </w:rPr>
              <w:t>Date</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1340" w:type="dxa"/>
            <w:vAlign w:val="bottom"/>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w w:val="98"/>
              </w:rPr>
              <w:t>December 31, 2022</w:t>
            </w:r>
          </w:p>
        </w:tc>
        <w:tc>
          <w:tcPr>
            <w:tcW w:w="0" w:type="dxa"/>
            <w:vAlign w:val="bottom"/>
          </w:tcPr>
          <w:p>
            <w:pPr>
              <w:spacing w:after="0"/>
              <w:rPr>
                <w:sz w:val="1"/>
                <w:szCs w:val="1"/>
                <w:color w:val="auto"/>
              </w:rPr>
            </w:pPr>
          </w:p>
        </w:tc>
      </w:tr>
      <w:tr>
        <w:trPr>
          <w:trHeight w:val="177"/>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 Term Loan</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w w:val="98"/>
              </w:rPr>
              <w:t>3/10/2021</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3/29/2024</w:t>
            </w:r>
          </w:p>
        </w:tc>
        <w:tc>
          <w:tcPr>
            <w:tcW w:w="14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0.12% + 0.10% + applicable spread</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2,818</w:t>
            </w:r>
          </w:p>
        </w:tc>
        <w:tc>
          <w:tcPr>
            <w:tcW w:w="0" w:type="dxa"/>
            <w:vAlign w:val="bottom"/>
          </w:tcPr>
          <w:p>
            <w:pPr>
              <w:spacing w:after="0"/>
              <w:rPr>
                <w:sz w:val="1"/>
                <w:szCs w:val="1"/>
                <w:color w:val="auto"/>
              </w:rPr>
            </w:pPr>
          </w:p>
        </w:tc>
      </w:tr>
      <w:tr>
        <w:trPr>
          <w:trHeight w:val="184"/>
        </w:trPr>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2026 Term Loan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w w:val="98"/>
              </w:rPr>
              <w:t>3/29/2024</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3/10/2026</w:t>
            </w:r>
          </w:p>
        </w:tc>
        <w:tc>
          <w:tcPr>
            <w:tcW w:w="14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1.44% + 0.10% + applicable spread</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0" w:type="dxa"/>
            <w:vAlign w:val="bottom"/>
          </w:tcPr>
          <w:p>
            <w:pPr>
              <w:spacing w:after="0"/>
              <w:rPr>
                <w:sz w:val="1"/>
                <w:szCs w:val="1"/>
                <w:color w:val="auto"/>
              </w:rPr>
            </w:pPr>
          </w:p>
        </w:tc>
      </w:tr>
      <w:tr>
        <w:trPr>
          <w:trHeight w:val="184"/>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 Term Loan</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w w:val="98"/>
              </w:rPr>
              <w:t>8/31/2021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3/10/2026</w:t>
            </w:r>
          </w:p>
        </w:tc>
        <w:tc>
          <w:tcPr>
            <w:tcW w:w="14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0.70% + 0.10% + applicable spread</w:t>
            </w: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0" w:type="dxa"/>
            <w:vAlign w:val="bottom"/>
          </w:tcPr>
          <w:p>
            <w:pPr>
              <w:spacing w:after="0"/>
              <w:rPr>
                <w:sz w:val="1"/>
                <w:szCs w:val="1"/>
                <w:color w:val="auto"/>
              </w:rPr>
            </w:pPr>
          </w:p>
        </w:tc>
      </w:tr>
      <w:tr>
        <w:trPr>
          <w:trHeight w:val="184"/>
        </w:trPr>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2027 Term Loan</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5"/>
              </w:rPr>
              <w:t>11/5/2021</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3/29/2024</w:t>
            </w:r>
          </w:p>
        </w:tc>
        <w:tc>
          <w:tcPr>
            <w:tcW w:w="14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0.64% + 0.10% + applicable spread</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5,007</w:t>
            </w:r>
          </w:p>
        </w:tc>
        <w:tc>
          <w:tcPr>
            <w:tcW w:w="0" w:type="dxa"/>
            <w:vAlign w:val="bottom"/>
          </w:tcPr>
          <w:p>
            <w:pPr>
              <w:spacing w:after="0"/>
              <w:rPr>
                <w:sz w:val="1"/>
                <w:szCs w:val="1"/>
                <w:color w:val="auto"/>
              </w:rPr>
            </w:pPr>
          </w:p>
        </w:tc>
      </w:tr>
      <w:tr>
        <w:trPr>
          <w:trHeight w:val="184"/>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 Term Loan</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w w:val="98"/>
              </w:rPr>
              <w:t>3/29/2024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1/31/2027</w:t>
            </w:r>
          </w:p>
        </w:tc>
        <w:tc>
          <w:tcPr>
            <w:tcW w:w="14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1.35% + 0.10% + applicable spread</w:t>
            </w: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5,104</w:t>
            </w:r>
          </w:p>
        </w:tc>
        <w:tc>
          <w:tcPr>
            <w:tcW w:w="0" w:type="dxa"/>
            <w:vAlign w:val="bottom"/>
          </w:tcPr>
          <w:p>
            <w:pPr>
              <w:spacing w:after="0"/>
              <w:rPr>
                <w:sz w:val="1"/>
                <w:szCs w:val="1"/>
                <w:color w:val="auto"/>
              </w:rPr>
            </w:pPr>
          </w:p>
        </w:tc>
      </w:tr>
      <w:tr>
        <w:trPr>
          <w:trHeight w:val="184"/>
        </w:trPr>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2028 Term Loan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color w:val="auto"/>
                <w:w w:val="98"/>
              </w:rPr>
              <w:t>9/30/2022</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1/31/2028</w:t>
            </w:r>
          </w:p>
        </w:tc>
        <w:tc>
          <w:tcPr>
            <w:tcW w:w="14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3.78% + 0.10% + applicable spread</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184"/>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 Term Loan</w:t>
            </w: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auto"/>
                <w:w w:val="98"/>
              </w:rPr>
              <w:t>9/30/2022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1/31/2028</w:t>
            </w:r>
          </w:p>
        </w:tc>
        <w:tc>
          <w:tcPr>
            <w:tcW w:w="14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3.78% + 0.10% + applicable spread</w:t>
            </w:r>
          </w:p>
        </w:tc>
        <w:tc>
          <w:tcPr>
            <w:tcW w:w="1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103"/>
        </w:trPr>
        <w:tc>
          <w:tcPr>
            <w:tcW w:w="1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04"/>
        <w:spacing w:after="0" w:line="212" w:lineRule="auto"/>
        <w:tabs>
          <w:tab w:leader="none" w:pos="34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Effective September 30, 2022 the Company converted its existing interest rate swaps from 1-month LIBOR to SOFR.</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18.</w:t>
            </w:r>
          </w:p>
        </w:tc>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ACCRUED AND OTHER LIABILITIES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9"/>
        </w:trPr>
        <w:tc>
          <w:tcPr>
            <w:tcW w:w="61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Accrued and other liabilities consisted of the following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5"/>
        </w:trPr>
        <w:tc>
          <w:tcPr>
            <w:tcW w:w="8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80" w:type="dxa"/>
            <w:vAlign w:val="bottom"/>
            <w:tcBorders>
              <w:bottom w:val="single" w:sz="8" w:color="auto"/>
            </w:tcBorders>
          </w:tcPr>
          <w:p>
            <w:pPr>
              <w:spacing w:after="0"/>
              <w:rPr>
                <w:sz w:val="24"/>
                <w:szCs w:val="24"/>
                <w:color w:val="auto"/>
              </w:rPr>
            </w:pPr>
          </w:p>
        </w:tc>
      </w:tr>
      <w:tr>
        <w:trPr>
          <w:trHeight w:val="169"/>
        </w:trPr>
        <w:tc>
          <w:tcPr>
            <w:tcW w:w="8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180" w:type="dxa"/>
            <w:vAlign w:val="bottom"/>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840" w:type="dxa"/>
            <w:vAlign w:val="bottom"/>
            <w:tcBorders>
              <w:bottom w:val="single" w:sz="8" w:color="CCEEFF"/>
            </w:tcBorders>
          </w:tcPr>
          <w:p>
            <w:pPr>
              <w:spacing w:after="0"/>
              <w:rPr>
                <w:sz w:val="18"/>
                <w:szCs w:val="18"/>
                <w:color w:val="auto"/>
              </w:rPr>
            </w:pPr>
          </w:p>
        </w:tc>
        <w:tc>
          <w:tcPr>
            <w:tcW w:w="5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Property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19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Reserve for Tenant Improvements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r>
      <w:tr>
        <w:trPr>
          <w:trHeight w:val="197"/>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Tenant Security Deposits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19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Construction Costs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197"/>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19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Environmental Reserve</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197"/>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 - Interest Rate Swaps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7"/>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Leases - Liability</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197"/>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5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189"/>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Accrued and Other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13,121</w:t>
            </w:r>
          </w:p>
        </w:tc>
      </w:tr>
      <w:tr>
        <w:trPr>
          <w:trHeight w:val="20"/>
        </w:trPr>
        <w:tc>
          <w:tcPr>
            <w:tcW w:w="8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40" w:right="59" w:firstLine="448"/>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Reserve for Tenant Improvements. </w:t>
      </w:r>
      <w:r>
        <w:rPr>
          <w:rFonts w:ascii="Times New Roman" w:cs="Times New Roman" w:eastAsia="Times New Roman" w:hAnsi="Times New Roman"/>
          <w:sz w:val="16"/>
          <w:szCs w:val="16"/>
          <w:color w:val="auto"/>
        </w:rPr>
        <w:t>In connection with recent acquisitions, the Company received, an aggregate $8.9 million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sellers of the properties for tenant improvement allowances, leasing commissions and other capital improvements. These amounts are included in accrued and other liabilities on the consolidated balance sheets. Through December 31, 2022, payments totaling $2.7 million were made, leaving a remaining reserve for tenant improvements of $6.2 million.</w:t>
      </w:r>
    </w:p>
    <w:p>
      <w:pPr>
        <w:spacing w:after="0" w:line="190" w:lineRule="exact"/>
        <w:rPr>
          <w:sz w:val="20"/>
          <w:szCs w:val="20"/>
          <w:color w:val="auto"/>
        </w:rPr>
      </w:pPr>
    </w:p>
    <w:p>
      <w:pPr>
        <w:jc w:val="both"/>
        <w:ind w:left="40" w:right="39" w:firstLine="448"/>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Environmental Reserve. </w:t>
      </w:r>
      <w:r>
        <w:rPr>
          <w:rFonts w:ascii="Times New Roman" w:cs="Times New Roman" w:eastAsia="Times New Roman" w:hAnsi="Times New Roman"/>
          <w:sz w:val="16"/>
          <w:szCs w:val="16"/>
          <w:color w:val="auto"/>
        </w:rPr>
        <w:t>During the year ended December 31, 2014, the Company accrued an environmental reserve of $0.1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 “FDEP Approval”) in August 2016 which supports the approximate $0.5 million accrual made in 2015. The Company is implementing the remediation plan pursuant to the FDEP Approval. During the fourth quarter of 2017, the Company made an additional accrual of less than $0.1 million for the second year of monitoring as the low end of the original range of estimated costs was increased for the amount of monitoring now anticipated. Since the total accrual of $0.7 million was made, $0.6 million in costs have been incurred through December 31, 2022, leaving a remaining accrual of less than $0.1 million.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19.</w:t>
            </w: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59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Deferred revenue consisted of the following (in thousands):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17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tcPr>
          <w:p>
            <w:pPr>
              <w:spacing w:after="0"/>
              <w:rPr>
                <w:sz w:val="18"/>
                <w:szCs w:val="18"/>
                <w:color w:val="auto"/>
              </w:rPr>
            </w:pPr>
          </w:p>
        </w:tc>
        <w:tc>
          <w:tcPr>
            <w:tcW w:w="5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9"/>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Rent</w:t>
            </w:r>
          </w:p>
        </w:tc>
        <w:tc>
          <w:tcPr>
            <w:tcW w:w="50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0" w:type="dxa"/>
            <w:vAlign w:val="bottom"/>
          </w:tcPr>
          <w:p>
            <w:pPr>
              <w:spacing w:after="0"/>
              <w:rPr>
                <w:sz w:val="1"/>
                <w:szCs w:val="1"/>
                <w:color w:val="auto"/>
              </w:rPr>
            </w:pPr>
          </w:p>
        </w:tc>
      </w:tr>
      <w:tr>
        <w:trPr>
          <w:trHeight w:val="197"/>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Reserve from Commercial Loans and Investments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Tenant Contributions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Deferred Revenue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20.</w:t>
            </w: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STOCK-BASED COMPENSATION</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2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STOCK-BASED COMPENSATION</w:t>
      </w:r>
    </w:p>
    <w:p>
      <w:pPr>
        <w:spacing w:after="0" w:line="115" w:lineRule="exact"/>
        <w:rPr>
          <w:sz w:val="20"/>
          <w:szCs w:val="20"/>
          <w:color w:val="auto"/>
        </w:rPr>
      </w:pPr>
    </w:p>
    <w:p>
      <w:pPr>
        <w:jc w:val="both"/>
        <w:ind w:left="40" w:right="39" w:firstLine="443"/>
        <w:spacing w:after="0" w:line="276" w:lineRule="auto"/>
        <w:rPr>
          <w:sz w:val="20"/>
          <w:szCs w:val="20"/>
          <w:color w:val="auto"/>
        </w:rPr>
      </w:pPr>
      <w:r>
        <w:rPr>
          <w:rFonts w:ascii="Times New Roman" w:cs="Times New Roman" w:eastAsia="Times New Roman" w:hAnsi="Times New Roman"/>
          <w:sz w:val="16"/>
          <w:szCs w:val="16"/>
          <w:color w:val="auto"/>
        </w:rPr>
        <w:t>A summary of share activity for all equity classified stock compensation during the year ended December 31, 2022, is presented below. As described in Note 13, “Equity” all share counts herein have been retroactively adjusted for the three-for-one stock split effective July 1, 2022.</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3"/>
              </w:rPr>
              <w:t>Vested /</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Shares</w:t>
            </w:r>
          </w:p>
        </w:tc>
      </w:tr>
      <w:tr>
        <w:trPr>
          <w:trHeight w:val="184"/>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Outstanding</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Granted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5"/>
              </w:rPr>
              <w:t>Exercised</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Expired</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Forfeited</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Outstanding</w:t>
            </w:r>
          </w:p>
        </w:tc>
      </w:tr>
      <w:tr>
        <w:trPr>
          <w:trHeight w:val="196"/>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Type of Award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at 1/1/2022</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at 12/31/22</w:t>
            </w:r>
          </w:p>
        </w:tc>
      </w:tr>
      <w:tr>
        <w:trPr>
          <w:trHeight w:val="167"/>
        </w:trPr>
        <w:tc>
          <w:tcPr>
            <w:tcW w:w="34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Equity Classified - Performance Share Awards - Peer</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97"/>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Group Market Condition Vesting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234,354</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69,168</w:t>
            </w:r>
          </w:p>
        </w:tc>
        <w:tc>
          <w:tcPr>
            <w:tcW w:w="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(73,275)</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230,247</w:t>
            </w:r>
          </w:p>
        </w:tc>
      </w:tr>
      <w:tr>
        <w:trPr>
          <w:trHeight w:val="206"/>
        </w:trPr>
        <w:tc>
          <w:tcPr>
            <w:tcW w:w="3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 Classified - Three Year Vest Restricted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154,509</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137,448</w:t>
            </w:r>
          </w:p>
        </w:tc>
        <w:tc>
          <w:tcPr>
            <w:tcW w:w="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(72,465)</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(7,413)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212,079</w:t>
            </w:r>
          </w:p>
        </w:tc>
      </w:tr>
      <w:tr>
        <w:trPr>
          <w:trHeight w:val="212"/>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Classified - Non-Qualified Stock Option Awards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64,623</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(64,623)</w:t>
            </w: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3580" w:type="dxa"/>
            <w:vAlign w:val="bottom"/>
            <w:gridSpan w:val="2"/>
          </w:tcPr>
          <w:p>
            <w:pPr>
              <w:spacing w:after="0" w:line="172" w:lineRule="exact"/>
              <w:rPr>
                <w:sz w:val="20"/>
                <w:szCs w:val="20"/>
                <w:color w:val="auto"/>
              </w:rPr>
            </w:pPr>
            <w:r>
              <w:rPr>
                <w:rFonts w:ascii="Times New Roman" w:cs="Times New Roman" w:eastAsia="Times New Roman" w:hAnsi="Times New Roman"/>
                <w:sz w:val="15"/>
                <w:szCs w:val="15"/>
                <w:color w:val="auto"/>
              </w:rPr>
              <w:t>Total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453,486</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206,616</w:t>
            </w:r>
          </w:p>
        </w:tc>
        <w:tc>
          <w:tcPr>
            <w:tcW w:w="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(210,363)</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(7,413)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442,326</w:t>
            </w: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Amounts recognized in the financial statements for stock-based compensation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22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4"/>
                <w:szCs w:val="14"/>
                <w:color w:val="auto"/>
              </w:rPr>
            </w:pPr>
          </w:p>
        </w:tc>
        <w:tc>
          <w:tcPr>
            <w:tcW w:w="1060" w:type="dxa"/>
            <w:vAlign w:val="bottom"/>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Total Cost of Share-Based Plans Charged Against Income Before Tax</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8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Recognized in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EQUITY-CLASSIFIED STOCK COMPENSATION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Performance Share Awards – Peer Group Market Condition Vesting</w:t>
      </w:r>
    </w:p>
    <w:p>
      <w:pPr>
        <w:spacing w:after="0" w:line="115" w:lineRule="exact"/>
        <w:rPr>
          <w:sz w:val="20"/>
          <w:szCs w:val="20"/>
          <w:color w:val="auto"/>
        </w:rPr>
      </w:pPr>
    </w:p>
    <w:p>
      <w:pPr>
        <w:jc w:val="both"/>
        <w:ind w:left="40" w:right="39" w:firstLine="448"/>
        <w:spacing w:after="0" w:line="266" w:lineRule="auto"/>
        <w:rPr>
          <w:sz w:val="20"/>
          <w:szCs w:val="20"/>
          <w:color w:val="auto"/>
        </w:rPr>
      </w:pPr>
      <w:r>
        <w:rPr>
          <w:rFonts w:ascii="Times New Roman" w:cs="Times New Roman" w:eastAsia="Times New Roman" w:hAnsi="Times New Roman"/>
          <w:sz w:val="16"/>
          <w:szCs w:val="16"/>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69,168 performance shares during the year ended December 31, 2022.</w:t>
      </w:r>
    </w:p>
    <w:p>
      <w:pPr>
        <w:spacing w:after="0" w:line="161" w:lineRule="exact"/>
        <w:rPr>
          <w:sz w:val="20"/>
          <w:szCs w:val="20"/>
          <w:color w:val="auto"/>
        </w:rPr>
      </w:pPr>
    </w:p>
    <w:p>
      <w:pPr>
        <w:jc w:val="both"/>
        <w:ind w:left="40" w:right="59" w:firstLine="448"/>
        <w:spacing w:after="0" w:line="266" w:lineRule="auto"/>
        <w:rPr>
          <w:sz w:val="20"/>
          <w:szCs w:val="20"/>
          <w:color w:val="auto"/>
        </w:rPr>
      </w:pPr>
      <w:r>
        <w:rPr>
          <w:rFonts w:ascii="Times New Roman" w:cs="Times New Roman" w:eastAsia="Times New Roman" w:hAnsi="Times New Roman"/>
          <w:sz w:val="16"/>
          <w:szCs w:val="16"/>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Compensation cost is recognized regardless of the achievement of the market conditions, provided the requisite service period is met.</w:t>
      </w:r>
    </w:p>
    <w:p>
      <w:pPr>
        <w:spacing w:after="0" w:line="210"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As of December 31, 2022, there was $1.4 million of unrecognized compensation cost, adjusted for estimated forfeitures, related to the outstanding performance share awards, which will be recognized over a remaining weighted average period of 1.7 years.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2022, 2021, and 2020 is presented below:</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Wtd. Avg. Fair</w:t>
            </w:r>
          </w:p>
        </w:tc>
      </w:tr>
      <w:tr>
        <w:trPr>
          <w:trHeight w:val="21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Performance Shares With Market Conditions</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3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Value Per Share</w:t>
            </w:r>
          </w:p>
        </w:tc>
      </w:tr>
      <w:tr>
        <w:trPr>
          <w:trHeight w:val="189"/>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January 1, 2020</w:t>
            </w:r>
          </w:p>
        </w:tc>
        <w:tc>
          <w:tcPr>
            <w:tcW w:w="1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147,825</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(37,905)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(21,690)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r>
      <w:tr>
        <w:trPr>
          <w:trHeight w:val="18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at December 31, 2020</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167,553</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144,402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(52,254)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(25,347)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189"/>
        </w:trPr>
        <w:tc>
          <w:tcPr>
            <w:tcW w:w="5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234,354</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(73,275)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at December 31, 2022</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230,247</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Market Condition Restricted Shares– Stock Price Vesting</w:t>
      </w:r>
    </w:p>
    <w:p>
      <w:pPr>
        <w:spacing w:after="0" w:line="214" w:lineRule="exact"/>
        <w:rPr>
          <w:sz w:val="20"/>
          <w:szCs w:val="20"/>
          <w:color w:val="auto"/>
        </w:rPr>
      </w:pPr>
    </w:p>
    <w:p>
      <w:pPr>
        <w:jc w:val="both"/>
        <w:ind w:left="40" w:right="39" w:firstLine="448"/>
        <w:spacing w:after="0" w:line="266" w:lineRule="auto"/>
        <w:rPr>
          <w:sz w:val="20"/>
          <w:szCs w:val="20"/>
          <w:color w:val="auto"/>
        </w:rPr>
      </w:pPr>
      <w:r>
        <w:rPr>
          <w:rFonts w:ascii="Times New Roman" w:cs="Times New Roman" w:eastAsia="Times New Roman" w:hAnsi="Times New Roman"/>
          <w:sz w:val="16"/>
          <w:szCs w:val="16"/>
          <w:color w:val="auto"/>
        </w:rPr>
        <w:t>Restricted Company common stock has been granted to certain employees under the 2010 Plan. The restricted Company common stock outstanding from these grants vest in increments based upon the price per share of the Company common stock during the term of employment (or within sixty days after termination of employment by the Company without cause), meeting or exceeding the target trailing thirty-day average closing prices. Effective January 28, 2021, the 22,000 shares outstanding, consisting of 18,000 shares with a $70 per share price vesting criteria and 4,000 shares with a $75 per share price vesting criteria, expired prior to vesting.</w:t>
      </w:r>
    </w:p>
    <w:p>
      <w:pPr>
        <w:spacing w:after="0" w:line="161"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December 31, 2022 and 2021, there was no unrecognized compensation cost related to market condition restricted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2022, 2021, and 2020 is presented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Wtd. Avg. Fair</w:t>
            </w:r>
          </w:p>
        </w:tc>
      </w:tr>
      <w:tr>
        <w:trPr>
          <w:trHeight w:val="21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Market Condition Non-Vested Restricted Shares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30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89"/>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January 1, 2020</w:t>
            </w:r>
          </w:p>
        </w:tc>
        <w:tc>
          <w:tcPr>
            <w:tcW w:w="1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at December 31, 2020</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at December 31, 2022</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Three Year Vest Restricted Shares</w:t>
      </w:r>
    </w:p>
    <w:p>
      <w:pPr>
        <w:spacing w:after="0" w:line="201" w:lineRule="exact"/>
        <w:rPr>
          <w:sz w:val="20"/>
          <w:szCs w:val="20"/>
          <w:color w:val="auto"/>
        </w:rPr>
      </w:pPr>
    </w:p>
    <w:p>
      <w:pPr>
        <w:jc w:val="both"/>
        <w:ind w:left="40" w:right="39" w:firstLine="448"/>
        <w:spacing w:after="0" w:line="269" w:lineRule="auto"/>
        <w:rPr>
          <w:sz w:val="20"/>
          <w:szCs w:val="20"/>
          <w:color w:val="auto"/>
        </w:rPr>
      </w:pPr>
      <w:r>
        <w:rPr>
          <w:rFonts w:ascii="Times New Roman" w:cs="Times New Roman" w:eastAsia="Times New Roman" w:hAnsi="Times New Roman"/>
          <w:sz w:val="16"/>
          <w:szCs w:val="16"/>
          <w:color w:val="auto"/>
        </w:rPr>
        <w:t>Restricted shares have been granted to certain employees under the 2010 Plan. One-third of the restricted shares will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137,448 shares of restricted Company common stock during the year ended December 31, 2022.</w:t>
      </w:r>
    </w:p>
    <w:p>
      <w:pPr>
        <w:spacing w:after="0" w:line="159" w:lineRule="exact"/>
        <w:rPr>
          <w:sz w:val="20"/>
          <w:szCs w:val="20"/>
          <w:color w:val="auto"/>
        </w:rPr>
      </w:pPr>
    </w:p>
    <w:p>
      <w:pPr>
        <w:jc w:val="both"/>
        <w:ind w:left="40" w:right="39" w:firstLine="448"/>
        <w:spacing w:after="0" w:line="265" w:lineRule="auto"/>
        <w:rPr>
          <w:sz w:val="20"/>
          <w:szCs w:val="20"/>
          <w:color w:val="auto"/>
        </w:rPr>
      </w:pPr>
      <w:r>
        <w:rPr>
          <w:rFonts w:ascii="Times New Roman" w:cs="Times New Roman" w:eastAsia="Times New Roman" w:hAnsi="Times New Roman"/>
          <w:sz w:val="16"/>
          <w:szCs w:val="16"/>
          <w:color w:val="auto"/>
        </w:rPr>
        <w:t>During the years ended December 31, 2022 and 2021, the Company’s determination of the fair value of the three-year vest restricted stock awards was calculated by multiplying the number of shares issued by the Company’s stock price at the grant date. During the year ended December 31, 2020, the Company’s determination of the fair value of the three-year vest restricted stock awards was calculated by multiplying the number of shares issued by the Company’s stock price at the grant date, less the present value of expected dividends during the vesting period. Compensation cost is recognized on a straight-line basis over the applicable vesting period.</w:t>
      </w:r>
    </w:p>
    <w:p>
      <w:pPr>
        <w:spacing w:after="0" w:line="361"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As of December 31, 2022, there was $2.5 million of unrecognized compensation cost, adjusted for estimated forfeitures, related to the three-year vest non-vested restricted shares, which will be recognized over a remaining weighted average period of 2.1 years.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2022, 2021, and 2020 is presented below:</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Wtd. Avg. Fair</w:t>
            </w:r>
          </w:p>
        </w:tc>
      </w:tr>
      <w:tr>
        <w:trPr>
          <w:trHeight w:val="21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Non-Vested Restricted Shares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32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Value Per Share</w:t>
            </w:r>
          </w:p>
        </w:tc>
      </w:tr>
      <w:tr>
        <w:trPr>
          <w:trHeight w:val="189"/>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January 1, 2020</w:t>
            </w:r>
          </w:p>
        </w:tc>
        <w:tc>
          <w:tcPr>
            <w:tcW w:w="1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112,785</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70,353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(54,162)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(13,539)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18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at December 31, 2020</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115,437</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(63,660)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(26,418)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r>
      <w:tr>
        <w:trPr>
          <w:trHeight w:val="189"/>
        </w:trPr>
        <w:tc>
          <w:tcPr>
            <w:tcW w:w="5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154,509</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(72,465)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r>
      <w:tr>
        <w:trPr>
          <w:trHeight w:val="19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r>
      <w:tr>
        <w:trPr>
          <w:trHeight w:val="189"/>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at December 31, 2022</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212,079</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w:t>
            </w: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Non-Qualified Stock Option Awards</w:t>
      </w:r>
    </w:p>
    <w:p>
      <w:pPr>
        <w:spacing w:after="0" w:line="213" w:lineRule="exact"/>
        <w:rPr>
          <w:sz w:val="20"/>
          <w:szCs w:val="20"/>
          <w:color w:val="auto"/>
        </w:rPr>
      </w:pPr>
    </w:p>
    <w:p>
      <w:pPr>
        <w:jc w:val="both"/>
        <w:ind w:left="40" w:right="59" w:firstLine="402"/>
        <w:spacing w:after="0" w:line="259" w:lineRule="auto"/>
        <w:rPr>
          <w:sz w:val="20"/>
          <w:szCs w:val="20"/>
          <w:color w:val="auto"/>
        </w:rPr>
      </w:pPr>
      <w:r>
        <w:rPr>
          <w:rFonts w:ascii="Times New Roman" w:cs="Times New Roman" w:eastAsia="Times New Roman" w:hAnsi="Times New Roman"/>
          <w:sz w:val="16"/>
          <w:szCs w:val="16"/>
          <w:color w:val="auto"/>
        </w:rPr>
        <w:t>Stock option awards have been granted to certain employees under the 2010 Plan. The vesting period of the options awards granted ranged from a period of one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w:t>
      </w:r>
    </w:p>
    <w:p>
      <w:pPr>
        <w:spacing w:after="0" w:line="153" w:lineRule="exact"/>
        <w:rPr>
          <w:sz w:val="20"/>
          <w:szCs w:val="20"/>
          <w:color w:val="auto"/>
        </w:rPr>
      </w:pPr>
    </w:p>
    <w:p>
      <w:pPr>
        <w:jc w:val="both"/>
        <w:ind w:left="40" w:right="59" w:firstLine="402"/>
        <w:spacing w:after="0" w:line="253" w:lineRule="auto"/>
        <w:rPr>
          <w:sz w:val="20"/>
          <w:szCs w:val="20"/>
          <w:color w:val="auto"/>
        </w:rPr>
      </w:pPr>
      <w:r>
        <w:rPr>
          <w:rFonts w:ascii="Times New Roman" w:cs="Times New Roman" w:eastAsia="Times New Roman" w:hAnsi="Times New Roman"/>
          <w:sz w:val="16"/>
          <w:szCs w:val="16"/>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 summary of the activity for these awards during the years ended December 31, 2022, 2021, and 2020 is presented below:</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Wtd. Avg.</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Wtd. Avg.</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7"/>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Non-Qualified Stock Option Awards</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Ex. Price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20" w:type="dxa"/>
            <w:vAlign w:val="bottom"/>
          </w:tcPr>
          <w:p>
            <w:pPr>
              <w:spacing w:after="0"/>
              <w:rPr>
                <w:sz w:val="18"/>
                <w:szCs w:val="18"/>
                <w:color w:val="auto"/>
              </w:rPr>
            </w:pP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1"/>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2020</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(236,373)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64,623</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4540" w:type="dxa"/>
            <w:vAlign w:val="bottom"/>
            <w:tcBorders>
              <w:top w:val="single" w:sz="8" w:color="CCEEFF"/>
              <w:bottom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Exercisable at January 1, 2022</w:t>
            </w:r>
          </w:p>
        </w:tc>
        <w:tc>
          <w:tcPr>
            <w:tcW w:w="92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64,623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14.46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388,837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540" w:type="dxa"/>
            <w:vAlign w:val="bottom"/>
            <w:gridSpan w:val="2"/>
            <w:vMerge w:val="continue"/>
          </w:tcPr>
          <w:p>
            <w:pPr>
              <w:spacing w:after="0"/>
              <w:rPr>
                <w:sz w:val="15"/>
                <w:szCs w:val="15"/>
                <w:color w:val="auto"/>
              </w:rPr>
            </w:pP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5"/>
                <w:szCs w:val="15"/>
                <w:color w:val="auto"/>
              </w:rPr>
            </w:pPr>
          </w:p>
        </w:tc>
        <w:tc>
          <w:tcPr>
            <w:tcW w:w="10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40" w:right="39" w:firstLine="402"/>
        <w:spacing w:after="0" w:line="295" w:lineRule="auto"/>
        <w:rPr>
          <w:sz w:val="20"/>
          <w:szCs w:val="20"/>
          <w:color w:val="auto"/>
        </w:rPr>
      </w:pPr>
      <w:r>
        <w:rPr>
          <w:rFonts w:ascii="Times New Roman" w:cs="Times New Roman" w:eastAsia="Times New Roman" w:hAnsi="Times New Roman"/>
          <w:sz w:val="16"/>
          <w:szCs w:val="16"/>
          <w:color w:val="auto"/>
        </w:rPr>
        <w:t>The total intrinsic value of options exercised during the year ended December 31, 2022 totaled $0.4 million. As of December 31, 2022, there is no unrecognized compensation cost related to non-qualified, non-vested stock option awards.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NON-EMPLOYEE DIRECTOR STOCK COMPENSATION</w:t>
      </w:r>
    </w:p>
    <w:p>
      <w:pPr>
        <w:spacing w:after="0" w:line="214"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closing price of the Company’s common stock on the last business day of the quarter for which such payment applied, rounded down to the nearest whole number of shares.</w:t>
      </w:r>
    </w:p>
    <w:p>
      <w:pPr>
        <w:spacing w:after="0" w:line="161" w:lineRule="exact"/>
        <w:rPr>
          <w:sz w:val="20"/>
          <w:szCs w:val="20"/>
          <w:color w:val="auto"/>
        </w:rPr>
      </w:pPr>
    </w:p>
    <w:p>
      <w:pPr>
        <w:jc w:val="both"/>
        <w:ind w:left="40" w:right="39" w:firstLine="402"/>
        <w:spacing w:after="0" w:line="263" w:lineRule="auto"/>
        <w:rPr>
          <w:sz w:val="20"/>
          <w:szCs w:val="20"/>
          <w:color w:val="auto"/>
        </w:rPr>
      </w:pPr>
      <w:r>
        <w:rPr>
          <w:rFonts w:ascii="Times New Roman" w:cs="Times New Roman" w:eastAsia="Times New Roman" w:hAnsi="Times New Roman"/>
          <w:sz w:val="16"/>
          <w:szCs w:val="16"/>
          <w:color w:val="auto"/>
        </w:rPr>
        <w:t>Each non-employee director serving as of the beginning of each calendar year shall receive an annual award of the Company’s common stock. The value of such award totaled $35,000 for the years ended December 31, 2022 and 2021 and $20,000 for the year ended December 31, 2020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 receive additional retainers for service on Board committees, as set forth in the Company’s Non-Employee Director Compensation Policy available on the Company’s website (www.ctoreit.com).</w:t>
      </w:r>
    </w:p>
    <w:p>
      <w:pPr>
        <w:spacing w:after="0" w:line="200"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During the years ended December 31, 2022, 2021, and 2020, the expense recognized for the value of the Company’s common stock received by non-employee directors totaled $0.5 million or 25,034 shares, $0.5 million or 32,766 shares, and $0.5 million, or 30,384 shares, respectively. The expense recognized during the years ended December 31, 2022, 2021, and 2020 includes the Annual Award received during the first quarter of each year.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21.</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50" w:lineRule="exact"/>
        <w:rPr>
          <w:sz w:val="20"/>
          <w:szCs w:val="20"/>
          <w:color w:val="auto"/>
        </w:rPr>
      </w:pPr>
    </w:p>
    <w:p>
      <w:pPr>
        <w:jc w:val="both"/>
        <w:ind w:left="40" w:right="39" w:firstLine="402"/>
        <w:spacing w:after="0" w:line="259" w:lineRule="auto"/>
        <w:rPr>
          <w:sz w:val="20"/>
          <w:szCs w:val="20"/>
          <w:color w:val="auto"/>
        </w:rPr>
      </w:pPr>
      <w:r>
        <w:rPr>
          <w:rFonts w:ascii="Times New Roman" w:cs="Times New Roman" w:eastAsia="Times New Roman" w:hAnsi="Times New Roman"/>
          <w:sz w:val="16"/>
          <w:szCs w:val="16"/>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96" w:lineRule="exact"/>
        <w:rPr>
          <w:sz w:val="20"/>
          <w:szCs w:val="20"/>
          <w:color w:val="auto"/>
        </w:rPr>
      </w:pPr>
    </w:p>
    <w:p>
      <w:pPr>
        <w:jc w:val="both"/>
        <w:ind w:left="40" w:right="39" w:firstLine="402"/>
        <w:spacing w:after="0" w:line="262" w:lineRule="auto"/>
        <w:rPr>
          <w:sz w:val="20"/>
          <w:szCs w:val="20"/>
          <w:color w:val="auto"/>
        </w:rPr>
      </w:pPr>
      <w:r>
        <w:rPr>
          <w:rFonts w:ascii="Times New Roman" w:cs="Times New Roman" w:eastAsia="Times New Roman" w:hAnsi="Times New Roman"/>
          <w:sz w:val="16"/>
          <w:szCs w:val="16"/>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generally does not intend to dispose of any REIT assets after the REIT conversion within the 5-year period, unless various tax planning strategies, including 1031 Exchanges or other deferred tax structures are available to mitigate the built-in gain tax liability of conversion.</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49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income tax benefit is summarized as follows (in thousands):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05"/>
        </w:trPr>
        <w:tc>
          <w:tcPr>
            <w:tcW w:w="49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189"/>
        </w:trPr>
        <w:tc>
          <w:tcPr>
            <w:tcW w:w="49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8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82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2,830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83,499</w:t>
            </w:r>
          </w:p>
        </w:tc>
      </w:tr>
    </w:tbl>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provisions for income tax benefit are summarized as follows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189"/>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189"/>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70,106</w:t>
            </w: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12,989</w:t>
            </w:r>
          </w:p>
        </w:tc>
      </w:tr>
      <w:tr>
        <w:trPr>
          <w:trHeight w:val="189"/>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83,095</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59" w:firstLine="402"/>
        <w:spacing w:after="0" w:line="266"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future tax consequences attributable to the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sources of these differences and the related deferred income tax assets (liabilities) are summarized as follows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Deferred Tax</w:t>
            </w:r>
          </w:p>
        </w:tc>
        <w:tc>
          <w:tcPr>
            <w:tcW w:w="1020" w:type="dxa"/>
            <w:vAlign w:val="bottom"/>
            <w:tcBorders>
              <w:bottom w:val="single" w:sz="8" w:color="auto"/>
            </w:tcBorders>
          </w:tcPr>
          <w:p>
            <w:pPr>
              <w:spacing w:after="0"/>
              <w:rPr>
                <w:sz w:val="18"/>
                <w:szCs w:val="18"/>
                <w:color w:val="auto"/>
              </w:rPr>
            </w:pPr>
          </w:p>
        </w:tc>
      </w:tr>
      <w:tr>
        <w:trPr>
          <w:trHeight w:val="189"/>
        </w:trPr>
        <w:tc>
          <w:tcPr>
            <w:tcW w:w="57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7"/>
        </w:trPr>
        <w:tc>
          <w:tcPr>
            <w:tcW w:w="5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Loss Carryforward</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80" w:type="dxa"/>
            <w:vAlign w:val="bottom"/>
          </w:tcPr>
          <w:p>
            <w:pPr>
              <w:spacing w:after="0"/>
              <w:rPr>
                <w:sz w:val="17"/>
                <w:szCs w:val="17"/>
                <w:color w:val="auto"/>
              </w:rPr>
            </w:pP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r>
      <w:tr>
        <w:trPr>
          <w:trHeight w:val="197"/>
        </w:trPr>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Gross Deferred Income Tax Assets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197"/>
        </w:trPr>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 Valuation Allowance</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(1,800)</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w:t>
            </w:r>
          </w:p>
        </w:tc>
      </w:tr>
      <w:tr>
        <w:trPr>
          <w:trHeight w:val="189"/>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Deferred Income Tax Assets</w:t>
            </w:r>
          </w:p>
        </w:tc>
        <w:tc>
          <w:tcPr>
            <w:tcW w:w="9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8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18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7"/>
        </w:trPr>
        <w:tc>
          <w:tcPr>
            <w:tcW w:w="5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Investment Securities</w:t>
            </w:r>
          </w:p>
        </w:tc>
        <w:tc>
          <w:tcPr>
            <w:tcW w:w="9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Basis Differences in Mitigation Credit Assets</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189"/>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9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189"/>
        </w:trPr>
        <w:tc>
          <w:tcPr>
            <w:tcW w:w="5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Deferred Income Tax Liabilities</w:t>
            </w:r>
          </w:p>
        </w:tc>
        <w:tc>
          <w:tcPr>
            <w:tcW w:w="96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0"/>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0" w:right="59" w:firstLine="402"/>
        <w:spacing w:after="0" w:line="260" w:lineRule="auto"/>
        <w:rPr>
          <w:sz w:val="20"/>
          <w:szCs w:val="20"/>
          <w:color w:val="auto"/>
        </w:rPr>
      </w:pPr>
      <w:r>
        <w:rPr>
          <w:rFonts w:ascii="Times New Roman" w:cs="Times New Roman" w:eastAsia="Times New Roman" w:hAnsi="Times New Roman"/>
          <w:sz w:val="16"/>
          <w:szCs w:val="16"/>
          <w:color w:val="auto"/>
        </w:rPr>
        <w:t>In assessing the realizability of deferred income tax assets, management considers whether it is more likely than not that some portion or all of the deferred income tax assets will not be realized. The ultimate realization of deferred income tax assets is dependent upon the realization of future taxable income during the periods in which those temporary differences become deductible. We consider past history, the scheduled reversal of taxable temporary differences, projected future taxable income, and tax planning strategies in making this assessment. As of December 31, 2022 and 2021, the Company has $2.6 million and $0.3 million in net operating loss (“NOL”) carryforwards, respectively. The Tax Cuts and Jobs Act allows for indefinite carryforwards for all NOLs generated in taxable years beginning after December 31, 2017. Additionally, there is no taxable income limitation, thus allowing an NOL carryforward to fully offset taxable income in tax years beginning before January 1, 2021. Accordingly, as of December 31, 2022 and 2021, no valuation allowance was considered necessary related to the Company’s NOL carryforwards. As of December 31, 2022 and 2021, the Company had a capital loss carryforward totaling $7.2 million and $9.0 million, respectively, related to the elimination of the Company’s interest in the Land JV. The Company does not currently anticipate being able to utilize the capital loss carryforward and accordingly, has allowed for the $1.8 million and $2.2 million deferred tax asset in full as of December 31, 2022 and 2021, respectively.</w:t>
      </w:r>
    </w:p>
    <w:p>
      <w:pPr>
        <w:spacing w:after="0" w:line="166"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Following is a reconciliation of the income tax computed at the federal statutory rate of 21% for 2022, 2021, and 2020, individually, for continuing operations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9"/>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9"/>
        </w:trPr>
        <w:tc>
          <w:tcPr>
            <w:tcW w:w="3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60"/>
        </w:trPr>
        <w:tc>
          <w:tcPr>
            <w:tcW w:w="3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Income Tax Benefit Computed at</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Statutory Rate</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Resulting from:</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Income Tax, Net of Federal Income Tax Benefit</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Income Tax on Permanently Non-Deductible Items</w:t>
            </w:r>
          </w:p>
        </w:tc>
        <w:tc>
          <w:tcPr>
            <w:tcW w:w="1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180"/>
        </w:trPr>
        <w:tc>
          <w:tcPr>
            <w:tcW w:w="3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Tax Benefit due to De-Recognition of REIT Deferred</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Liabilities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82,460</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(1652.6)%</w:t>
            </w: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(2,216)</w:t>
            </w: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19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Reconciling Items</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18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Benefit for Income Taxes</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83,499</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(1673.4)%</w:t>
            </w: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0" w:right="39" w:firstLine="402"/>
        <w:spacing w:after="0" w:line="264" w:lineRule="auto"/>
        <w:rPr>
          <w:sz w:val="20"/>
          <w:szCs w:val="20"/>
          <w:color w:val="auto"/>
        </w:rPr>
      </w:pPr>
      <w:r>
        <w:rPr>
          <w:rFonts w:ascii="Times New Roman" w:cs="Times New Roman" w:eastAsia="Times New Roman" w:hAnsi="Times New Roman"/>
          <w:sz w:val="16"/>
          <w:szCs w:val="16"/>
          <w:color w:val="auto"/>
        </w:rPr>
        <w:t>The effective income tax rate assumes a blended rate for estimated state and local taxes on its income and property. The effective income tax rate for the years ended December 31, 2022, 2021, and 2020, including the discontinued operations, was 862.5%, 11.5%, and (1673.4)%, respectively. The provision for income taxes reflects the Company’s estimate of the effective rate expected to be applicable for the full fiscal year, adjusted for any discrete events, which are reported in the period that they occur. There were no discrete events during the year ended December 31, 2022. The year ended December 31, 2021, included the impact of the capital loss carryforward valuation allowance. The year ended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59"/>
        <w:spacing w:after="0" w:line="295" w:lineRule="auto"/>
        <w:rPr>
          <w:sz w:val="20"/>
          <w:szCs w:val="20"/>
          <w:color w:val="auto"/>
        </w:rPr>
      </w:pPr>
      <w:r>
        <w:rPr>
          <w:rFonts w:ascii="Times New Roman" w:cs="Times New Roman" w:eastAsia="Times New Roman" w:hAnsi="Times New Roman"/>
          <w:sz w:val="16"/>
          <w:szCs w:val="16"/>
          <w:color w:val="auto"/>
        </w:rPr>
        <w:t>December 31, 2020 included the impact for the discrete event described above related to the de-recognition of the deferred tax assets and liabilities associated with the entities included in the REIT.</w:t>
      </w:r>
    </w:p>
    <w:p>
      <w:pPr>
        <w:spacing w:after="0" w:line="138"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For prior taxable years through the year ended December 31, 2021 the Company has filed a consolidated income tax return in the United States Federal jurisdiction and the states of Alabama, Arizona, California, Colorado, Florida, Georgia, Maryland, Massachusetts, Nevada, New Mexico, New York, North Carolina, Oregon, Texas, Virginia, Washington, and Wisconsin. The Internal Revenue Service (“IRS”) has audited the federal tax returns through the year 2012, with all proposed adjustments settled. The Florida Department of Revenue has audited the Florida tax returns through the year 2014, with all proposed adjustments settled. For the years ended December 31, 2022, 2021, and 2020, the Company recognized no uncertain tax positions or accrued interest and penalties for uncertain tax positions. If such positions do arise, it is the Company’s intent that any interest or penalty amount related to such positions will be recorded as a component of the income tax provision (benefit) in the applicable period.</w:t>
      </w:r>
    </w:p>
    <w:p>
      <w:pPr>
        <w:spacing w:after="0" w:line="201"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Income taxes totaling $0.1 million, $0.4 million, and $5.0 million were paid during the years ended December 31, 2022, 2021, and 2020, respectively. Additionally, income taxes totaling less than $0.1 million were refunded during the years ended December 31, 2021, with no income taxes refunded during the years ended December 31, 2022 or 2020.</w:t>
      </w:r>
    </w:p>
    <w:p>
      <w:pPr>
        <w:spacing w:after="0" w:line="197"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22.</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14" w:lineRule="exact"/>
        <w:rPr>
          <w:sz w:val="20"/>
          <w:szCs w:val="20"/>
          <w:color w:val="auto"/>
        </w:rPr>
      </w:pPr>
    </w:p>
    <w:p>
      <w:pPr>
        <w:jc w:val="both"/>
        <w:ind w:left="40" w:right="39" w:firstLine="402"/>
        <w:spacing w:after="0" w:line="276"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50" w:lineRule="exact"/>
        <w:rPr>
          <w:sz w:val="20"/>
          <w:szCs w:val="20"/>
          <w:color w:val="auto"/>
        </w:rPr>
      </w:pPr>
    </w:p>
    <w:p>
      <w:pPr>
        <w:jc w:val="both"/>
        <w:ind w:left="40" w:right="59" w:firstLine="40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Buc-ee’s. </w:t>
      </w:r>
      <w:r>
        <w:rPr>
          <w:rFonts w:ascii="Times New Roman" w:cs="Times New Roman" w:eastAsia="Times New Roman" w:hAnsi="Times New Roman"/>
          <w:sz w:val="16"/>
          <w:szCs w:val="16"/>
          <w:color w:val="auto"/>
        </w:rPr>
        <w:t>On March 31, 2021, the Company and its wholly-owned subsidiary, Indigo Development LLC, a Florida limited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sought a declaratory judgment determining the parties’ entitlement to the Escrowed Funds and to reimburse CTO for its costs associated with seeking legal relief. On October 29, 2021, the Company entered into a settlement agreement with Buc-ee’s whereby the Company received $0.6 million of the Escrowed Funds, which revenue is included within real estate operations in the consolidated statements of operations.</w:t>
      </w: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CONTRACTUAL COMMITMENTS – EXPENDITURES</w:t>
      </w:r>
    </w:p>
    <w:p>
      <w:pPr>
        <w:spacing w:after="0" w:line="201" w:lineRule="exact"/>
        <w:rPr>
          <w:sz w:val="20"/>
          <w:szCs w:val="20"/>
          <w:color w:val="auto"/>
        </w:rPr>
      </w:pPr>
    </w:p>
    <w:p>
      <w:pPr>
        <w:jc w:val="both"/>
        <w:ind w:left="40" w:right="59" w:firstLine="295"/>
        <w:spacing w:after="0" w:line="252" w:lineRule="auto"/>
        <w:rPr>
          <w:sz w:val="20"/>
          <w:szCs w:val="20"/>
          <w:color w:val="auto"/>
        </w:rPr>
      </w:pPr>
      <w:r>
        <w:rPr>
          <w:rFonts w:ascii="Times New Roman" w:cs="Times New Roman" w:eastAsia="Times New Roman" w:hAnsi="Times New Roman"/>
          <w:sz w:val="16"/>
          <w:szCs w:val="16"/>
          <w:color w:val="auto"/>
        </w:rPr>
        <w:t>The Company has committed to fund the following capital improvements. The improvements, which are related to several properties, are estimated to be generally completed within twelve months. These commitments, as of December 31, 2022, are as follows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24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189"/>
        </w:trPr>
        <w:tc>
          <w:tcPr>
            <w:tcW w:w="7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5"/>
                <w:szCs w:val="15"/>
                <w:color w:val="auto"/>
              </w:rPr>
              <w:t xml:space="preserve">Total Commitment </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29,033</w:t>
            </w:r>
          </w:p>
        </w:tc>
      </w:tr>
      <w:tr>
        <w:trPr>
          <w:trHeight w:val="197"/>
        </w:trPr>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Amount Funded</w:t>
            </w: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w:t>
            </w:r>
          </w:p>
        </w:tc>
      </w:tr>
      <w:tr>
        <w:trPr>
          <w:trHeight w:val="189"/>
        </w:trPr>
        <w:tc>
          <w:tcPr>
            <w:tcW w:w="7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Commitment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21,221</w:t>
            </w:r>
          </w:p>
        </w:tc>
      </w:tr>
      <w:tr>
        <w:trPr>
          <w:trHeight w:val="20"/>
        </w:trPr>
        <w:tc>
          <w:tcPr>
            <w:tcW w:w="2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r>
    </w:tbl>
    <w:p>
      <w:pPr>
        <w:spacing w:after="0" w:line="54" w:lineRule="exact"/>
        <w:rPr>
          <w:sz w:val="20"/>
          <w:szCs w:val="20"/>
          <w:color w:val="auto"/>
        </w:rPr>
      </w:pPr>
    </w:p>
    <w:p>
      <w:pPr>
        <w:ind w:left="340" w:hanging="304"/>
        <w:spacing w:after="0"/>
        <w:tabs>
          <w:tab w:leader="none" w:pos="340" w:val="left"/>
        </w:tabs>
        <w:numPr>
          <w:ilvl w:val="0"/>
          <w:numId w:val="53"/>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Commitment includes tenant improvements, leasing commissions, rebranding, facility expansion and other capital improvements.</w:t>
      </w:r>
    </w:p>
    <w:p>
      <w:pPr>
        <w:spacing w:after="0" w:line="198" w:lineRule="exact"/>
        <w:rPr>
          <w:sz w:val="20"/>
          <w:szCs w:val="20"/>
          <w:color w:val="auto"/>
        </w:rPr>
      </w:pPr>
    </w:p>
    <w:p>
      <w:pPr>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In addition, the Company is committed to fund the two construction loans as described in Note 4, “Commercial Loans and Investments”. The unfunded portion of the construction loans totaled $5.6 million of December 31, 2022.</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NOTE 23.</w:t>
      </w:r>
      <w:r>
        <w:rPr>
          <w:sz w:val="20"/>
          <w:szCs w:val="20"/>
          <w:color w:val="auto"/>
        </w:rPr>
        <w:tab/>
      </w:r>
      <w:r>
        <w:rPr>
          <w:rFonts w:ascii="Times New Roman" w:cs="Times New Roman" w:eastAsia="Times New Roman" w:hAnsi="Times New Roman"/>
          <w:sz w:val="16"/>
          <w:szCs w:val="16"/>
          <w:b w:val="1"/>
          <w:bCs w:val="1"/>
          <w:color w:val="auto"/>
        </w:rPr>
        <w:t>BUSINESS SEGMENT DATA</w:t>
      </w:r>
    </w:p>
    <w:p>
      <w:pPr>
        <w:spacing w:after="0" w:line="213"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The Company operates in four primary business segments: income properties, management services, commercial loans and investments, and real estate operations. The management services segment consists of the revenue generated from managing PINE and the Land JV.</w:t>
      </w:r>
    </w:p>
    <w:p>
      <w:pPr>
        <w:spacing w:after="0" w:line="152" w:lineRule="exact"/>
        <w:rPr>
          <w:sz w:val="20"/>
          <w:szCs w:val="20"/>
          <w:color w:val="auto"/>
        </w:rPr>
      </w:pPr>
    </w:p>
    <w:p>
      <w:pPr>
        <w:jc w:val="both"/>
        <w:ind w:left="40" w:right="59" w:firstLine="402"/>
        <w:spacing w:after="0" w:line="262" w:lineRule="auto"/>
        <w:rPr>
          <w:sz w:val="20"/>
          <w:szCs w:val="20"/>
          <w:color w:val="auto"/>
        </w:rPr>
      </w:pPr>
      <w:r>
        <w:rPr>
          <w:rFonts w:ascii="Times New Roman" w:cs="Times New Roman" w:eastAsia="Times New Roman" w:hAnsi="Times New Roman"/>
          <w:sz w:val="16"/>
          <w:szCs w:val="16"/>
          <w:color w:val="auto"/>
        </w:rPr>
        <w:t>Our income property operations consist of income-producing properties, and our business plan is focused on investing in additional income-producing properties. Our income property operations accounted for 91% and 86% of our identifiable assets as of December 31, 2022 and 2021, respectively, and 83.6%, 72.1%, and 88.6% of our consolidated revenues for the years ended December 31, 2022, 2021, and 2020, respectively. Our management fee income consists of the management fees earned for the management of PINE and the Land JV. As of December 31, 2022, our commercial loan and investment portfolio consisted of three commercial loan investments and one preferred equity investment which is classified as a commercial loan investment. Our continuing real estate operations consists of revenues generated from leasing and royalty income from our interests in subsurface oil, gas, and mineral rights, and the generation and sale of mitigation credits.</w:t>
      </w:r>
    </w:p>
    <w:p>
      <w:pPr>
        <w:spacing w:after="0" w:line="164" w:lineRule="exact"/>
        <w:rPr>
          <w:sz w:val="20"/>
          <w:szCs w:val="20"/>
          <w:color w:val="auto"/>
        </w:rPr>
      </w:pPr>
    </w:p>
    <w:p>
      <w:pPr>
        <w:jc w:val="both"/>
        <w:ind w:left="40" w:right="59" w:firstLine="402"/>
        <w:spacing w:after="0" w:line="276" w:lineRule="auto"/>
        <w:rPr>
          <w:sz w:val="20"/>
          <w:szCs w:val="20"/>
          <w:color w:val="auto"/>
        </w:rPr>
      </w:pPr>
      <w:r>
        <w:rPr>
          <w:rFonts w:ascii="Times New Roman" w:cs="Times New Roman" w:eastAsia="Times New Roman" w:hAnsi="Times New Roman"/>
          <w:sz w:val="16"/>
          <w:szCs w:val="16"/>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152"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Information about the Company’s operations in different segments for the years ended December 31, 2022, 2021, and 2020 is as follows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8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100" w:type="dxa"/>
            <w:vAlign w:val="bottom"/>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r>
      <w:tr>
        <w:trPr>
          <w:trHeight w:val="217"/>
        </w:trPr>
        <w:tc>
          <w:tcPr>
            <w:tcW w:w="4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r>
      <w:tr>
        <w:trPr>
          <w:trHeight w:val="18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68,857</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49,953</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 Income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0" w:type="dxa"/>
            <w:vAlign w:val="bottom"/>
          </w:tcPr>
          <w:p>
            <w:pPr>
              <w:spacing w:after="0"/>
              <w:rPr>
                <w:sz w:val="17"/>
                <w:szCs w:val="17"/>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From Commercial Loans and Investments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tcPr>
          <w:p>
            <w:pPr>
              <w:spacing w:after="0"/>
              <w:rPr>
                <w:sz w:val="17"/>
                <w:szCs w:val="17"/>
                <w:color w:val="auto"/>
              </w:rPr>
            </w:pPr>
          </w:p>
        </w:tc>
      </w:tr>
      <w:tr>
        <w:trPr>
          <w:trHeight w:val="229"/>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82,320</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70,272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56,381</w:t>
            </w:r>
          </w:p>
        </w:tc>
        <w:tc>
          <w:tcPr>
            <w:tcW w:w="20" w:type="dxa"/>
            <w:vAlign w:val="bottom"/>
          </w:tcPr>
          <w:p>
            <w:pPr>
              <w:spacing w:after="0"/>
              <w:rPr>
                <w:sz w:val="19"/>
                <w:szCs w:val="19"/>
                <w:color w:val="auto"/>
              </w:rPr>
            </w:pPr>
          </w:p>
        </w:tc>
      </w:tr>
      <w:tr>
        <w:trPr>
          <w:trHeight w:val="174"/>
        </w:trPr>
        <w:tc>
          <w:tcPr>
            <w:tcW w:w="49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48,493</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37,964</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 Income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0" w:type="dxa"/>
            <w:vAlign w:val="bottom"/>
          </w:tcPr>
          <w:p>
            <w:pPr>
              <w:spacing w:after="0"/>
              <w:rPr>
                <w:sz w:val="17"/>
                <w:szCs w:val="17"/>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From Commercial Loans and Investments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20" w:type="dxa"/>
            <w:vAlign w:val="bottom"/>
          </w:tcPr>
          <w:p>
            <w:pPr>
              <w:spacing w:after="0"/>
              <w:rPr>
                <w:sz w:val="17"/>
                <w:szCs w:val="17"/>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Corporate Expense</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(41,754)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(31,783)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(30,630)</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Charges</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(17,599)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20" w:type="dxa"/>
            <w:vAlign w:val="bottom"/>
          </w:tcPr>
          <w:p>
            <w:pPr>
              <w:spacing w:after="0"/>
              <w:rPr>
                <w:sz w:val="17"/>
                <w:szCs w:val="17"/>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0" w:type="dxa"/>
            <w:vAlign w:val="bottom"/>
          </w:tcPr>
          <w:p>
            <w:pPr>
              <w:spacing w:after="0"/>
              <w:rPr>
                <w:sz w:val="17"/>
                <w:szCs w:val="17"/>
                <w:color w:val="auto"/>
              </w:rPr>
            </w:pPr>
          </w:p>
        </w:tc>
      </w:tr>
      <w:tr>
        <w:trPr>
          <w:trHeight w:val="229"/>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1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12,280</w:t>
            </w:r>
          </w:p>
        </w:tc>
        <w:tc>
          <w:tcPr>
            <w:tcW w:w="20" w:type="dxa"/>
            <w:vAlign w:val="bottom"/>
          </w:tcPr>
          <w:p>
            <w:pPr>
              <w:spacing w:after="0"/>
              <w:rPr>
                <w:sz w:val="19"/>
                <w:szCs w:val="19"/>
                <w:color w:val="auto"/>
              </w:rPr>
            </w:pPr>
          </w:p>
        </w:tc>
      </w:tr>
      <w:tr>
        <w:trPr>
          <w:trHeight w:val="174"/>
        </w:trPr>
        <w:tc>
          <w:tcPr>
            <w:tcW w:w="49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28,799</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19,036</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r>
      <w:tr>
        <w:trPr>
          <w:trHeight w:val="229"/>
        </w:trPr>
        <w:tc>
          <w:tcPr>
            <w:tcW w:w="4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28,855</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20" w:type="dxa"/>
            <w:vAlign w:val="bottom"/>
          </w:tcPr>
          <w:p>
            <w:pPr>
              <w:spacing w:after="0"/>
              <w:rPr>
                <w:sz w:val="19"/>
                <w:szCs w:val="19"/>
                <w:color w:val="auto"/>
              </w:rPr>
            </w:pPr>
          </w:p>
        </w:tc>
      </w:tr>
      <w:tr>
        <w:trPr>
          <w:trHeight w:val="174"/>
        </w:trPr>
        <w:tc>
          <w:tcPr>
            <w:tcW w:w="49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Capital Expenditures: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331,754</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256,456</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188,849</w:t>
            </w:r>
          </w:p>
        </w:tc>
        <w:tc>
          <w:tcPr>
            <w:tcW w:w="20" w:type="dxa"/>
            <w:vAlign w:val="bottom"/>
          </w:tcPr>
          <w:p>
            <w:pPr>
              <w:spacing w:after="0"/>
              <w:rPr>
                <w:sz w:val="17"/>
                <w:szCs w:val="17"/>
                <w:color w:val="auto"/>
              </w:rPr>
            </w:pPr>
          </w:p>
        </w:tc>
      </w:tr>
      <w:tr>
        <w:trPr>
          <w:trHeight w:val="19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20" w:type="dxa"/>
            <w:vAlign w:val="bottom"/>
          </w:tcPr>
          <w:p>
            <w:pPr>
              <w:spacing w:after="0"/>
              <w:rPr>
                <w:sz w:val="17"/>
                <w:szCs w:val="17"/>
                <w:color w:val="auto"/>
              </w:rPr>
            </w:pPr>
          </w:p>
        </w:tc>
      </w:tr>
      <w:tr>
        <w:trPr>
          <w:trHeight w:val="197"/>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7"/>
                <w:szCs w:val="17"/>
                <w:color w:val="auto"/>
              </w:rPr>
            </w:pPr>
          </w:p>
        </w:tc>
      </w:tr>
      <w:tr>
        <w:trPr>
          <w:trHeight w:val="189"/>
        </w:trPr>
        <w:tc>
          <w:tcPr>
            <w:tcW w:w="4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385,165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256,854</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196,029</w:t>
            </w:r>
          </w:p>
        </w:tc>
        <w:tc>
          <w:tcPr>
            <w:tcW w:w="20" w:type="dxa"/>
            <w:vAlign w:val="bottom"/>
          </w:tcPr>
          <w:p>
            <w:pPr>
              <w:spacing w:after="0"/>
              <w:rPr>
                <w:sz w:val="16"/>
                <w:szCs w:val="16"/>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Identifiable assets of each segment as of December 31, 2022 and 2021 are as follows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20" w:type="dxa"/>
            <w:vAlign w:val="bottom"/>
            <w:tcBorders>
              <w:bottom w:val="single" w:sz="8" w:color="auto"/>
            </w:tcBorders>
          </w:tcPr>
          <w:p>
            <w:pPr>
              <w:spacing w:after="0"/>
              <w:rPr>
                <w:sz w:val="18"/>
                <w:szCs w:val="18"/>
                <w:color w:val="auto"/>
              </w:rPr>
            </w:pPr>
          </w:p>
        </w:tc>
      </w:tr>
      <w:tr>
        <w:trPr>
          <w:trHeight w:val="189"/>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6"/>
                <w:szCs w:val="16"/>
                <w:color w:val="auto"/>
              </w:rPr>
            </w:pP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8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Identifiable Assets:</w:t>
            </w:r>
          </w:p>
        </w:tc>
        <w:tc>
          <w:tcPr>
            <w:tcW w:w="1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19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Income Properties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902,427</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630,747</w:t>
            </w:r>
          </w:p>
        </w:tc>
      </w:tr>
      <w:tr>
        <w:trPr>
          <w:trHeight w:val="19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Services</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r>
      <w:tr>
        <w:trPr>
          <w:trHeight w:val="19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Commercial Loans and Investments</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39,095</w:t>
            </w:r>
          </w:p>
        </w:tc>
      </w:tr>
      <w:tr>
        <w:trPr>
          <w:trHeight w:val="19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Operations</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26,512</w:t>
            </w:r>
          </w:p>
        </w:tc>
      </w:tr>
      <w:tr>
        <w:trPr>
          <w:trHeight w:val="197"/>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46,438</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35,132</w:t>
            </w:r>
          </w:p>
        </w:tc>
      </w:tr>
      <w:tr>
        <w:trPr>
          <w:trHeight w:val="18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986,545</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733,139</w:t>
            </w: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0" w:right="39" w:firstLine="448"/>
        <w:spacing w:after="0" w:line="252" w:lineRule="auto"/>
        <w:rPr>
          <w:sz w:val="20"/>
          <w:szCs w:val="20"/>
          <w:color w:val="auto"/>
        </w:rPr>
      </w:pPr>
      <w:r>
        <w:rPr>
          <w:rFonts w:ascii="Times New Roman" w:cs="Times New Roman" w:eastAsia="Times New Roman" w:hAnsi="Times New Roman"/>
          <w:sz w:val="16"/>
          <w:szCs w:val="16"/>
          <w:color w:val="auto"/>
        </w:rPr>
        <w:t>Operating income represents income from continuing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 Land JV, the Mitigation Bank, and Subsurface Interests. Corporate and other assets consist primarily of cash and restricted cash, property, plant, and equipment related to the other operations, as well as the general and corporate operations.</w:t>
      </w:r>
    </w:p>
    <w:p>
      <w:pPr>
        <w:spacing w:after="0" w:line="3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The Management Services segment had no capital expenditures as of December 31, 2022, 2021 or 2020.</w:t>
      </w:r>
    </w:p>
    <w:p>
      <w:pPr>
        <w:spacing w:after="0" w:line="19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24.</w:t>
        <w:tab/>
        <w:t>ASSETS AND LIABILITIES HELD FOR SALE</w:t>
      </w:r>
    </w:p>
    <w:p>
      <w:pPr>
        <w:spacing w:after="0" w:line="213" w:lineRule="exact"/>
        <w:rPr>
          <w:sz w:val="20"/>
          <w:szCs w:val="20"/>
          <w:color w:val="auto"/>
        </w:rPr>
      </w:pPr>
    </w:p>
    <w:p>
      <w:pPr>
        <w:jc w:val="both"/>
        <w:ind w:left="40" w:right="39" w:firstLine="448"/>
        <w:spacing w:after="0" w:line="295" w:lineRule="auto"/>
        <w:rPr>
          <w:sz w:val="20"/>
          <w:szCs w:val="20"/>
          <w:color w:val="auto"/>
        </w:rPr>
      </w:pPr>
      <w:r>
        <w:rPr>
          <w:rFonts w:ascii="Times New Roman" w:cs="Times New Roman" w:eastAsia="Times New Roman" w:hAnsi="Times New Roman"/>
          <w:sz w:val="16"/>
          <w:szCs w:val="16"/>
          <w:color w:val="auto"/>
        </w:rPr>
        <w:t>Assets and liabilities held for sale as of December 31, 2021 are summarized below (in thousands). There were no assets or liabilities held for sale as of December 31, 2022.</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7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18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Plant, Property, and Equipment—Net</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w:t>
            </w:r>
          </w:p>
        </w:tc>
      </w:tr>
      <w:tr>
        <w:trPr>
          <w:trHeight w:val="197"/>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Intangible Lease Assets—Net</w:t>
            </w:r>
          </w:p>
        </w:tc>
        <w:tc>
          <w:tcPr>
            <w:tcW w:w="4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8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Held for Sale</w:t>
            </w: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w:t>
            </w: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NOTE 25.</w:t>
        <w:tab/>
        <w:t>SUBSEQUENT EVENTS</w:t>
      </w:r>
    </w:p>
    <w:p>
      <w:pPr>
        <w:spacing w:after="0" w:line="214" w:lineRule="exact"/>
        <w:rPr>
          <w:sz w:val="20"/>
          <w:szCs w:val="20"/>
          <w:color w:val="auto"/>
        </w:rPr>
      </w:pPr>
    </w:p>
    <w:p>
      <w:pPr>
        <w:jc w:val="both"/>
        <w:ind w:left="40" w:right="59" w:firstLine="402"/>
        <w:spacing w:after="0" w:line="295" w:lineRule="auto"/>
        <w:rPr>
          <w:sz w:val="20"/>
          <w:szCs w:val="20"/>
          <w:color w:val="auto"/>
        </w:rPr>
      </w:pPr>
      <w:r>
        <w:rPr>
          <w:rFonts w:ascii="Times New Roman" w:cs="Times New Roman" w:eastAsia="Times New Roman" w:hAnsi="Times New Roman"/>
          <w:sz w:val="16"/>
          <w:szCs w:val="16"/>
          <w:color w:val="auto"/>
        </w:rPr>
        <w:t>Subsequent events and transactions were evaluated through February 23, 2023, the date the consolidated financial statements were issued. There were no reportable subsequent events or transactions.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III</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REAL ESTATE AND ACCUMULATED DEPRECIATION</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Costs Capitalized</w:t>
            </w:r>
          </w:p>
        </w:tc>
      </w:tr>
      <w:tr>
        <w:trPr>
          <w:trHeight w:val="193"/>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Initial Cost to Company</w:t>
            </w: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Subsequent to Acquisition</w:t>
            </w:r>
          </w:p>
        </w:tc>
      </w:tr>
      <w:tr>
        <w:trPr>
          <w:trHeight w:val="168"/>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66"/>
              <w:spacing w:after="0" w:line="168" w:lineRule="exact"/>
              <w:rPr>
                <w:sz w:val="20"/>
                <w:szCs w:val="20"/>
                <w:color w:val="auto"/>
              </w:rPr>
            </w:pPr>
            <w:r>
              <w:rPr>
                <w:rFonts w:ascii="Times New Roman" w:cs="Times New Roman" w:eastAsia="Times New Roman" w:hAnsi="Times New Roman"/>
                <w:sz w:val="15"/>
                <w:szCs w:val="15"/>
                <w:b w:val="1"/>
                <w:bCs w:val="1"/>
                <w:color w:val="auto"/>
                <w:w w:val="98"/>
              </w:rPr>
              <w:t>Buildings &amp;</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Carrying</w:t>
            </w:r>
          </w:p>
        </w:tc>
      </w:tr>
      <w:tr>
        <w:trPr>
          <w:trHeight w:val="196"/>
        </w:trPr>
        <w:tc>
          <w:tcPr>
            <w:tcW w:w="40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Encumbrances</w:t>
            </w:r>
          </w:p>
        </w:tc>
        <w:tc>
          <w:tcPr>
            <w:tcW w:w="14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Land</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Improvements</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Improvements</w:t>
            </w:r>
          </w:p>
        </w:tc>
        <w:tc>
          <w:tcPr>
            <w:tcW w:w="120" w:type="dxa"/>
            <w:vAlign w:val="bottom"/>
          </w:tcPr>
          <w:p>
            <w:pPr>
              <w:spacing w:after="0"/>
              <w:rPr>
                <w:sz w:val="17"/>
                <w:szCs w:val="17"/>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5"/>
                <w:szCs w:val="15"/>
                <w:b w:val="1"/>
                <w:bCs w:val="1"/>
                <w:color w:val="auto"/>
              </w:rPr>
              <w:t>Costs</w:t>
            </w:r>
          </w:p>
        </w:tc>
      </w:tr>
      <w:tr>
        <w:trPr>
          <w:trHeight w:val="192"/>
        </w:trPr>
        <w:tc>
          <w:tcPr>
            <w:tcW w:w="3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Properties:</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Westcliff Shopping Center, Fort Worth, TX</w:t>
            </w:r>
          </w:p>
        </w:tc>
        <w:tc>
          <w:tcPr>
            <w:tcW w:w="460" w:type="dxa"/>
            <w:vAlign w:val="bottom"/>
          </w:tcPr>
          <w:p>
            <w:pPr>
              <w:jc w:val="right"/>
              <w:ind w:right="3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10,521</w:t>
            </w:r>
          </w:p>
        </w:tc>
        <w:tc>
          <w:tcPr>
            <w:tcW w:w="10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4,196</w:t>
            </w:r>
          </w:p>
        </w:tc>
        <w:tc>
          <w:tcPr>
            <w:tcW w:w="8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Crabby's Oceanside, Daytona Beach, FL</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LandShark Bar &amp; Grill, Daytona Beach, FL</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Fidelity, Albuquerque, NM</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29,537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General Dynamics, Reston, VA</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The Strand at St. Johns Town Center, Jacksonville, FL</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Crossroads Towne Center, Chandler, AZ</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Ashford Lane, Atlanta, GA</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33,422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Sabal Pavilion, Tampa, FL</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Jordan Landing, West Jordan, UT</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Eastern Commons, Henderson, NV</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The Shops at Legacy, Plano, TX</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Beaver Creek Crossings, Apex, NC</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125 Lincoln &amp; 150 Washington, Santa Fe, NM</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369 N. New York Ave., Winter Park, FL</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The Exchange at Gwinnett, Buford, GA</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Price Plaza, Katy, TX</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Madison Yards, Atlanta, GA</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47,938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West Broad Village, Glen Allen, VA</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Collection at Forsyth, Cummings, GA</w:t>
            </w: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5"/>
                <w:szCs w:val="15"/>
                <w:color w:val="auto"/>
              </w:rPr>
              <w:t>MainStreet Portfolio, Daytona Beach, FL</w:t>
            </w:r>
          </w:p>
        </w:tc>
        <w:tc>
          <w:tcPr>
            <w:tcW w:w="4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7"/>
        </w:trPr>
        <w:tc>
          <w:tcPr>
            <w:tcW w:w="224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233,930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515,956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r>
    </w:tbl>
    <w:p>
      <w:pPr>
        <w:spacing w:after="0" w:line="54" w:lineRule="exact"/>
        <w:rPr>
          <w:sz w:val="20"/>
          <w:szCs w:val="20"/>
          <w:color w:val="auto"/>
        </w:rPr>
      </w:pPr>
    </w:p>
    <w:p>
      <w:pPr>
        <w:ind w:left="340" w:right="59" w:hanging="304"/>
        <w:spacing w:after="0" w:line="251" w:lineRule="auto"/>
        <w:tabs>
          <w:tab w:leader="none" w:pos="340"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The aggregate cost, net of deferred tax liabilities, of Income Properties, Land, Buildings, and Improvements for Federal income tax purposes at December 31, 2022 is approximately $448.5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Gross Amount at Which</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Carried at Close of Period</w:t>
      </w:r>
    </w:p>
    <w:p>
      <w:pPr>
        <w:spacing w:after="0" w:line="1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Land</w:t>
            </w:r>
          </w:p>
        </w:tc>
        <w:tc>
          <w:tcPr>
            <w:tcW w:w="8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40" w:type="dxa"/>
            <w:vAlign w:val="bottom"/>
          </w:tcPr>
          <w:p>
            <w:pPr>
              <w:spacing w:after="0"/>
              <w:rPr>
                <w:sz w:val="11"/>
                <w:szCs w:val="11"/>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Completion of</w:t>
            </w:r>
          </w:p>
        </w:tc>
        <w:tc>
          <w:tcPr>
            <w:tcW w:w="800" w:type="dxa"/>
            <w:vAlign w:val="bottom"/>
            <w:gridSpan w:val="2"/>
            <w:vMerge w:val="continue"/>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Life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4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Construction</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Acquired</w:t>
            </w: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Properties:</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Westcliff Shopping Center, Fort Worth, TX</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10,521</w:t>
            </w:r>
          </w:p>
        </w:tc>
        <w:tc>
          <w:tcPr>
            <w:tcW w:w="2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4,596</w:t>
            </w:r>
          </w:p>
        </w:tc>
        <w:tc>
          <w:tcPr>
            <w:tcW w:w="4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15,117</w:t>
            </w:r>
          </w:p>
        </w:tc>
        <w:tc>
          <w:tcPr>
            <w:tcW w:w="20" w:type="dxa"/>
            <w:vAlign w:val="bottom"/>
          </w:tcPr>
          <w:p>
            <w:pPr>
              <w:spacing w:after="0"/>
              <w:rPr>
                <w:sz w:val="11"/>
                <w:szCs w:val="11"/>
                <w:color w:val="auto"/>
              </w:rPr>
            </w:pPr>
          </w:p>
        </w:tc>
        <w:tc>
          <w:tcPr>
            <w:tcW w:w="24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2,528</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03/01/17</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10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Crabby's Oceanside, Daytona Beach, FL</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5,836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4,294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10,130</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1,151</w:t>
            </w:r>
          </w:p>
        </w:tc>
        <w:tc>
          <w:tcPr>
            <w:tcW w:w="960" w:type="dxa"/>
            <w:vAlign w:val="bottom"/>
            <w:gridSpan w:val="2"/>
            <w:shd w:val="clear" w:color="auto" w:fill="CCEEFF"/>
          </w:tcPr>
          <w:p>
            <w:pPr>
              <w:jc w:val="center"/>
              <w:ind w:left="74"/>
              <w:spacing w:after="0" w:line="136" w:lineRule="exact"/>
              <w:rPr>
                <w:sz w:val="20"/>
                <w:szCs w:val="20"/>
                <w:color w:val="auto"/>
              </w:rPr>
            </w:pPr>
            <w:r>
              <w:rPr>
                <w:rFonts w:ascii="Times New Roman" w:cs="Times New Roman" w:eastAsia="Times New Roman" w:hAnsi="Times New Roman"/>
                <w:sz w:val="13"/>
                <w:szCs w:val="13"/>
                <w:color w:val="auto"/>
                <w:w w:val="99"/>
              </w:rPr>
              <w:t>01/25/18</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40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LandShark Bar &amp; Grill, Daytona Beach, FL</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5,836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4,587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10,423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1,092</w:t>
            </w:r>
          </w:p>
        </w:tc>
        <w:tc>
          <w:tcPr>
            <w:tcW w:w="960" w:type="dxa"/>
            <w:vAlign w:val="bottom"/>
            <w:gridSpan w:val="2"/>
          </w:tcPr>
          <w:p>
            <w:pPr>
              <w:jc w:val="center"/>
              <w:ind w:left="74"/>
              <w:spacing w:after="0" w:line="136" w:lineRule="exact"/>
              <w:rPr>
                <w:sz w:val="20"/>
                <w:szCs w:val="20"/>
                <w:color w:val="auto"/>
              </w:rPr>
            </w:pPr>
            <w:r>
              <w:rPr>
                <w:rFonts w:ascii="Times New Roman" w:cs="Times New Roman" w:eastAsia="Times New Roman" w:hAnsi="Times New Roman"/>
                <w:sz w:val="13"/>
                <w:szCs w:val="13"/>
                <w:color w:val="auto"/>
                <w:w w:val="99"/>
              </w:rPr>
              <w:t>01/25/18</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40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Fidelity, Albuquerque, NM</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5,739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29,549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35,288</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4,779</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10/04/18</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45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General Dynamics, Reston, VA</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9,068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16,598</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1,703</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7/12/2019</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35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The Strand at St. Johns Town Center, Jacksonville, FL</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12,551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36,745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49,296</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4,331</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12/9/2019</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48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Crossroads Towne Center, Chandler, AZ</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9,592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42,081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51,673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4,220</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1/24/2020</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35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Ashford Lane, Atlanta, GA</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37,717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45,099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82,816</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3,547</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2/21/2020</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36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Sabal Pavilion, Tampa, FL</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3,265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20,629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23,894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2,184</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8/21/2020</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40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Jordan Landing, West Jordan, UT</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10,529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5,752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16,281</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549</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3/2/2021</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30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Eastern Commons, Henderson, NV</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7,894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8,575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16,469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715</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3/10/2021</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35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The Shops at Legacy, Plano, TX</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22,008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27,986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49,994</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2,794</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6/23/2021</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32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Beaver Creek Crossings, Apex, NC</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21,383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39,454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60,837</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2,005</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12/2/2021</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30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125 Lincoln &amp; 150 Washington, Santa Fe, NM</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459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12,525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12,984</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672</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12/20/2021</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30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369 N. New York Ave., Winter Park, FL</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8,524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5,157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13,681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303</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12/20/2021</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30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The Exchange at Gwinnett, Buford, GA</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4,450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25,310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29,760</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765</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12/30/2021</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45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Price Plaza, Katy, TX</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15,630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17,978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33,608</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857</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3/3/2022</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25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Madison Yards, Atlanta, GA</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19,780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48,162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67,942</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646</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w w:val="99"/>
              </w:rPr>
              <w:t>7/8/2022</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42 Yrs.</w:t>
            </w:r>
          </w:p>
        </w:tc>
        <w:tc>
          <w:tcPr>
            <w:tcW w:w="0" w:type="dxa"/>
            <w:vAlign w:val="bottom"/>
          </w:tcPr>
          <w:p>
            <w:pPr>
              <w:spacing w:after="0"/>
              <w:rPr>
                <w:sz w:val="1"/>
                <w:szCs w:val="1"/>
                <w:color w:val="auto"/>
              </w:rPr>
            </w:pPr>
          </w:p>
        </w:tc>
      </w:tr>
      <w:tr>
        <w:trPr>
          <w:trHeight w:val="135"/>
        </w:trPr>
        <w:tc>
          <w:tcPr>
            <w:tcW w:w="3680" w:type="dxa"/>
            <w:vAlign w:val="bottom"/>
          </w:tcPr>
          <w:p>
            <w:pPr>
              <w:ind w:left="200"/>
              <w:spacing w:after="0" w:line="136" w:lineRule="exact"/>
              <w:rPr>
                <w:sz w:val="20"/>
                <w:szCs w:val="20"/>
                <w:color w:val="auto"/>
              </w:rPr>
            </w:pPr>
            <w:r>
              <w:rPr>
                <w:rFonts w:ascii="Times New Roman" w:cs="Times New Roman" w:eastAsia="Times New Roman" w:hAnsi="Times New Roman"/>
                <w:sz w:val="13"/>
                <w:szCs w:val="13"/>
                <w:color w:val="auto"/>
              </w:rPr>
              <w:t>West Broad Village, Glen Allen, VA</w:t>
            </w:r>
          </w:p>
        </w:tc>
        <w:tc>
          <w:tcPr>
            <w:tcW w:w="140" w:type="dxa"/>
            <w:vAlign w:val="bottom"/>
          </w:tcPr>
          <w:p>
            <w:pPr>
              <w:spacing w:after="0"/>
              <w:rPr>
                <w:sz w:val="11"/>
                <w:szCs w:val="11"/>
                <w:color w:val="auto"/>
              </w:rPr>
            </w:pP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65,829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77,949</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639</w:t>
            </w:r>
          </w:p>
        </w:tc>
        <w:tc>
          <w:tcPr>
            <w:tcW w:w="140" w:type="dxa"/>
            <w:vAlign w:val="bottom"/>
          </w:tcPr>
          <w:p>
            <w:pPr>
              <w:spacing w:after="0"/>
              <w:rPr>
                <w:sz w:val="11"/>
                <w:szCs w:val="11"/>
                <w:color w:val="auto"/>
              </w:rPr>
            </w:pPr>
          </w:p>
        </w:tc>
        <w:tc>
          <w:tcPr>
            <w:tcW w:w="96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10/14/2022</w:t>
            </w:r>
          </w:p>
        </w:tc>
        <w:tc>
          <w:tcPr>
            <w:tcW w:w="140" w:type="dxa"/>
            <w:vAlign w:val="bottom"/>
          </w:tcPr>
          <w:p>
            <w:pPr>
              <w:spacing w:after="0"/>
              <w:rPr>
                <w:sz w:val="11"/>
                <w:szCs w:val="11"/>
                <w:color w:val="auto"/>
              </w:rPr>
            </w:pPr>
          </w:p>
        </w:tc>
        <w:tc>
          <w:tcPr>
            <w:tcW w:w="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40 Yrs.</w:t>
            </w:r>
          </w:p>
        </w:tc>
        <w:tc>
          <w:tcPr>
            <w:tcW w:w="0" w:type="dxa"/>
            <w:vAlign w:val="bottom"/>
          </w:tcPr>
          <w:p>
            <w:pPr>
              <w:spacing w:after="0"/>
              <w:rPr>
                <w:sz w:val="1"/>
                <w:szCs w:val="1"/>
                <w:color w:val="auto"/>
              </w:rPr>
            </w:pPr>
          </w:p>
        </w:tc>
      </w:tr>
      <w:tr>
        <w:trPr>
          <w:trHeight w:val="135"/>
        </w:trPr>
        <w:tc>
          <w:tcPr>
            <w:tcW w:w="3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3"/>
                <w:szCs w:val="13"/>
                <w:color w:val="auto"/>
              </w:rPr>
              <w:t>Collection at Forsyth, Cummings, GA</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9,007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75,286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84,293</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31</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12/29/2022</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3"/>
                <w:szCs w:val="13"/>
                <w:color w:val="auto"/>
              </w:rPr>
              <w:t>31 Yrs.</w:t>
            </w:r>
          </w:p>
        </w:tc>
        <w:tc>
          <w:tcPr>
            <w:tcW w:w="0" w:type="dxa"/>
            <w:vAlign w:val="bottom"/>
          </w:tcPr>
          <w:p>
            <w:pPr>
              <w:spacing w:after="0"/>
              <w:rPr>
                <w:sz w:val="1"/>
                <w:szCs w:val="1"/>
                <w:color w:val="auto"/>
              </w:rPr>
            </w:pPr>
          </w:p>
        </w:tc>
      </w:tr>
      <w:tr>
        <w:trPr>
          <w:trHeight w:val="135"/>
        </w:trPr>
        <w:tc>
          <w:tcPr>
            <w:tcW w:w="3680" w:type="dxa"/>
            <w:vAlign w:val="bottom"/>
            <w:tcBorders>
              <w:bottom w:val="single" w:sz="8" w:color="CCEEFF"/>
            </w:tcBorders>
          </w:tcPr>
          <w:p>
            <w:pPr>
              <w:ind w:left="200"/>
              <w:spacing w:after="0" w:line="136" w:lineRule="exact"/>
              <w:rPr>
                <w:sz w:val="20"/>
                <w:szCs w:val="20"/>
                <w:color w:val="auto"/>
              </w:rPr>
            </w:pPr>
            <w:r>
              <w:rPr>
                <w:rFonts w:ascii="Times New Roman" w:cs="Times New Roman" w:eastAsia="Times New Roman" w:hAnsi="Times New Roman"/>
                <w:sz w:val="13"/>
                <w:szCs w:val="13"/>
                <w:color w:val="auto"/>
              </w:rPr>
              <w:t>MainStreet Portfolio, Daytona Beach, FL</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3,504</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1,422</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4,926</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gridSpan w:val="2"/>
          </w:tcPr>
          <w:p>
            <w:pPr>
              <w:jc w:val="center"/>
              <w:ind w:right="140"/>
              <w:spacing w:after="0" w:line="136" w:lineRule="exact"/>
              <w:rPr>
                <w:sz w:val="20"/>
                <w:szCs w:val="20"/>
                <w:color w:val="auto"/>
              </w:rPr>
            </w:pPr>
            <w:r>
              <w:rPr>
                <w:rFonts w:ascii="Times New Roman" w:cs="Times New Roman" w:eastAsia="Times New Roman" w:hAnsi="Times New Roman"/>
                <w:sz w:val="13"/>
                <w:szCs w:val="13"/>
                <w:color w:val="auto"/>
                <w:w w:val="98"/>
              </w:rPr>
              <w:t>N/A</w:t>
            </w:r>
          </w:p>
        </w:tc>
        <w:tc>
          <w:tcPr>
            <w:tcW w:w="660" w:type="dxa"/>
            <w:vAlign w:val="bottom"/>
            <w:tcBorders>
              <w:bottom w:val="single" w:sz="8" w:color="CCEEFF"/>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rPr>
              <w:t>12/29/2022</w:t>
            </w:r>
          </w:p>
        </w:tc>
        <w:tc>
          <w:tcPr>
            <w:tcW w:w="1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jc w:val="center"/>
              <w:spacing w:after="0" w:line="136" w:lineRule="exact"/>
              <w:rPr>
                <w:sz w:val="20"/>
                <w:szCs w:val="20"/>
                <w:color w:val="auto"/>
              </w:rPr>
            </w:pPr>
            <w:r>
              <w:rPr>
                <w:rFonts w:ascii="Times New Roman" w:cs="Times New Roman" w:eastAsia="Times New Roman" w:hAnsi="Times New Roman"/>
                <w:sz w:val="13"/>
                <w:szCs w:val="13"/>
                <w:color w:val="auto"/>
              </w:rPr>
              <w:t>25 Yrs.</w:t>
            </w:r>
          </w:p>
        </w:tc>
        <w:tc>
          <w:tcPr>
            <w:tcW w:w="0" w:type="dxa"/>
            <w:vAlign w:val="bottom"/>
          </w:tcPr>
          <w:p>
            <w:pPr>
              <w:spacing w:after="0"/>
              <w:rPr>
                <w:sz w:val="1"/>
                <w:szCs w:val="1"/>
                <w:color w:val="auto"/>
              </w:rPr>
            </w:pPr>
          </w:p>
        </w:tc>
      </w:tr>
      <w:tr>
        <w:trPr>
          <w:trHeight w:val="128"/>
        </w:trPr>
        <w:tc>
          <w:tcPr>
            <w:tcW w:w="36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233,875</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530,084</w:t>
            </w: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763,959</w:t>
            </w:r>
          </w:p>
        </w:tc>
        <w:tc>
          <w:tcPr>
            <w:tcW w:w="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94"/>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35,512</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20"/>
          </w:cols>
          <w:pgMar w:left="1440" w:top="480" w:right="1439"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REAL ESTATE AND ACCUMULATED DEPRECIATION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56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521,260</w:t>
            </w:r>
          </w:p>
        </w:tc>
        <w:tc>
          <w:tcPr>
            <w:tcW w:w="120" w:type="dxa"/>
            <w:vAlign w:val="bottom"/>
          </w:tcPr>
          <w:p>
            <w:pPr>
              <w:spacing w:after="0"/>
              <w:rPr>
                <w:sz w:val="17"/>
                <w:szCs w:val="17"/>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472,126</w:t>
            </w:r>
          </w:p>
        </w:tc>
        <w:tc>
          <w:tcPr>
            <w:tcW w:w="120" w:type="dxa"/>
            <w:vAlign w:val="bottom"/>
          </w:tcPr>
          <w:p>
            <w:pPr>
              <w:spacing w:after="0"/>
              <w:rPr>
                <w:sz w:val="17"/>
                <w:szCs w:val="17"/>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392,842</w:t>
            </w: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and Improvements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147,359</w:t>
            </w: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Cost of Real Estate Sold</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(38,863)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(157,512)</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(68,075)</w:t>
            </w:r>
          </w:p>
        </w:tc>
      </w:tr>
      <w:tr>
        <w:trPr>
          <w:trHeight w:val="18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521,260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472,126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4"/>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22,552</w:t>
            </w: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11,207</w:t>
            </w:r>
          </w:p>
        </w:tc>
      </w:tr>
      <w:tr>
        <w:trPr>
          <w:trHeight w:val="19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on Real Estate Sold</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(4,686)</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(18,650)</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r>
      <w:tr>
        <w:trPr>
          <w:trHeight w:val="18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4"/>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Consolidated Balance Sheet at December 31, 2022: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7"/>
        </w:trPr>
        <w:tc>
          <w:tcPr>
            <w:tcW w:w="5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Income Properties, Land, Buildings, and Improvements</w:t>
            </w: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763,959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515,007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r>
      <w:tr>
        <w:trPr>
          <w:trHeight w:val="189"/>
        </w:trPr>
        <w:tc>
          <w:tcPr>
            <w:tcW w:w="5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Basis of Assets Classified as Held for Sale on Balance Sheet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r>
      <w:tr>
        <w:trPr>
          <w:trHeight w:val="18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Per Schedule</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763,959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521,260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330835</wp:posOffset>
            </wp:positionV>
            <wp:extent cx="5676900"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22" w:name="page123"/>
    <w:bookmarkEnd w:id="122"/>
    <w:p>
      <w:pPr>
        <w:ind w:left="7"/>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6"/>
          <w:szCs w:val="16"/>
          <w:b w:val="1"/>
          <w:bCs w:val="1"/>
          <w:color w:val="auto"/>
        </w:rPr>
        <w:t>SCHEDULE IV</w:t>
      </w:r>
    </w:p>
    <w:p>
      <w:pPr>
        <w:spacing w:after="0" w:line="34"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6"/>
          <w:szCs w:val="16"/>
          <w:b w:val="1"/>
          <w:bCs w:val="1"/>
          <w:color w:val="auto"/>
        </w:rPr>
        <w:t>MORTGAGE LOANS ON REAL ESTATE</w:t>
      </w:r>
    </w:p>
    <w:p>
      <w:pPr>
        <w:spacing w:after="0" w:line="13"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192" w:lineRule="exact"/>
        <w:rPr>
          <w:sz w:val="20"/>
          <w:szCs w:val="20"/>
          <w:color w:val="auto"/>
        </w:rPr>
      </w:pPr>
    </w:p>
    <w:p>
      <w:pPr>
        <w:ind w:left="7" w:right="1000"/>
        <w:spacing w:after="0" w:line="295" w:lineRule="auto"/>
        <w:rPr>
          <w:sz w:val="20"/>
          <w:szCs w:val="20"/>
          <w:color w:val="auto"/>
        </w:rPr>
      </w:pPr>
      <w:r>
        <w:rPr>
          <w:rFonts w:ascii="Times New Roman" w:cs="Times New Roman" w:eastAsia="Times New Roman" w:hAnsi="Times New Roman"/>
          <w:sz w:val="16"/>
          <w:szCs w:val="16"/>
          <w:color w:val="auto"/>
        </w:rPr>
        <w:t>There was a portfolio of three commercial loan investments and one preferred equity investment which is classified as a commercial loan investment as of December 31, 2022 (in thousands).</w:t>
      </w:r>
    </w:p>
    <w:p>
      <w:pPr>
        <w:spacing w:after="0" w:line="153" w:lineRule="exact"/>
        <w:rPr>
          <w:sz w:val="20"/>
          <w:szCs w:val="20"/>
          <w:color w:val="auto"/>
        </w:rPr>
      </w:pPr>
    </w:p>
    <w:tbl>
      <w:tblPr>
        <w:tblLayout w:type="fixed"/>
        <w:tblInd w:w="7"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Principal Amount</w:t>
            </w:r>
          </w:p>
        </w:tc>
      </w:tr>
      <w:tr>
        <w:trPr>
          <w:trHeight w:val="188"/>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Loans Subject to</w:t>
            </w:r>
          </w:p>
        </w:tc>
      </w:tr>
      <w:tr>
        <w:trPr>
          <w:trHeight w:val="172"/>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Final Maturity</w:t>
            </w:r>
          </w:p>
        </w:tc>
        <w:tc>
          <w:tcPr>
            <w:tcW w:w="3760" w:type="dxa"/>
            <w:vAlign w:val="bottom"/>
            <w:gridSpan w:val="9"/>
          </w:tcPr>
          <w:p>
            <w:pPr>
              <w:ind w:left="140"/>
              <w:spacing w:after="0"/>
              <w:rPr>
                <w:sz w:val="20"/>
                <w:szCs w:val="20"/>
                <w:color w:val="auto"/>
              </w:rPr>
            </w:pPr>
            <w:r>
              <w:rPr>
                <w:rFonts w:ascii="Times New Roman" w:cs="Times New Roman" w:eastAsia="Times New Roman" w:hAnsi="Times New Roman"/>
                <w:sz w:val="15"/>
                <w:szCs w:val="15"/>
                <w:b w:val="1"/>
                <w:bCs w:val="1"/>
                <w:color w:val="auto"/>
                <w:w w:val="99"/>
              </w:rPr>
              <w:t>Periodic Payment Prior Face AmountCarrying Amounts</w:t>
            </w:r>
          </w:p>
        </w:tc>
        <w:tc>
          <w:tcPr>
            <w:tcW w:w="110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rPr>
              <w:t>Delinquent</w:t>
            </w:r>
          </w:p>
        </w:tc>
      </w:tr>
      <w:tr>
        <w:trPr>
          <w:trHeight w:val="211"/>
        </w:trPr>
        <w:tc>
          <w:tcPr>
            <w:tcW w:w="3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Date</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Terms</w:t>
            </w:r>
          </w:p>
        </w:tc>
        <w:tc>
          <w:tcPr>
            <w:tcW w:w="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w w:val="95"/>
              </w:rPr>
              <w:t>Liens of Mortgages</w:t>
            </w:r>
          </w:p>
        </w:tc>
        <w:tc>
          <w:tcPr>
            <w:tcW w:w="80" w:type="dxa"/>
            <w:vAlign w:val="bottom"/>
          </w:tcPr>
          <w:p>
            <w:pPr>
              <w:spacing w:after="0"/>
              <w:rPr>
                <w:sz w:val="18"/>
                <w:szCs w:val="18"/>
                <w:color w:val="auto"/>
              </w:rPr>
            </w:pPr>
          </w:p>
        </w:tc>
        <w:tc>
          <w:tcPr>
            <w:tcW w:w="1080" w:type="dxa"/>
            <w:vAlign w:val="bottom"/>
          </w:tcPr>
          <w:p>
            <w:pPr>
              <w:jc w:val="right"/>
              <w:ind w:right="6"/>
              <w:spacing w:after="0" w:line="211" w:lineRule="exact"/>
              <w:rPr>
                <w:sz w:val="20"/>
                <w:szCs w:val="20"/>
                <w:color w:val="auto"/>
              </w:rPr>
            </w:pPr>
            <w:r>
              <w:rPr>
                <w:rFonts w:ascii="Times New Roman" w:cs="Times New Roman" w:eastAsia="Times New Roman" w:hAnsi="Times New Roman"/>
                <w:sz w:val="15"/>
                <w:szCs w:val="15"/>
                <w:b w:val="1"/>
                <w:bCs w:val="1"/>
                <w:color w:val="auto"/>
                <w:w w:val="92"/>
              </w:rPr>
              <w:t xml:space="preserve">of Mortgages </w:t>
            </w:r>
            <w:r>
              <w:rPr>
                <w:rFonts w:ascii="Times New Roman" w:cs="Times New Roman" w:eastAsia="Times New Roman" w:hAnsi="Times New Roman"/>
                <w:sz w:val="22"/>
                <w:szCs w:val="22"/>
                <w:b w:val="1"/>
                <w:bCs w:val="1"/>
                <w:color w:val="auto"/>
                <w:w w:val="92"/>
                <w:vertAlign w:val="superscript"/>
              </w:rPr>
              <w:t>(2)</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Principal or Intere</w:t>
            </w:r>
          </w:p>
        </w:tc>
      </w:tr>
      <w:tr>
        <w:trPr>
          <w:trHeight w:val="165"/>
        </w:trPr>
        <w:tc>
          <w:tcPr>
            <w:tcW w:w="3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Monthly Interest</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Note – 4311 Maple Avenue – Dallas, TX</w:t>
            </w:r>
          </w:p>
        </w:tc>
        <w:tc>
          <w:tcPr>
            <w:tcW w:w="9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7.50%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2023</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Payments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w w:val="72"/>
              </w:rPr>
              <w:t>—</w:t>
            </w:r>
          </w:p>
        </w:tc>
      </w:tr>
      <w:tr>
        <w:trPr>
          <w:trHeight w:val="172"/>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Monthly Interest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w w:val="99"/>
              </w:rPr>
              <w:t>Construction Loan – The Exchange At Gwinnett – Buford, GA</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9"/>
              </w:rPr>
              <w:t>7.25%</w:t>
            </w: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2024</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Payments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20" w:type="dxa"/>
            <w:vAlign w:val="bottom"/>
          </w:tcPr>
          <w:p>
            <w:pPr>
              <w:spacing w:after="0"/>
              <w:rPr>
                <w:sz w:val="17"/>
                <w:szCs w:val="17"/>
                <w:color w:val="auto"/>
              </w:rPr>
            </w:pPr>
          </w:p>
        </w:tc>
        <w:tc>
          <w:tcPr>
            <w:tcW w:w="1100" w:type="dxa"/>
            <w:vAlign w:val="bottom"/>
          </w:tcPr>
          <w:p>
            <w:pPr>
              <w:ind w:left="1000"/>
              <w:spacing w:after="0"/>
              <w:rPr>
                <w:sz w:val="20"/>
                <w:szCs w:val="20"/>
                <w:color w:val="auto"/>
              </w:rPr>
            </w:pPr>
            <w:r>
              <w:rPr>
                <w:rFonts w:ascii="Times New Roman" w:cs="Times New Roman" w:eastAsia="Times New Roman" w:hAnsi="Times New Roman"/>
                <w:sz w:val="11"/>
                <w:szCs w:val="11"/>
                <w:color w:val="auto"/>
                <w:w w:val="72"/>
              </w:rPr>
              <w:t>—</w:t>
            </w:r>
          </w:p>
        </w:tc>
      </w:tr>
      <w:tr>
        <w:trPr>
          <w:trHeight w:val="172"/>
        </w:trPr>
        <w:tc>
          <w:tcPr>
            <w:tcW w:w="3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Monthly Interest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7"/>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Investment - Watters Creek – Allen, TX</w:t>
            </w:r>
          </w:p>
        </w:tc>
        <w:tc>
          <w:tcPr>
            <w:tcW w:w="9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8.50%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April 2025</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Payments</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29,887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w w:val="72"/>
              </w:rPr>
              <w:t>—</w:t>
            </w:r>
          </w:p>
        </w:tc>
      </w:tr>
      <w:tr>
        <w:trPr>
          <w:trHeight w:val="172"/>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Monthly Interest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7"/>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Improvement Loan - Ashford Lane – Atlanta, GA</w:t>
            </w:r>
          </w:p>
        </w:tc>
        <w:tc>
          <w:tcPr>
            <w:tcW w:w="960" w:type="dxa"/>
            <w:vAlign w:val="bottom"/>
            <w:tcBorders>
              <w:bottom w:val="single" w:sz="8" w:color="CCEEFF"/>
            </w:tcBorders>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97"/>
              </w:rPr>
              <w:t>12.00%</w:t>
            </w: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April 2025</w:t>
            </w: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5"/>
              </w:rPr>
              <w:t>Payments</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1"/>
                <w:szCs w:val="11"/>
                <w:color w:val="auto"/>
                <w:w w:val="72"/>
              </w:rPr>
              <w:t>—</w:t>
            </w:r>
          </w:p>
        </w:tc>
      </w:tr>
      <w:tr>
        <w:trPr>
          <w:trHeight w:val="177"/>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Totals</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32,073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31,908</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w w:val="72"/>
              </w:rPr>
              <w:t>—</w:t>
            </w: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7" w:right="1000"/>
        <w:spacing w:after="0" w:line="295" w:lineRule="auto"/>
        <w:rPr>
          <w:sz w:val="20"/>
          <w:szCs w:val="20"/>
          <w:color w:val="auto"/>
        </w:rPr>
      </w:pPr>
      <w:r>
        <w:rPr>
          <w:rFonts w:ascii="Times New Roman" w:cs="Times New Roman" w:eastAsia="Times New Roman" w:hAnsi="Times New Roman"/>
          <w:sz w:val="16"/>
          <w:szCs w:val="16"/>
          <w:color w:val="auto"/>
        </w:rPr>
        <w:t>The following represents the activity within the Company’s commercial loans and investments segment for the years ended December 31, 2022, 2021, and 2020 (in thousands):</w:t>
      </w:r>
    </w:p>
    <w:p>
      <w:pPr>
        <w:spacing w:after="0" w:line="145" w:lineRule="exact"/>
        <w:rPr>
          <w:sz w:val="20"/>
          <w:szCs w:val="20"/>
          <w:color w:val="auto"/>
        </w:rPr>
      </w:pPr>
    </w:p>
    <w:tbl>
      <w:tblPr>
        <w:tblLayout w:type="fixed"/>
        <w:tblInd w:w="7" w:type="dxa"/>
        <w:tblCellMar>
          <w:top w:w="0" w:type="dxa"/>
          <w:left w:w="0" w:type="dxa"/>
          <w:bottom w:w="0" w:type="dxa"/>
          <w:right w:w="0" w:type="dxa"/>
        </w:tblCellMar>
      </w:tblPr>
      <w:tr>
        <w:trPr>
          <w:trHeight w:val="157"/>
        </w:trPr>
        <w:tc>
          <w:tcPr>
            <w:tcW w:w="2360" w:type="dxa"/>
            <w:vAlign w:val="bottom"/>
            <w:tcBorders>
              <w:bottom w:val="single" w:sz="8" w:color="CCEEFF"/>
            </w:tcBorders>
          </w:tcPr>
          <w:p>
            <w:pPr>
              <w:spacing w:after="0"/>
              <w:rPr>
                <w:sz w:val="13"/>
                <w:szCs w:val="13"/>
                <w:color w:val="auto"/>
              </w:rPr>
            </w:pPr>
          </w:p>
        </w:tc>
        <w:tc>
          <w:tcPr>
            <w:tcW w:w="26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9"/>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38,320</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34,625</w:t>
            </w:r>
          </w:p>
        </w:tc>
      </w:tr>
      <w:tr>
        <w:trPr>
          <w:trHeight w:val="197"/>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During the Year: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New Mortgage Loans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28,360</w:t>
            </w:r>
          </w:p>
        </w:tc>
      </w:tr>
      <w:tr>
        <w:trPr>
          <w:trHeight w:val="197"/>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Collection of Origination Fees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197"/>
        </w:trPr>
        <w:tc>
          <w:tcPr>
            <w:tcW w:w="4960" w:type="dxa"/>
            <w:vAlign w:val="bottom"/>
            <w:gridSpan w:val="2"/>
            <w:shd w:val="clear" w:color="auto" w:fill="CCEEFF"/>
          </w:tcPr>
          <w:p>
            <w:pPr>
              <w:ind w:left="180"/>
              <w:spacing w:after="0" w:line="197" w:lineRule="exact"/>
              <w:rPr>
                <w:sz w:val="20"/>
                <w:szCs w:val="20"/>
                <w:color w:val="auto"/>
              </w:rPr>
            </w:pPr>
            <w:r>
              <w:rPr>
                <w:rFonts w:ascii="Times New Roman" w:cs="Times New Roman" w:eastAsia="Times New Roman" w:hAnsi="Times New Roman"/>
                <w:sz w:val="15"/>
                <w:szCs w:val="15"/>
                <w:color w:val="auto"/>
              </w:rPr>
              <w:t xml:space="preserve">Accretion of Origination Fees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197"/>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Gain on Sale of Loans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Imputed Interest Over Rent Payments on Ground Lease Loan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197"/>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Deductions During the Year: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Collection of Principal</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(61,634)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(23,132)</w:t>
            </w:r>
          </w:p>
        </w:tc>
      </w:tr>
      <w:tr>
        <w:trPr>
          <w:trHeight w:val="197"/>
        </w:trPr>
        <w:tc>
          <w:tcPr>
            <w:tcW w:w="49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Impairment / CECL Reserve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r>
      <w:tr>
        <w:trPr>
          <w:trHeight w:val="189"/>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31,908</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39,095</w:t>
            </w: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38,320</w:t>
            </w:r>
          </w:p>
        </w:tc>
      </w:tr>
      <w:tr>
        <w:trPr>
          <w:trHeight w:val="20"/>
        </w:trPr>
        <w:tc>
          <w:tcPr>
            <w:tcW w:w="2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0"/>
        </w:trPr>
        <w:tc>
          <w:tcPr>
            <w:tcW w:w="236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r>
    </w:tbl>
    <w:p>
      <w:pPr>
        <w:ind w:left="287" w:hanging="287"/>
        <w:spacing w:after="0"/>
        <w:tabs>
          <w:tab w:leader="none" w:pos="287"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Non-cash accretion of loan origination fees.</w:t>
      </w:r>
    </w:p>
    <w:p>
      <w:pPr>
        <w:spacing w:after="0" w:line="8" w:lineRule="exact"/>
        <w:rPr>
          <w:rFonts w:ascii="Times New Roman" w:cs="Times New Roman" w:eastAsia="Times New Roman" w:hAnsi="Times New Roman"/>
          <w:sz w:val="22"/>
          <w:szCs w:val="22"/>
          <w:color w:val="auto"/>
          <w:vertAlign w:val="superscript"/>
        </w:rPr>
      </w:pPr>
    </w:p>
    <w:p>
      <w:pPr>
        <w:ind w:left="287" w:hanging="287"/>
        <w:spacing w:after="0" w:line="183" w:lineRule="auto"/>
        <w:tabs>
          <w:tab w:leader="none" w:pos="287"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aggregate carrying amount of mortgages for Federal income tax purposes at December 31, 2022 totaled $31.9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567"/>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00456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6004560" cy="23495"/>
                    </a:xfrm>
                    <a:prstGeom prst="rect">
                      <a:avLst/>
                    </a:prstGeom>
                    <a:noFill/>
                  </pic:spPr>
                </pic:pic>
              </a:graphicData>
            </a:graphic>
          </wp:anchor>
        </w:drawing>
      </w:r>
    </w:p>
    <w:p>
      <w:pPr>
        <w:sectPr>
          <w:pgSz w:w="11900" w:h="16838" w:orient="portrait"/>
          <w:cols w:equalWidth="0" w:num="1">
            <w:col w:w="10447"/>
          </w:cols>
          <w:pgMar w:left="1213" w:top="480"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Subsidiaries of the Registrant: CTO Realty Growth, Inc.</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as of December 31, 2022: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8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Organized Under</w:t>
            </w:r>
          </w:p>
        </w:tc>
        <w:tc>
          <w:tcPr>
            <w:tcW w:w="2520" w:type="dxa"/>
            <w:vAlign w:val="bottom"/>
          </w:tcPr>
          <w:p>
            <w:pPr>
              <w:jc w:val="right"/>
              <w:ind w:right="307"/>
              <w:spacing w:after="0"/>
              <w:rPr>
                <w:sz w:val="20"/>
                <w:szCs w:val="20"/>
                <w:color w:val="auto"/>
              </w:rPr>
            </w:pPr>
            <w:r>
              <w:rPr>
                <w:rFonts w:ascii="Times New Roman" w:cs="Times New Roman" w:eastAsia="Times New Roman" w:hAnsi="Times New Roman"/>
                <w:sz w:val="13"/>
                <w:szCs w:val="13"/>
                <w:b w:val="1"/>
                <w:bCs w:val="1"/>
                <w:color w:val="auto"/>
              </w:rPr>
              <w:t>Percentage of Voting Securities</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4"/>
        </w:trPr>
        <w:tc>
          <w:tcPr>
            <w:tcW w:w="5780" w:type="dxa"/>
            <w:vAlign w:val="bottom"/>
          </w:tcPr>
          <w:p>
            <w:pPr>
              <w:spacing w:after="0"/>
              <w:rPr>
                <w:sz w:val="15"/>
                <w:szCs w:val="15"/>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Laws of</w:t>
            </w:r>
          </w:p>
        </w:tc>
        <w:tc>
          <w:tcPr>
            <w:tcW w:w="2520" w:type="dxa"/>
            <w:vAlign w:val="bottom"/>
          </w:tcPr>
          <w:p>
            <w:pPr>
              <w:jc w:val="right"/>
              <w:ind w:right="367"/>
              <w:spacing w:after="0"/>
              <w:rPr>
                <w:sz w:val="20"/>
                <w:szCs w:val="20"/>
                <w:color w:val="auto"/>
              </w:rPr>
            </w:pPr>
            <w:r>
              <w:rPr>
                <w:rFonts w:ascii="Times New Roman" w:cs="Times New Roman" w:eastAsia="Times New Roman" w:hAnsi="Times New Roman"/>
                <w:sz w:val="13"/>
                <w:szCs w:val="13"/>
                <w:b w:val="1"/>
                <w:bCs w:val="1"/>
                <w:color w:val="auto"/>
              </w:rPr>
              <w:t>Owned by Immediate Parent</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4"/>
        </w:trPr>
        <w:tc>
          <w:tcPr>
            <w:tcW w:w="57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Alpine Income Property Manager, LLC</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Delaware</w:t>
            </w:r>
          </w:p>
        </w:tc>
        <w:tc>
          <w:tcPr>
            <w:tcW w:w="18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2"/>
                <w:szCs w:val="12"/>
                <w:color w:val="auto"/>
                <w:w w:val="85"/>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Bluebird Arrowhead Phoenix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Bluebird Germantown MD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(6)</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Bluebird Renton WA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Conservation Park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CTLC Golden Arrow Katy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(6)</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 Gemini Holdings (CTLC)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 Gemini Holdings (IDL)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(5)</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 Gemini Holdings (IGI)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 TRS Crisp39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 TRS CW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(11)</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 TRS Mitigation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(11)</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 TRS TBMB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CTO16 Atlantic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CTO16 Austin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CTO16 Dallas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CTO16 Monterey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CTO16 Olive TX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CTO16 OSI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CTO16 Peterson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CTO17 Aruba Land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CTO17 Sarasota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CTO17 Westcliff TX LLC (f/k/a CTO17 Westcliff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CTO18 Albuquerque NM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CTO18 Arlington TX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CTO18 Aspen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CTO18 Jacksonville FL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CTO19 Carpenter Austin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CTO19 Josephine Austin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CTO19 NRH TX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CTO19 Oceanside NY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CTO19 Reston VA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CTO19 Strand Jax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CTO19 Taft Vineland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CTO19 WOFAT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CTO20 Cornerstone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CTO20 Crossroads AZ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CTO20 Hialeah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CTO20 Perimeter II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CTO20 Perimeter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CTO20 Santa Fe</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CTO20 Tampa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CTO21 Acquisitions II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CTO21 Acquisitions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CTO21 Apex LLC (f/k/a CTO20 Falls Centre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CTO21 AL Outparcel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CTO21 Buford 1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CTO21 Exchange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CTO21 Santa Fe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CTO21 Winter Park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CTO22 Forsyth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CTO22 Madison Yards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CTO22 Short Pump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CTO22 Waterstar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CTO22 Watters Creek LLC</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2"/>
        </w:trPr>
        <w:tc>
          <w:tcPr>
            <w:tcW w:w="57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Daytona JV LLC</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7"/>
              </w:rPr>
              <w:t>Delaware</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(8)</w:t>
            </w:r>
          </w:p>
        </w:tc>
      </w:tr>
      <w:tr>
        <w:trPr>
          <w:trHeight w:val="514"/>
        </w:trPr>
        <w:tc>
          <w:tcPr>
            <w:tcW w:w="5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9" w:right="8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DB Beach Land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DB Main Street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DB Mainland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(3)(10)</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DB Mainland Two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Five Golf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Golden Arrow 6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Golden Arrow First St. Sarasota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Golden Arrow WPP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IGI16 Peterson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IGI18 Back 40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IGI19 FC VA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IGI20 Crossroads AZ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IGI20 Tampa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(12)</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IGI21 Katy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IGL20 Tampa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Indigo Development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Indigo Grand Champion Five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Indigo Grand Champion Six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(4)</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Indigo Grand Champion Ten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(4)</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Indigo Group Inc.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spacing w:after="0"/>
              <w:rPr>
                <w:sz w:val="16"/>
                <w:szCs w:val="16"/>
                <w:color w:val="auto"/>
              </w:rPr>
            </w:pP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Indigo Group Ltd. (A Limited Partnership)</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93.475</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Indigo International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Indigo Mallard Creek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(5)</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LHC14 Old DeLand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(3)(9)</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LHC15 Atlantic DB JV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LHC15 Raleigh NC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LHC15 Riverside FL LLC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(3)</w:t>
            </w:r>
          </w:p>
        </w:tc>
      </w:tr>
      <w:tr>
        <w:trPr>
          <w:trHeight w:val="194"/>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LHC15 WPP LLC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7"/>
              </w:rPr>
              <w:t>Delaware</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(7)</w:t>
            </w:r>
          </w:p>
        </w:tc>
      </w:tr>
      <w:tr>
        <w:trPr>
          <w:trHeight w:val="199"/>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Palms Del Mar Inc.</w:t>
            </w:r>
          </w:p>
        </w:tc>
        <w:tc>
          <w:tcPr>
            <w:tcW w:w="362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520" w:type="dxa"/>
            <w:vAlign w:val="bottom"/>
            <w:shd w:val="clear" w:color="auto" w:fill="CCEEFF"/>
          </w:tcPr>
          <w:p>
            <w:pPr>
              <w:spacing w:after="0"/>
              <w:rPr>
                <w:sz w:val="17"/>
                <w:szCs w:val="17"/>
                <w:color w:val="auto"/>
              </w:rPr>
            </w:pPr>
          </w:p>
        </w:tc>
      </w:tr>
      <w:tr>
        <w:trPr>
          <w:trHeight w:val="192"/>
        </w:trPr>
        <w:tc>
          <w:tcPr>
            <w:tcW w:w="4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Tomoka Ag Inc.</w:t>
            </w:r>
          </w:p>
        </w:tc>
        <w:tc>
          <w:tcPr>
            <w:tcW w:w="362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rPr>
              <w:t>Florida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w:t>
            </w: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6243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1624330" cy="7620"/>
                    </a:xfrm>
                    <a:prstGeom prst="rect">
                      <a:avLst/>
                    </a:prstGeom>
                    <a:noFill/>
                  </pic:spPr>
                </pic:pic>
              </a:graphicData>
            </a:graphic>
          </wp:anchor>
        </w:drawing>
      </w:r>
    </w:p>
    <w:p>
      <w:pPr>
        <w:spacing w:after="0" w:line="190" w:lineRule="exact"/>
        <w:rPr>
          <w:sz w:val="20"/>
          <w:szCs w:val="20"/>
          <w:color w:val="auto"/>
        </w:rPr>
      </w:pPr>
    </w:p>
    <w:p>
      <w:pPr>
        <w:jc w:val="both"/>
        <w:ind w:left="400" w:hanging="399"/>
        <w:spacing w:after="0" w:line="253" w:lineRule="auto"/>
        <w:tabs>
          <w:tab w:leader="none" w:pos="400"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CTO Realty Growth, Inc. is a limited partner of Indigo Group Ltd., and owns 93.475% of the total partnership equity. Palms Del Mar, Inc. is the other limited partner and owns 5.065% of the total partnership equity. Indigo Group Inc. is the managing general partner and owns 1.46% of the partnership equity.</w:t>
      </w:r>
    </w:p>
    <w:p>
      <w:pPr>
        <w:ind w:left="400" w:hanging="399"/>
        <w:spacing w:after="0" w:line="195" w:lineRule="auto"/>
        <w:tabs>
          <w:tab w:leader="none" w:pos="400" w:val="left"/>
        </w:tabs>
        <w:numPr>
          <w:ilvl w:val="0"/>
          <w:numId w:val="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Tomoka Ag Inc. is 100% owned by Indigo Group Inc.</w:t>
      </w:r>
    </w:p>
    <w:p>
      <w:pPr>
        <w:spacing w:after="0" w:line="37" w:lineRule="exact"/>
        <w:rPr>
          <w:rFonts w:ascii="Times New Roman" w:cs="Times New Roman" w:eastAsia="Times New Roman" w:hAnsi="Times New Roman"/>
          <w:sz w:val="25"/>
          <w:szCs w:val="25"/>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CTO Realty Growth, Inc. is the Member.</w:t>
      </w:r>
    </w:p>
    <w:p>
      <w:pPr>
        <w:spacing w:after="0" w:line="25" w:lineRule="exact"/>
        <w:rPr>
          <w:rFonts w:ascii="Times New Roman" w:cs="Times New Roman" w:eastAsia="Times New Roman" w:hAnsi="Times New Roman"/>
          <w:sz w:val="21"/>
          <w:szCs w:val="21"/>
          <w:color w:val="auto"/>
          <w:vertAlign w:val="superscript"/>
        </w:rPr>
      </w:pPr>
    </w:p>
    <w:p>
      <w:pPr>
        <w:ind w:left="400" w:hanging="399"/>
        <w:spacing w:after="0" w:line="181" w:lineRule="auto"/>
        <w:tabs>
          <w:tab w:leader="none" w:pos="40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Palms Del Mar Inc. is the Member.</w:t>
      </w:r>
    </w:p>
    <w:p>
      <w:pPr>
        <w:spacing w:after="0" w:line="38" w:lineRule="exact"/>
        <w:rPr>
          <w:rFonts w:ascii="Times New Roman" w:cs="Times New Roman" w:eastAsia="Times New Roman" w:hAnsi="Times New Roman"/>
          <w:sz w:val="24"/>
          <w:szCs w:val="24"/>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Indigo Development LLC is the Managing Member.</w:t>
      </w:r>
    </w:p>
    <w:p>
      <w:pPr>
        <w:spacing w:after="0" w:line="38" w:lineRule="exact"/>
        <w:rPr>
          <w:rFonts w:ascii="Times New Roman" w:cs="Times New Roman" w:eastAsia="Times New Roman" w:hAnsi="Times New Roman"/>
          <w:sz w:val="21"/>
          <w:szCs w:val="21"/>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Golden Arrow 6 LLC is the Managing Member.</w:t>
      </w:r>
    </w:p>
    <w:p>
      <w:pPr>
        <w:spacing w:after="0" w:line="38" w:lineRule="exact"/>
        <w:rPr>
          <w:rFonts w:ascii="Times New Roman" w:cs="Times New Roman" w:eastAsia="Times New Roman" w:hAnsi="Times New Roman"/>
          <w:sz w:val="21"/>
          <w:szCs w:val="21"/>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Indigo Group Inc. is the Managing Member.</w:t>
      </w:r>
    </w:p>
    <w:p>
      <w:pPr>
        <w:spacing w:after="0" w:line="38" w:lineRule="exact"/>
        <w:rPr>
          <w:rFonts w:ascii="Times New Roman" w:cs="Times New Roman" w:eastAsia="Times New Roman" w:hAnsi="Times New Roman"/>
          <w:sz w:val="21"/>
          <w:szCs w:val="21"/>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LHC15 Atlantic DB JV LLC is the 50% Managing Member. CTO16 Atlantic LLC is the other 50% Member.</w:t>
      </w:r>
    </w:p>
    <w:p>
      <w:pPr>
        <w:spacing w:after="0" w:line="38" w:lineRule="exact"/>
        <w:rPr>
          <w:rFonts w:ascii="Times New Roman" w:cs="Times New Roman" w:eastAsia="Times New Roman" w:hAnsi="Times New Roman"/>
          <w:sz w:val="21"/>
          <w:szCs w:val="21"/>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Formerly known as Golden Arrow Plaza Retail LLC.</w:t>
      </w:r>
    </w:p>
    <w:p>
      <w:pPr>
        <w:spacing w:after="0" w:line="38" w:lineRule="exact"/>
        <w:rPr>
          <w:rFonts w:ascii="Times New Roman" w:cs="Times New Roman" w:eastAsia="Times New Roman" w:hAnsi="Times New Roman"/>
          <w:sz w:val="21"/>
          <w:szCs w:val="21"/>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Formerly known as DB LAND LLC, formerly known as CTO17 Atlanta LLC.</w:t>
      </w:r>
    </w:p>
    <w:p>
      <w:pPr>
        <w:spacing w:after="0" w:line="25" w:lineRule="exact"/>
        <w:rPr>
          <w:rFonts w:ascii="Times New Roman" w:cs="Times New Roman" w:eastAsia="Times New Roman" w:hAnsi="Times New Roman"/>
          <w:sz w:val="21"/>
          <w:szCs w:val="21"/>
          <w:color w:val="auto"/>
          <w:vertAlign w:val="superscript"/>
        </w:rPr>
      </w:pPr>
    </w:p>
    <w:p>
      <w:pPr>
        <w:ind w:left="400" w:hanging="399"/>
        <w:spacing w:after="0" w:line="181" w:lineRule="auto"/>
        <w:tabs>
          <w:tab w:leader="none" w:pos="40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CTO TRS CRISP 39 LLC is the Member.</w:t>
      </w:r>
    </w:p>
    <w:p>
      <w:pPr>
        <w:spacing w:after="0" w:line="38" w:lineRule="exact"/>
        <w:rPr>
          <w:rFonts w:ascii="Times New Roman" w:cs="Times New Roman" w:eastAsia="Times New Roman" w:hAnsi="Times New Roman"/>
          <w:sz w:val="24"/>
          <w:szCs w:val="24"/>
          <w:color w:val="auto"/>
          <w:vertAlign w:val="superscript"/>
        </w:rPr>
      </w:pPr>
    </w:p>
    <w:p>
      <w:pPr>
        <w:ind w:left="400" w:hanging="399"/>
        <w:spacing w:after="0" w:line="194" w:lineRule="auto"/>
        <w:tabs>
          <w:tab w:leader="none" w:pos="40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Indigo Group LTD is the Managing Member.</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subsidiaries are included in the Consolidated Financial Statements of the Company and its subsidiaries appearing elsewhere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6504305"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6504305" cy="23495"/>
                    </a:xfrm>
                    <a:prstGeom prst="rect">
                      <a:avLst/>
                    </a:prstGeom>
                    <a:noFill/>
                  </pic:spPr>
                </pic:pic>
              </a:graphicData>
            </a:graphic>
          </wp:anchor>
        </w:drawing>
      </w:r>
    </w:p>
    <w:p>
      <w:pPr>
        <w:sectPr>
          <w:pgSz w:w="11900" w:h="16838" w:orient="portrait"/>
          <w:cols w:equalWidth="0" w:num="1">
            <w:col w:w="10240"/>
          </w:cols>
          <w:pgMar w:left="820" w:top="140" w:right="839" w:bottom="1440" w:gutter="0" w:footer="0" w:header="0"/>
        </w:sectPr>
      </w:pPr>
    </w:p>
    <w:bookmarkStart w:id="125" w:name="page126"/>
    <w:bookmarkEnd w:id="125"/>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jc w:val="both"/>
        <w:ind w:left="40" w:right="59" w:firstLine="590"/>
        <w:spacing w:after="0" w:line="269" w:lineRule="auto"/>
        <w:rPr>
          <w:sz w:val="20"/>
          <w:szCs w:val="20"/>
          <w:color w:val="auto"/>
        </w:rPr>
      </w:pPr>
      <w:r>
        <w:rPr>
          <w:rFonts w:ascii="Times New Roman" w:cs="Times New Roman" w:eastAsia="Times New Roman" w:hAnsi="Times New Roman"/>
          <w:sz w:val="16"/>
          <w:szCs w:val="16"/>
          <w:color w:val="auto"/>
        </w:rPr>
        <w:t>We have issued our reports dated February 23, 2023, with respect to the consolidated financial statements and internal control over financial reporting included in the Annual Report of CTO Realty Growth, Inc. on Form 10-K for the year ended December 31, 2022. We consent to the incorporation by reference of said reports in the Registration Statements of CTO Realty Growth, Inc. on Forms S-3 (File No. 333-267819 and 333-249209) and on Forms S-8 (File No. 333-168379, 333-176162, 333-204875 and 333-227885).</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/s/ GRANT THORNTON LLP</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Orlando, Florida</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327660</wp:posOffset>
            </wp:positionV>
            <wp:extent cx="5661025"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5661025" cy="2349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6" w:name="page127"/>
    <w:bookmarkEnd w:id="126"/>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John P. Albright, certify that:</w:t>
      </w:r>
    </w:p>
    <w:p>
      <w:pPr>
        <w:spacing w:after="0" w:line="111" w:lineRule="exact"/>
        <w:rPr>
          <w:sz w:val="20"/>
          <w:szCs w:val="20"/>
          <w:color w:val="auto"/>
        </w:rPr>
      </w:pPr>
    </w:p>
    <w:p>
      <w:pPr>
        <w:ind w:left="460" w:hanging="417"/>
        <w:spacing w:after="0"/>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CTO Realty Growth, Inc.;</w:t>
      </w:r>
    </w:p>
    <w:p>
      <w:pPr>
        <w:spacing w:after="0" w:line="98" w:lineRule="exact"/>
        <w:rPr>
          <w:rFonts w:ascii="Times New Roman" w:cs="Times New Roman" w:eastAsia="Times New Roman" w:hAnsi="Times New Roman"/>
          <w:sz w:val="16"/>
          <w:szCs w:val="16"/>
          <w:color w:val="auto"/>
        </w:rPr>
      </w:pPr>
    </w:p>
    <w:p>
      <w:pPr>
        <w:jc w:val="both"/>
        <w:ind w:left="440" w:right="59" w:hanging="397"/>
        <w:spacing w:after="0" w:line="276" w:lineRule="auto"/>
        <w:tabs>
          <w:tab w:leader="none" w:pos="55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6"/>
          <w:szCs w:val="16"/>
          <w:color w:val="auto"/>
        </w:rPr>
      </w:pPr>
    </w:p>
    <w:p>
      <w:pPr>
        <w:jc w:val="both"/>
        <w:ind w:left="440" w:right="59" w:hanging="397"/>
        <w:spacing w:after="0" w:line="276" w:lineRule="auto"/>
        <w:tabs>
          <w:tab w:leader="none" w:pos="54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6"/>
          <w:szCs w:val="16"/>
          <w:color w:val="auto"/>
        </w:rPr>
      </w:pPr>
    </w:p>
    <w:p>
      <w:pPr>
        <w:jc w:val="both"/>
        <w:ind w:left="440" w:right="59" w:hanging="397"/>
        <w:spacing w:after="0" w:line="268" w:lineRule="auto"/>
        <w:tabs>
          <w:tab w:leader="none" w:pos="47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849"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6"/>
          <w:szCs w:val="16"/>
          <w:color w:val="auto"/>
        </w:rPr>
      </w:pPr>
    </w:p>
    <w:p>
      <w:pPr>
        <w:jc w:val="both"/>
        <w:ind w:left="840" w:right="59" w:hanging="396"/>
        <w:spacing w:after="0" w:line="268" w:lineRule="auto"/>
        <w:tabs>
          <w:tab w:leader="none" w:pos="949"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1013"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921"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6"/>
          <w:szCs w:val="16"/>
          <w:color w:val="auto"/>
        </w:rPr>
      </w:pPr>
    </w:p>
    <w:p>
      <w:pPr>
        <w:jc w:val="both"/>
        <w:ind w:left="440" w:right="59" w:hanging="397"/>
        <w:spacing w:after="0" w:line="276" w:lineRule="auto"/>
        <w:tabs>
          <w:tab w:leader="none" w:pos="40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86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6"/>
          <w:szCs w:val="16"/>
          <w:color w:val="auto"/>
        </w:rPr>
      </w:pPr>
    </w:p>
    <w:p>
      <w:pPr>
        <w:ind w:left="840" w:right="59" w:hanging="396"/>
        <w:spacing w:after="0" w:line="295" w:lineRule="auto"/>
        <w:tabs>
          <w:tab w:leader="none" w:pos="938"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ind w:left="40"/>
        <w:spacing w:after="0"/>
        <w:tabs>
          <w:tab w:leader="none" w:pos="4520" w:val="left"/>
          <w:tab w:leader="none" w:pos="6100" w:val="left"/>
          <w:tab w:leader="none" w:pos="6420" w:val="left"/>
        </w:tabs>
        <w:rPr>
          <w:sz w:val="20"/>
          <w:szCs w:val="20"/>
          <w:color w:val="auto"/>
        </w:rPr>
      </w:pPr>
      <w:r>
        <w:rPr>
          <w:rFonts w:ascii="Times New Roman" w:cs="Times New Roman" w:eastAsia="Times New Roman" w:hAnsi="Times New Roman"/>
          <w:sz w:val="16"/>
          <w:szCs w:val="16"/>
          <w:color w:val="auto"/>
        </w:rPr>
        <w:t>Date: February 23,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t>
        <w:tab/>
        <w:t>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P. A</w:t>
      </w:r>
      <w:r>
        <w:rPr>
          <w:rFonts w:ascii="Times New Roman" w:cs="Times New Roman" w:eastAsia="Times New Roman" w:hAnsi="Times New Roman"/>
          <w:sz w:val="12"/>
          <w:szCs w:val="12"/>
          <w:color w:val="auto"/>
        </w:rPr>
        <w:t>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18415</wp:posOffset>
            </wp:positionV>
            <wp:extent cx="264668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2646680" cy="7620"/>
                    </a:xfrm>
                    <a:prstGeom prst="rect">
                      <a:avLst/>
                    </a:prstGeom>
                    <a:noFill/>
                  </pic:spPr>
                </pic:pic>
              </a:graphicData>
            </a:graphic>
          </wp:anchor>
        </w:drawing>
      </w:r>
    </w:p>
    <w:p>
      <w:pPr>
        <w:spacing w:after="0" w:line="10"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John P. Albright</w:t>
      </w:r>
    </w:p>
    <w:p>
      <w:pPr>
        <w:spacing w:after="0" w:line="25"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467995</wp:posOffset>
            </wp:positionV>
            <wp:extent cx="5661025" cy="234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5661025"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7" w:name="page128"/>
    <w:bookmarkEnd w:id="127"/>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Matthew M. Partridge, certify that:</w:t>
      </w:r>
    </w:p>
    <w:p>
      <w:pPr>
        <w:spacing w:after="0" w:line="111" w:lineRule="exact"/>
        <w:rPr>
          <w:sz w:val="20"/>
          <w:szCs w:val="20"/>
          <w:color w:val="auto"/>
        </w:rPr>
      </w:pPr>
    </w:p>
    <w:p>
      <w:pPr>
        <w:ind w:left="460" w:hanging="417"/>
        <w:spacing w:after="0"/>
        <w:tabs>
          <w:tab w:leader="none" w:pos="4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CTO Realty Growth, Inc.;</w:t>
      </w:r>
    </w:p>
    <w:p>
      <w:pPr>
        <w:spacing w:after="0" w:line="98" w:lineRule="exact"/>
        <w:rPr>
          <w:rFonts w:ascii="Times New Roman" w:cs="Times New Roman" w:eastAsia="Times New Roman" w:hAnsi="Times New Roman"/>
          <w:sz w:val="16"/>
          <w:szCs w:val="16"/>
          <w:color w:val="auto"/>
        </w:rPr>
      </w:pPr>
    </w:p>
    <w:p>
      <w:pPr>
        <w:jc w:val="both"/>
        <w:ind w:left="440" w:right="59" w:hanging="397"/>
        <w:spacing w:after="0" w:line="276" w:lineRule="auto"/>
        <w:tabs>
          <w:tab w:leader="none" w:pos="55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6"/>
          <w:szCs w:val="16"/>
          <w:color w:val="auto"/>
        </w:rPr>
      </w:pPr>
    </w:p>
    <w:p>
      <w:pPr>
        <w:jc w:val="both"/>
        <w:ind w:left="440" w:right="59" w:hanging="397"/>
        <w:spacing w:after="0" w:line="276" w:lineRule="auto"/>
        <w:tabs>
          <w:tab w:leader="none" w:pos="54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6"/>
          <w:szCs w:val="16"/>
          <w:color w:val="auto"/>
        </w:rPr>
      </w:pPr>
    </w:p>
    <w:p>
      <w:pPr>
        <w:jc w:val="both"/>
        <w:ind w:left="440" w:right="59" w:hanging="397"/>
        <w:spacing w:after="0" w:line="268" w:lineRule="auto"/>
        <w:tabs>
          <w:tab w:leader="none" w:pos="47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88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6"/>
          <w:szCs w:val="16"/>
          <w:color w:val="auto"/>
        </w:rPr>
      </w:pPr>
    </w:p>
    <w:p>
      <w:pPr>
        <w:jc w:val="both"/>
        <w:ind w:left="840" w:right="59" w:hanging="396"/>
        <w:spacing w:after="0" w:line="268" w:lineRule="auto"/>
        <w:tabs>
          <w:tab w:leader="none" w:pos="94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1013"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6"/>
          <w:szCs w:val="16"/>
          <w:color w:val="auto"/>
        </w:rPr>
      </w:pPr>
    </w:p>
    <w:p>
      <w:pPr>
        <w:jc w:val="both"/>
        <w:ind w:left="840" w:right="59" w:hanging="396"/>
        <w:spacing w:after="0" w:line="276" w:lineRule="auto"/>
        <w:tabs>
          <w:tab w:leader="none" w:pos="921"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sz w:val="20"/>
          <w:szCs w:val="20"/>
          <w:color w:val="auto"/>
        </w:rPr>
      </w:pPr>
    </w:p>
    <w:p>
      <w:pPr>
        <w:jc w:val="both"/>
        <w:ind w:left="440" w:right="59" w:hanging="397"/>
        <w:spacing w:after="0" w:line="276" w:lineRule="auto"/>
        <w:tabs>
          <w:tab w:leader="none" w:pos="40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6"/>
          <w:szCs w:val="16"/>
          <w:color w:val="auto"/>
        </w:rPr>
      </w:pPr>
    </w:p>
    <w:p>
      <w:pPr>
        <w:jc w:val="both"/>
        <w:ind w:left="840" w:right="59" w:hanging="397"/>
        <w:spacing w:after="0" w:line="276" w:lineRule="auto"/>
        <w:tabs>
          <w:tab w:leader="none" w:pos="86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6"/>
          <w:szCs w:val="16"/>
          <w:color w:val="auto"/>
        </w:rPr>
      </w:pPr>
    </w:p>
    <w:p>
      <w:pPr>
        <w:ind w:left="840" w:right="59" w:hanging="397"/>
        <w:spacing w:after="0" w:line="295" w:lineRule="auto"/>
        <w:tabs>
          <w:tab w:leader="none" w:pos="938"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ind w:left="40"/>
        <w:spacing w:after="0"/>
        <w:tabs>
          <w:tab w:leader="none" w:pos="4520" w:val="left"/>
          <w:tab w:leader="none" w:pos="5700" w:val="left"/>
          <w:tab w:leader="none" w:pos="6020" w:val="left"/>
        </w:tabs>
        <w:rPr>
          <w:sz w:val="20"/>
          <w:szCs w:val="20"/>
          <w:color w:val="auto"/>
        </w:rPr>
      </w:pPr>
      <w:r>
        <w:rPr>
          <w:rFonts w:ascii="Times New Roman" w:cs="Times New Roman" w:eastAsia="Times New Roman" w:hAnsi="Times New Roman"/>
          <w:sz w:val="16"/>
          <w:szCs w:val="16"/>
          <w:color w:val="auto"/>
        </w:rPr>
        <w:t>Date: February 23,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w:t>
        <w:tab/>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18415</wp:posOffset>
            </wp:positionV>
            <wp:extent cx="264668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2646680" cy="7620"/>
                    </a:xfrm>
                    <a:prstGeom prst="rect">
                      <a:avLst/>
                    </a:prstGeom>
                    <a:noFill/>
                  </pic:spPr>
                </pic:pic>
              </a:graphicData>
            </a:graphic>
          </wp:anchor>
        </w:drawing>
      </w:r>
    </w:p>
    <w:p>
      <w:pPr>
        <w:spacing w:after="0" w:line="10"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Matthew M. Partridge</w:t>
      </w:r>
    </w:p>
    <w:p>
      <w:pPr>
        <w:spacing w:after="0" w:line="25"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Senior Vice President, Chief Financial Officer and</w:t>
      </w:r>
    </w:p>
    <w:p>
      <w:pPr>
        <w:spacing w:after="0" w:line="1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Treasurer</w:t>
      </w:r>
    </w:p>
    <w:p>
      <w:pPr>
        <w:spacing w:after="0" w:line="13"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467995</wp:posOffset>
            </wp:positionV>
            <wp:extent cx="5661025" cy="23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5661025"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8" w:name="page129"/>
    <w:bookmarkEnd w:id="128"/>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jc w:val="both"/>
        <w:ind w:left="40" w:right="39" w:firstLine="402"/>
        <w:spacing w:after="0" w:line="269" w:lineRule="auto"/>
        <w:rPr>
          <w:sz w:val="20"/>
          <w:szCs w:val="20"/>
          <w:color w:val="auto"/>
        </w:rPr>
      </w:pPr>
      <w:r>
        <w:rPr>
          <w:rFonts w:ascii="Times New Roman" w:cs="Times New Roman" w:eastAsia="Times New Roman" w:hAnsi="Times New Roman"/>
          <w:sz w:val="16"/>
          <w:szCs w:val="16"/>
          <w:color w:val="auto"/>
        </w:rPr>
        <w:t>In connection with the Annual Report of CTO Realty Growth, Inc. (the “Company”) on Form 10-K for the year ended December 31,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60" w:lineRule="exact"/>
        <w:rPr>
          <w:sz w:val="20"/>
          <w:szCs w:val="20"/>
          <w:color w:val="auto"/>
        </w:rPr>
      </w:pPr>
    </w:p>
    <w:p>
      <w:pPr>
        <w:ind w:left="840" w:hanging="402"/>
        <w:spacing w:after="0"/>
        <w:tabs>
          <w:tab w:leader="none" w:pos="8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6"/>
          <w:szCs w:val="16"/>
          <w:color w:val="auto"/>
        </w:rPr>
      </w:pPr>
    </w:p>
    <w:p>
      <w:pPr>
        <w:ind w:left="840" w:right="59" w:hanging="402"/>
        <w:spacing w:after="0" w:line="279" w:lineRule="auto"/>
        <w:tabs>
          <w:tab w:leader="none" w:pos="94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16"/>
          <w:szCs w:val="16"/>
          <w:color w:val="auto"/>
        </w:rPr>
        <w:t>February 23, 2023</w:t>
      </w:r>
      <w:r>
        <w:rPr>
          <w:sz w:val="20"/>
          <w:szCs w:val="20"/>
          <w:color w:val="auto"/>
        </w:rPr>
        <w:tab/>
      </w:r>
      <w:r>
        <w:rPr>
          <w:rFonts w:ascii="Times New Roman" w:cs="Times New Roman" w:eastAsia="Times New Roman" w:hAnsi="Times New Roman"/>
          <w:sz w:val="16"/>
          <w:szCs w:val="16"/>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6"/>
          <w:szCs w:val="16"/>
          <w:color w:val="auto"/>
        </w:rPr>
        <w:t xml:space="preserve"> P. A</w:t>
      </w:r>
      <w:r>
        <w:rPr>
          <w:rFonts w:ascii="Times New Roman" w:cs="Times New Roman" w:eastAsia="Times New Roman" w:hAnsi="Times New Roman"/>
          <w:sz w:val="12"/>
          <w:szCs w:val="12"/>
          <w:color w:val="auto"/>
        </w:rPr>
        <w:t>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18415</wp:posOffset>
            </wp:positionV>
            <wp:extent cx="271716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2717165" cy="7620"/>
                    </a:xfrm>
                    <a:prstGeom prst="rect">
                      <a:avLst/>
                    </a:prstGeom>
                    <a:noFill/>
                  </pic:spPr>
                </pic:pic>
              </a:graphicData>
            </a:graphic>
          </wp:anchor>
        </w:drawing>
      </w:r>
    </w:p>
    <w:p>
      <w:pPr>
        <w:spacing w:after="0" w:line="10"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6"/>
          <w:szCs w:val="16"/>
          <w:b w:val="1"/>
          <w:bCs w:val="1"/>
          <w:color w:val="auto"/>
        </w:rPr>
        <w:t>John P. Albright</w:t>
      </w:r>
    </w:p>
    <w:p>
      <w:pPr>
        <w:spacing w:after="0" w:line="25"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3"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467995</wp:posOffset>
            </wp:positionV>
            <wp:extent cx="5676900"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5676900" cy="2349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9" w:name="page130"/>
    <w:bookmarkEnd w:id="129"/>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1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2" w:lineRule="exact"/>
        <w:rPr>
          <w:sz w:val="20"/>
          <w:szCs w:val="20"/>
          <w:color w:val="auto"/>
        </w:rPr>
      </w:pPr>
    </w:p>
    <w:p>
      <w:pPr>
        <w:jc w:val="both"/>
        <w:ind w:left="40" w:right="59" w:firstLine="402"/>
        <w:spacing w:after="0" w:line="269" w:lineRule="auto"/>
        <w:rPr>
          <w:sz w:val="20"/>
          <w:szCs w:val="20"/>
          <w:color w:val="auto"/>
        </w:rPr>
      </w:pPr>
      <w:r>
        <w:rPr>
          <w:rFonts w:ascii="Times New Roman" w:cs="Times New Roman" w:eastAsia="Times New Roman" w:hAnsi="Times New Roman"/>
          <w:sz w:val="16"/>
          <w:szCs w:val="16"/>
          <w:color w:val="auto"/>
        </w:rPr>
        <w:t>In connection with the Annual Report of CTO Realty Growth, Inc. (the “Company”) on Form 10-K for the year ended December 31,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60" w:lineRule="exact"/>
        <w:rPr>
          <w:sz w:val="20"/>
          <w:szCs w:val="20"/>
          <w:color w:val="auto"/>
        </w:rPr>
      </w:pPr>
    </w:p>
    <w:p>
      <w:pPr>
        <w:ind w:left="820" w:hanging="391"/>
        <w:spacing w:after="0"/>
        <w:tabs>
          <w:tab w:leader="none" w:pos="8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6"/>
          <w:szCs w:val="16"/>
          <w:color w:val="auto"/>
        </w:rPr>
      </w:pPr>
    </w:p>
    <w:p>
      <w:pPr>
        <w:ind w:left="820" w:right="59" w:hanging="391"/>
        <w:spacing w:after="0" w:line="295" w:lineRule="auto"/>
        <w:tabs>
          <w:tab w:leader="none" w:pos="8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40"/>
        <w:spacing w:after="0"/>
        <w:tabs>
          <w:tab w:leader="none" w:pos="5680" w:val="left"/>
          <w:tab w:leader="none" w:pos="6000" w:val="left"/>
        </w:tabs>
        <w:rPr>
          <w:sz w:val="20"/>
          <w:szCs w:val="20"/>
          <w:color w:val="auto"/>
        </w:rPr>
      </w:pPr>
      <w:r>
        <w:rPr>
          <w:rFonts w:ascii="Times New Roman" w:cs="Times New Roman" w:eastAsia="Times New Roman" w:hAnsi="Times New Roman"/>
          <w:sz w:val="16"/>
          <w:szCs w:val="16"/>
          <w:color w:val="auto"/>
        </w:rPr>
        <w:t>February 23, 2023</w:t>
      </w:r>
      <w:r>
        <w:rPr>
          <w:sz w:val="20"/>
          <w:szCs w:val="20"/>
          <w:color w:val="auto"/>
        </w:rPr>
        <w:tab/>
      </w:r>
      <w:r>
        <w:rPr>
          <w:rFonts w:ascii="Times New Roman" w:cs="Times New Roman" w:eastAsia="Times New Roman" w:hAnsi="Times New Roman"/>
          <w:sz w:val="16"/>
          <w:szCs w:val="16"/>
          <w:color w:val="auto"/>
        </w:rPr>
        <w:t>/s/</w:t>
        <w:tab/>
        <w:t>MATTHEW M.PARTRIDGE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18415</wp:posOffset>
            </wp:positionV>
            <wp:extent cx="27171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2717165" cy="7620"/>
                    </a:xfrm>
                    <a:prstGeom prst="rect">
                      <a:avLst/>
                    </a:prstGeom>
                    <a:noFill/>
                  </pic:spPr>
                </pic:pic>
              </a:graphicData>
            </a:graphic>
          </wp:anchor>
        </w:drawing>
      </w:r>
    </w:p>
    <w:p>
      <w:pPr>
        <w:spacing w:after="0" w:line="1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Matthew M. Partridge</w:t>
      </w:r>
    </w:p>
    <w:p>
      <w:pPr>
        <w:spacing w:after="0" w:line="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Senior Vice President, Chief Financial Officer and Treasurer</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475615</wp:posOffset>
            </wp:positionV>
            <wp:extent cx="567690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sectPr>
      <w:pgSz w:w="11900" w:h="16838" w:orient="portrait"/>
      <w:cols w:equalWidth="0" w:num="1">
        <w:col w:w="9019"/>
      </w:cols>
      <w:pgMar w:left="144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lowerRoman"/>
      <w:start w:val="2"/>
    </w:lvl>
  </w:abstractNum>
  <w:abstractNum w:abstractNumId="32">
    <w:nsid w:val="6DE91B18"/>
    <w:multiLevelType w:val="hybridMultilevel"/>
    <w:lvl w:ilvl="0">
      <w:lvlJc w:val="left"/>
      <w:lvlText w:val="*"/>
      <w:numFmt w:val="bullet"/>
      <w:start w:val="1"/>
    </w:lvl>
    <w:lvl w:ilvl="1">
      <w:lvlJc w:val="left"/>
      <w:lvlText w:val="%2"/>
      <w:numFmt w:val="decimal"/>
      <w:start w:val="104"/>
    </w:lvl>
  </w:abstractNum>
  <w:abstractNum w:abstractNumId="33">
    <w:nsid w:val="38437FDB"/>
    <w:multiLevelType w:val="hybridMultilevel"/>
    <w:lvl w:ilvl="0">
      <w:lvlJc w:val="left"/>
      <w:lvlText w:val="**"/>
      <w:numFmt w:val="bullet"/>
      <w:start w:val="1"/>
    </w:lvl>
    <w:lvl w:ilvl="1">
      <w:lvlJc w:val="left"/>
      <w:lvlText w:val="%2"/>
      <w:numFmt w:val="decimal"/>
      <w:start w:val="1"/>
    </w:lvl>
  </w:abstractNum>
  <w:abstractNum w:abstractNumId="34">
    <w:nsid w:val="7644A45C"/>
    <w:multiLevelType w:val="hybridMultilevel"/>
    <w:lvl w:ilvl="0">
      <w:lvlJc w:val="left"/>
      <w:lvlText w:val="***"/>
      <w:numFmt w:val="bullet"/>
      <w:start w:val="1"/>
    </w:lvl>
    <w:lvl w:ilvl="1">
      <w:lvlJc w:val="left"/>
      <w:lvlText w:val="%2"/>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lowerRoman"/>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lowerLetter"/>
      <w:start w:val="5"/>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5"/>
      <w:numFmt w:val="bullet"/>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87" Type="http://schemas.openxmlformats.org/officeDocument/2006/relationships/hyperlink" Target="https://www.sec.gov/Archives/edgar/data/23795/000155837020010990/cto-20200903xex2d1.htm" TargetMode="External"/><Relationship Id="rId88" Type="http://schemas.openxmlformats.org/officeDocument/2006/relationships/hyperlink" Target="https://www.sec.gov/Archives/edgar/data/23795/000155837021005910/cto-20210503xex2d1.htm" TargetMode="External"/><Relationship Id="rId89" Type="http://schemas.openxmlformats.org/officeDocument/2006/relationships/hyperlink" Target="https://www.sec.gov/Archives/edgar/data/23795/000155837022014316/cto-20220909xex2d1.htm" TargetMode="External"/><Relationship Id="rId90" Type="http://schemas.openxmlformats.org/officeDocument/2006/relationships/hyperlink" Target="https://www.sec.gov/Archives/edgar/data/23795/000155837022018275/cto-20221128xex2d1.htm" TargetMode="External"/><Relationship Id="rId91" Type="http://schemas.openxmlformats.org/officeDocument/2006/relationships/hyperlink" Target="https://www.sec.gov/Archives/edgar/data/23795/000119312521023648/d113606dex31.htm" TargetMode="External"/><Relationship Id="rId92" Type="http://schemas.openxmlformats.org/officeDocument/2006/relationships/hyperlink" Target="https://www.sec.gov/Archives/edgar/data/23795/000155837023001536/cto-20230216xex3d1.htm" TargetMode="External"/><Relationship Id="rId93" Type="http://schemas.openxmlformats.org/officeDocument/2006/relationships/hyperlink" Target="https://www.sec.gov/Archives/edgar/data/23795/000119312521206336/d124719dex32.htm" TargetMode="External"/><Relationship Id="rId94" Type="http://schemas.openxmlformats.org/officeDocument/2006/relationships/hyperlink" Target="https://www.sec.gov/Archives/edgar/data/23795/000119312521023648/d113606dex42.htm" TargetMode="External"/><Relationship Id="rId95" Type="http://schemas.openxmlformats.org/officeDocument/2006/relationships/hyperlink" Target="http://www.sec.gov/Archives/edgar/data/23795/000155837019011237/ex-4d21.htm" TargetMode="External"/><Relationship Id="rId96" Type="http://schemas.openxmlformats.org/officeDocument/2006/relationships/hyperlink" Target="https://www.sec.gov/Archives/edgar/data/23795/000155837020000541/ex-4d1.htm" TargetMode="External"/><Relationship Id="rId97" Type="http://schemas.openxmlformats.org/officeDocument/2006/relationships/hyperlink" Target="https://www.sec.gov/Archives/edgar/data/23795/000119312521023648/d113606dex43.htm" TargetMode="External"/><Relationship Id="rId98" Type="http://schemas.openxmlformats.org/officeDocument/2006/relationships/hyperlink" Target="https://www.sec.gov/Archives/edgar/data/23795/000155837022001966/cto-20211231xex4d6.htm" TargetMode="External"/><Relationship Id="rId99" Type="http://schemas.openxmlformats.org/officeDocument/2006/relationships/hyperlink" Target="https://www.sec.gov/Archives/edgar/data/0000023795/000155837021013743/cto-20210930xex10d4.htm" TargetMode="External"/><Relationship Id="rId100" Type="http://schemas.openxmlformats.org/officeDocument/2006/relationships/hyperlink" Target="http://www.sec.gov/Archives/edgar/data/23795/000155837017001013/cto-20161231ex102844e3e.htm" TargetMode="External"/><Relationship Id="rId101" Type="http://schemas.openxmlformats.org/officeDocument/2006/relationships/hyperlink" Target="http://www.sec.gov/Archives/edgar/data/23795/000119312511063638/dex1016.htm" TargetMode="External"/><Relationship Id="rId102" Type="http://schemas.openxmlformats.org/officeDocument/2006/relationships/hyperlink" Target="https://www.sec.gov/Archives/edgar/data/23795/000155837022010516/cto-20220628xex10d1.htm" TargetMode="External"/><Relationship Id="rId103" Type="http://schemas.openxmlformats.org/officeDocument/2006/relationships/hyperlink" Target="https://www.sec.gov/Archives/edgar/data/23795/000155837022010516/cto-20220628xex10d2.htm" TargetMode="External"/><Relationship Id="rId104" Type="http://schemas.openxmlformats.org/officeDocument/2006/relationships/hyperlink" Target="http://www.sec.gov/Archives/edgar/data/23795/000155837019001302/cto-20181231ex10314a636.htm" TargetMode="External"/><Relationship Id="rId105" Type="http://schemas.openxmlformats.org/officeDocument/2006/relationships/hyperlink" Target="https://www.sec.gov/Archives/edgar/data/0000023795/000155837021002457/cto-20201231xex10d15.htm" TargetMode="External"/><Relationship Id="rId106" Type="http://schemas.openxmlformats.org/officeDocument/2006/relationships/hyperlink" Target="https://www.sec.gov/Archives/edgar/data/23795/000155837020002154/cto-20191231ex1023edc3e.htm" TargetMode="External"/><Relationship Id="rId107" Type="http://schemas.openxmlformats.org/officeDocument/2006/relationships/hyperlink" Target="https://www.sec.gov/Archives/edgar/data/0000023795/000155837021002457/cto-20201231xex10d17.htm" TargetMode="External"/><Relationship Id="rId108" Type="http://schemas.openxmlformats.org/officeDocument/2006/relationships/hyperlink" Target="https://www.sec.gov/Archives/edgar/data/23795/000155837022001966/cto-20211231xex10d8.htm" TargetMode="External"/><Relationship Id="rId109" Type="http://schemas.openxmlformats.org/officeDocument/2006/relationships/hyperlink" Target="https://www.sec.gov/Archives/edgar/data/23795/000155837022010516/cto-20220628xex10d3.htm" TargetMode="External"/><Relationship Id="rId110" Type="http://schemas.openxmlformats.org/officeDocument/2006/relationships/hyperlink" Target="http://www.sec.gov/Archives/edgar/data/23795/000002379511000021/albrightemploymentagreement.htm" TargetMode="External"/><Relationship Id="rId111" Type="http://schemas.openxmlformats.org/officeDocument/2006/relationships/hyperlink" Target="http://www.sec.gov/Archives/edgar/data/23795/000119312515069704/d832402dex1024.htm" TargetMode="External"/><Relationship Id="rId112" Type="http://schemas.openxmlformats.org/officeDocument/2006/relationships/hyperlink" Target="https://www.sec.gov/Archives/edgar/data/23795/000155837020011096/cto-20200908xex10d1.htm" TargetMode="External"/><Relationship Id="rId113" Type="http://schemas.openxmlformats.org/officeDocument/2006/relationships/hyperlink" Target="http://www.sec.gov/Archives/edgar/data/23795/000155837017007053/ex-10d1.htm" TargetMode="External"/><Relationship Id="rId114" Type="http://schemas.openxmlformats.org/officeDocument/2006/relationships/hyperlink" Target="http://www.sec.gov/Archives/edgar/data/23795/000155837019005443/ex-10d1.htm" TargetMode="External"/><Relationship Id="rId115" Type="http://schemas.openxmlformats.org/officeDocument/2006/relationships/hyperlink" Target="http://www.sec.gov/Archives/edgar/data/23795/000155837019011237/ex-10d1.htm" TargetMode="External"/><Relationship Id="rId116" Type="http://schemas.openxmlformats.org/officeDocument/2006/relationships/hyperlink" Target="https://www.sec.gov/Archives/edgar/data/23795/000155837020009986/cto-20200630ex1034b7215.htm" TargetMode="External"/><Relationship Id="rId117" Type="http://schemas.openxmlformats.org/officeDocument/2006/relationships/hyperlink" Target="https://www.sec.gov/Archives/edgar/data/23795/000155837020013817/cto-20201109xex10d1.htm" TargetMode="External"/><Relationship Id="rId118" Type="http://schemas.openxmlformats.org/officeDocument/2006/relationships/hyperlink" Target="https://www.sec.gov/Archives/edgar/data/0000023795/000155837021002933/cto-20210310xex10d1.htm" TargetMode="External"/><Relationship Id="rId119" Type="http://schemas.openxmlformats.org/officeDocument/2006/relationships/hyperlink" Target="https://www.sec.gov/Archives/edgar/data/23795/000155837022001966/cto-20211231xex10d19.htm" TargetMode="External"/><Relationship Id="rId120" Type="http://schemas.openxmlformats.org/officeDocument/2006/relationships/hyperlink" Target="https://www.sec.gov/Archives/edgar/data/23795/000155837022014604/cto-20220920xex10d1.htm" TargetMode="External"/><Relationship Id="rId121" Type="http://schemas.openxmlformats.org/officeDocument/2006/relationships/hyperlink" Target="http://www.sec.gov/Archives/edgar/data/23795/000155837019011237/ex-10d4.htm" TargetMode="External"/><Relationship Id="rId122" Type="http://schemas.openxmlformats.org/officeDocument/2006/relationships/hyperlink" Target="http://www.sec.gov/Archives/edgar/data/23795/000155837019011237/ex-10d2.htm" TargetMode="External"/><Relationship Id="rId123" Type="http://schemas.openxmlformats.org/officeDocument/2006/relationships/hyperlink" Target="http://www.sec.gov/Archives/edgar/data/23795/000155837019011237/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2023-02-23T18:29:46Z</dcterms:created>
  <dcterms:modified xsi:type="dcterms:W3CDTF">2023-02-23T18:29:46Z</dcterms:modified>
</cp:coreProperties>
</file>