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222885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6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90170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1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112395</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79" w:lineRule="exact"/>
        <w:rPr>
          <w:sz w:val="24"/>
          <w:szCs w:val="24"/>
          <w:color w:val="auto"/>
        </w:rPr>
      </w:pPr>
    </w:p>
    <w:p>
      <w:pPr>
        <w:ind w:left="430" w:right="180" w:hanging="430"/>
        <w:spacing w:after="0" w:line="273" w:lineRule="auto"/>
        <w:tabs>
          <w:tab w:leader="none" w:pos="43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4"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2025</w:t>
      </w:r>
    </w:p>
    <w:p>
      <w:pPr>
        <w:spacing w:after="0" w:line="25"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2" w:lineRule="exact"/>
        <w:rPr>
          <w:sz w:val="24"/>
          <w:szCs w:val="24"/>
          <w:color w:val="auto"/>
        </w:rPr>
      </w:pPr>
    </w:p>
    <w:p>
      <w:pPr>
        <w:ind w:left="430" w:right="180" w:hanging="430"/>
        <w:spacing w:after="0" w:line="287" w:lineRule="auto"/>
        <w:tabs>
          <w:tab w:leader="none" w:pos="43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 w:lineRule="exact"/>
        <w:rPr>
          <w:sz w:val="24"/>
          <w:szCs w:val="24"/>
          <w:color w:val="auto"/>
        </w:rPr>
      </w:pPr>
    </w:p>
    <w:p>
      <w:pPr>
        <w:ind w:left="3130"/>
        <w:spacing w:after="0"/>
        <w:tabs>
          <w:tab w:leader="none" w:pos="609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3342005</wp:posOffset>
            </wp:positionH>
            <wp:positionV relativeFrom="paragraph">
              <wp:posOffset>-3175</wp:posOffset>
            </wp:positionV>
            <wp:extent cx="1165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53"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Commission file number 001-11350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90170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90"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40"/>
          <w:szCs w:val="40"/>
          <w:b w:val="1"/>
          <w:bCs w:val="1"/>
          <w:color w:val="auto"/>
        </w:rPr>
        <w:t>CTO REALTY GROWTH, INC.</w:t>
      </w:r>
    </w:p>
    <w:p>
      <w:pPr>
        <w:spacing w:after="0" w:line="5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60325</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81" w:lineRule="exact"/>
        <w:rPr>
          <w:sz w:val="24"/>
          <w:szCs w:val="24"/>
          <w:color w:val="auto"/>
        </w:rPr>
      </w:pPr>
    </w:p>
    <w:tbl>
      <w:tblPr>
        <w:tblLayout w:type="fixed"/>
        <w:tblInd w:w="1210" w:type="dxa"/>
        <w:tblCellMar>
          <w:top w:w="0" w:type="dxa"/>
          <w:left w:w="0" w:type="dxa"/>
          <w:bottom w:w="0" w:type="dxa"/>
          <w:right w:w="0" w:type="dxa"/>
        </w:tblCellMar>
      </w:tblPr>
      <w:tr>
        <w:trPr>
          <w:trHeight w:val="189"/>
        </w:trPr>
        <w:tc>
          <w:tcPr>
            <w:tcW w:w="5840" w:type="dxa"/>
            <w:vAlign w:val="bottom"/>
          </w:tcPr>
          <w:p>
            <w:pPr>
              <w:jc w:val="center"/>
              <w:ind w:right="3099"/>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13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59-0483700</w:t>
            </w:r>
          </w:p>
        </w:tc>
      </w:tr>
      <w:tr>
        <w:trPr>
          <w:trHeight w:val="189"/>
        </w:trPr>
        <w:tc>
          <w:tcPr>
            <w:tcW w:w="5840" w:type="dxa"/>
            <w:vAlign w:val="bottom"/>
          </w:tcPr>
          <w:p>
            <w:pPr>
              <w:jc w:val="center"/>
              <w:ind w:right="309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5840" w:type="dxa"/>
            <w:vAlign w:val="bottom"/>
          </w:tcPr>
          <w:p>
            <w:pPr>
              <w:jc w:val="center"/>
              <w:ind w:right="309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274"/>
        </w:trPr>
        <w:tc>
          <w:tcPr>
            <w:tcW w:w="5840" w:type="dxa"/>
            <w:vAlign w:val="bottom"/>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369 N. New York Avenue, Suite 201</w:t>
            </w:r>
          </w:p>
        </w:tc>
        <w:tc>
          <w:tcPr>
            <w:tcW w:w="1360" w:type="dxa"/>
            <w:vAlign w:val="bottom"/>
          </w:tcPr>
          <w:p>
            <w:pPr>
              <w:spacing w:after="0"/>
              <w:rPr>
                <w:sz w:val="23"/>
                <w:szCs w:val="23"/>
                <w:color w:val="auto"/>
              </w:rPr>
            </w:pPr>
          </w:p>
        </w:tc>
      </w:tr>
      <w:tr>
        <w:trPr>
          <w:trHeight w:val="189"/>
        </w:trPr>
        <w:tc>
          <w:tcPr>
            <w:tcW w:w="5840" w:type="dxa"/>
            <w:vAlign w:val="bottom"/>
          </w:tcPr>
          <w:p>
            <w:pPr>
              <w:jc w:val="center"/>
              <w:ind w:right="3099"/>
              <w:spacing w:after="0"/>
              <w:rPr>
                <w:sz w:val="20"/>
                <w:szCs w:val="20"/>
                <w:color w:val="auto"/>
              </w:rPr>
            </w:pPr>
            <w:r>
              <w:rPr>
                <w:rFonts w:ascii="Times New Roman" w:cs="Times New Roman" w:eastAsia="Times New Roman" w:hAnsi="Times New Roman"/>
                <w:sz w:val="16"/>
                <w:szCs w:val="16"/>
                <w:b w:val="1"/>
                <w:bCs w:val="1"/>
                <w:color w:val="auto"/>
              </w:rPr>
              <w:t>Winter Park, Florida</w:t>
            </w:r>
          </w:p>
        </w:tc>
        <w:tc>
          <w:tcPr>
            <w:tcW w:w="13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32789</w:t>
            </w:r>
          </w:p>
        </w:tc>
      </w:tr>
      <w:tr>
        <w:trPr>
          <w:trHeight w:val="212"/>
        </w:trPr>
        <w:tc>
          <w:tcPr>
            <w:tcW w:w="5840" w:type="dxa"/>
            <w:vAlign w:val="bottom"/>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(Zip Code)</w:t>
            </w:r>
          </w:p>
        </w:tc>
      </w:tr>
      <w:tr>
        <w:trPr>
          <w:trHeight w:val="233"/>
        </w:trPr>
        <w:tc>
          <w:tcPr>
            <w:tcW w:w="5840" w:type="dxa"/>
            <w:vAlign w:val="bottom"/>
          </w:tcPr>
          <w:p>
            <w:pPr>
              <w:jc w:val="right"/>
              <w:ind w:right="1339"/>
              <w:spacing w:after="0"/>
              <w:rPr>
                <w:sz w:val="20"/>
                <w:szCs w:val="20"/>
                <w:color w:val="auto"/>
              </w:rPr>
            </w:pPr>
            <w:r>
              <w:rPr>
                <w:rFonts w:ascii="Times New Roman" w:cs="Times New Roman" w:eastAsia="Times New Roman" w:hAnsi="Times New Roman"/>
                <w:sz w:val="16"/>
                <w:szCs w:val="16"/>
                <w:b w:val="1"/>
                <w:bCs w:val="1"/>
                <w:color w:val="auto"/>
              </w:rPr>
              <w:t>(407) 904-3324</w:t>
            </w:r>
          </w:p>
        </w:tc>
        <w:tc>
          <w:tcPr>
            <w:tcW w:w="1360" w:type="dxa"/>
            <w:vAlign w:val="bottom"/>
          </w:tcPr>
          <w:p>
            <w:pPr>
              <w:spacing w:after="0"/>
              <w:rPr>
                <w:sz w:val="20"/>
                <w:szCs w:val="20"/>
                <w:color w:val="auto"/>
              </w:rPr>
            </w:pPr>
          </w:p>
        </w:tc>
      </w:tr>
      <w:tr>
        <w:trPr>
          <w:trHeight w:val="212"/>
        </w:trPr>
        <w:tc>
          <w:tcPr>
            <w:tcW w:w="5840" w:type="dxa"/>
            <w:vAlign w:val="bottom"/>
          </w:tcPr>
          <w:p>
            <w:pPr>
              <w:jc w:val="center"/>
              <w:ind w:left="189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1360" w:type="dxa"/>
            <w:vAlign w:val="bottom"/>
          </w:tcPr>
          <w:p>
            <w:pPr>
              <w:spacing w:after="0"/>
              <w:rPr>
                <w:sz w:val="18"/>
                <w:szCs w:val="18"/>
                <w:color w:val="auto"/>
              </w:rPr>
            </w:pPr>
          </w:p>
        </w:tc>
      </w:tr>
    </w:tbl>
    <w:p>
      <w:pPr>
        <w:spacing w:after="0" w:line="17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5"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69215</wp:posOffset>
            </wp:positionV>
            <wp:extent cx="162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8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10230"/>
          </w:cols>
          <w:pgMar w:left="830" w:top="661" w:right="839" w:bottom="1440" w:gutter="0" w:footer="0" w:header="0"/>
        </w:sectPr>
      </w:pPr>
    </w:p>
    <w:p>
      <w:pPr>
        <w:spacing w:after="0" w:line="233" w:lineRule="exact"/>
        <w:rPr>
          <w:sz w:val="24"/>
          <w:szCs w:val="24"/>
          <w:color w:val="auto"/>
        </w:rPr>
      </w:pPr>
    </w:p>
    <w:p>
      <w:pPr>
        <w:jc w:val="center"/>
        <w:ind w:left="41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wp:posOffset>
            </wp:positionV>
            <wp:extent cx="21513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8" w:lineRule="exact"/>
        <w:rPr>
          <w:sz w:val="24"/>
          <w:szCs w:val="24"/>
          <w:color w:val="auto"/>
        </w:rPr>
      </w:pPr>
    </w:p>
    <w:p>
      <w:pPr>
        <w:jc w:val="both"/>
        <w:ind w:left="410" w:firstLine="13"/>
        <w:spacing w:after="0" w:line="280" w:lineRule="auto"/>
        <w:rPr>
          <w:sz w:val="20"/>
          <w:szCs w:val="20"/>
          <w:color w:val="auto"/>
        </w:rPr>
      </w:pPr>
      <w:r>
        <w:rPr>
          <w:rFonts w:ascii="Times New Roman" w:cs="Times New Roman" w:eastAsia="Times New Roman" w:hAnsi="Times New Roman"/>
          <w:sz w:val="14"/>
          <w:szCs w:val="14"/>
          <w:b w:val="1"/>
          <w:bCs w:val="1"/>
          <w:color w:val="auto"/>
        </w:rPr>
        <w:t>Common Stock, $0.01 par value per share 6.375% Series A Cumulative Redeemable Preferred Stock, $0.01 par value per share</w:t>
      </w:r>
    </w:p>
    <w:p>
      <w:pPr>
        <w:spacing w:after="0" w:line="20" w:lineRule="exact"/>
        <w:rPr>
          <w:sz w:val="24"/>
          <w:szCs w:val="24"/>
          <w:color w:val="auto"/>
        </w:rPr>
      </w:pPr>
      <w:r>
        <w:rPr>
          <w:sz w:val="24"/>
          <w:szCs w:val="24"/>
          <w:color w:val="auto"/>
        </w:rPr>
        <w:br w:type="column"/>
      </w:r>
    </w:p>
    <w:p>
      <w:pPr>
        <w:spacing w:after="0" w:line="21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32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84"/>
        </w:trPr>
        <w:tc>
          <w:tcPr>
            <w:tcW w:w="3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CTO</w:t>
            </w:r>
          </w:p>
        </w:tc>
        <w:tc>
          <w:tcPr>
            <w:tcW w:w="200" w:type="dxa"/>
            <w:vAlign w:val="bottom"/>
          </w:tcPr>
          <w:p>
            <w:pPr>
              <w:spacing w:after="0"/>
              <w:rPr>
                <w:sz w:val="15"/>
                <w:szCs w:val="15"/>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NYSE</w:t>
            </w:r>
          </w:p>
        </w:tc>
      </w:tr>
      <w:tr>
        <w:trPr>
          <w:trHeight w:val="371"/>
        </w:trPr>
        <w:tc>
          <w:tcPr>
            <w:tcW w:w="3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CTO</w:t>
            </w:r>
            <w:r>
              <w:rPr>
                <w:rFonts w:ascii="Times New Roman" w:cs="Times New Roman" w:eastAsia="Times New Roman" w:hAnsi="Times New Roman"/>
                <w:sz w:val="16"/>
                <w:szCs w:val="16"/>
                <w:color w:val="auto"/>
                <w:w w:val="99"/>
              </w:rPr>
              <w:t>-</w:t>
            </w:r>
            <w:r>
              <w:rPr>
                <w:rFonts w:ascii="Times New Roman" w:cs="Times New Roman" w:eastAsia="Times New Roman" w:hAnsi="Times New Roman"/>
                <w:sz w:val="14"/>
                <w:szCs w:val="14"/>
                <w:b w:val="1"/>
                <w:bCs w:val="1"/>
                <w:color w:val="auto"/>
                <w:w w:val="99"/>
              </w:rPr>
              <w:t>PA</w:t>
            </w: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NYSE</w:t>
            </w:r>
          </w:p>
        </w:tc>
      </w:tr>
    </w:tbl>
    <w:p>
      <w:pPr>
        <w:spacing w:after="0" w:line="168" w:lineRule="exact"/>
        <w:rPr>
          <w:sz w:val="24"/>
          <w:szCs w:val="24"/>
          <w:color w:val="auto"/>
        </w:rPr>
      </w:pPr>
    </w:p>
    <w:p>
      <w:pPr>
        <w:sectPr>
          <w:pgSz w:w="11900" w:h="16838" w:orient="portrait"/>
          <w:cols w:equalWidth="0" w:num="2">
            <w:col w:w="2990" w:space="600"/>
            <w:col w:w="6640"/>
          </w:cols>
          <w:pgMar w:left="830" w:top="661" w:right="839" w:bottom="1440" w:gutter="0" w:footer="0" w:header="0"/>
          <w:type w:val="continuous"/>
        </w:sectPr>
      </w:pPr>
    </w:p>
    <w:p>
      <w:pPr>
        <w:ind w:left="10" w:right="160" w:firstLine="441"/>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left="10" w:right="180" w:firstLine="441"/>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ind w:left="10" w:right="160" w:firstLine="441"/>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 w:lineRule="exact"/>
        <w:rPr>
          <w:sz w:val="24"/>
          <w:szCs w:val="24"/>
          <w:color w:val="auto"/>
        </w:rPr>
      </w:pPr>
    </w:p>
    <w:tbl>
      <w:tblPr>
        <w:tblLayout w:type="fixed"/>
        <w:tblInd w:w="10" w:type="dxa"/>
        <w:tblCellMar>
          <w:top w:w="0" w:type="dxa"/>
          <w:left w:w="0" w:type="dxa"/>
          <w:bottom w:w="0" w:type="dxa"/>
          <w:right w:w="0" w:type="dxa"/>
        </w:tblCellMar>
      </w:tblPr>
      <w:tr>
        <w:trPr>
          <w:trHeight w:val="272"/>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Accelerated Filer</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97"/>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97"/>
        </w:trPr>
        <w:tc>
          <w:tcPr>
            <w:tcW w:w="19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Emerging Growth Company</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20" w:lineRule="exact"/>
        <w:rPr>
          <w:sz w:val="24"/>
          <w:szCs w:val="24"/>
          <w:color w:val="auto"/>
        </w:rPr>
      </w:pPr>
    </w:p>
    <w:p>
      <w:pPr>
        <w:ind w:left="10" w:right="140" w:firstLine="441"/>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450" w:right="1280"/>
        <w:spacing w:after="0" w:line="24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24, 2025, there were 32,934,716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587375</wp:posOffset>
            </wp:positionV>
            <wp:extent cx="649795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210185</wp:posOffset>
            </wp:positionV>
            <wp:extent cx="6497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193040</wp:posOffset>
            </wp:positionV>
            <wp:extent cx="64979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60" w:type="dxa"/>
            <w:vAlign w:val="bottom"/>
            <w:gridSpan w:val="9"/>
          </w:tcPr>
          <w:p>
            <w:pPr>
              <w:ind w:left="1060"/>
              <w:spacing w:after="0"/>
              <w:rPr>
                <w:sz w:val="20"/>
                <w:szCs w:val="20"/>
                <w:color w:val="auto"/>
              </w:rPr>
            </w:pPr>
            <w:r>
              <w:rPr>
                <w:rFonts w:ascii="Times New Roman" w:cs="Times New Roman" w:eastAsia="Times New Roman" w:hAnsi="Times New Roman"/>
                <w:sz w:val="18"/>
                <w:szCs w:val="18"/>
                <w:color w:val="auto"/>
              </w:rPr>
              <w:t>INDEX</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8"/>
        </w:trPr>
        <w:tc>
          <w:tcPr>
            <w:tcW w:w="846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EE"/>
              </w:rPr>
              <w:t>PART I—FINANCIAL INFORMATION</w:t>
            </w:r>
          </w:p>
        </w:tc>
        <w:tc>
          <w:tcPr>
            <w:tcW w:w="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w:t>
            </w:r>
          </w:p>
        </w:tc>
        <w:tc>
          <w:tcPr>
            <w:tcW w:w="0" w:type="dxa"/>
            <w:vAlign w:val="bottom"/>
          </w:tcPr>
          <w:p>
            <w:pPr>
              <w:spacing w:after="0"/>
              <w:rPr>
                <w:sz w:val="1"/>
                <w:szCs w:val="1"/>
                <w:color w:val="auto"/>
              </w:rPr>
            </w:pPr>
          </w:p>
        </w:tc>
      </w:tr>
      <w:tr>
        <w:trPr>
          <w:trHeight w:val="156"/>
        </w:trPr>
        <w:tc>
          <w:tcPr>
            <w:tcW w:w="8460" w:type="dxa"/>
            <w:vAlign w:val="bottom"/>
            <w:gridSpan w:val="24"/>
            <w:vMerge w:val="continue"/>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7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1580" w:type="dxa"/>
            <w:vAlign w:val="bottom"/>
            <w:tcBorders>
              <w:top w:val="single" w:sz="8" w:color="0000EE"/>
              <w:bottom w:val="single" w:sz="8" w:color="0000EE"/>
            </w:tcBorders>
            <w:gridSpan w:val="7"/>
          </w:tcPr>
          <w:p>
            <w:pPr>
              <w:ind w:left="80"/>
              <w:spacing w:after="0"/>
              <w:rPr>
                <w:sz w:val="20"/>
                <w:szCs w:val="20"/>
                <w:color w:val="auto"/>
              </w:rPr>
            </w:pPr>
            <w:r>
              <w:rPr>
                <w:rFonts w:ascii="Times New Roman" w:cs="Times New Roman" w:eastAsia="Times New Roman" w:hAnsi="Times New Roman"/>
                <w:sz w:val="18"/>
                <w:szCs w:val="18"/>
                <w:color w:val="0000EE"/>
                <w:w w:val="98"/>
              </w:rPr>
              <w:t>Financial Statements</w:t>
            </w:r>
          </w:p>
        </w:tc>
        <w:tc>
          <w:tcPr>
            <w:tcW w:w="680" w:type="dxa"/>
            <w:vAlign w:val="bottom"/>
            <w:tcBorders>
              <w:top w:val="single" w:sz="8" w:color="0000EE"/>
            </w:tcBorders>
            <w:gridSpan w:val="4"/>
          </w:tcPr>
          <w:p>
            <w:pPr>
              <w:spacing w:after="0"/>
              <w:rPr>
                <w:sz w:val="24"/>
                <w:szCs w:val="24"/>
                <w:color w:val="auto"/>
              </w:rPr>
            </w:pPr>
          </w:p>
        </w:tc>
        <w:tc>
          <w:tcPr>
            <w:tcW w:w="5500" w:type="dxa"/>
            <w:vAlign w:val="bottom"/>
            <w:gridSpan w:val="10"/>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61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Consolidated Balance Sheets – March 31, 2025 (Unaudited) and December 31, 2024</w:t>
            </w:r>
          </w:p>
        </w:tc>
        <w:tc>
          <w:tcPr>
            <w:tcW w:w="2040" w:type="dxa"/>
            <w:vAlign w:val="bottom"/>
            <w:gridSpan w:val="5"/>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728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 Three months ended March 31, 2025 and 2024 (Unaudited)</w:t>
            </w:r>
          </w:p>
        </w:tc>
        <w:tc>
          <w:tcPr>
            <w:tcW w:w="860" w:type="dxa"/>
            <w:vAlign w:val="bottom"/>
            <w:gridSpan w:val="2"/>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81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 Three months ended March 31, 2025 and 2024</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(Unaudited)</w:t>
            </w:r>
          </w:p>
        </w:tc>
        <w:tc>
          <w:tcPr>
            <w:tcW w:w="6280" w:type="dxa"/>
            <w:vAlign w:val="bottom"/>
            <w:tcBorders>
              <w:top w:val="single" w:sz="8" w:color="0000EE"/>
            </w:tcBorders>
            <w:gridSpan w:val="17"/>
          </w:tcPr>
          <w:p>
            <w:pPr>
              <w:spacing w:after="0"/>
              <w:rPr>
                <w:sz w:val="17"/>
                <w:szCs w:val="17"/>
                <w:color w:val="auto"/>
              </w:rPr>
            </w:pPr>
          </w:p>
        </w:tc>
        <w:tc>
          <w:tcPr>
            <w:tcW w:w="86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710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Consolidated Statements of Stockholders’ Equity – Three months ended March 31, 2025 and 2024</w:t>
            </w:r>
          </w:p>
        </w:tc>
        <w:tc>
          <w:tcPr>
            <w:tcW w:w="1040" w:type="dxa"/>
            <w:vAlign w:val="bottom"/>
            <w:gridSpan w:val="3"/>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(Unaudited)</w:t>
            </w:r>
          </w:p>
        </w:tc>
        <w:tc>
          <w:tcPr>
            <w:tcW w:w="7140" w:type="dxa"/>
            <w:vAlign w:val="bottom"/>
            <w:gridSpan w:val="1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73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 – Three months ended March 31, 2025 and 2024 (Unaudited)</w:t>
            </w:r>
          </w:p>
        </w:tc>
        <w:tc>
          <w:tcPr>
            <w:tcW w:w="8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81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 (Unaudited)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1220" w:type="dxa"/>
            <w:vAlign w:val="bottom"/>
            <w:gridSpan w:val="4"/>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412"/>
        </w:trPr>
        <w:tc>
          <w:tcPr>
            <w:tcW w:w="51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3320" w:type="dxa"/>
            <w:vAlign w:val="bottom"/>
            <w:gridSpan w:val="6"/>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412"/>
        </w:trPr>
        <w:tc>
          <w:tcPr>
            <w:tcW w:w="25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5900" w:type="dxa"/>
            <w:vAlign w:val="bottom"/>
            <w:gridSpan w:val="12"/>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412"/>
        </w:trPr>
        <w:tc>
          <w:tcPr>
            <w:tcW w:w="26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7"/>
              </w:rPr>
              <w:t>PART II—OTHER INFORMATION</w:t>
            </w:r>
          </w:p>
        </w:tc>
        <w:tc>
          <w:tcPr>
            <w:tcW w:w="5800" w:type="dxa"/>
            <w:vAlign w:val="bottom"/>
            <w:gridSpan w:val="11"/>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412"/>
        </w:trPr>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7760" w:type="dxa"/>
            <w:vAlign w:val="bottom"/>
            <w:gridSpan w:val="21"/>
          </w:tcPr>
          <w:p>
            <w:pPr>
              <w:ind w:left="80"/>
              <w:spacing w:after="0"/>
              <w:rPr>
                <w:sz w:val="20"/>
                <w:szCs w:val="20"/>
                <w:color w:val="auto"/>
              </w:rPr>
            </w:pPr>
            <w:r>
              <w:rPr>
                <w:rFonts w:ascii="Times New Roman" w:cs="Times New Roman" w:eastAsia="Times New Roman" w:hAnsi="Times New Roman"/>
                <w:sz w:val="18"/>
                <w:szCs w:val="18"/>
                <w:color w:val="0000EE"/>
              </w:rPr>
              <w:t>Legal Proceedings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Item 1A.</w:t>
            </w:r>
          </w:p>
        </w:tc>
        <w:tc>
          <w:tcPr>
            <w:tcW w:w="980" w:type="dxa"/>
            <w:vAlign w:val="bottom"/>
            <w:tcBorders>
              <w:top w:val="single" w:sz="8" w:color="0000EE"/>
              <w:bottom w:val="single" w:sz="8" w:color="0000EE"/>
            </w:tcBorders>
            <w:gridSpan w:val="4"/>
          </w:tcPr>
          <w:p>
            <w:pPr>
              <w:ind w:left="80"/>
              <w:spacing w:after="0"/>
              <w:rPr>
                <w:sz w:val="20"/>
                <w:szCs w:val="20"/>
                <w:color w:val="auto"/>
              </w:rPr>
            </w:pPr>
            <w:r>
              <w:rPr>
                <w:rFonts w:ascii="Times New Roman" w:cs="Times New Roman" w:eastAsia="Times New Roman" w:hAnsi="Times New Roman"/>
                <w:sz w:val="18"/>
                <w:szCs w:val="18"/>
                <w:color w:val="0000EE"/>
                <w:w w:val="97"/>
              </w:rPr>
              <w:t>Risk Factors</w:t>
            </w:r>
          </w:p>
        </w:tc>
        <w:tc>
          <w:tcPr>
            <w:tcW w:w="420" w:type="dxa"/>
            <w:vAlign w:val="bottom"/>
            <w:tcBorders>
              <w:top w:val="single" w:sz="8" w:color="0000EE"/>
            </w:tcBorders>
            <w:gridSpan w:val="2"/>
          </w:tcPr>
          <w:p>
            <w:pPr>
              <w:spacing w:after="0"/>
              <w:rPr>
                <w:sz w:val="24"/>
                <w:szCs w:val="24"/>
                <w:color w:val="auto"/>
              </w:rPr>
            </w:pPr>
          </w:p>
        </w:tc>
        <w:tc>
          <w:tcPr>
            <w:tcW w:w="6360" w:type="dxa"/>
            <w:vAlign w:val="bottom"/>
            <w:gridSpan w:val="15"/>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412"/>
        </w:trPr>
        <w:tc>
          <w:tcPr>
            <w:tcW w:w="84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412"/>
        </w:trPr>
        <w:tc>
          <w:tcPr>
            <w:tcW w:w="310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2020" w:type="dxa"/>
            <w:vAlign w:val="bottom"/>
            <w:tcBorders>
              <w:top w:val="single" w:sz="8" w:color="0000EE"/>
            </w:tcBorders>
            <w:gridSpan w:val="2"/>
          </w:tcPr>
          <w:p>
            <w:pPr>
              <w:spacing w:after="0"/>
              <w:rPr>
                <w:sz w:val="24"/>
                <w:szCs w:val="24"/>
                <w:color w:val="auto"/>
              </w:rPr>
            </w:pPr>
          </w:p>
        </w:tc>
        <w:tc>
          <w:tcPr>
            <w:tcW w:w="3340" w:type="dxa"/>
            <w:vAlign w:val="bottom"/>
            <w:gridSpan w:val="7"/>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412"/>
        </w:trPr>
        <w:tc>
          <w:tcPr>
            <w:tcW w:w="84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4.   Mine Safety Disclosures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Item 5.</w:t>
            </w:r>
          </w:p>
        </w:tc>
        <w:tc>
          <w:tcPr>
            <w:tcW w:w="1840" w:type="dxa"/>
            <w:vAlign w:val="bottom"/>
            <w:tcBorders>
              <w:top w:val="single" w:sz="8" w:color="0000EE"/>
            </w:tcBorders>
            <w:gridSpan w:val="8"/>
          </w:tcPr>
          <w:p>
            <w:pPr>
              <w:ind w:left="80"/>
              <w:spacing w:after="0"/>
              <w:rPr>
                <w:sz w:val="20"/>
                <w:szCs w:val="20"/>
                <w:color w:val="auto"/>
              </w:rPr>
            </w:pPr>
            <w:r>
              <w:rPr>
                <w:rFonts w:ascii="Times New Roman" w:cs="Times New Roman" w:eastAsia="Times New Roman" w:hAnsi="Times New Roman"/>
                <w:sz w:val="18"/>
                <w:szCs w:val="18"/>
                <w:color w:val="0000EE"/>
              </w:rPr>
              <w:t>Other Information</w:t>
            </w:r>
          </w:p>
        </w:tc>
        <w:tc>
          <w:tcPr>
            <w:tcW w:w="5920" w:type="dxa"/>
            <w:vAlign w:val="bottom"/>
            <w:gridSpan w:val="13"/>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Item 6.</w:t>
            </w:r>
          </w:p>
        </w:tc>
        <w:tc>
          <w:tcPr>
            <w:tcW w:w="680" w:type="dxa"/>
            <w:vAlign w:val="bottom"/>
            <w:tcBorders>
              <w:top w:val="single" w:sz="8" w:color="0000EE"/>
              <w:bottom w:val="single" w:sz="8" w:color="0000EE"/>
            </w:tcBorders>
            <w:gridSpan w:val="3"/>
          </w:tcPr>
          <w:p>
            <w:pPr>
              <w:ind w:left="80"/>
              <w:spacing w:after="0"/>
              <w:rPr>
                <w:sz w:val="20"/>
                <w:szCs w:val="20"/>
                <w:color w:val="auto"/>
              </w:rPr>
            </w:pPr>
            <w:r>
              <w:rPr>
                <w:rFonts w:ascii="Times New Roman" w:cs="Times New Roman" w:eastAsia="Times New Roman" w:hAnsi="Times New Roman"/>
                <w:sz w:val="18"/>
                <w:szCs w:val="18"/>
                <w:color w:val="0000EE"/>
                <w:w w:val="96"/>
              </w:rPr>
              <w:t>Exhibits</w:t>
            </w:r>
          </w:p>
        </w:tc>
        <w:tc>
          <w:tcPr>
            <w:tcW w:w="700" w:type="dxa"/>
            <w:vAlign w:val="bottom"/>
            <w:tcBorders>
              <w:top w:val="single" w:sz="8" w:color="0000EE"/>
            </w:tcBorders>
            <w:gridSpan w:val="2"/>
          </w:tcPr>
          <w:p>
            <w:pPr>
              <w:spacing w:after="0"/>
              <w:rPr>
                <w:sz w:val="24"/>
                <w:szCs w:val="24"/>
                <w:color w:val="auto"/>
              </w:rPr>
            </w:pPr>
          </w:p>
        </w:tc>
        <w:tc>
          <w:tcPr>
            <w:tcW w:w="6380" w:type="dxa"/>
            <w:vAlign w:val="bottom"/>
            <w:gridSpan w:val="16"/>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412"/>
        </w:trPr>
        <w:tc>
          <w:tcPr>
            <w:tcW w:w="11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7360" w:type="dxa"/>
            <w:vAlign w:val="bottom"/>
            <w:gridSpan w:val="20"/>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ITEM 1. FINANCIAL STATEMENTS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187"/>
        </w:trPr>
        <w:tc>
          <w:tcPr>
            <w:tcW w:w="6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(Unaudited)</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6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6160" w:type="dxa"/>
            <w:vAlign w:val="bottom"/>
            <w:tcBorders>
              <w:top w:val="single" w:sz="8" w:color="CCEEFF"/>
            </w:tcBorders>
            <w:shd w:val="clear" w:color="auto" w:fill="CCEEFF"/>
          </w:tcPr>
          <w:p>
            <w:pPr>
              <w:ind w:left="270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Land, at Cost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283,764</w:t>
            </w:r>
          </w:p>
        </w:tc>
        <w:tc>
          <w:tcPr>
            <w:tcW w:w="20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257,748</w:t>
            </w:r>
          </w:p>
        </w:tc>
        <w:tc>
          <w:tcPr>
            <w:tcW w:w="0" w:type="dxa"/>
            <w:vAlign w:val="bottom"/>
          </w:tcPr>
          <w:p>
            <w:pPr>
              <w:spacing w:after="0"/>
              <w:rPr>
                <w:sz w:val="1"/>
                <w:szCs w:val="1"/>
                <w:color w:val="auto"/>
              </w:rPr>
            </w:pPr>
          </w:p>
        </w:tc>
      </w:tr>
      <w:tr>
        <w:trPr>
          <w:trHeight w:val="216"/>
        </w:trPr>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Building and Improvements, at Cost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764,380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720,480</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Furnishings and Equipment, at Cost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16"/>
        </w:trPr>
        <w:tc>
          <w:tcPr>
            <w:tcW w:w="6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Construction in Process, at Cost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Real Estate, at Cost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1,052,010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984,202</w:t>
            </w:r>
          </w:p>
        </w:tc>
        <w:tc>
          <w:tcPr>
            <w:tcW w:w="0" w:type="dxa"/>
            <w:vAlign w:val="bottom"/>
          </w:tcPr>
          <w:p>
            <w:pPr>
              <w:spacing w:after="0"/>
              <w:rPr>
                <w:sz w:val="1"/>
                <w:szCs w:val="1"/>
                <w:color w:val="auto"/>
              </w:rPr>
            </w:pPr>
          </w:p>
        </w:tc>
      </w:tr>
      <w:tr>
        <w:trPr>
          <w:trHeight w:val="216"/>
        </w:trPr>
        <w:tc>
          <w:tcPr>
            <w:tcW w:w="6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(91,199)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(82,864)</w:t>
            </w: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960,811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901,338</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Land and Development Costs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Lease Assets—Net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88,931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79,198</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Alpine Income Property Trust, Inc.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39,666</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Loans and Investments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105,043</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9,017</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Refundable Income Taxes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0" w:type="dxa"/>
            <w:vAlign w:val="bottom"/>
          </w:tcPr>
          <w:p>
            <w:pPr>
              <w:spacing w:after="0"/>
              <w:rPr>
                <w:sz w:val="1"/>
                <w:szCs w:val="1"/>
                <w:color w:val="auto"/>
              </w:rPr>
            </w:pPr>
          </w:p>
        </w:tc>
      </w:tr>
      <w:tr>
        <w:trPr>
          <w:trHeight w:val="216"/>
        </w:trPr>
        <w:tc>
          <w:tcPr>
            <w:tcW w:w="6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Assets—See Note 11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36,201</w:t>
            </w:r>
          </w:p>
        </w:tc>
        <w:tc>
          <w:tcPr>
            <w:tcW w:w="0" w:type="dxa"/>
            <w:vAlign w:val="bottom"/>
          </w:tcPr>
          <w:p>
            <w:pPr>
              <w:spacing w:after="0"/>
              <w:rPr>
                <w:sz w:val="1"/>
                <w:szCs w:val="1"/>
                <w:color w:val="auto"/>
              </w:rPr>
            </w:pPr>
          </w:p>
        </w:tc>
      </w:tr>
      <w:tr>
        <w:trPr>
          <w:trHeight w:val="210"/>
        </w:trPr>
        <w:tc>
          <w:tcPr>
            <w:tcW w:w="6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1,243,903</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1,181,644</w:t>
            </w:r>
          </w:p>
        </w:tc>
        <w:tc>
          <w:tcPr>
            <w:tcW w:w="0" w:type="dxa"/>
            <w:vAlign w:val="bottom"/>
          </w:tcPr>
          <w:p>
            <w:pPr>
              <w:spacing w:after="0"/>
              <w:rPr>
                <w:sz w:val="1"/>
                <w:szCs w:val="1"/>
                <w:color w:val="auto"/>
              </w:rPr>
            </w:pPr>
          </w:p>
        </w:tc>
      </w:tr>
      <w:tr>
        <w:trPr>
          <w:trHeight w:val="20"/>
        </w:trPr>
        <w:tc>
          <w:tcPr>
            <w:tcW w:w="6160" w:type="dxa"/>
            <w:vAlign w:val="bottom"/>
            <w:vMerge w:val="restart"/>
          </w:tcPr>
          <w:p>
            <w:pPr>
              <w:ind w:left="118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200" w:type="dxa"/>
            <w:vAlign w:val="bottom"/>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and Other Liabilities—See Note 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21,268</w:t>
            </w:r>
          </w:p>
        </w:tc>
        <w:tc>
          <w:tcPr>
            <w:tcW w:w="0" w:type="dxa"/>
            <w:vAlign w:val="bottom"/>
          </w:tcPr>
          <w:p>
            <w:pPr>
              <w:spacing w:after="0"/>
              <w:rPr>
                <w:sz w:val="1"/>
                <w:szCs w:val="1"/>
                <w:color w:val="auto"/>
              </w:rPr>
            </w:pPr>
          </w:p>
        </w:tc>
      </w:tr>
      <w:tr>
        <w:trPr>
          <w:trHeight w:val="216"/>
        </w:trPr>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Revenue—See Note 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10,183</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Intangible Lease Liabilities—Net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15,124</w:t>
            </w:r>
          </w:p>
        </w:tc>
        <w:tc>
          <w:tcPr>
            <w:tcW w:w="0" w:type="dxa"/>
            <w:vAlign w:val="bottom"/>
          </w:tcPr>
          <w:p>
            <w:pPr>
              <w:spacing w:after="0"/>
              <w:rPr>
                <w:sz w:val="1"/>
                <w:szCs w:val="1"/>
                <w:color w:val="auto"/>
              </w:rPr>
            </w:pPr>
          </w:p>
        </w:tc>
      </w:tr>
      <w:tr>
        <w:trPr>
          <w:trHeight w:val="216"/>
        </w:trPr>
        <w:tc>
          <w:tcPr>
            <w:tcW w:w="6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Long-Term Debt—Net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602,216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518,993</w:t>
            </w: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568,846</w:t>
            </w:r>
          </w:p>
        </w:tc>
        <w:tc>
          <w:tcPr>
            <w:tcW w:w="0" w:type="dxa"/>
            <w:vAlign w:val="bottom"/>
          </w:tcPr>
          <w:p>
            <w:pPr>
              <w:spacing w:after="0"/>
              <w:rPr>
                <w:sz w:val="1"/>
                <w:szCs w:val="1"/>
                <w:color w:val="auto"/>
              </w:rPr>
            </w:pPr>
          </w:p>
        </w:tc>
      </w:tr>
      <w:tr>
        <w:trPr>
          <w:trHeight w:val="21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Contingencies—See Note 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1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Preferred Stock – 100,000,000 shares authorized; $0.01 par value, 6.375% Series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 Cumulative Redeemable Preferred Stock, $25.00 Per Share Liquidation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Preference, 4,713,069 shares issued and outstanding at March 31, 2025 and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4,713,069 shares issued and outstanding at December 31, 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8"/>
        </w:trPr>
        <w:tc>
          <w:tcPr>
            <w:tcW w:w="61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Common Stock – 500,000,000 shares authorized; $0.01 par value, 31,842,732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shares issued and outstanding at March 31, 2025 and 31,673,479 shares issued and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6"/>
        </w:trPr>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367,828</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220,272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232,089</w:t>
            </w:r>
          </w:p>
        </w:tc>
        <w:tc>
          <w:tcPr>
            <w:tcW w:w="0" w:type="dxa"/>
            <w:vAlign w:val="bottom"/>
          </w:tcPr>
          <w:p>
            <w:pPr>
              <w:spacing w:after="0"/>
              <w:rPr>
                <w:sz w:val="1"/>
                <w:szCs w:val="1"/>
                <w:color w:val="auto"/>
              </w:rPr>
            </w:pPr>
          </w:p>
        </w:tc>
      </w:tr>
      <w:tr>
        <w:trPr>
          <w:trHeight w:val="216"/>
        </w:trPr>
        <w:tc>
          <w:tcPr>
            <w:tcW w:w="6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12,517</w:t>
            </w: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593,883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612,798</w:t>
            </w:r>
          </w:p>
        </w:tc>
        <w:tc>
          <w:tcPr>
            <w:tcW w:w="0" w:type="dxa"/>
            <w:vAlign w:val="bottom"/>
          </w:tcPr>
          <w:p>
            <w:pPr>
              <w:spacing w:after="0"/>
              <w:rPr>
                <w:sz w:val="1"/>
                <w:szCs w:val="1"/>
                <w:color w:val="auto"/>
              </w:rPr>
            </w:pPr>
          </w:p>
        </w:tc>
      </w:tr>
      <w:tr>
        <w:trPr>
          <w:trHeight w:val="210"/>
        </w:trPr>
        <w:tc>
          <w:tcPr>
            <w:tcW w:w="6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1,243,903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1,181,644</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thousands, except share and per share data)</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2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Properties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Management Fee Income</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 From Commercial Loans and Investments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Real Estate Operations</w:t>
            </w:r>
          </w:p>
        </w:tc>
        <w:tc>
          <w:tcPr>
            <w:tcW w:w="9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9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35,811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Cost of Revenues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Properties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Real Estate Operations</w:t>
            </w:r>
          </w:p>
        </w:tc>
        <w:tc>
          <w:tcPr>
            <w:tcW w:w="9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Direct Cost of Revenues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Impairment</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(14,364)</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9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 Gain</w:t>
            </w:r>
          </w:p>
        </w:tc>
        <w:tc>
          <w:tcPr>
            <w:tcW w:w="9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Operating Income</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Investment and Other Income (Loss)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Before Income Tax Benefit</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9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to Preferred Stockholders</w:t>
            </w:r>
          </w:p>
        </w:tc>
        <w:tc>
          <w:tcPr>
            <w:tcW w:w="9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9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Per Share Information—See Note 13:</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Basic Net Income Attributable to Common Stockholders</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Diluted Net Income Attributable to Common Stockholders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31,552,973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22,551,241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31,595,431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26,057,652</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0"/>
        </w:trPr>
        <w:tc>
          <w:tcPr>
            <w:tcW w:w="49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r>
      <w:tr>
        <w:trPr>
          <w:trHeight w:val="209"/>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w:t>
            </w:r>
          </w:p>
        </w:tc>
      </w:tr>
      <w:tr>
        <w:trPr>
          <w:trHeight w:val="20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Flow Hedging Derivative - Interest Rate Swaps</w:t>
            </w:r>
          </w:p>
        </w:tc>
        <w:tc>
          <w:tcPr>
            <w:tcW w:w="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(7,271)</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w:t>
            </w:r>
          </w:p>
        </w:tc>
      </w:tr>
      <w:tr>
        <w:trPr>
          <w:trHeight w:val="210"/>
        </w:trPr>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7,513</w:t>
            </w:r>
          </w:p>
        </w:tc>
      </w:tr>
      <w:tr>
        <w:trPr>
          <w:trHeight w:val="209"/>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13,355</w:t>
            </w:r>
          </w:p>
        </w:tc>
      </w:tr>
      <w:tr>
        <w:trPr>
          <w:trHeight w:val="20"/>
        </w:trPr>
        <w:tc>
          <w:tcPr>
            <w:tcW w:w="4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For the three months ended March 31, 2025:</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5"/>
                <w:szCs w:val="15"/>
                <w:color w:val="auto"/>
              </w:rPr>
            </w:pP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5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January 1, 2025</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317</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367,828</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232,089</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12,517</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612,798</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Attributable to the Company</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2,261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2,261</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Vested Restricted Stock and Performance Shares</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(1,035)</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(1,034)</w:t>
            </w:r>
          </w:p>
        </w:tc>
        <w:tc>
          <w:tcPr>
            <w:tcW w:w="0" w:type="dxa"/>
            <w:vAlign w:val="bottom"/>
          </w:tcPr>
          <w:p>
            <w:pPr>
              <w:spacing w:after="0"/>
              <w:rPr>
                <w:sz w:val="1"/>
                <w:szCs w:val="1"/>
                <w:color w:val="auto"/>
              </w:rPr>
            </w:pPr>
          </w:p>
        </w:tc>
      </w:tr>
      <w:tr>
        <w:trPr>
          <w:trHeight w:val="149"/>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Issuance to Directors</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Payment of Equity Issuance Costs</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881</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Stock Dividends Declared for the Period</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(1,878)</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(1,878)</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Dividends Declared for the Period</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(12,200)</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(12,200)</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(7,271)</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(7,271)</w:t>
            </w:r>
          </w:p>
        </w:tc>
        <w:tc>
          <w:tcPr>
            <w:tcW w:w="0" w:type="dxa"/>
            <w:vAlign w:val="bottom"/>
          </w:tcPr>
          <w:p>
            <w:pPr>
              <w:spacing w:after="0"/>
              <w:rPr>
                <w:sz w:val="1"/>
                <w:szCs w:val="1"/>
                <w:color w:val="auto"/>
              </w:rPr>
            </w:pPr>
          </w:p>
        </w:tc>
      </w:tr>
      <w:tr>
        <w:trPr>
          <w:trHeight w:val="142"/>
        </w:trPr>
        <w:tc>
          <w:tcPr>
            <w:tcW w:w="35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March 31, 2025</w:t>
            </w: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w:t>
            </w: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318</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368,000</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220,272</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5,246</w:t>
            </w: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593,883</w:t>
            </w:r>
          </w:p>
        </w:tc>
        <w:tc>
          <w:tcPr>
            <w:tcW w:w="0" w:type="dxa"/>
            <w:vAlign w:val="bottom"/>
          </w:tcPr>
          <w:p>
            <w:pPr>
              <w:spacing w:after="0"/>
              <w:rPr>
                <w:sz w:val="1"/>
                <w:szCs w:val="1"/>
                <w:color w:val="auto"/>
              </w:rPr>
            </w:pPr>
          </w:p>
        </w:tc>
      </w:tr>
      <w:tr>
        <w:trPr>
          <w:trHeight w:val="20"/>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For the three months ended March 31, 2024:</w:t>
            </w: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35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3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5"/>
                <w:szCs w:val="15"/>
                <w:color w:val="auto"/>
              </w:rPr>
            </w:pP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5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January 1, 2024</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168,435</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281,944</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6,891</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457,526</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Attributable to the Company</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5,842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5,842</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Repurchase</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(664)</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(664)</w:t>
            </w:r>
          </w:p>
        </w:tc>
        <w:tc>
          <w:tcPr>
            <w:tcW w:w="0" w:type="dxa"/>
            <w:vAlign w:val="bottom"/>
          </w:tcPr>
          <w:p>
            <w:pPr>
              <w:spacing w:after="0"/>
              <w:rPr>
                <w:sz w:val="1"/>
                <w:szCs w:val="1"/>
                <w:color w:val="auto"/>
              </w:rPr>
            </w:pPr>
          </w:p>
        </w:tc>
      </w:tr>
      <w:tr>
        <w:trPr>
          <w:trHeight w:val="149"/>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Vested Restricted Stock and Performance Shares</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(1,275)</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(1,274)</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Issuance to Directors</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380</w:t>
            </w:r>
          </w:p>
        </w:tc>
        <w:tc>
          <w:tcPr>
            <w:tcW w:w="0" w:type="dxa"/>
            <w:vAlign w:val="bottom"/>
          </w:tcPr>
          <w:p>
            <w:pPr>
              <w:spacing w:after="0"/>
              <w:rPr>
                <w:sz w:val="1"/>
                <w:szCs w:val="1"/>
                <w:color w:val="auto"/>
              </w:rPr>
            </w:pPr>
          </w:p>
        </w:tc>
      </w:tr>
      <w:tr>
        <w:trPr>
          <w:trHeight w:val="149"/>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Issuance, Net of Equity Issuance Costs</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2,062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2,064</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986</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Stock Dividends Declared for the Period</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(1,187)</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(1,187)</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Dividends Declared for the Period</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(8,945)</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(8,945)</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7,513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7,513</w:t>
            </w:r>
          </w:p>
        </w:tc>
        <w:tc>
          <w:tcPr>
            <w:tcW w:w="0" w:type="dxa"/>
            <w:vAlign w:val="bottom"/>
          </w:tcPr>
          <w:p>
            <w:pPr>
              <w:spacing w:after="0"/>
              <w:rPr>
                <w:sz w:val="1"/>
                <w:szCs w:val="1"/>
                <w:color w:val="auto"/>
              </w:rPr>
            </w:pPr>
          </w:p>
        </w:tc>
      </w:tr>
      <w:tr>
        <w:trPr>
          <w:trHeight w:val="142"/>
        </w:trPr>
        <w:tc>
          <w:tcPr>
            <w:tcW w:w="356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March 31, 2024</w:t>
            </w: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229</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169,924</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277,654</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14,404</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462,241</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20" w:type="dxa"/>
            <w:vAlign w:val="bottom"/>
          </w:tcPr>
          <w:p>
            <w:pPr>
              <w:spacing w:after="0"/>
              <w:rPr>
                <w:sz w:val="12"/>
                <w:szCs w:val="12"/>
                <w:color w:val="auto"/>
              </w:rPr>
            </w:pPr>
          </w:p>
        </w:tc>
      </w:tr>
      <w:tr>
        <w:trPr>
          <w:trHeight w:val="142"/>
        </w:trPr>
        <w:tc>
          <w:tcPr>
            <w:tcW w:w="5940" w:type="dxa"/>
            <w:vAlign w:val="bottom"/>
            <w:tcBorders>
              <w:top w:val="single" w:sz="8" w:color="CCEEFF"/>
            </w:tcBorders>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 from Operating Activities:</w:t>
            </w:r>
          </w:p>
        </w:tc>
        <w:tc>
          <w:tcPr>
            <w:tcW w:w="14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Income Attributable to the Company</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2,261</w:t>
            </w:r>
          </w:p>
        </w:tc>
        <w:tc>
          <w:tcPr>
            <w:tcW w:w="14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5,842</w:t>
            </w:r>
          </w:p>
        </w:tc>
        <w:tc>
          <w:tcPr>
            <w:tcW w:w="20" w:type="dxa"/>
            <w:vAlign w:val="bottom"/>
          </w:tcPr>
          <w:p>
            <w:pPr>
              <w:spacing w:after="0"/>
              <w:rPr>
                <w:sz w:val="12"/>
                <w:szCs w:val="12"/>
                <w:color w:val="auto"/>
              </w:rPr>
            </w:pPr>
          </w:p>
        </w:tc>
      </w:tr>
      <w:tr>
        <w:trPr>
          <w:trHeight w:val="126"/>
        </w:trPr>
        <w:tc>
          <w:tcPr>
            <w:tcW w:w="5940" w:type="dxa"/>
            <w:vAlign w:val="bottom"/>
            <w:gridSpan w:val="3"/>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Adjustments to Reconcile Net Income Attributable to the Company to Net Cash Provided by</w:t>
            </w:r>
          </w:p>
        </w:tc>
        <w:tc>
          <w:tcPr>
            <w:tcW w:w="1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5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14,364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10,931</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Intangible Assets and Liabilities to Income Property Revenue</w:t>
            </w: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(449)</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474</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Costs to Interest Expense</w:t>
            </w: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256</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Discount on Convertible Debt</w:t>
            </w: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on Disposition of Real Estate and Intangible Lease Assets and Liabilities</w:t>
            </w:r>
          </w:p>
        </w:tc>
        <w:tc>
          <w:tcPr>
            <w:tcW w:w="140" w:type="dxa"/>
            <w:vAlign w:val="bottom"/>
          </w:tcPr>
          <w:p>
            <w:pPr>
              <w:spacing w:after="0"/>
              <w:rPr>
                <w:sz w:val="12"/>
                <w:szCs w:val="12"/>
                <w:color w:val="auto"/>
              </w:rPr>
            </w:pPr>
          </w:p>
        </w:tc>
        <w:tc>
          <w:tcPr>
            <w:tcW w:w="14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(4,618)</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on Disposition of Subsurface Interests</w:t>
            </w: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(4,545)</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Provision for Impairment</w:t>
            </w:r>
          </w:p>
        </w:tc>
        <w:tc>
          <w:tcPr>
            <w:tcW w:w="140" w:type="dxa"/>
            <w:vAlign w:val="bottom"/>
          </w:tcPr>
          <w:p>
            <w:pPr>
              <w:spacing w:after="0"/>
              <w:rPr>
                <w:sz w:val="12"/>
                <w:szCs w:val="12"/>
                <w:color w:val="auto"/>
              </w:rPr>
            </w:pPr>
          </w:p>
        </w:tc>
        <w:tc>
          <w:tcPr>
            <w:tcW w:w="14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Accretion of Commercial Loans and Investments Origination Fees</w:t>
            </w: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Non-Cash Imputed Interest</w:t>
            </w:r>
          </w:p>
        </w:tc>
        <w:tc>
          <w:tcPr>
            <w:tcW w:w="14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Unrealized Loss on Investment Securities</w:t>
            </w: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4,657</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Non-Cash Compensation</w:t>
            </w: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1,387</w:t>
            </w:r>
          </w:p>
        </w:tc>
        <w:tc>
          <w:tcPr>
            <w:tcW w:w="20" w:type="dxa"/>
            <w:vAlign w:val="bottom"/>
          </w:tcPr>
          <w:p>
            <w:pPr>
              <w:spacing w:after="0"/>
              <w:rPr>
                <w:sz w:val="12"/>
                <w:szCs w:val="12"/>
                <w:color w:val="auto"/>
              </w:rPr>
            </w:pPr>
          </w:p>
        </w:tc>
      </w:tr>
      <w:tr>
        <w:trPr>
          <w:trHeight w:val="148"/>
        </w:trPr>
        <w:tc>
          <w:tcPr>
            <w:tcW w:w="59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Decrease (Increase) in Assets:</w:t>
            </w: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Refundable Income Taxes</w:t>
            </w: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Land and Development Costs</w:t>
            </w:r>
          </w:p>
        </w:tc>
        <w:tc>
          <w:tcPr>
            <w:tcW w:w="140" w:type="dxa"/>
            <w:vAlign w:val="bottom"/>
          </w:tcPr>
          <w:p>
            <w:pPr>
              <w:spacing w:after="0"/>
              <w:rPr>
                <w:sz w:val="12"/>
                <w:szCs w:val="12"/>
                <w:color w:val="auto"/>
              </w:rPr>
            </w:pPr>
          </w:p>
        </w:tc>
        <w:tc>
          <w:tcPr>
            <w:tcW w:w="14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20" w:type="dxa"/>
            <w:vAlign w:val="bottom"/>
          </w:tcPr>
          <w:p>
            <w:pPr>
              <w:spacing w:after="0"/>
              <w:rPr>
                <w:sz w:val="12"/>
                <w:szCs w:val="12"/>
                <w:color w:val="auto"/>
              </w:rPr>
            </w:pPr>
          </w:p>
        </w:tc>
      </w:tr>
      <w:tr>
        <w:trPr>
          <w:trHeight w:val="149"/>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Mitigation Credits and Mitigation Credit Rights</w:t>
            </w: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508</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(722)</w:t>
            </w: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(1,888)</w:t>
            </w:r>
          </w:p>
        </w:tc>
        <w:tc>
          <w:tcPr>
            <w:tcW w:w="20" w:type="dxa"/>
            <w:vAlign w:val="bottom"/>
          </w:tcPr>
          <w:p>
            <w:pPr>
              <w:spacing w:after="0"/>
              <w:rPr>
                <w:sz w:val="12"/>
                <w:szCs w:val="12"/>
                <w:color w:val="auto"/>
              </w:rPr>
            </w:pPr>
          </w:p>
        </w:tc>
      </w:tr>
      <w:tr>
        <w:trPr>
          <w:trHeight w:val="148"/>
        </w:trPr>
        <w:tc>
          <w:tcPr>
            <w:tcW w:w="594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Increase (Decrease) in Liabilities:</w:t>
            </w: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(1,539)</w:t>
            </w: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and Other Liabilities</w:t>
            </w: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(3,774)</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(1,249)</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4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(1,484)</w:t>
            </w: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20" w:type="dxa"/>
            <w:vAlign w:val="bottom"/>
          </w:tcPr>
          <w:p>
            <w:pPr>
              <w:spacing w:after="0"/>
              <w:rPr>
                <w:sz w:val="12"/>
                <w:szCs w:val="12"/>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5920" w:type="dxa"/>
            <w:vAlign w:val="bottom"/>
            <w:tcBorders>
              <w:top w:val="single" w:sz="8" w:color="CCEEFF"/>
            </w:tcBorders>
            <w:gridSpan w:val="2"/>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10,311</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11,757</w:t>
            </w:r>
          </w:p>
        </w:tc>
        <w:tc>
          <w:tcPr>
            <w:tcW w:w="20" w:type="dxa"/>
            <w:vAlign w:val="bottom"/>
          </w:tcPr>
          <w:p>
            <w:pPr>
              <w:spacing w:after="0"/>
              <w:rPr>
                <w:sz w:val="12"/>
                <w:szCs w:val="12"/>
                <w:color w:val="auto"/>
              </w:rPr>
            </w:pPr>
          </w:p>
        </w:tc>
      </w:tr>
      <w:tr>
        <w:trPr>
          <w:trHeight w:val="142"/>
        </w:trPr>
        <w:tc>
          <w:tcPr>
            <w:tcW w:w="59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 from Investing Activities:</w:t>
            </w: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Acquisition of Real Estate and Intangible Lease Assets and Liabilities</w:t>
            </w: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(80,022)</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(71,117)</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Investments in and Improvements to Real Estate</w:t>
            </w:r>
          </w:p>
        </w:tc>
        <w:tc>
          <w:tcPr>
            <w:tcW w:w="14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(854)</w:t>
            </w: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(2,295)</w:t>
            </w:r>
          </w:p>
        </w:tc>
        <w:tc>
          <w:tcPr>
            <w:tcW w:w="20" w:type="dxa"/>
            <w:vAlign w:val="bottom"/>
          </w:tcPr>
          <w:p>
            <w:pPr>
              <w:spacing w:after="0"/>
              <w:rPr>
                <w:sz w:val="12"/>
                <w:szCs w:val="12"/>
                <w:color w:val="auto"/>
              </w:rPr>
            </w:pPr>
          </w:p>
        </w:tc>
      </w:tr>
      <w:tr>
        <w:trPr>
          <w:trHeight w:val="149"/>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Acquisition of Commercial Loans and Investments</w:t>
            </w: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(1,431)</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(6,575)</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Disposition of Property, Plant, and Equipment, Net</w:t>
            </w:r>
          </w:p>
        </w:tc>
        <w:tc>
          <w:tcPr>
            <w:tcW w:w="140" w:type="dxa"/>
            <w:vAlign w:val="bottom"/>
          </w:tcPr>
          <w:p>
            <w:pPr>
              <w:spacing w:after="0"/>
              <w:rPr>
                <w:sz w:val="12"/>
                <w:szCs w:val="12"/>
                <w:color w:val="auto"/>
              </w:rPr>
            </w:pPr>
          </w:p>
        </w:tc>
        <w:tc>
          <w:tcPr>
            <w:tcW w:w="14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19,527</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Disposition of Subsurface Interests</w:t>
            </w: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4,974</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Principal Payments Received on Commercial Loans and Investments</w:t>
            </w: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1,857</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the Sale of Investment Securities</w:t>
            </w: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1,655</w:t>
            </w:r>
          </w:p>
        </w:tc>
        <w:tc>
          <w:tcPr>
            <w:tcW w:w="20" w:type="dxa"/>
            <w:vAlign w:val="bottom"/>
          </w:tcPr>
          <w:p>
            <w:pPr>
              <w:spacing w:after="0"/>
              <w:rPr>
                <w:sz w:val="12"/>
                <w:szCs w:val="12"/>
                <w:color w:val="auto"/>
              </w:rPr>
            </w:pPr>
          </w:p>
        </w:tc>
      </w:tr>
      <w:tr>
        <w:trPr>
          <w:trHeight w:val="142"/>
        </w:trPr>
        <w:tc>
          <w:tcPr>
            <w:tcW w:w="20" w:type="dxa"/>
            <w:vAlign w:val="bottom"/>
            <w:tcBorders>
              <w:bottom w:val="single" w:sz="8" w:color="CCEEFF"/>
            </w:tcBorders>
          </w:tcPr>
          <w:p>
            <w:pPr>
              <w:spacing w:after="0"/>
              <w:rPr>
                <w:sz w:val="12"/>
                <w:szCs w:val="12"/>
                <w:color w:val="auto"/>
              </w:rPr>
            </w:pPr>
          </w:p>
        </w:tc>
        <w:tc>
          <w:tcPr>
            <w:tcW w:w="5920" w:type="dxa"/>
            <w:vAlign w:val="bottom"/>
            <w:tcBorders>
              <w:bottom w:val="single" w:sz="8" w:color="CCEEFF"/>
            </w:tcBorders>
            <w:gridSpan w:val="2"/>
          </w:tcPr>
          <w:p>
            <w:pPr>
              <w:ind w:left="32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14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(80,669)</w:t>
            </w:r>
          </w:p>
        </w:tc>
        <w:tc>
          <w:tcPr>
            <w:tcW w:w="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(51,974)</w:t>
            </w:r>
          </w:p>
        </w:tc>
        <w:tc>
          <w:tcPr>
            <w:tcW w:w="20" w:type="dxa"/>
            <w:vAlign w:val="bottom"/>
          </w:tcPr>
          <w:p>
            <w:pPr>
              <w:spacing w:after="0"/>
              <w:rPr>
                <w:sz w:val="12"/>
                <w:szCs w:val="12"/>
                <w:color w:val="auto"/>
              </w:rPr>
            </w:pPr>
          </w:p>
        </w:tc>
      </w:tr>
      <w:tr>
        <w:trPr>
          <w:trHeight w:val="142"/>
        </w:trPr>
        <w:tc>
          <w:tcPr>
            <w:tcW w:w="594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 From Financing Activities:</w:t>
            </w: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Long-Term Debt</w:t>
            </w: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93,000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56,000</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Payments on Long-Term Debt</w:t>
            </w: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(9,500)</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Paid for Loan Fees</w:t>
            </w:r>
          </w:p>
        </w:tc>
        <w:tc>
          <w:tcPr>
            <w:tcW w:w="14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Received for the Exercise of Stock Options and Common Stock Issuance</w:t>
            </w: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380</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Used to Purchase Common and Preferred Stock</w:t>
            </w:r>
          </w:p>
        </w:tc>
        <w:tc>
          <w:tcPr>
            <w:tcW w:w="140" w:type="dxa"/>
            <w:vAlign w:val="bottom"/>
          </w:tcPr>
          <w:p>
            <w:pPr>
              <w:spacing w:after="0"/>
              <w:rPr>
                <w:sz w:val="12"/>
                <w:szCs w:val="12"/>
                <w:color w:val="auto"/>
              </w:rPr>
            </w:pPr>
          </w:p>
        </w:tc>
        <w:tc>
          <w:tcPr>
            <w:tcW w:w="14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(664)</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Paid for Vesting of Restricted Stock</w:t>
            </w: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(1,034)</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(1,274)</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(Cash Paid for) Issuance of Common and Preferred Stock, Net</w:t>
            </w:r>
          </w:p>
        </w:tc>
        <w:tc>
          <w:tcPr>
            <w:tcW w:w="14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2,064</w:t>
            </w:r>
          </w:p>
        </w:tc>
        <w:tc>
          <w:tcPr>
            <w:tcW w:w="20" w:type="dxa"/>
            <w:vAlign w:val="bottom"/>
          </w:tcPr>
          <w:p>
            <w:pPr>
              <w:spacing w:after="0"/>
              <w:rPr>
                <w:sz w:val="12"/>
                <w:szCs w:val="12"/>
                <w:color w:val="auto"/>
              </w:rPr>
            </w:pPr>
          </w:p>
        </w:tc>
      </w:tr>
      <w:tr>
        <w:trPr>
          <w:trHeight w:val="149"/>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Dividends Paid - Preferred Stock</w:t>
            </w: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(1,878)</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(1,187)</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Dividends Paid - Common Stock</w:t>
            </w:r>
          </w:p>
        </w:tc>
        <w:tc>
          <w:tcPr>
            <w:tcW w:w="14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(12,008)</w:t>
            </w: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(8,601)</w:t>
            </w:r>
          </w:p>
        </w:tc>
        <w:tc>
          <w:tcPr>
            <w:tcW w:w="20" w:type="dxa"/>
            <w:vAlign w:val="bottom"/>
          </w:tcPr>
          <w:p>
            <w:pPr>
              <w:spacing w:after="0"/>
              <w:rPr>
                <w:sz w:val="12"/>
                <w:szCs w:val="12"/>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5920" w:type="dxa"/>
            <w:vAlign w:val="bottom"/>
            <w:tcBorders>
              <w:top w:val="single" w:sz="8" w:color="CCEEFF"/>
            </w:tcBorders>
            <w:gridSpan w:val="2"/>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68,361</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37,215</w:t>
            </w:r>
          </w:p>
        </w:tc>
        <w:tc>
          <w:tcPr>
            <w:tcW w:w="20" w:type="dxa"/>
            <w:vAlign w:val="bottom"/>
          </w:tcPr>
          <w:p>
            <w:pPr>
              <w:spacing w:after="0"/>
              <w:rPr>
                <w:sz w:val="12"/>
                <w:szCs w:val="12"/>
                <w:color w:val="auto"/>
              </w:rPr>
            </w:pPr>
          </w:p>
        </w:tc>
      </w:tr>
      <w:tr>
        <w:trPr>
          <w:trHeight w:val="142"/>
        </w:trPr>
        <w:tc>
          <w:tcPr>
            <w:tcW w:w="59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140" w:type="dxa"/>
            <w:vAlign w:val="bottom"/>
          </w:tcPr>
          <w:p>
            <w:pPr>
              <w:spacing w:after="0"/>
              <w:rPr>
                <w:sz w:val="12"/>
                <w:szCs w:val="12"/>
                <w:color w:val="auto"/>
              </w:rPr>
            </w:pPr>
          </w:p>
        </w:tc>
        <w:tc>
          <w:tcPr>
            <w:tcW w:w="1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(1,997)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(3,002)</w:t>
            </w:r>
          </w:p>
        </w:tc>
        <w:tc>
          <w:tcPr>
            <w:tcW w:w="20" w:type="dxa"/>
            <w:vAlign w:val="bottom"/>
          </w:tcPr>
          <w:p>
            <w:pPr>
              <w:spacing w:after="0"/>
              <w:rPr>
                <w:sz w:val="12"/>
                <w:szCs w:val="12"/>
                <w:color w:val="auto"/>
              </w:rPr>
            </w:pPr>
          </w:p>
        </w:tc>
      </w:tr>
      <w:tr>
        <w:trPr>
          <w:trHeight w:val="148"/>
        </w:trPr>
        <w:tc>
          <w:tcPr>
            <w:tcW w:w="594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14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17,361</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17,819</w:t>
            </w:r>
          </w:p>
        </w:tc>
        <w:tc>
          <w:tcPr>
            <w:tcW w:w="20" w:type="dxa"/>
            <w:vAlign w:val="bottom"/>
          </w:tcPr>
          <w:p>
            <w:pPr>
              <w:spacing w:after="0"/>
              <w:rPr>
                <w:sz w:val="12"/>
                <w:szCs w:val="12"/>
                <w:color w:val="auto"/>
              </w:rPr>
            </w:pPr>
          </w:p>
        </w:tc>
      </w:tr>
      <w:tr>
        <w:trPr>
          <w:trHeight w:val="182"/>
        </w:trPr>
        <w:tc>
          <w:tcPr>
            <w:tcW w:w="5940" w:type="dxa"/>
            <w:vAlign w:val="bottom"/>
            <w:tcBorders>
              <w:bottom w:val="single" w:sz="8" w:color="CCEEFF"/>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15,364</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14,817</w:t>
            </w:r>
          </w:p>
        </w:tc>
        <w:tc>
          <w:tcPr>
            <w:tcW w:w="20" w:type="dxa"/>
            <w:vAlign w:val="bottom"/>
          </w:tcPr>
          <w:p>
            <w:pPr>
              <w:spacing w:after="0"/>
              <w:rPr>
                <w:sz w:val="15"/>
                <w:szCs w:val="15"/>
                <w:color w:val="auto"/>
              </w:rPr>
            </w:pPr>
          </w:p>
        </w:tc>
      </w:tr>
      <w:tr>
        <w:trPr>
          <w:trHeight w:val="129"/>
        </w:trPr>
        <w:tc>
          <w:tcPr>
            <w:tcW w:w="20" w:type="dxa"/>
            <w:vAlign w:val="bottom"/>
            <w:shd w:val="clear" w:color="auto" w:fill="CCEEFF"/>
          </w:tcPr>
          <w:p>
            <w:pPr>
              <w:spacing w:after="0"/>
              <w:rPr>
                <w:sz w:val="11"/>
                <w:szCs w:val="11"/>
                <w:color w:val="auto"/>
              </w:rPr>
            </w:pPr>
          </w:p>
        </w:tc>
        <w:tc>
          <w:tcPr>
            <w:tcW w:w="342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59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Reconciliation of Cash to the Consolidated Balance Sheets:</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594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8,428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6,760</w:t>
            </w:r>
          </w:p>
        </w:tc>
        <w:tc>
          <w:tcPr>
            <w:tcW w:w="20" w:type="dxa"/>
            <w:vAlign w:val="bottom"/>
          </w:tcPr>
          <w:p>
            <w:pPr>
              <w:spacing w:after="0"/>
              <w:rPr>
                <w:sz w:val="12"/>
                <w:szCs w:val="12"/>
                <w:color w:val="auto"/>
              </w:rPr>
            </w:pPr>
          </w:p>
        </w:tc>
      </w:tr>
      <w:tr>
        <w:trPr>
          <w:trHeight w:val="148"/>
        </w:trPr>
        <w:tc>
          <w:tcPr>
            <w:tcW w:w="5940" w:type="dxa"/>
            <w:vAlign w:val="bottom"/>
            <w:tcBorders>
              <w:bottom w:val="single" w:sz="8" w:color="CCEEFF"/>
            </w:tcBorders>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6,936</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8,057</w:t>
            </w:r>
          </w:p>
        </w:tc>
        <w:tc>
          <w:tcPr>
            <w:tcW w:w="20" w:type="dxa"/>
            <w:vAlign w:val="bottom"/>
          </w:tcPr>
          <w:p>
            <w:pPr>
              <w:spacing w:after="0"/>
              <w:rPr>
                <w:sz w:val="12"/>
                <w:szCs w:val="12"/>
                <w:color w:val="auto"/>
              </w:rPr>
            </w:pPr>
          </w:p>
        </w:tc>
      </w:tr>
      <w:tr>
        <w:trPr>
          <w:trHeight w:val="142"/>
        </w:trPr>
        <w:tc>
          <w:tcPr>
            <w:tcW w:w="5940" w:type="dxa"/>
            <w:vAlign w:val="bottom"/>
            <w:tcBorders>
              <w:bottom w:val="single" w:sz="8" w:color="CCEEFF"/>
            </w:tcBorders>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Cash</w:t>
            </w: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15,364</w:t>
            </w: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14,817</w:t>
            </w: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2"/>
        </w:trPr>
        <w:tc>
          <w:tcPr>
            <w:tcW w:w="59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20" w:type="dxa"/>
            <w:vAlign w:val="bottom"/>
          </w:tcPr>
          <w:p>
            <w:pPr>
              <w:spacing w:after="0"/>
              <w:rPr>
                <w:sz w:val="12"/>
                <w:szCs w:val="12"/>
                <w:color w:val="auto"/>
              </w:rPr>
            </w:pPr>
          </w:p>
        </w:tc>
      </w:tr>
      <w:tr>
        <w:trPr>
          <w:trHeight w:val="142"/>
        </w:trPr>
        <w:tc>
          <w:tcPr>
            <w:tcW w:w="594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14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Paid for Taxes, Net of Refunds Received</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w:t>
            </w:r>
          </w:p>
        </w:tc>
        <w:tc>
          <w:tcPr>
            <w:tcW w:w="20" w:type="dxa"/>
            <w:vAlign w:val="bottom"/>
          </w:tcPr>
          <w:p>
            <w:pPr>
              <w:spacing w:after="0"/>
              <w:rPr>
                <w:sz w:val="12"/>
                <w:szCs w:val="12"/>
                <w:color w:val="auto"/>
              </w:rPr>
            </w:pPr>
          </w:p>
        </w:tc>
      </w:tr>
      <w:tr>
        <w:trPr>
          <w:trHeight w:val="148"/>
        </w:trPr>
        <w:tc>
          <w:tcPr>
            <w:tcW w:w="5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Cash Paid for Interest </w:t>
            </w:r>
            <w:r>
              <w:rPr>
                <w:rFonts w:ascii="Times New Roman" w:cs="Times New Roman" w:eastAsia="Times New Roman" w:hAnsi="Times New Roman"/>
                <w:sz w:val="17"/>
                <w:szCs w:val="17"/>
                <w:color w:val="auto"/>
                <w:vertAlign w:val="superscript"/>
              </w:rPr>
              <w:t>(1)</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5,300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4,751</w:t>
            </w:r>
          </w:p>
        </w:tc>
        <w:tc>
          <w:tcPr>
            <w:tcW w:w="20" w:type="dxa"/>
            <w:vAlign w:val="bottom"/>
          </w:tcPr>
          <w:p>
            <w:pPr>
              <w:spacing w:after="0"/>
              <w:rPr>
                <w:sz w:val="12"/>
                <w:szCs w:val="12"/>
                <w:color w:val="auto"/>
              </w:rPr>
            </w:pPr>
          </w:p>
        </w:tc>
      </w:tr>
      <w:tr>
        <w:trPr>
          <w:trHeight w:val="149"/>
        </w:trPr>
        <w:tc>
          <w:tcPr>
            <w:tcW w:w="5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Capitalized Interest</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20" w:type="dxa"/>
            <w:vAlign w:val="bottom"/>
          </w:tcPr>
          <w:p>
            <w:pPr>
              <w:spacing w:after="0"/>
              <w:rPr>
                <w:sz w:val="12"/>
                <w:szCs w:val="12"/>
                <w:color w:val="auto"/>
              </w:rPr>
            </w:pPr>
          </w:p>
        </w:tc>
      </w:tr>
      <w:tr>
        <w:trPr>
          <w:trHeight w:val="148"/>
        </w:trPr>
        <w:tc>
          <w:tcPr>
            <w:tcW w:w="5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Unrealized Gain (Loss) on Cash Flow Hedges</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(7,271)</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7,513</w:t>
            </w:r>
          </w:p>
        </w:tc>
        <w:tc>
          <w:tcPr>
            <w:tcW w:w="20" w:type="dxa"/>
            <w:vAlign w:val="bottom"/>
          </w:tcPr>
          <w:p>
            <w:pPr>
              <w:spacing w:after="0"/>
              <w:rPr>
                <w:sz w:val="12"/>
                <w:szCs w:val="12"/>
                <w:color w:val="auto"/>
              </w:rPr>
            </w:pPr>
          </w:p>
        </w:tc>
      </w:tr>
      <w:tr>
        <w:trPr>
          <w:trHeight w:val="188"/>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Dividends Declared and Unpaid</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4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43180</wp:posOffset>
            </wp:positionV>
            <wp:extent cx="14141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29" w:lineRule="exact"/>
        <w:rPr>
          <w:sz w:val="20"/>
          <w:szCs w:val="20"/>
          <w:color w:val="auto"/>
        </w:rPr>
      </w:pPr>
    </w:p>
    <w:p>
      <w:pPr>
        <w:ind w:left="320" w:hanging="270"/>
        <w:spacing w:after="0"/>
        <w:tabs>
          <w:tab w:leader="none" w:pos="32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Includes capitalized interest of $0.1 million during the three months ended March 31, 2024, with no interest being capitalized during the three months ended March 31, 2025.</w:t>
      </w:r>
    </w:p>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 DESCRIPTION OF BUSINESS</w:t>
      </w:r>
    </w:p>
    <w:p>
      <w:pPr>
        <w:spacing w:after="0" w:line="229"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The terms “us,” “we,” “our,” and “the Company” as used in this report refer to CTO Realty Growth, Inc. together with our consolidated subsidiaries.</w:t>
      </w:r>
    </w:p>
    <w:p>
      <w:pPr>
        <w:spacing w:after="0" w:line="162"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We are a publicly traded, self-managed equity REIT that focuses on the ownership, management, and repositioning of high-quality retail and mixed-use properties located primarily in what we believe to be faster growing, business-friendly markets exhibiting accommodative business tax policies, outsized relative job and population growth, and where retail demand exceeds supply. We have pursued our investment strategy by investing primarily through fee simple ownership of our properties, commercial loans and preferred equity.</w:t>
      </w:r>
    </w:p>
    <w:p>
      <w:pPr>
        <w:spacing w:after="0" w:line="183" w:lineRule="exact"/>
        <w:rPr>
          <w:sz w:val="20"/>
          <w:szCs w:val="20"/>
          <w:color w:val="auto"/>
        </w:rPr>
      </w:pPr>
    </w:p>
    <w:p>
      <w:pPr>
        <w:jc w:val="both"/>
        <w:ind w:left="60" w:right="79" w:firstLine="441"/>
        <w:spacing w:after="0" w:line="266" w:lineRule="auto"/>
        <w:rPr>
          <w:sz w:val="20"/>
          <w:szCs w:val="20"/>
          <w:color w:val="auto"/>
        </w:rPr>
      </w:pPr>
      <w:r>
        <w:rPr>
          <w:rFonts w:ascii="Times New Roman" w:cs="Times New Roman" w:eastAsia="Times New Roman" w:hAnsi="Times New Roman"/>
          <w:sz w:val="18"/>
          <w:szCs w:val="18"/>
          <w:color w:val="auto"/>
        </w:rPr>
        <w:t>As of March 31, 2025, we own and manage, sometimes utilizing third-party property management companies, 24 commercial real estate properties in seven states in the United States, comprising 5.2 million square feet of gross leasable space. In addition to our income property portfolio, as of March 31, 2025, our business included the following:</w:t>
      </w:r>
    </w:p>
    <w:p>
      <w:pPr>
        <w:spacing w:after="0" w:line="176"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u w:val="single" w:color="auto"/>
          <w:color w:val="auto"/>
        </w:rPr>
        <w:t>Management Services:</w:t>
      </w:r>
      <w:r>
        <w:rPr>
          <w:rFonts w:ascii="Times New Roman" w:cs="Times New Roman" w:eastAsia="Times New Roman" w:hAnsi="Times New Roman"/>
          <w:sz w:val="18"/>
          <w:szCs w:val="18"/>
          <w:color w:val="auto"/>
        </w:rPr>
        <w:t xml:space="preserve"> A fee-based management business that is engaged in managing Alpine Income Property Trust, Inc. (“PINE”), as well as: (i) a portfolio of assets pursuant to the Portfolio Management Agreement (hereinafter defined) and (ii) Subsurface Interests (hereinafter defined) pursuant to the Subsurface Management Agreement (hereinafter defined), as further described in Note 5, “Management Services Business”.</w:t>
      </w:r>
    </w:p>
    <w:p>
      <w:pPr>
        <w:spacing w:after="0" w:line="180"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u w:val="single" w:color="auto"/>
          <w:color w:val="auto"/>
        </w:rPr>
        <w:t>Commercial Loans and Investments:</w:t>
      </w:r>
      <w:r>
        <w:rPr>
          <w:rFonts w:ascii="Times New Roman" w:cs="Times New Roman" w:eastAsia="Times New Roman" w:hAnsi="Times New Roman"/>
          <w:sz w:val="18"/>
          <w:szCs w:val="18"/>
          <w:color w:val="auto"/>
        </w:rPr>
        <w:t xml:space="preserve"> A portfolio of five commercial loan investments and two preferred equity investments which are classified as commercial loan investments.</w:t>
      </w:r>
    </w:p>
    <w:p>
      <w:pPr>
        <w:spacing w:after="0" w:line="162"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u w:val="single" w:color="auto"/>
          <w:color w:val="auto"/>
        </w:rPr>
        <w:t>Real Estate Operations:</w:t>
      </w:r>
      <w:r>
        <w:rPr>
          <w:rFonts w:ascii="Times New Roman" w:cs="Times New Roman" w:eastAsia="Times New Roman" w:hAnsi="Times New Roman"/>
          <w:sz w:val="18"/>
          <w:szCs w:val="18"/>
          <w:color w:val="auto"/>
        </w:rPr>
        <w:t xml:space="preserve"> During the year ended December 31, 2024, the Company sold its portfolio of subsurface mineral interests associated with approximately 352,000 surface acres in 19 counties in the State of Florida (“Subsurface Interests”), as further described in Note 6, “Real Estate Operations”. As part of the Subsurface Interests sale, the Company entered into a management agreement with the buyer to provide ongoing management services (the “Subsurface Management Agreement”).</w:t>
      </w:r>
    </w:p>
    <w:p>
      <w:pPr>
        <w:spacing w:after="0" w:line="183"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u w:val="single" w:color="auto"/>
          <w:color w:val="auto"/>
        </w:rPr>
        <w:t>Investment in PINE:</w:t>
      </w:r>
      <w:r>
        <w:rPr>
          <w:rFonts w:ascii="Times New Roman" w:cs="Times New Roman" w:eastAsia="Times New Roman" w:hAnsi="Times New Roman"/>
          <w:sz w:val="18"/>
          <w:szCs w:val="18"/>
          <w:color w:val="auto"/>
        </w:rPr>
        <w:t xml:space="preserve"> Our business also includes our investment in PINE. As of March 31, 2025, the fair value of our investment totaled $39.5 million, or 15.1% of PINE’s outstanding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received from PINE are included in investment and other income (loss) on the accompanying consolidated statements of operations.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Interim Financial Information</w:t>
      </w:r>
    </w:p>
    <w:p>
      <w:pPr>
        <w:spacing w:after="0" w:line="229"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pursuant to the rules and regulations of the Securities and Exchange Commission. These unaudited consolidated financial statements do not include all of the information and notes required by accounting principles generally accepted in the United States of America (“U.S. GAAP”) for complete financial statements, and should be read in conjunction with the Company’s Annual Report on Form 10-K for the year ended December 31, 2024, which provides a more complete understanding of the Company’s accounting policies, financial position, operating results, business, properties, and other matters. The unaudited consolidated financial statements reflect all adjustments which are, in the opinion of management, necessary to present fairly the financial position of the Company and the results of operations for the interim periods.</w:t>
      </w:r>
    </w:p>
    <w:p>
      <w:pPr>
        <w:spacing w:after="0" w:line="192"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three months ended March 31, 2025 are not necessarily indicative of results to be expected for the year ending December 31, 2025.</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its wholly owned subsidiaries, and other entities in which we have a controlling interest. Any real estate entities or properties included in the consolidated financial statements have been consolidated only for the periods that such entities or properties were owned or under control by us. All inter-company balances and transactions have been eliminated in the consolidated financial statements. As of March 31, 2025, the Company has an equity investment in PINE.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7" w:lineRule="exact"/>
        <w:rPr>
          <w:sz w:val="20"/>
          <w:szCs w:val="20"/>
          <w:color w:val="auto"/>
        </w:rPr>
      </w:pPr>
    </w:p>
    <w:p>
      <w:pPr>
        <w:jc w:val="both"/>
        <w:ind w:left="60" w:right="59" w:firstLine="441"/>
        <w:spacing w:after="0" w:line="257" w:lineRule="auto"/>
        <w:rPr>
          <w:sz w:val="20"/>
          <w:szCs w:val="20"/>
          <w:color w:val="auto"/>
        </w:rPr>
      </w:pPr>
      <w:r>
        <w:rPr>
          <w:rFonts w:ascii="Times New Roman" w:cs="Times New Roman" w:eastAsia="Times New Roman" w:hAnsi="Times New Roman"/>
          <w:sz w:val="18"/>
          <w:szCs w:val="18"/>
          <w:color w:val="auto"/>
        </w:rPr>
        <w:t>ASC Topic 280</w:t>
      </w:r>
      <w:r>
        <w:rPr>
          <w:rFonts w:ascii="Times New Roman" w:cs="Times New Roman" w:eastAsia="Times New Roman" w:hAnsi="Times New Roman"/>
          <w:sz w:val="18"/>
          <w:szCs w:val="18"/>
          <w:i w:val="1"/>
          <w:iCs w:val="1"/>
          <w:color w:val="auto"/>
        </w:rPr>
        <w:t>, Segment Reporting</w:t>
      </w:r>
      <w:r>
        <w:rPr>
          <w:rFonts w:ascii="Times New Roman" w:cs="Times New Roman" w:eastAsia="Times New Roman" w:hAnsi="Times New Roman"/>
          <w:sz w:val="18"/>
          <w:szCs w:val="18"/>
          <w:color w:val="auto"/>
        </w:rPr>
        <w:t>, establishes standards related to the manner in which enterprises report operating segment information. The Company operates in four primary business segments including income properties, management services, commercial loans and investments, and real estate operations, as further discussed within Note 22, “Business Segment Data”. The Company has no other reportable segments. The Company’s chief executive officer, who is the chief operating decision maker, reviews financial information on a disaggregated basis for purposes of allocating and evaluating financial performance.</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Real Estate</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Company’s real estate assets are stated at cost, less accumulated depreciation and amortization. Such assets are depreciated on a straight-line basis over their estimated useful lives. Renewals and betterments are capitalized to the applicable property accounts. The cost of maintenance and repairs is expensed as incurred. The cost of property retired or otherwise disposed of, and the related accumulated depreciation or amortization, are removed from the accounts, and any resulting gain or loss is recorded in the Company’s consolidated statement of operations. The amount of depreciation of real estate, exclusive of amortization related to intangible assets, recognized for the three months ended March 31, 2025 and March 31, 2024, was $8.3 million and $6.4 million, respectively.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27" w:lineRule="exact"/>
        <w:rPr>
          <w:sz w:val="20"/>
          <w:szCs w:val="20"/>
          <w:color w:val="auto"/>
        </w:rPr>
      </w:pPr>
    </w:p>
    <w:p>
      <w:pPr>
        <w:jc w:val="both"/>
        <w:ind w:left="60" w:right="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The Company follows FASB ASC Topic 360-10,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in conducting its impairment analyses. The Company reviews the recoverability of long-lived assets, including land and development costs, real estate held for sale, and property, plant, and equipment, for impairment whenever events or changes in circumstances indicate that the carrying amount of an asset may not be recoverable. Examples of situations considered to be triggering events include: a substantial decline in operating cash flows during the period, a current or projected loss from operations, an income property not fully leased or leased at rates that are less than current market rates, and any other quantitative or qualitative events deemed significant by our management. Long-lived assets are evaluated for impairment by using an undiscounted cash flow approach, which considers future estimated capital expenditures. Impairment of long-lived assets is measured at fair value less cost to sell.</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229"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0"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Among other factors, fluctuating market conditions that can exist in the national real estate markets and the volatility and uncertainty in the financial and credit markets make it possible that the estimates and assumptions, most notably those related to the Company’s investments in income properties, could change materially due to continued volatility in the real estate and financial markets, or as a result of a significant dislocation in those markets.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includes cash on hand, bank demand accounts, and money market accounts having original maturities of 90 days or less. The Company’s bank balances as of March 31, 2025 and December 31, 2024 include certain amounts over the Federal Deposit Insurance Corporation limits.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Restricted cash totaled $6.9 million at March 31, 2025, which is being held in five reserve accounts related to the Company’s commercial loans and investments for interest, real estate tax and/or construction costs.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 and Hedging Activity</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its cash flow hedging derivatives in accordance with FASB ASC Topic 815-20,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Depending upon the hedge’s value at each balance sheet date, the derivatives are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either other assets or accrued and other liabilities on the consolidated balance sheet at their fair value. On the date each interest rate swap was entered into, the Company designated the derivatives as a hedge of the variability of cash flows to be paid related to the recognized long-term debt liabilities.</w:t>
      </w:r>
    </w:p>
    <w:p>
      <w:pPr>
        <w:spacing w:after="0" w:line="183"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The Company documented the relationship between the hedging instruments and the hedged item, as well as its risk-management objective and strategy for undertaking the hedge transactions. At the hedges’ inception, the Company assessed whether the derivatives that are used in hedging the transactions are highly effective in offsetting changes in cash flows of the hedged items, and we will continue to do so on a quarterly basis.</w:t>
      </w:r>
    </w:p>
    <w:p>
      <w:pPr>
        <w:spacing w:after="0" w:line="180"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Changes in fair value of the hedging instruments that are highly effective and designated and qualified as cash-flow hedges are recorded in other comprehensive income and loss, until earnings are affected by the variability in cash flows of the designated hedged items (see Note 16, “Interest Rate Swaps”).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The carrying amounts of the Company’s financial assets and liabilities including cash and cash equivalents, restricted cash, accounts receivable, accounts payable, and accrued and other liabilities at March 31, 2025 and December 31, 2024, approximate fair value because of the short maturity of these instruments. The carrying value of the Company’s Credit Facility (hereinafter defined) as of March 31, 2025 and December 31, 2024, approximates current market rates for revolving credit arrangements with similar risks and maturities. The face value of the Company’s fixed rate commercial loans and investments, the 2026 Term Loan (hereinafter defined), the 2027 Term Loan (hereinafter defined), the 2028 Term Loan (hereinafter defined), the 2029 Term Loan (hereinafter defined), mortgage note, and convertible debt held as of March 31, 2025 and December 31, 2024 are measured at fair value based on current market rates for financial instruments with similar risks and maturities (see Note 8, “Fair Value of Financial Instruments”).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The Company’s estimates of fair value of financial and non-financial assets and liabilities is based on the framework established by U.S. GAAP. The framework specifies a hierarchy of valuation inputs which was established to increase consistency, clarity and comparability in fair value measurements and related disclosures. U.S. GAAP describes a fair value hierarchy based upon three levels of inputs that may be used to measure fair value, two of which are considered observable and one that is considered unobservable. The following describes the three levels:</w:t>
      </w:r>
    </w:p>
    <w:p>
      <w:pPr>
        <w:spacing w:after="0" w:line="183" w:lineRule="exact"/>
        <w:rPr>
          <w:sz w:val="20"/>
          <w:szCs w:val="20"/>
          <w:color w:val="auto"/>
        </w:rPr>
      </w:pPr>
    </w:p>
    <w:p>
      <w:pPr>
        <w:ind w:left="840" w:hanging="331"/>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 is based upon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jc w:val="both"/>
        <w:ind w:left="840" w:right="79" w:hanging="331"/>
        <w:spacing w:after="0" w:line="261"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1" w:lineRule="exact"/>
        <w:rPr>
          <w:rFonts w:ascii="Times New Roman" w:cs="Times New Roman" w:eastAsia="Times New Roman" w:hAnsi="Times New Roman"/>
          <w:sz w:val="18"/>
          <w:szCs w:val="18"/>
          <w:color w:val="auto"/>
        </w:rPr>
      </w:pPr>
    </w:p>
    <w:p>
      <w:pPr>
        <w:jc w:val="both"/>
        <w:ind w:left="840" w:right="79" w:hanging="331"/>
        <w:spacing w:after="0" w:line="261"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Recognition of Interest Income from Commercial Loans and Investments</w:t>
      </w:r>
    </w:p>
    <w:p>
      <w:pPr>
        <w:spacing w:after="0" w:line="229"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Interest income on commercial loans and investments includes interest payments made by the borrower and the accretion of purchase discounts and loan origination fees, offset by the amortization of loan costs. Interest payments are accrued based on the actual coupon rate and the outstanding principal balance and purchase discounts and loan origination fees are accreted into income using the effective yield method, adjusted for prepayments.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Accounts receivable related to income properties, which are classified in other assets on the consolidated balance sheets, primarily consist of accrued tenant reimbursable expenses and other tenant receivables. Receivables related to income property tenants totaled $3.8 million and $3.7 million as of March 31, 2025 and December 31, 2024, respectively.</w:t>
      </w:r>
    </w:p>
    <w:p>
      <w:pPr>
        <w:spacing w:after="0" w:line="176"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The collectability of the aforementioned receivables shall be considered and adjusted through an allowance for doubtful accounts which is included in income property revenue on the consolidated statements of operations. As of March 31, 2025 and December 31, 2024, the Company’s allowance for doubtful accounts totaled $2.1 million and $1.9 million,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Purchase Accounting for Acquisitions of Real Estate Subject to a Lease</w:t>
      </w:r>
    </w:p>
    <w:p>
      <w:pPr>
        <w:spacing w:after="0" w:line="229"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 xml:space="preserve">Investments in real estate are carried at cost less accumulated depreciation and impairment losses, if any. The cost of investments in real estate reflects their purchase price or development cost. We evaluate each acquisition transaction to determine whether the acquired asset meets the definition of a business. Under ASU 2017-01,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805): Clarifying the Definition of a Business</w:t>
      </w:r>
      <w:r>
        <w:rPr>
          <w:rFonts w:ascii="Times New Roman" w:cs="Times New Roman" w:eastAsia="Times New Roman" w:hAnsi="Times New Roman"/>
          <w:sz w:val="18"/>
          <w:szCs w:val="18"/>
          <w:color w:val="auto"/>
        </w:rPr>
        <w:t>, an acquisition does not qualify as a business when there is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spacing w:after="0" w:line="192"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management believes the lease includes bargain renewal options that are likely to be exercised, in which case the Company includes such renewal periods in the amortization period utilized. The Company considers both qualitative and quantitative factors in considering if a lease contains a bargain renewal option and the likelihood of a tenant exercising such option.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spacing w:after="0" w:line="187"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The Company incurs costs related to the development and leasing of its properties. Such costs include, but are not limited to, tenant improvements, leasing commissions, rebranding, facility expansion and other capital improvements, and are included in construction in progress during the development period. When a construction project is considered to be substantially complete, the capitalized costs are reclassified to the appropriate real estate asset and depreciation begins. The Company assesses the level of construction activity to determine the amount, if any, of interest expense to be capitalized to the underlying construction projects.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 of Real Estate</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When income properties are disposed of, the related cost basis of the real estate, intangible lease assets, and intangible lease liabilities, net of accumulated depreciation and/or amortization, and any accrued straight-line rental income balance for the underlying operating leases are removed, and gains or losses from the dispositions are reflected in net income within gain (loss) on disposition of assets. In accordance with the FASB guidance, gains or losses on sales of real estate are generally recognized using the full accrual method.</w:t>
      </w:r>
    </w:p>
    <w:p>
      <w:pPr>
        <w:spacing w:after="0" w:line="183"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 xml:space="preserve">Gains and losses on land sales, in addition to the sale of Subsurface Interests and mitigation credits, are accounted for as required by FASB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recognizes revenue from such sales when the Company transfers the promised goods in the contract based on the transaction price allocated to the performance obligations within the contract. As market information becomes available, the underlying cost basis is analyzed and recorded at the lower of cost or market.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59" w:firstLine="441"/>
        <w:spacing w:after="0" w:line="252" w:lineRule="auto"/>
        <w:rPr>
          <w:sz w:val="20"/>
          <w:szCs w:val="20"/>
          <w:color w:val="auto"/>
        </w:rPr>
      </w:pPr>
      <w:r>
        <w:rPr>
          <w:rFonts w:ascii="Times New Roman" w:cs="Times New Roman" w:eastAsia="Times New Roman" w:hAnsi="Times New Roman"/>
          <w:sz w:val="18"/>
          <w:szCs w:val="18"/>
          <w:color w:val="auto"/>
        </w:rPr>
        <w:t>The Company elected to be taxed as a REIT for U.S. federal income tax purposes under the Internal Revenue Code of 1986, as amended (the “Code”) commencing with its taxable year ended December 31, 2020.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 the Company holds certain of its non-REIT assets and operations through a TRS and subsidiaries of a TRS, which are subject to applicable U.S. federal, state and local corporate income tax on their taxable income. As of January 1, 2024, the Company owns one TRS, which is subject to federal and applicable state income taxation. The TRS is required to file a separate corporate income tax return.</w:t>
      </w:r>
    </w:p>
    <w:p>
      <w:pPr>
        <w:spacing w:after="0" w:line="195"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The Company uses the asset and liability method to account for income taxes for the Company’s TRS. Deferred income taxes result primarily from the net tax effect of temporary differences between the carrying amounts of assets and liabilities for financial reporting purposes and the amounts used for income tax purposes (see Note 20, “Income Taxes”). In June 2006, the FASB issued additional guidance, which clarifies the accounting for uncertainty in income taxes recognized in a company’s financial statements included in income taxes. The interpretation prescribes a recognition threshold and measurement attribute for the financial statement recognition and measurement of a tax position taken or expected to be taken in a tax return. The interpretation also provides guidance on de-recognition, classification, interest and penalties, accounting in interim periods, and disclosure and transition. In accordance with FASB guidance included in income taxes, the Company has analyzed its various federal and state filing positions and believes that its income tax filing positions and deductions are well documented and supported. Additionally, the Company believes that its accruals for tax liabilities are adequate. Therefore, no reserves for uncertain income tax positions have been recorded pursuant to the FASB guidance.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consist principally of cash and cash equivalents.</w:t>
      </w:r>
    </w:p>
    <w:p>
      <w:pPr>
        <w:spacing w:after="0" w:line="162"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The Company also has certain properties within our income property portfolio that make up more than 10% of our geographic concentration and/or revenues, as described below: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720" w:right="79" w:hanging="319"/>
        <w:spacing w:after="0" w:line="25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Square Footage Concentrations</w:t>
      </w:r>
      <w:r>
        <w:rPr>
          <w:rFonts w:ascii="Times New Roman" w:cs="Times New Roman" w:eastAsia="Times New Roman" w:hAnsi="Times New Roman"/>
          <w:sz w:val="18"/>
          <w:szCs w:val="18"/>
          <w:color w:val="auto"/>
        </w:rPr>
        <w:t>. As of March 31, 2025, a total of 32%, 19%, 17% and 17%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property portfolio, based on square footage, were located in the states of Georgia, North Carolina, Texas, and Florida, respectively. As of December 31, 2024, a total of 23%, 22%, 19%, and 19% of the Company’s income property portfolio, based on square footage, were located in the states of Georgia, North Carolina, Texas, and Florida, respectively.</w:t>
      </w:r>
    </w:p>
    <w:p>
      <w:pPr>
        <w:spacing w:after="0" w:line="183" w:lineRule="exact"/>
        <w:rPr>
          <w:rFonts w:ascii="Times New Roman" w:cs="Times New Roman" w:eastAsia="Times New Roman" w:hAnsi="Times New Roman"/>
          <w:sz w:val="18"/>
          <w:szCs w:val="18"/>
          <w:color w:val="auto"/>
        </w:rPr>
      </w:pPr>
    </w:p>
    <w:p>
      <w:pPr>
        <w:ind w:left="720" w:right="79" w:hanging="319"/>
        <w:spacing w:after="0" w:line="284"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Tenant Concentrations</w:t>
      </w:r>
      <w:r>
        <w:rPr>
          <w:rFonts w:ascii="Times New Roman" w:cs="Times New Roman" w:eastAsia="Times New Roman" w:hAnsi="Times New Roman"/>
          <w:sz w:val="18"/>
          <w:szCs w:val="18"/>
          <w:color w:val="auto"/>
        </w:rPr>
        <w:t>. We did not have any tenants that accounted for more than 10% of total revenues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2025 or 2024.</w:t>
      </w:r>
    </w:p>
    <w:p>
      <w:pPr>
        <w:spacing w:after="0" w:line="158"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Base Rent Concentrations</w:t>
      </w:r>
      <w:r>
        <w:rPr>
          <w:rFonts w:ascii="Times New Roman" w:cs="Times New Roman" w:eastAsia="Times New Roman" w:hAnsi="Times New Roman"/>
          <w:sz w:val="18"/>
          <w:szCs w:val="18"/>
          <w:color w:val="auto"/>
        </w:rPr>
        <w:t>. A total of 37%, 18%, 14%, and 14% of our base rent revenue during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2025 was generated from tenants located in Georgia, Florida, North Carolina and Texas, respectively. A total of 35%, 18%, 17%, and 11% of our base rent revenue during the three months ended March 31, 2024 was generated from tenants located in Georgia, Texas, Florida, and Virginia, respectively.</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7"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 December 2023, the FASB issued ASU 2023-09, Income Taxes (Topic 740): Improvements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Disclosures (“ASU 2023-09”). ASU 2023-09 requires annual disclosure of specific categories in the rate reconciliation and the provision of additional information for reconciling items that meet a quantitative threshold within the rate reconciliation. In addition, ASU 2023-09 requires annual disclosure of income taxes paid disaggregated by federal, state and foreign jurisdictions as well as individual jurisdictions in which income taxes paid is equal to or greater than 5 percent of total income taxes paid. ASU 2023-09 is effective for annual periods beginning after December 15, 2024 on a prospective basis, however early adoption and retrospective application is permitted. The Company is currently evaluating the impact of this guidance on its consolidated financial statements and related disclosures.</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3. INCOME PROPERTIES</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Leasing revenue consists of long-term rental revenue from retail, office, and commercial income properties, which is recognized as earned, using the straight-line method over the life of each lease. Lease payments below include straight-line base rental revenue as well as the non-cash accretion of above and below market lease amortization. The variable lease payments are primarily comprised of percentage rents, reimbursements from tenants for common area maintenance, insurance, real estate taxes, other operating expenses, and termination fee payments.</w:t>
      </w:r>
    </w:p>
    <w:p>
      <w:pPr>
        <w:spacing w:after="0" w:line="2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leasing revenue are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4"/>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09"/>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300" w:type="dxa"/>
            <w:vAlign w:val="bottom"/>
          </w:tcPr>
          <w:p>
            <w:pPr>
              <w:spacing w:after="0"/>
              <w:rPr>
                <w:sz w:val="18"/>
                <w:szCs w:val="18"/>
                <w:color w:val="auto"/>
              </w:rPr>
            </w:pPr>
          </w:p>
        </w:tc>
        <w:tc>
          <w:tcPr>
            <w:tcW w:w="18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10"/>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 Revenue</w:t>
            </w:r>
          </w:p>
        </w:tc>
        <w:tc>
          <w:tcPr>
            <w:tcW w:w="30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r>
      <w:tr>
        <w:trPr>
          <w:trHeight w:val="216"/>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Payments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23,926</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18,501</w:t>
            </w:r>
          </w:p>
        </w:tc>
      </w:tr>
      <w:tr>
        <w:trPr>
          <w:trHeight w:val="216"/>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Variable Lease Payments</w:t>
            </w:r>
          </w:p>
        </w:tc>
        <w:tc>
          <w:tcPr>
            <w:tcW w:w="30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7,746</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w:t>
            </w: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Leasing 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31,672</w:t>
            </w:r>
          </w:p>
        </w:tc>
        <w:tc>
          <w:tcPr>
            <w:tcW w:w="26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24,623</w:t>
            </w:r>
          </w:p>
        </w:tc>
      </w:tr>
      <w:tr>
        <w:trPr>
          <w:trHeight w:val="20"/>
        </w:trPr>
        <w:tc>
          <w:tcPr>
            <w:tcW w:w="4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Minimum future base rental receipts under non-cancelable operating leases, excluding percentage rent and other lease payments that are not fixed and determinable, having remaining terms in excess of one year subsequent to March 31, 2025, are summarized as follows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00" w:type="dxa"/>
            <w:vAlign w:val="bottom"/>
          </w:tcPr>
          <w:p>
            <w:pPr>
              <w:spacing w:after="0"/>
              <w:rPr>
                <w:sz w:val="20"/>
                <w:szCs w:val="20"/>
                <w:color w:val="auto"/>
              </w:rPr>
            </w:pPr>
          </w:p>
        </w:tc>
        <w:tc>
          <w:tcPr>
            <w:tcW w:w="17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10"/>
        </w:trPr>
        <w:tc>
          <w:tcPr>
            <w:tcW w:w="6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73,759</w:t>
            </w: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90,618</w:t>
            </w: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77,699</w:t>
            </w: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63,878</w:t>
            </w: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47,533</w:t>
            </w: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38,375</w:t>
            </w: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 and Thereafter (Cumulative)</w:t>
            </w:r>
          </w:p>
        </w:tc>
        <w:tc>
          <w:tcPr>
            <w:tcW w:w="4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101,912</w:t>
            </w: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493,774</w:t>
            </w:r>
          </w:p>
        </w:tc>
      </w:tr>
      <w:tr>
        <w:trPr>
          <w:trHeight w:val="20"/>
        </w:trPr>
        <w:tc>
          <w:tcPr>
            <w:tcW w:w="6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2025 Acquisitions. </w:t>
      </w:r>
      <w:r>
        <w:rPr>
          <w:rFonts w:ascii="Times New Roman" w:cs="Times New Roman" w:eastAsia="Times New Roman" w:hAnsi="Times New Roman"/>
          <w:sz w:val="18"/>
          <w:szCs w:val="18"/>
          <w:color w:val="auto"/>
        </w:rPr>
        <w:t>During the three months ended March 31, 2025, the Company acquired Ashley Park, a multi-tenant income property located in Newnan, GA, for a purchase price of $79.5 million, or a total acquisition cost of $80.0 million, including capitalized acquisition costs. Ashley Park comprises approximately 559,000 square feet, was 92% occupied at acquisition, and had a weighted average remaining lease term of 4.1 years at acquisition. Of the total acquisition costs, $26.0 million was allocated to land, $40.9 million to buildings and improvements, $16.8 million to intangible assets pertaining to the in-place lease value, leasing costs, and above market lease value and $3.7 million to intangible liabilities for the below market lease value.</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2025 Dispositions</w:t>
      </w:r>
      <w:r>
        <w:rPr>
          <w:rFonts w:ascii="Times New Roman" w:cs="Times New Roman" w:eastAsia="Times New Roman" w:hAnsi="Times New Roman"/>
          <w:sz w:val="18"/>
          <w:szCs w:val="18"/>
          <w:color w:val="auto"/>
        </w:rPr>
        <w:t>. No income properties were disposed of during the three months ended March 31, 2025.</w:t>
      </w:r>
    </w:p>
    <w:p>
      <w:pPr>
        <w:spacing w:after="0" w:line="225" w:lineRule="exact"/>
        <w:rPr>
          <w:sz w:val="20"/>
          <w:szCs w:val="20"/>
          <w:color w:val="auto"/>
        </w:rPr>
      </w:pPr>
    </w:p>
    <w:p>
      <w:pPr>
        <w:jc w:val="both"/>
        <w:ind w:left="60" w:right="59"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2024 Acquisitions. </w:t>
      </w:r>
      <w:r>
        <w:rPr>
          <w:rFonts w:ascii="Times New Roman" w:cs="Times New Roman" w:eastAsia="Times New Roman" w:hAnsi="Times New Roman"/>
          <w:sz w:val="18"/>
          <w:szCs w:val="18"/>
          <w:color w:val="212529"/>
        </w:rPr>
        <w:t>During the three months ended March 31, 2024, the Company acquired one multi-tenant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529"/>
        </w:rPr>
        <w:t>property and one building within an existing multi-tenant income property for an aggregate purchase price of $71.0 million, or a total acquisition cost of $71.1 million, as follows:</w:t>
      </w:r>
    </w:p>
    <w:p>
      <w:pPr>
        <w:spacing w:after="0" w:line="67" w:lineRule="exact"/>
        <w:rPr>
          <w:sz w:val="20"/>
          <w:szCs w:val="20"/>
          <w:color w:val="auto"/>
        </w:rPr>
      </w:pPr>
    </w:p>
    <w:p>
      <w:pPr>
        <w:jc w:val="both"/>
        <w:ind w:left="1160" w:right="79" w:hanging="327"/>
        <w:spacing w:after="0" w:line="261"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Marketplace at Seminole Towne Center, a multi-tenant income property located in Sanford, Florida, for a purchase price of $68.7 million, or a total acquisition cost of $68.8 million including capitalized acquisition costs. The Marketplace at Seminole Towne Center comprises 315,066 square feet, was 98% occupied at acquisition, and had a weighted average remaining lease term of 4.7 years at acquisition.</w:t>
      </w:r>
    </w:p>
    <w:p>
      <w:pPr>
        <w:spacing w:after="0" w:line="71" w:lineRule="exact"/>
        <w:rPr>
          <w:rFonts w:ascii="Times New Roman" w:cs="Times New Roman" w:eastAsia="Times New Roman" w:hAnsi="Times New Roman"/>
          <w:sz w:val="18"/>
          <w:szCs w:val="18"/>
          <w:color w:val="auto"/>
        </w:rPr>
      </w:pPr>
    </w:p>
    <w:p>
      <w:pPr>
        <w:jc w:val="both"/>
        <w:ind w:left="1160" w:right="79" w:hanging="327"/>
        <w:spacing w:after="0" w:line="256"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property, totaling 4,000 square feet, within the 28,100 square foot retail portion of Phase II of The Exchange at Gwinnett located in Buford, Georgia for an aggregate purchase price of $2.3 million including capitalized acquisition costs. The weighted average remaining lease term at acquisition is 10.0 years. As a result of this acquisition, the Company has acquired the entire retail portion of Phase II of the Exchange at Gwinnett. The Company previously purchased the Sprouts-anchored Phase I portion of The Exchange at Gwinnett in December 2021.</w:t>
      </w:r>
    </w:p>
    <w:p>
      <w:pPr>
        <w:spacing w:after="0" w:line="228"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212529"/>
        </w:rPr>
        <w:t>Of the aggregate $71.1 million total acquisition cost, $12.9 million was allocated to land, $52.0 million was allocated to buildings and improvements, and $11.2 million was allocated to intangible assets pertaining to the in-place lease value, leasing costs, and above market lease value and $5.0 million was allocated to intangible liabilities for the below market lease value. The amortization period for the intangible assets and liabilities was 4.9 years at acquisition.</w:t>
      </w:r>
    </w:p>
    <w:p>
      <w:pPr>
        <w:spacing w:after="0" w:line="218" w:lineRule="exact"/>
        <w:rPr>
          <w:sz w:val="20"/>
          <w:szCs w:val="20"/>
          <w:color w:val="auto"/>
        </w:rPr>
      </w:pPr>
    </w:p>
    <w:p>
      <w:pPr>
        <w:jc w:val="both"/>
        <w:ind w:left="60" w:right="59"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2024 Dispositions. </w:t>
      </w:r>
      <w:r>
        <w:rPr>
          <w:rFonts w:ascii="Times New Roman" w:cs="Times New Roman" w:eastAsia="Times New Roman" w:hAnsi="Times New Roman"/>
          <w:sz w:val="18"/>
          <w:szCs w:val="18"/>
          <w:color w:val="auto"/>
        </w:rPr>
        <w:t>During the three months ended March 31, 2024, the Company sold one mixed use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in downtown Santa Fe, NM for $20.0 million resulting in a gain of $4.6 million.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4. COMMERCIAL LOANS AND INVESTMENTS</w:t>
      </w:r>
    </w:p>
    <w:p>
      <w:pPr>
        <w:spacing w:after="0" w:line="229"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Our investments in commercial loans or similarly structured investments, such as preferred equity, mezzanine loans or other subordinated debt, have been and are expected to continue to be secured by real estate or the borrower’s pledge of its ownership interest in the entity that owns the real estate. The investments are associated with commercial real estate located in the United States and its territories, and are current or performing with either a fixed or floating rate. Some of these loans may be syndicated in either a pari-passu or senior/subordinated structure. Commercial first mortgage loans generally provide for a higher recovery rate due to their senior position in the underlying collateral. Commercial mezzanine loans are typically secured by a pledge of the borrower’s equity ownership in the underlying commercial real estate. Unlike a mortgage, a mezzanine loan is not secured by a lien on the property. An investor’s rights in a mezzanine loan are usually governed by an intercreditor agreement that provides holders with the rights to cure defaults and exercise control on certain decisions of any senior debt secured by the same commercial property.</w:t>
      </w:r>
    </w:p>
    <w:p>
      <w:pPr>
        <w:spacing w:after="0" w:line="192" w:lineRule="exact"/>
        <w:rPr>
          <w:sz w:val="20"/>
          <w:szCs w:val="20"/>
          <w:color w:val="auto"/>
        </w:rPr>
      </w:pPr>
    </w:p>
    <w:p>
      <w:pPr>
        <w:ind w:left="60" w:right="639"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2025 Activity. </w:t>
      </w:r>
      <w:r>
        <w:rPr>
          <w:rFonts w:ascii="Times New Roman" w:cs="Times New Roman" w:eastAsia="Times New Roman" w:hAnsi="Times New Roman"/>
          <w:sz w:val="18"/>
          <w:szCs w:val="18"/>
          <w:color w:val="auto"/>
        </w:rPr>
        <w:t>During the three months ended March 31, 2025, no new commercial loans or investments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originated, however $1.4 million of funding was provided for existing construction loans.</w:t>
      </w:r>
    </w:p>
    <w:p>
      <w:pPr>
        <w:spacing w:after="0" w:line="158" w:lineRule="exact"/>
        <w:rPr>
          <w:sz w:val="20"/>
          <w:szCs w:val="20"/>
          <w:color w:val="auto"/>
        </w:rPr>
      </w:pPr>
    </w:p>
    <w:p>
      <w:pPr>
        <w:jc w:val="both"/>
        <w:ind w:left="60" w:right="59"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2024 Activity. </w:t>
      </w:r>
      <w:r>
        <w:rPr>
          <w:rFonts w:ascii="Times New Roman" w:cs="Times New Roman" w:eastAsia="Times New Roman" w:hAnsi="Times New Roman"/>
          <w:sz w:val="18"/>
          <w:szCs w:val="18"/>
          <w:color w:val="auto"/>
        </w:rPr>
        <w:t>During the three months ended March 31, 2024, the Company originated one commercial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for an investment volume of $10.0 million at an initial fixed interest rate of 11.0% of which $6.6 million was funded at origination.</w:t>
      </w:r>
    </w:p>
    <w:p>
      <w:pPr>
        <w:spacing w:after="0" w:line="173" w:lineRule="exact"/>
        <w:rPr>
          <w:sz w:val="20"/>
          <w:szCs w:val="20"/>
          <w:color w:val="auto"/>
        </w:rPr>
      </w:pPr>
    </w:p>
    <w:p>
      <w:pPr>
        <w:jc w:val="both"/>
        <w:ind w:left="60" w:right="59"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Activity. </w:t>
      </w:r>
      <w:r>
        <w:rPr>
          <w:rFonts w:ascii="Times New Roman" w:cs="Times New Roman" w:eastAsia="Times New Roman" w:hAnsi="Times New Roman"/>
          <w:sz w:val="18"/>
          <w:szCs w:val="18"/>
          <w:color w:val="auto"/>
        </w:rPr>
        <w:t>Certain commercial loans and investments originated required determinations related to variable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entity matters as described herein: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720" w:right="180" w:hanging="319"/>
        <w:spacing w:after="0" w:line="254"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Series A Preferred Investment. </w:t>
      </w:r>
      <w:r>
        <w:rPr>
          <w:rFonts w:ascii="Times New Roman" w:cs="Times New Roman" w:eastAsia="Times New Roman" w:hAnsi="Times New Roman"/>
          <w:sz w:val="18"/>
          <w:szCs w:val="18"/>
          <w:color w:val="auto"/>
        </w:rPr>
        <w:t>On July 11, 2024, the Company funded $10.0 million into an escrow 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which escrow closed on August 1, 2024 in exchange for 10,000 shares of 14.000% Series A preferred stock, with a $0.01 par value per share, of a subsidiary of a publicly-traded hospitality, entertainment and real-estate company (the “Series A Preferred Investment”). In connection with the investment, the Company received an origination fee of 1.0% or $0.1 million. The investment is not redeemable prior to July 11, 2029, except upon the occurrence of certain specified events. The Company determined, pursuant to FASB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that we do not have a variable interest in the entity underlying the Series A Preferred Investment; accordingly, FASB Topic ASC 320, </w:t>
      </w:r>
      <w:r>
        <w:rPr>
          <w:rFonts w:ascii="Times New Roman" w:cs="Times New Roman" w:eastAsia="Times New Roman" w:hAnsi="Times New Roman"/>
          <w:sz w:val="18"/>
          <w:szCs w:val="18"/>
          <w:i w:val="1"/>
          <w:iCs w:val="1"/>
          <w:color w:val="auto"/>
        </w:rPr>
        <w:t>Investments-Debt Securities</w:t>
      </w:r>
      <w:r>
        <w:rPr>
          <w:rFonts w:ascii="Times New Roman" w:cs="Times New Roman" w:eastAsia="Times New Roman" w:hAnsi="Times New Roman"/>
          <w:sz w:val="18"/>
          <w:szCs w:val="18"/>
          <w:color w:val="auto"/>
        </w:rPr>
        <w:t>, was applied and the investment was recorded in the consolidated balance sheets as a commercial loan investment at the time of acquisition.</w:t>
      </w:r>
    </w:p>
    <w:p>
      <w:pPr>
        <w:spacing w:after="0" w:line="188" w:lineRule="exact"/>
        <w:rPr>
          <w:rFonts w:ascii="Times New Roman" w:cs="Times New Roman" w:eastAsia="Times New Roman" w:hAnsi="Times New Roman"/>
          <w:sz w:val="18"/>
          <w:szCs w:val="18"/>
          <w:color w:val="auto"/>
        </w:rPr>
      </w:pPr>
    </w:p>
    <w:p>
      <w:pPr>
        <w:jc w:val="both"/>
        <w:ind w:left="720" w:right="180" w:hanging="319"/>
        <w:spacing w:after="0" w:line="253"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Watters Creek Investment. </w:t>
      </w:r>
      <w:r>
        <w:rPr>
          <w:rFonts w:ascii="Times New Roman" w:cs="Times New Roman" w:eastAsia="Times New Roman" w:hAnsi="Times New Roman"/>
          <w:sz w:val="18"/>
          <w:szCs w:val="18"/>
          <w:color w:val="auto"/>
        </w:rPr>
        <w:t>On April 7, 2022, the Company entered into a preferred equity agreement to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$30.0 million of funding towards the total investment in Watters Creek at Montgomery Farm, a grocery-anchored, mixed-use property located in Allen, Texas (the “Watters Creek Investment”). Pursuant to FASB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determined it is not the primary beneficiary of the entity underlying the Watters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Creek Investment; accordingly, the $30.0 million was recorded on the consolidated balance sheets as a commercial loan investment at the time of acquisition. The initial maturity date for the Watters Creek Investment was April 6, 2025; however, during the three months ended March 31, 2025, the borrower exercised the first of two one-year extension options thereby extending the maturity date to April 6, 2026. The Watters Creek Investment bears a fixed interest rate of 8.50% at time of acquisition with increases during the initial term as well as the option terms, and requires payments of interest only prior to maturity. At closing, an origination fee of $0.15 million was received by the Company. The Watters Creek Investment represents $30.0 million, or approximately 23%, of funding towards the total investment in Watters Creek at Montgomery Farm, a grocery-anchored, mixed-use property located in Allen, Texas (the “Watters Creek Property”). The remaining funding is comprised of a combination of third-party sponsorship equity and a secured first mortgage.</w:t>
      </w:r>
    </w:p>
    <w:p>
      <w:pPr>
        <w:spacing w:after="0" w:line="187" w:lineRule="exact"/>
        <w:rPr>
          <w:sz w:val="20"/>
          <w:szCs w:val="20"/>
          <w:color w:val="auto"/>
        </w:rPr>
      </w:pPr>
    </w:p>
    <w:p>
      <w:pPr>
        <w:ind w:left="60" w:right="180" w:firstLine="441"/>
        <w:spacing w:after="0" w:line="282" w:lineRule="auto"/>
        <w:rPr>
          <w:sz w:val="20"/>
          <w:szCs w:val="20"/>
          <w:color w:val="auto"/>
        </w:rPr>
      </w:pPr>
      <w:r>
        <w:rPr>
          <w:rFonts w:ascii="Times New Roman" w:cs="Times New Roman" w:eastAsia="Times New Roman" w:hAnsi="Times New Roman"/>
          <w:sz w:val="18"/>
          <w:szCs w:val="18"/>
          <w:color w:val="auto"/>
        </w:rPr>
        <w:t>The Company’s commercial loans and investments were comprised of the following at March 31, 2025 (in thousands):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Original</w:t>
            </w: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Current</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62"/>
        </w:trPr>
        <w:tc>
          <w:tcPr>
            <w:tcW w:w="3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w w:val="99"/>
              </w:rPr>
              <w:t>Date of</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5"/>
                <w:szCs w:val="15"/>
                <w:b w:val="1"/>
                <w:bCs w:val="1"/>
                <w:color w:val="auto"/>
                <w:w w:val="99"/>
              </w:rPr>
              <w:t>Face</w:t>
            </w:r>
          </w:p>
        </w:tc>
        <w:tc>
          <w:tcPr>
            <w:tcW w:w="100" w:type="dxa"/>
            <w:vAlign w:val="bottom"/>
          </w:tcPr>
          <w:p>
            <w:pPr>
              <w:spacing w:after="0"/>
              <w:rPr>
                <w:sz w:val="14"/>
                <w:szCs w:val="14"/>
                <w:color w:val="auto"/>
              </w:rPr>
            </w:pPr>
          </w:p>
        </w:tc>
        <w:tc>
          <w:tcPr>
            <w:tcW w:w="7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5"/>
                <w:szCs w:val="15"/>
                <w:b w:val="1"/>
                <w:bCs w:val="1"/>
                <w:color w:val="auto"/>
                <w:w w:val="99"/>
              </w:rPr>
              <w:t>Face</w:t>
            </w:r>
          </w:p>
        </w:tc>
        <w:tc>
          <w:tcPr>
            <w:tcW w:w="840" w:type="dxa"/>
            <w:vAlign w:val="bottom"/>
            <w:gridSpan w:val="3"/>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Carrying</w:t>
            </w:r>
          </w:p>
        </w:tc>
        <w:tc>
          <w:tcPr>
            <w:tcW w:w="5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Coupon</w:t>
            </w:r>
          </w:p>
        </w:tc>
      </w:tr>
      <w:tr>
        <w:trPr>
          <w:trHeight w:val="18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Maturity Date</w:t>
            </w: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0" w:type="dxa"/>
            <w:vAlign w:val="bottom"/>
          </w:tcPr>
          <w:p>
            <w:pPr>
              <w:spacing w:after="0"/>
              <w:rPr>
                <w:sz w:val="15"/>
                <w:szCs w:val="15"/>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5"/>
              </w:rPr>
              <w:t>Value</w:t>
            </w: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Rate</w:t>
            </w:r>
          </w:p>
        </w:tc>
      </w:tr>
      <w:tr>
        <w:trPr>
          <w:trHeight w:val="155"/>
        </w:trPr>
        <w:tc>
          <w:tcPr>
            <w:tcW w:w="3360" w:type="dxa"/>
            <w:vAlign w:val="bottom"/>
            <w:tcBorders>
              <w:top w:val="single" w:sz="8" w:color="auto"/>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Preferred Investment – Watters Creek – Allen, TX</w:t>
            </w:r>
          </w:p>
        </w:tc>
        <w:tc>
          <w:tcPr>
            <w:tcW w:w="16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April 2022</w:t>
            </w:r>
          </w:p>
        </w:tc>
        <w:tc>
          <w:tcPr>
            <w:tcW w:w="16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April 2026</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30,000</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30,000</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29,924</w:t>
            </w:r>
          </w:p>
        </w:tc>
        <w:tc>
          <w:tcPr>
            <w:tcW w:w="1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9.00%</w:t>
            </w:r>
          </w:p>
        </w:tc>
      </w:tr>
      <w:tr>
        <w:trPr>
          <w:trHeight w:val="162"/>
        </w:trPr>
        <w:tc>
          <w:tcPr>
            <w:tcW w:w="35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Mortgage Note – Founders Square – Dallas, TX</w:t>
            </w:r>
          </w:p>
        </w:tc>
        <w:tc>
          <w:tcPr>
            <w:tcW w:w="118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March 2023</w:t>
            </w:r>
          </w:p>
        </w:tc>
        <w:tc>
          <w:tcPr>
            <w:tcW w:w="11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March 2026</w:t>
            </w: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14,954</w:t>
            </w:r>
          </w:p>
        </w:tc>
        <w:tc>
          <w:tcPr>
            <w:tcW w:w="160" w:type="dxa"/>
            <w:vAlign w:val="bottom"/>
          </w:tcPr>
          <w:p>
            <w:pPr>
              <w:spacing w:after="0"/>
              <w:rPr>
                <w:sz w:val="14"/>
                <w:szCs w:val="14"/>
                <w:color w:val="auto"/>
              </w:rPr>
            </w:pPr>
          </w:p>
        </w:tc>
        <w:tc>
          <w:tcPr>
            <w:tcW w:w="5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8.75%</w:t>
            </w:r>
          </w:p>
        </w:tc>
      </w:tr>
      <w:tr>
        <w:trPr>
          <w:trHeight w:val="162"/>
        </w:trPr>
        <w:tc>
          <w:tcPr>
            <w:tcW w:w="352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Promissory Note – Main Street – Daytona Beach, FL</w:t>
            </w:r>
          </w:p>
        </w:tc>
        <w:tc>
          <w:tcPr>
            <w:tcW w:w="118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June 2023</w:t>
            </w:r>
          </w:p>
        </w:tc>
        <w:tc>
          <w:tcPr>
            <w:tcW w:w="116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May 2033</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400</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7.00%</w:t>
            </w:r>
          </w:p>
        </w:tc>
      </w:tr>
      <w:tr>
        <w:trPr>
          <w:trHeight w:val="23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Construction Loan - Hypoluxo - Lake Worth, FL</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March 2024</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June 2025</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3,984</w:t>
            </w:r>
          </w:p>
        </w:tc>
        <w:tc>
          <w:tcPr>
            <w:tcW w:w="16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11.00%</w:t>
            </w:r>
          </w:p>
        </w:tc>
      </w:tr>
      <w:tr>
        <w:trPr>
          <w:trHeight w:val="229"/>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A Preferred Investment</w:t>
            </w:r>
          </w:p>
        </w:tc>
        <w:tc>
          <w:tcPr>
            <w:tcW w:w="11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rPr>
              <w:t>July 2024</w:t>
            </w:r>
          </w:p>
        </w:tc>
        <w:tc>
          <w:tcPr>
            <w:tcW w:w="11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July 2029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9,915</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14.00%</w:t>
            </w:r>
          </w:p>
        </w:tc>
      </w:tr>
      <w:tr>
        <w:trPr>
          <w:trHeight w:val="23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Mortgage Note - Rivana - Herndon, VA</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September 2024</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September 2026</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41,597</w:t>
            </w:r>
          </w:p>
        </w:tc>
        <w:tc>
          <w:tcPr>
            <w:tcW w:w="16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11.00%</w:t>
            </w:r>
          </w:p>
        </w:tc>
      </w:tr>
      <w:tr>
        <w:trPr>
          <w:trHeight w:val="23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Construction Loan - Whole Foods - Forsyth, GA</w:t>
            </w:r>
          </w:p>
        </w:tc>
        <w:tc>
          <w:tcPr>
            <w:tcW w:w="11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November 2024</w:t>
            </w:r>
          </w:p>
        </w:tc>
        <w:tc>
          <w:tcPr>
            <w:tcW w:w="11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May 2027</w:t>
            </w: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40,200</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5,631</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5,298</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12.15%</w:t>
            </w:r>
          </w:p>
        </w:tc>
      </w:tr>
      <w:tr>
        <w:trPr>
          <w:trHeight w:val="195"/>
        </w:trPr>
        <w:tc>
          <w:tcPr>
            <w:tcW w:w="33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143,238</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107,031</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CCEEFF"/>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106,072</w:t>
            </w:r>
          </w:p>
        </w:tc>
        <w:tc>
          <w:tcPr>
            <w:tcW w:w="16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r>
      <w:tr>
        <w:trPr>
          <w:trHeight w:val="143"/>
        </w:trPr>
        <w:tc>
          <w:tcPr>
            <w:tcW w:w="3520" w:type="dxa"/>
            <w:vAlign w:val="bottom"/>
            <w:gridSpan w:val="2"/>
            <w:shd w:val="clear" w:color="auto" w:fill="CCEEFF"/>
          </w:tcPr>
          <w:p>
            <w:pPr>
              <w:ind w:left="20"/>
              <w:spacing w:after="0" w:line="143" w:lineRule="exact"/>
              <w:rPr>
                <w:sz w:val="20"/>
                <w:szCs w:val="20"/>
                <w:color w:val="auto"/>
              </w:rPr>
            </w:pPr>
            <w:r>
              <w:rPr>
                <w:rFonts w:ascii="Times New Roman" w:cs="Times New Roman" w:eastAsia="Times New Roman" w:hAnsi="Times New Roman"/>
                <w:sz w:val="15"/>
                <w:szCs w:val="15"/>
                <w:color w:val="auto"/>
              </w:rPr>
              <w:t>CECL Reserve</w:t>
            </w: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3" w:lineRule="exact"/>
              <w:rPr>
                <w:sz w:val="20"/>
                <w:szCs w:val="20"/>
                <w:color w:val="auto"/>
              </w:rPr>
            </w:pPr>
            <w:r>
              <w:rPr>
                <w:rFonts w:ascii="Times New Roman" w:cs="Times New Roman" w:eastAsia="Times New Roman" w:hAnsi="Times New Roman"/>
                <w:sz w:val="15"/>
                <w:szCs w:val="15"/>
                <w:color w:val="auto"/>
              </w:rPr>
              <w:t>(1,072)</w:t>
            </w:r>
          </w:p>
        </w:tc>
        <w:tc>
          <w:tcPr>
            <w:tcW w:w="520" w:type="dxa"/>
            <w:vAlign w:val="bottom"/>
            <w:shd w:val="clear" w:color="auto" w:fill="CCEEFF"/>
          </w:tcPr>
          <w:p>
            <w:pPr>
              <w:spacing w:after="0"/>
              <w:rPr>
                <w:sz w:val="12"/>
                <w:szCs w:val="12"/>
                <w:color w:val="auto"/>
              </w:rPr>
            </w:pPr>
          </w:p>
        </w:tc>
      </w:tr>
      <w:tr>
        <w:trPr>
          <w:trHeight w:val="155"/>
        </w:trPr>
        <w:tc>
          <w:tcPr>
            <w:tcW w:w="352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5"/>
                <w:szCs w:val="15"/>
                <w:color w:val="auto"/>
              </w:rPr>
              <w:t>Total Commercial Loans and Investments</w:t>
            </w: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105,000</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60" w:right="180" w:firstLine="441"/>
        <w:spacing w:after="0" w:line="253" w:lineRule="auto"/>
        <w:rPr>
          <w:sz w:val="20"/>
          <w:szCs w:val="20"/>
          <w:color w:val="auto"/>
        </w:rPr>
      </w:pPr>
      <w:r>
        <w:rPr>
          <w:rFonts w:ascii="Times New Roman" w:cs="Times New Roman" w:eastAsia="Times New Roman" w:hAnsi="Times New Roman"/>
          <w:sz w:val="18"/>
          <w:szCs w:val="18"/>
          <w:color w:val="auto"/>
        </w:rPr>
        <w:t>The Company’s commercial loans and investments were comprised of the following at December 31, 2024 (in thousands):</w:t>
      </w:r>
    </w:p>
    <w:tbl>
      <w:tblPr>
        <w:tblLayout w:type="fixed"/>
        <w:tblInd w:w="40" w:type="dxa"/>
        <w:tblCellMar>
          <w:top w:w="0" w:type="dxa"/>
          <w:left w:w="0" w:type="dxa"/>
          <w:bottom w:w="0" w:type="dxa"/>
          <w:right w:w="0" w:type="dxa"/>
        </w:tblCellMar>
      </w:tblPr>
      <w:tr>
        <w:trPr>
          <w:trHeight w:val="155"/>
        </w:trPr>
        <w:tc>
          <w:tcPr>
            <w:tcW w:w="3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center"/>
              <w:ind w:right="160"/>
              <w:spacing w:after="0" w:line="155" w:lineRule="exact"/>
              <w:rPr>
                <w:sz w:val="20"/>
                <w:szCs w:val="20"/>
                <w:color w:val="auto"/>
              </w:rPr>
            </w:pPr>
            <w:r>
              <w:rPr>
                <w:rFonts w:ascii="Times New Roman" w:cs="Times New Roman" w:eastAsia="Times New Roman" w:hAnsi="Times New Roman"/>
                <w:sz w:val="15"/>
                <w:szCs w:val="15"/>
                <w:b w:val="1"/>
                <w:bCs w:val="1"/>
                <w:color w:val="auto"/>
              </w:rPr>
              <w:t>Original</w:t>
            </w:r>
          </w:p>
        </w:tc>
        <w:tc>
          <w:tcPr>
            <w:tcW w:w="840" w:type="dxa"/>
            <w:vAlign w:val="bottom"/>
            <w:gridSpan w:val="3"/>
          </w:tcPr>
          <w:p>
            <w:pPr>
              <w:jc w:val="center"/>
              <w:ind w:right="160"/>
              <w:spacing w:after="0" w:line="155" w:lineRule="exact"/>
              <w:rPr>
                <w:sz w:val="20"/>
                <w:szCs w:val="20"/>
                <w:color w:val="auto"/>
              </w:rPr>
            </w:pPr>
            <w:r>
              <w:rPr>
                <w:rFonts w:ascii="Times New Roman" w:cs="Times New Roman" w:eastAsia="Times New Roman" w:hAnsi="Times New Roman"/>
                <w:sz w:val="15"/>
                <w:szCs w:val="15"/>
                <w:b w:val="1"/>
                <w:bCs w:val="1"/>
                <w:color w:val="auto"/>
                <w:w w:val="98"/>
              </w:rPr>
              <w:t>Current</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62"/>
        </w:trPr>
        <w:tc>
          <w:tcPr>
            <w:tcW w:w="3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Date of</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Face</w:t>
            </w:r>
          </w:p>
        </w:tc>
        <w:tc>
          <w:tcPr>
            <w:tcW w:w="100" w:type="dxa"/>
            <w:vAlign w:val="bottom"/>
          </w:tcPr>
          <w:p>
            <w:pPr>
              <w:spacing w:after="0"/>
              <w:rPr>
                <w:sz w:val="14"/>
                <w:szCs w:val="14"/>
                <w:color w:val="auto"/>
              </w:rPr>
            </w:pPr>
          </w:p>
        </w:tc>
        <w:tc>
          <w:tcPr>
            <w:tcW w:w="7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Face</w:t>
            </w:r>
          </w:p>
        </w:tc>
        <w:tc>
          <w:tcPr>
            <w:tcW w:w="840" w:type="dxa"/>
            <w:vAlign w:val="bottom"/>
            <w:gridSpan w:val="3"/>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Carrying</w:t>
            </w:r>
          </w:p>
        </w:tc>
        <w:tc>
          <w:tcPr>
            <w:tcW w:w="56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Coupon</w:t>
            </w:r>
          </w:p>
        </w:tc>
      </w:tr>
      <w:tr>
        <w:trPr>
          <w:trHeight w:val="183"/>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Maturity Date</w:t>
            </w:r>
          </w:p>
        </w:tc>
        <w:tc>
          <w:tcPr>
            <w:tcW w:w="84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84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100" w:type="dxa"/>
            <w:vAlign w:val="bottom"/>
          </w:tcPr>
          <w:p>
            <w:pPr>
              <w:spacing w:after="0"/>
              <w:rPr>
                <w:sz w:val="15"/>
                <w:szCs w:val="15"/>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5"/>
              </w:rPr>
              <w:t>Value</w:t>
            </w:r>
          </w:p>
        </w:tc>
        <w:tc>
          <w:tcPr>
            <w:tcW w:w="5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Rate</w:t>
            </w:r>
          </w:p>
        </w:tc>
      </w:tr>
      <w:tr>
        <w:trPr>
          <w:trHeight w:val="155"/>
        </w:trPr>
        <w:tc>
          <w:tcPr>
            <w:tcW w:w="3500" w:type="dxa"/>
            <w:vAlign w:val="bottom"/>
            <w:tcBorders>
              <w:top w:val="single" w:sz="8" w:color="auto"/>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Preferred Investment – Watters Creek – Allen, TX</w:t>
            </w:r>
          </w:p>
        </w:tc>
        <w:tc>
          <w:tcPr>
            <w:tcW w:w="16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April 2022</w:t>
            </w:r>
          </w:p>
        </w:tc>
        <w:tc>
          <w:tcPr>
            <w:tcW w:w="16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April 2025</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30,000</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30,000</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29,987</w:t>
            </w:r>
          </w:p>
        </w:tc>
        <w:tc>
          <w:tcPr>
            <w:tcW w:w="16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9.00%</w:t>
            </w:r>
          </w:p>
        </w:tc>
      </w:tr>
      <w:tr>
        <w:trPr>
          <w:trHeight w:val="162"/>
        </w:trPr>
        <w:tc>
          <w:tcPr>
            <w:tcW w:w="36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Mortgage Note – Founders Square – Dallas, TX</w:t>
            </w:r>
          </w:p>
        </w:tc>
        <w:tc>
          <w:tcPr>
            <w:tcW w:w="116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5"/>
                <w:szCs w:val="15"/>
                <w:color w:val="auto"/>
              </w:rPr>
              <w:t>March 2023</w:t>
            </w:r>
          </w:p>
        </w:tc>
        <w:tc>
          <w:tcPr>
            <w:tcW w:w="118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March 2026</w:t>
            </w: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14,942</w:t>
            </w:r>
          </w:p>
        </w:tc>
        <w:tc>
          <w:tcPr>
            <w:tcW w:w="160" w:type="dxa"/>
            <w:vAlign w:val="bottom"/>
          </w:tcPr>
          <w:p>
            <w:pPr>
              <w:spacing w:after="0"/>
              <w:rPr>
                <w:sz w:val="14"/>
                <w:szCs w:val="14"/>
                <w:color w:val="auto"/>
              </w:rPr>
            </w:pPr>
          </w:p>
        </w:tc>
        <w:tc>
          <w:tcPr>
            <w:tcW w:w="56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8.75%</w:t>
            </w:r>
          </w:p>
        </w:tc>
      </w:tr>
      <w:tr>
        <w:trPr>
          <w:trHeight w:val="162"/>
        </w:trPr>
        <w:tc>
          <w:tcPr>
            <w:tcW w:w="366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Promissory Note – Main Street – Daytona Beach, FL</w:t>
            </w:r>
          </w:p>
        </w:tc>
        <w:tc>
          <w:tcPr>
            <w:tcW w:w="116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June 2023</w:t>
            </w:r>
          </w:p>
        </w:tc>
        <w:tc>
          <w:tcPr>
            <w:tcW w:w="118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May 2033</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400</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7.00%</w:t>
            </w:r>
          </w:p>
        </w:tc>
      </w:tr>
      <w:tr>
        <w:trPr>
          <w:trHeight w:val="23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Construction Loan - Hypoluxo - Lake Worth, FL</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March 2024</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June 2025</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5,598</w:t>
            </w:r>
          </w:p>
        </w:tc>
        <w:tc>
          <w:tcPr>
            <w:tcW w:w="16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11.00%</w:t>
            </w:r>
          </w:p>
        </w:tc>
      </w:tr>
      <w:tr>
        <w:trPr>
          <w:trHeight w:val="229"/>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Series A Preferred Investment</w:t>
            </w:r>
          </w:p>
        </w:tc>
        <w:tc>
          <w:tcPr>
            <w:tcW w:w="11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July 2024</w:t>
            </w:r>
          </w:p>
        </w:tc>
        <w:tc>
          <w:tcPr>
            <w:tcW w:w="11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5"/>
                <w:szCs w:val="15"/>
                <w:color w:val="auto"/>
              </w:rPr>
              <w:t>July 2029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9,910</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14.00%</w:t>
            </w:r>
          </w:p>
        </w:tc>
      </w:tr>
      <w:tr>
        <w:trPr>
          <w:trHeight w:val="23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Mortgage Note - Rivana - Herndon, VA</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September 2024</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September 2026</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41,530</w:t>
            </w:r>
          </w:p>
        </w:tc>
        <w:tc>
          <w:tcPr>
            <w:tcW w:w="16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11.00%</w:t>
            </w:r>
          </w:p>
        </w:tc>
      </w:tr>
      <w:tr>
        <w:trPr>
          <w:trHeight w:val="229"/>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Construction Loan - Whole Foods - Forsyth, GA</w:t>
            </w:r>
          </w:p>
        </w:tc>
        <w:tc>
          <w:tcPr>
            <w:tcW w:w="11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November 2024</w:t>
            </w:r>
          </w:p>
        </w:tc>
        <w:tc>
          <w:tcPr>
            <w:tcW w:w="11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May 2027</w:t>
            </w: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40,200</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4,125</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3,748</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12.15%</w:t>
            </w:r>
          </w:p>
        </w:tc>
      </w:tr>
      <w:tr>
        <w:trPr>
          <w:trHeight w:val="196"/>
        </w:trPr>
        <w:tc>
          <w:tcPr>
            <w:tcW w:w="35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143,238</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107,163</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CCEEFF"/>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106,115</w:t>
            </w:r>
          </w:p>
        </w:tc>
        <w:tc>
          <w:tcPr>
            <w:tcW w:w="16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r>
      <w:tr>
        <w:trPr>
          <w:trHeight w:val="143"/>
        </w:trPr>
        <w:tc>
          <w:tcPr>
            <w:tcW w:w="3660" w:type="dxa"/>
            <w:vAlign w:val="bottom"/>
            <w:gridSpan w:val="2"/>
            <w:shd w:val="clear" w:color="auto" w:fill="CCEEFF"/>
          </w:tcPr>
          <w:p>
            <w:pPr>
              <w:ind w:left="20"/>
              <w:spacing w:after="0" w:line="143" w:lineRule="exact"/>
              <w:rPr>
                <w:sz w:val="20"/>
                <w:szCs w:val="20"/>
                <w:color w:val="auto"/>
              </w:rPr>
            </w:pPr>
            <w:r>
              <w:rPr>
                <w:rFonts w:ascii="Times New Roman" w:cs="Times New Roman" w:eastAsia="Times New Roman" w:hAnsi="Times New Roman"/>
                <w:sz w:val="15"/>
                <w:szCs w:val="15"/>
                <w:color w:val="auto"/>
              </w:rPr>
              <w:t>CECL Reserve</w:t>
            </w: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3" w:lineRule="exact"/>
              <w:rPr>
                <w:sz w:val="20"/>
                <w:szCs w:val="20"/>
                <w:color w:val="auto"/>
              </w:rPr>
            </w:pPr>
            <w:r>
              <w:rPr>
                <w:rFonts w:ascii="Times New Roman" w:cs="Times New Roman" w:eastAsia="Times New Roman" w:hAnsi="Times New Roman"/>
                <w:sz w:val="15"/>
                <w:szCs w:val="15"/>
                <w:color w:val="auto"/>
              </w:rPr>
              <w:t>(1,072)</w:t>
            </w:r>
          </w:p>
        </w:tc>
        <w:tc>
          <w:tcPr>
            <w:tcW w:w="560" w:type="dxa"/>
            <w:vAlign w:val="bottom"/>
            <w:shd w:val="clear" w:color="auto" w:fill="CCEEFF"/>
          </w:tcPr>
          <w:p>
            <w:pPr>
              <w:spacing w:after="0"/>
              <w:rPr>
                <w:sz w:val="12"/>
                <w:szCs w:val="12"/>
                <w:color w:val="auto"/>
              </w:rPr>
            </w:pPr>
          </w:p>
        </w:tc>
      </w:tr>
      <w:tr>
        <w:trPr>
          <w:trHeight w:val="155"/>
        </w:trPr>
        <w:tc>
          <w:tcPr>
            <w:tcW w:w="366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5"/>
                <w:szCs w:val="15"/>
                <w:color w:val="auto"/>
              </w:rPr>
              <w:t>Total Commercial Loans and Investments</w:t>
            </w: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105,043</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120"/>
          </w:cols>
          <w:pgMar w:left="1440" w:top="513" w:right="1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120"/>
          </w:cols>
          <w:pgMar w:left="1440" w:top="513" w:right="1339"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The carrying value of the commercial loans and investments portfolio at March 31, 2025 and December 31, 2024 consisted of the following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5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 w:type="dxa"/>
            <w:vAlign w:val="bottom"/>
          </w:tcPr>
          <w:p>
            <w:pPr>
              <w:spacing w:after="0"/>
              <w:rPr>
                <w:sz w:val="18"/>
                <w:szCs w:val="18"/>
                <w:color w:val="auto"/>
              </w:rPr>
            </w:pPr>
          </w:p>
        </w:tc>
      </w:tr>
      <w:tr>
        <w:trPr>
          <w:trHeight w:val="209"/>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Face Amount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107,031</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107,163</w:t>
            </w:r>
          </w:p>
        </w:tc>
        <w:tc>
          <w:tcPr>
            <w:tcW w:w="20" w:type="dxa"/>
            <w:vAlign w:val="bottom"/>
          </w:tcPr>
          <w:p>
            <w:pPr>
              <w:spacing w:after="0"/>
              <w:rPr>
                <w:sz w:val="18"/>
                <w:szCs w:val="18"/>
                <w:color w:val="auto"/>
              </w:rPr>
            </w:pP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Unaccreted Origination Fees</w:t>
            </w:r>
          </w:p>
        </w:tc>
        <w:tc>
          <w:tcPr>
            <w:tcW w:w="16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(959)</w:t>
            </w: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20" w:type="dxa"/>
            <w:vAlign w:val="bottom"/>
          </w:tcPr>
          <w:p>
            <w:pPr>
              <w:spacing w:after="0"/>
              <w:rPr>
                <w:sz w:val="18"/>
                <w:szCs w:val="18"/>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CECL Reserve</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(1,072)</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0" w:type="dxa"/>
            <w:vAlign w:val="bottom"/>
          </w:tcPr>
          <w:p>
            <w:pPr>
              <w:spacing w:after="0"/>
              <w:rPr>
                <w:sz w:val="18"/>
                <w:szCs w:val="18"/>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Commercial Loans and Investments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2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105,043</w:t>
            </w:r>
          </w:p>
        </w:tc>
        <w:tc>
          <w:tcPr>
            <w:tcW w:w="20" w:type="dxa"/>
            <w:vAlign w:val="bottom"/>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5. MANAGEMENT SERVICES BUSINESS</w:t>
      </w:r>
    </w:p>
    <w:p>
      <w:pPr>
        <w:spacing w:after="0" w:line="227" w:lineRule="exact"/>
        <w:rPr>
          <w:sz w:val="20"/>
          <w:szCs w:val="20"/>
          <w:color w:val="auto"/>
        </w:rPr>
      </w:pPr>
    </w:p>
    <w:p>
      <w:pPr>
        <w:jc w:val="both"/>
        <w:ind w:left="60" w:right="79" w:firstLine="441"/>
        <w:spacing w:after="0" w:line="284" w:lineRule="auto"/>
        <w:rPr>
          <w:sz w:val="20"/>
          <w:szCs w:val="20"/>
          <w:color w:val="auto"/>
        </w:rPr>
      </w:pPr>
      <w:r>
        <w:rPr>
          <w:rFonts w:ascii="Times New Roman" w:cs="Times New Roman" w:eastAsia="Times New Roman" w:hAnsi="Times New Roman"/>
          <w:sz w:val="18"/>
          <w:szCs w:val="18"/>
          <w:color w:val="auto"/>
        </w:rPr>
        <w:t xml:space="preserve">The Company’s management fee income is within the scope of FASB ASC Topic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Management fee income is recognized as revenue over time, over the period the services are performed.</w:t>
      </w:r>
    </w:p>
    <w:p>
      <w:pPr>
        <w:spacing w:after="0" w:line="158"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Alpine Income Property Trust. </w:t>
      </w:r>
      <w:r>
        <w:rPr>
          <w:rFonts w:ascii="Times New Roman" w:cs="Times New Roman" w:eastAsia="Times New Roman" w:hAnsi="Times New Roman"/>
          <w:sz w:val="18"/>
          <w:szCs w:val="18"/>
          <w:color w:val="auto"/>
        </w:rPr>
        <w:t>Pursuant to the Company’s management agreement with PINE,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generates a base management fee equal to 0.375% per quarter of PINE’s total equity (as defined in the management agreement and based on a 1.5% annual rate), calculated and payable in cash, quarterly in arrears. The Company also has an opportunity to achieve additional cash flows as manager of PINE pursuant to an annual incentive fee based on PINE’s total stockholder return exceeding an 8% cumulative annual hurdle rate (the “Outperformance Amount”) subject to a high-water mark price. PINE would pay the Company an incentive fee with respect to each annual measurement period in an amount equal to the greater of (i) $0.00 and (ii) the product of (a) 15% multiplied by (b) the Outperformance Amount multiplied by (c) the weighted average shares. No incentive fee was earned for the year ended December 31, 2024.</w:t>
      </w:r>
    </w:p>
    <w:p>
      <w:pPr>
        <w:spacing w:after="0" w:line="187"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earned management fee revenue from PINE totaling $1.1 million and $1.0 million, respectively. Dividend income for the three months ended March 31, 2025 and 2024 totaled $0.7 and $0.6 million, respectively. Management fee revenue from PINE, included in management services, and dividend income, included in investment and other income (loss), are reflected in the accompanying consolidated statements of operations.</w:t>
      </w:r>
    </w:p>
    <w:p>
      <w:pPr>
        <w:spacing w:after="0" w:line="183"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represents amounts due from PINE as of March 31, 2025 and December 31, 2024 which are included in other assets on the consolidated balance sheets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0" w:type="dxa"/>
            <w:vAlign w:val="bottom"/>
          </w:tcPr>
          <w:p>
            <w:pPr>
              <w:spacing w:after="0"/>
              <w:rPr>
                <w:sz w:val="18"/>
                <w:szCs w:val="18"/>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10"/>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Services Fee Due From PINE</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Receivable</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On November 26, 2019, as part of PINE’s IPO, the Company sold PINE 15 properties for aggregate cash consideration of $125.9 million. In connection with the IPO, the Company contributed to the PINE Operating Partnership five properties in exchange for an aggregate of 1,223,854 OP Units, which had an initial value of $23.3 million. Additionally, on November 26, 2019, the Company purchased 394,737 shares of PINE common stock for a total purchase price of $7.5 million in a private placement and 421,053 shares of PINE common stock in the IPO for a total purchase price of $8.0 million.</w:t>
      </w:r>
    </w:p>
    <w:p>
      <w:pPr>
        <w:spacing w:after="0" w:line="187"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On October 26, 2021, the Board authorized the purchase by the Company of up to $5.0 million in shares of common stock of PINE (the “Prior PINE Share Purchase Authorization”). Pursuant to the Prior PINE Share Purchase Authorization, during the year ended December 31, 2022, CTO purchased 155,665 shares of PINE common stock in the open market for $2.7 million, or an average price per share of $17.57. Pursuant to the Prior PINE Share Purchase Authorization, during the year ended December 31, 2021, the Company purchased 8,088 shares of PINE common stock on the open market for a total of $0.1 million, or an average price of $17.65 per share.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On February 16, 2023, the Board cancelled the Prior PINE Share Purchase Authorization and authorized the purchase by the Company of up to $2.1 million in shares of common stock of PINE (the “February 2023 PINE Share Purchase Authorization”). Pursuant to the February 2023 PINE Share Purchase Authorization, during the nine months ended September 30, 2023, the Company purchased 129,271 shares of PINE common stock on the open market for a total of $2.1 million, or an average price of $16.21 per share, which completed the February 2023 PINE Share Purchase Authorization.</w:t>
      </w:r>
    </w:p>
    <w:p>
      <w:pPr>
        <w:spacing w:after="0" w:line="187"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On December 12, 2023, the Board authorized the purchase by the Company of up to $2.0 million in shares of common stock of PINE (the “December 2023 PINE Share Purchase Authorization”). No purchases of PINE common stock were made pursuant to the December 2023 PINE Share Purchase Authorization during the three months ended December 31, 2023, the three months ended March 31, 2024 or the three months ended March 31, 2025. Pursuant to the December 2023 PINE Share Purchase Authorization, during the nine months ended December 31, 2024, the Company purchased 29,807 shares of PINE common stock on the open market for a total of $0.4 million, or an average price of $14.97 per share.</w:t>
      </w:r>
    </w:p>
    <w:p>
      <w:pPr>
        <w:spacing w:after="0" w:line="189"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As of March 31, 2025, CTO owns, in the aggregate, 1,223,854 OP Units and 1,138,621 shares of PINE common stock, representing an investment totaling $39.5 million, or 15.1% of PINE’s outstanding equity.</w:t>
      </w:r>
    </w:p>
    <w:p>
      <w:pPr>
        <w:spacing w:after="0" w:line="200"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Portfolio Management Agreement. </w:t>
      </w:r>
      <w:r>
        <w:rPr>
          <w:rFonts w:ascii="Times New Roman" w:cs="Times New Roman" w:eastAsia="Times New Roman" w:hAnsi="Times New Roman"/>
          <w:sz w:val="18"/>
          <w:szCs w:val="18"/>
          <w:color w:val="auto"/>
        </w:rPr>
        <w:t>On December 4, 2023, the Company entered into an asset management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third party to manage a portfolio of multi-tenant and single-tenant assets (the “Portfolio Management Agreement”). Although the Company has no direct relationship with the third party, PINE is a lender to the third-party pursuant to a mortgage note originated by PINE which is secured by the portfolio. The Company receives (or expects to receive) asset management fees, disposition management fees, leasing commissions, and other fees related to the Company’s management and administration of the portfolio pursuant to the Portfolio Management Agreement. The Company also entered into a revenue sharing agreement with PINE whereby PINE will receive the portion of fees earned by the Company under the Portfolio Management Agreement which are attributable to the single tenant properties within the portfolio. The Company recognized less than $0.1 million of revenue during each of the three months ended March 31, 2025 and 2024 pursuant to the Portfolio Management Agreement, which is included in management fee income on the Company’s consolidated statements of operations.</w:t>
      </w:r>
    </w:p>
    <w:p>
      <w:pPr>
        <w:spacing w:after="0" w:line="232" w:lineRule="exact"/>
        <w:rPr>
          <w:sz w:val="20"/>
          <w:szCs w:val="20"/>
          <w:color w:val="auto"/>
        </w:rPr>
      </w:pPr>
    </w:p>
    <w:p>
      <w:pPr>
        <w:jc w:val="both"/>
        <w:ind w:left="60" w:right="59"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Asset Management Agreement. </w:t>
      </w:r>
      <w:r>
        <w:rPr>
          <w:rFonts w:ascii="Times New Roman" w:cs="Times New Roman" w:eastAsia="Times New Roman" w:hAnsi="Times New Roman"/>
          <w:sz w:val="18"/>
          <w:szCs w:val="18"/>
          <w:color w:val="auto"/>
        </w:rPr>
        <w:t>On February 16, 2024, the Company entered into the Subsurface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with a third party in conjunction with the sale of the Company’s remaining Subsurface Interests as further described in Note 6, “Real Estate Operations” below. The Company receives management and other fees pursuant to the Subsurface Management Agreement. The Company recognized less than $0.1 million of revenue during each of the three months ended March 31, 2025 and 2024 pursuant to the Subsurface Management Agreement, which is included in management fee income on the Company’s consolidated statements of operations.</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6. REAL ESTATE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Real Estate Operations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Land and development costs at March 31, 2025 and December 31, 2024 were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20" w:type="dxa"/>
            <w:vAlign w:val="bottom"/>
            <w:tcBorders>
              <w:bottom w:val="single" w:sz="8" w:color="auto"/>
            </w:tcBorders>
          </w:tcPr>
          <w:p>
            <w:pPr>
              <w:spacing w:after="0"/>
              <w:rPr>
                <w:sz w:val="20"/>
                <w:szCs w:val="20"/>
                <w:color w:val="auto"/>
              </w:rPr>
            </w:pPr>
          </w:p>
        </w:tc>
      </w:tr>
      <w:tr>
        <w:trPr>
          <w:trHeight w:val="210"/>
        </w:trPr>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0" w:type="dxa"/>
            <w:vAlign w:val="bottom"/>
          </w:tcPr>
          <w:p>
            <w:pPr>
              <w:spacing w:after="0"/>
              <w:rPr>
                <w:sz w:val="18"/>
                <w:szCs w:val="18"/>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Development Costs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0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Land and Development Costs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0"/>
        </w:trPr>
        <w:tc>
          <w:tcPr>
            <w:tcW w:w="4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ind w:left="60" w:right="79"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Subsurface Interests. </w:t>
      </w:r>
      <w:r>
        <w:rPr>
          <w:rFonts w:ascii="Times New Roman" w:cs="Times New Roman" w:eastAsia="Times New Roman" w:hAnsi="Times New Roman"/>
          <w:sz w:val="18"/>
          <w:szCs w:val="18"/>
          <w:color w:val="auto"/>
        </w:rPr>
        <w:t>The Company sold its remaining 352,000 acres of Subsurface Interests during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2024 for $5.0 million, for a gain on sale of $4.5 million.</w:t>
      </w:r>
    </w:p>
    <w:p>
      <w:pPr>
        <w:spacing w:after="0" w:line="201"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 xml:space="preserve">The Company historically released surface entry rights or other rights upon request of a surface owner for a negotiated release fee typically based on a percentage of the surface value. </w:t>
      </w:r>
      <w:r>
        <w:rPr>
          <w:rFonts w:ascii="Times New Roman" w:cs="Times New Roman" w:eastAsia="Times New Roman" w:hAnsi="Times New Roman"/>
          <w:sz w:val="18"/>
          <w:szCs w:val="18"/>
          <w:color w:val="212529"/>
        </w:rPr>
        <w:t>Cash payments for the release of surface entry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rights for the three months ended March 31, 2024 totaled $0.1 million.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Mitigation Credits. </w:t>
      </w:r>
      <w:r>
        <w:rPr>
          <w:rFonts w:ascii="Times New Roman" w:cs="Times New Roman" w:eastAsia="Times New Roman" w:hAnsi="Times New Roman"/>
          <w:sz w:val="18"/>
          <w:szCs w:val="18"/>
          <w:color w:val="212529"/>
        </w:rPr>
        <w:t>Revenues and the cost of sales of mitigation credit sales are reported as revenues from, and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529"/>
        </w:rPr>
        <w:t>costs of, real estate operations, respectively, in the consolidated statements of operations. During the three months ended March 31, 2024, 7.5 mitigation credits were sold for $1.0 million, resulting in a gain on sale of $0.2 million. During the year ended December 31, 2024, the Company sold its remaining mitigation credits.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7. INVESTMENT SECURITIES</w:t>
      </w:r>
    </w:p>
    <w:p>
      <w:pPr>
        <w:spacing w:after="0" w:line="229"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As of March 31, 2025, the Company owns, in the aggregate and on a fully diluted basis, 2.36 million shares of PINE, or 15.1% of PINE’s total shares outstanding for an investment value of $39.5 million, which total includes 1.2 million OP Units, or 7.8%, which the Company received in exchange for the contribution of certain income properties to the PINE Operating Partnership, in addition to 1,138,621 shares of common stock owned by the Company, or 7.3%. The Company has elected the fair value option related to the aggregate investment in securities of PINE pursuant to ASC 825, otherwise such investments would have been accounted for under the equity method. For detailed financial information regarding PINE, please refer to its financial statements, which are publicly available on the website of the Securities and Exchange Commission at http://www.sec.gov under the ticker symbol “PINE.”</w:t>
      </w:r>
    </w:p>
    <w:p>
      <w:pPr>
        <w:spacing w:after="0" w:line="192"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The Company calculates the unrealized gain or loss based on the closing stock price of PINE at each respective balance sheet date. The unrealized, non-cash gains and losses resulting from the changes in the closing stock price of PINE are included in investment and other income (loss) in the accompanying consolidated statements of operations.</w:t>
      </w:r>
    </w:p>
    <w:p>
      <w:pPr>
        <w:spacing w:after="0" w:line="176" w:lineRule="exact"/>
        <w:rPr>
          <w:sz w:val="20"/>
          <w:szCs w:val="20"/>
          <w:color w:val="auto"/>
        </w:rPr>
      </w:pPr>
    </w:p>
    <w:p>
      <w:pPr>
        <w:jc w:val="both"/>
        <w:ind w:left="60" w:right="79" w:firstLine="441"/>
        <w:spacing w:after="0" w:line="261" w:lineRule="auto"/>
        <w:rPr>
          <w:sz w:val="20"/>
          <w:szCs w:val="20"/>
          <w:color w:val="auto"/>
        </w:rPr>
      </w:pPr>
      <w:r>
        <w:rPr>
          <w:rFonts w:ascii="Times New Roman" w:cs="Times New Roman" w:eastAsia="Times New Roman" w:hAnsi="Times New Roman"/>
          <w:sz w:val="18"/>
          <w:szCs w:val="18"/>
          <w:color w:val="auto"/>
        </w:rPr>
        <w:t>The Company’s available-for-sale securities as of March 31, 2025 and December 31, 2024 are summarized below (in thousands):</w:t>
      </w:r>
    </w:p>
    <w:tbl>
      <w:tblPr>
        <w:tblLayout w:type="fixed"/>
        <w:tblInd w:w="40" w:type="dxa"/>
        <w:tblCellMar>
          <w:top w:w="0" w:type="dxa"/>
          <w:left w:w="0" w:type="dxa"/>
          <w:bottom w:w="0" w:type="dxa"/>
          <w:right w:w="0" w:type="dxa"/>
        </w:tblCellMar>
      </w:tblPr>
      <w:tr>
        <w:trPr>
          <w:trHeight w:val="207"/>
        </w:trPr>
        <w:tc>
          <w:tcPr>
            <w:tcW w:w="3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Gains in</w:t>
            </w:r>
          </w:p>
        </w:tc>
        <w:tc>
          <w:tcPr>
            <w:tcW w:w="1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Losses in</w:t>
            </w:r>
          </w:p>
        </w:tc>
        <w:tc>
          <w:tcPr>
            <w:tcW w:w="16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16"/>
        </w:trPr>
        <w:tc>
          <w:tcPr>
            <w:tcW w:w="3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2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6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38"/>
        </w:trPr>
        <w:tc>
          <w:tcPr>
            <w:tcW w:w="3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2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(Level 1 Inputs)</w:t>
            </w:r>
          </w:p>
        </w:tc>
      </w:tr>
      <w:tr>
        <w:trPr>
          <w:trHeight w:val="210"/>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20,929</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(1,891)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19,038</w:t>
            </w: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Units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(2,790)</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20,463</w:t>
            </w:r>
          </w:p>
        </w:tc>
      </w:tr>
      <w:tr>
        <w:trPr>
          <w:trHeight w:val="250"/>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Equity Securities</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44,182</w:t>
            </w:r>
          </w:p>
        </w:tc>
        <w:tc>
          <w:tcPr>
            <w:tcW w:w="1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5"/>
              </w:rPr>
              <w:t>(4,681)</w:t>
            </w:r>
          </w:p>
        </w:tc>
        <w:tc>
          <w:tcPr>
            <w:tcW w:w="2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39,501</w:t>
            </w:r>
          </w:p>
        </w:tc>
      </w:tr>
      <w:tr>
        <w:trPr>
          <w:trHeight w:val="196"/>
        </w:trPr>
        <w:tc>
          <w:tcPr>
            <w:tcW w:w="3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(1,812)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19,117</w:t>
            </w: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Units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(2,704)</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20,549</w:t>
            </w:r>
          </w:p>
        </w:tc>
      </w:tr>
      <w:tr>
        <w:trPr>
          <w:trHeight w:val="210"/>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 Securities</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5"/>
              </w:rPr>
              <w:t>(4,516)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39,666</w:t>
            </w:r>
          </w:p>
        </w:tc>
      </w:tr>
      <w:tr>
        <w:trPr>
          <w:trHeight w:val="20"/>
        </w:trPr>
        <w:tc>
          <w:tcPr>
            <w:tcW w:w="3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8. FAIR VALUE OF FINANCIAL INSTRUMENTS</w:t>
      </w:r>
    </w:p>
    <w:p>
      <w:pPr>
        <w:spacing w:after="0" w:line="202"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carrying value and estimated fair value of the Company’s financial instruments not carried at fair value on the consolidated balance sheets at March 31, 2025 and December 31, 2024 (in thousands):</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40" w:type="dxa"/>
            <w:vAlign w:val="bottom"/>
          </w:tcPr>
          <w:p>
            <w:pPr>
              <w:spacing w:after="0"/>
              <w:rPr>
                <w:sz w:val="20"/>
                <w:szCs w:val="20"/>
                <w:color w:val="auto"/>
              </w:rPr>
            </w:pPr>
          </w:p>
        </w:tc>
        <w:tc>
          <w:tcPr>
            <w:tcW w:w="218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87"/>
        </w:trPr>
        <w:tc>
          <w:tcPr>
            <w:tcW w:w="4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4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2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2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0"/>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 Level 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9,017</w:t>
            </w: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 Level 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6,936</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8,344</w:t>
            </w: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Loans and Investments - Level 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110,665</w:t>
            </w:r>
          </w:p>
        </w:tc>
      </w:tr>
      <w:tr>
        <w:trPr>
          <w:trHeight w:val="23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 Level 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602,216</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594,177</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518,993</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508,309</w:t>
            </w:r>
          </w:p>
        </w:tc>
      </w:tr>
    </w:tbl>
    <w:p>
      <w:pPr>
        <w:spacing w:after="0" w:line="179" w:lineRule="exact"/>
        <w:rPr>
          <w:sz w:val="20"/>
          <w:szCs w:val="20"/>
          <w:color w:val="auto"/>
        </w:rPr>
      </w:pPr>
    </w:p>
    <w:p>
      <w:pPr>
        <w:jc w:val="both"/>
        <w:ind w:left="60" w:right="59" w:firstLine="441"/>
        <w:spacing w:after="0" w:line="245" w:lineRule="auto"/>
        <w:rPr>
          <w:sz w:val="20"/>
          <w:szCs w:val="20"/>
          <w:color w:val="auto"/>
        </w:rPr>
      </w:pPr>
      <w:r>
        <w:rPr>
          <w:rFonts w:ascii="Times New Roman" w:cs="Times New Roman" w:eastAsia="Times New Roman" w:hAnsi="Times New Roman"/>
          <w:sz w:val="18"/>
          <w:szCs w:val="18"/>
          <w:color w:val="auto"/>
        </w:rPr>
        <w:t>To determine estimated fair values of the financial instruments listed above, market rates of interest, which include credit assumptions, were used to discount contractual cash flows. 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spacing w:after="0" w:line="181" w:lineRule="exact"/>
        <w:rPr>
          <w:sz w:val="20"/>
          <w:szCs w:val="20"/>
          <w:color w:val="auto"/>
        </w:rPr>
      </w:pPr>
    </w:p>
    <w:p>
      <w:pPr>
        <w:jc w:val="both"/>
        <w:ind w:left="60" w:right="59" w:firstLine="441"/>
        <w:spacing w:after="0" w:line="250" w:lineRule="auto"/>
        <w:rPr>
          <w:sz w:val="20"/>
          <w:szCs w:val="20"/>
          <w:color w:val="auto"/>
        </w:rPr>
      </w:pPr>
      <w:r>
        <w:rPr>
          <w:rFonts w:ascii="Times New Roman" w:cs="Times New Roman" w:eastAsia="Times New Roman" w:hAnsi="Times New Roman"/>
          <w:sz w:val="18"/>
          <w:szCs w:val="18"/>
          <w:color w:val="auto"/>
        </w:rPr>
        <w:t>The following table presents the fair value of assets (liabilities) measured on a recurring basis by level as of March 31, 2025 and December 31, 2024 (in thousands). See Note 16, “Interest Rate Swaps” for further disclosure related to the Company’s interest rate swaps.</w:t>
      </w:r>
    </w:p>
    <w:p>
      <w:pPr>
        <w:sectPr>
          <w:pgSz w:w="11900" w:h="16838" w:orient="portrait"/>
          <w:cols w:equalWidth="0" w:num="1">
            <w:col w:w="9019"/>
          </w:cols>
          <w:pgMar w:left="1440" w:top="513" w:right="1440" w:bottom="1440" w:gutter="0" w:footer="0" w:header="0"/>
        </w:sect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7"/>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Fair Value at Reporting Date Using</w:t>
            </w:r>
          </w:p>
        </w:tc>
      </w:tr>
      <w:tr>
        <w:trPr>
          <w:trHeight w:val="183"/>
        </w:trPr>
        <w:tc>
          <w:tcPr>
            <w:tcW w:w="3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Quoted Prices</w:t>
            </w:r>
          </w:p>
        </w:tc>
        <w:tc>
          <w:tcPr>
            <w:tcW w:w="12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3"/>
        </w:trPr>
        <w:tc>
          <w:tcPr>
            <w:tcW w:w="3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12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3"/>
        </w:trPr>
        <w:tc>
          <w:tcPr>
            <w:tcW w:w="3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Markets for</w:t>
            </w:r>
          </w:p>
        </w:tc>
        <w:tc>
          <w:tcPr>
            <w:tcW w:w="12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Unobservable</w:t>
            </w:r>
          </w:p>
        </w:tc>
      </w:tr>
      <w:tr>
        <w:trPr>
          <w:trHeight w:val="203"/>
        </w:trPr>
        <w:tc>
          <w:tcPr>
            <w:tcW w:w="3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Identical Assets</w:t>
            </w:r>
          </w:p>
        </w:tc>
        <w:tc>
          <w:tcPr>
            <w:tcW w:w="12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Inputs</w:t>
            </w:r>
          </w:p>
        </w:tc>
      </w:tr>
      <w:tr>
        <w:trPr>
          <w:trHeight w:val="215"/>
        </w:trPr>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3)</w:t>
            </w:r>
          </w:p>
        </w:tc>
      </w:tr>
      <w:tr>
        <w:trPr>
          <w:trHeight w:val="199"/>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03"/>
        </w:trPr>
        <w:tc>
          <w:tcPr>
            <w:tcW w:w="3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Flow Hedge - 2026 Term Loan Interest Rate Swaps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1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Flow Hedge - 2027 Term Loan Interest Rate Swaps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Flow Hedge - 2028 Term Loan Interest Rate Swaps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(752)</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(752)</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Flow Hedge - 2029 Term Loan Interest Rate Swaps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Flow Hedge - Credit Facility Interest Rate Swaps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Investment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39,501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39,501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Flow Hedge - 2026 Term Loan Interest Rate Swaps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Flow Hedge - 2027 Term Loan Interest Rate Swaps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5,854</w:t>
            </w:r>
          </w:p>
        </w:tc>
        <w:tc>
          <w:tcPr>
            <w:tcW w:w="1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5,854</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Flow Hedge - 2028 Term Loan Interest Rate Swaps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Flow Hedge - 2029 Term Loan Interest Rate Swaps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3,099</w:t>
            </w:r>
          </w:p>
        </w:tc>
        <w:tc>
          <w:tcPr>
            <w:tcW w:w="1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3,099</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Flow Hedge - Credit Facility Interest Rate Swaps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3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Investment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39,666</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39,666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r>
    </w:tbl>
    <w:p>
      <w:pPr>
        <w:spacing w:after="0" w:line="2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9. INTANGIBLE ASSETS AND LIABILITIES</w:t>
      </w:r>
    </w:p>
    <w:p>
      <w:pPr>
        <w:spacing w:after="0" w:line="229"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Intangible assets and liabilities consist of the value of above-market and below-market leases, the value of in-place leases, and the value of leasing costs, based in each case on their fair values. The gross values of certain intangible lease assets and liabilities that were fully amortized as of December 31, 2024, and the related accumulated amortization, were adjusted in the disclosure below. There was no impact to Intangible Lease Assets-Net or Intangible Lease Liabilities-Net as reported in the consolidated balance sheets as of December 31, 2024 as a result of the disclosure adjustment. Intangible assets and liabilities consisted of the following as of March 31, 2025 and December 31, 2024 (in thousands):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87"/>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right"/>
              <w:ind w:right="52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6"/>
                <w:szCs w:val="16"/>
                <w:color w:val="auto"/>
              </w:rPr>
            </w:pPr>
          </w:p>
        </w:tc>
        <w:tc>
          <w:tcPr>
            <w:tcW w:w="128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6"/>
                <w:szCs w:val="16"/>
                <w:color w:val="auto"/>
              </w:rPr>
            </w:pPr>
          </w:p>
        </w:tc>
      </w:tr>
      <w:tr>
        <w:trPr>
          <w:trHeight w:val="238"/>
        </w:trPr>
        <w:tc>
          <w:tcPr>
            <w:tcW w:w="58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r>
      <w:tr>
        <w:trPr>
          <w:trHeight w:val="20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Lease Assets: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Value of In-Place Leases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94,088</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82,740</w:t>
            </w:r>
          </w:p>
        </w:tc>
        <w:tc>
          <w:tcPr>
            <w:tcW w:w="20" w:type="dxa"/>
            <w:vAlign w:val="bottom"/>
          </w:tcPr>
          <w:p>
            <w:pPr>
              <w:spacing w:after="0"/>
              <w:rPr>
                <w:sz w:val="18"/>
                <w:szCs w:val="18"/>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Value of Above Market In-Place Leases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23,295</w:t>
            </w:r>
          </w:p>
        </w:tc>
        <w:tc>
          <w:tcPr>
            <w:tcW w:w="20" w:type="dxa"/>
            <w:vAlign w:val="bottom"/>
          </w:tcPr>
          <w:p>
            <w:pPr>
              <w:spacing w:after="0"/>
              <w:rPr>
                <w:sz w:val="18"/>
                <w:szCs w:val="18"/>
                <w:color w:val="auto"/>
              </w:rPr>
            </w:pPr>
          </w:p>
        </w:tc>
      </w:tr>
      <w:tr>
        <w:trPr>
          <w:trHeight w:val="216"/>
        </w:trPr>
        <w:tc>
          <w:tcPr>
            <w:tcW w:w="5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Value of Intangible Leasing Costs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24,051</w:t>
            </w:r>
          </w:p>
        </w:tc>
        <w:tc>
          <w:tcPr>
            <w:tcW w:w="20" w:type="dxa"/>
            <w:vAlign w:val="bottom"/>
          </w:tcPr>
          <w:p>
            <w:pPr>
              <w:spacing w:after="0"/>
              <w:rPr>
                <w:sz w:val="18"/>
                <w:szCs w:val="18"/>
                <w:color w:val="auto"/>
              </w:rPr>
            </w:pPr>
          </w:p>
        </w:tc>
      </w:tr>
      <w:tr>
        <w:trPr>
          <w:trHeight w:val="209"/>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Sub-total Intangible Lease Assets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130,086</w:t>
            </w:r>
          </w:p>
        </w:tc>
        <w:tc>
          <w:tcPr>
            <w:tcW w:w="20" w:type="dxa"/>
            <w:vAlign w:val="bottom"/>
          </w:tcPr>
          <w:p>
            <w:pPr>
              <w:spacing w:after="0"/>
              <w:rPr>
                <w:sz w:val="18"/>
                <w:szCs w:val="18"/>
                <w:color w:val="auto"/>
              </w:rPr>
            </w:pPr>
          </w:p>
        </w:tc>
      </w:tr>
      <w:tr>
        <w:trPr>
          <w:trHeight w:val="216"/>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(56,792)</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(50,888)</w:t>
            </w:r>
          </w:p>
        </w:tc>
        <w:tc>
          <w:tcPr>
            <w:tcW w:w="20" w:type="dxa"/>
            <w:vAlign w:val="bottom"/>
          </w:tcPr>
          <w:p>
            <w:pPr>
              <w:spacing w:after="0"/>
              <w:rPr>
                <w:sz w:val="18"/>
                <w:szCs w:val="18"/>
                <w:color w:val="auto"/>
              </w:rPr>
            </w:pPr>
          </w:p>
        </w:tc>
      </w:tr>
      <w:tr>
        <w:trPr>
          <w:trHeight w:val="209"/>
        </w:trPr>
        <w:tc>
          <w:tcPr>
            <w:tcW w:w="58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Sub-total Intangible Lease Assets—Net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88,931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79,198</w:t>
            </w:r>
          </w:p>
        </w:tc>
        <w:tc>
          <w:tcPr>
            <w:tcW w:w="20" w:type="dxa"/>
            <w:vAlign w:val="bottom"/>
          </w:tcPr>
          <w:p>
            <w:pPr>
              <w:spacing w:after="0"/>
              <w:rPr>
                <w:sz w:val="18"/>
                <w:szCs w:val="18"/>
                <w:color w:val="auto"/>
              </w:rPr>
            </w:pPr>
          </w:p>
        </w:tc>
      </w:tr>
      <w:tr>
        <w:trPr>
          <w:trHeight w:val="21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Lease Liabilities: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Value of Below Market In-Place Leases</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(24,541)</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(21,267)</w:t>
            </w:r>
          </w:p>
        </w:tc>
        <w:tc>
          <w:tcPr>
            <w:tcW w:w="20" w:type="dxa"/>
            <w:vAlign w:val="bottom"/>
          </w:tcPr>
          <w:p>
            <w:pPr>
              <w:spacing w:after="0"/>
              <w:rPr>
                <w:sz w:val="18"/>
                <w:szCs w:val="18"/>
                <w:color w:val="auto"/>
              </w:rPr>
            </w:pPr>
          </w:p>
        </w:tc>
      </w:tr>
      <w:tr>
        <w:trPr>
          <w:trHeight w:val="209"/>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 Intangible Lease Liabilities</w:t>
            </w: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(24,541)</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(21,267)</w:t>
            </w:r>
          </w:p>
        </w:tc>
        <w:tc>
          <w:tcPr>
            <w:tcW w:w="20" w:type="dxa"/>
            <w:vAlign w:val="bottom"/>
          </w:tcPr>
          <w:p>
            <w:pPr>
              <w:spacing w:after="0"/>
              <w:rPr>
                <w:sz w:val="18"/>
                <w:szCs w:val="18"/>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6,143</w:t>
            </w:r>
          </w:p>
        </w:tc>
        <w:tc>
          <w:tcPr>
            <w:tcW w:w="20" w:type="dxa"/>
            <w:vAlign w:val="bottom"/>
          </w:tcPr>
          <w:p>
            <w:pPr>
              <w:spacing w:after="0"/>
              <w:rPr>
                <w:sz w:val="18"/>
                <w:szCs w:val="18"/>
                <w:color w:val="auto"/>
              </w:rPr>
            </w:pPr>
          </w:p>
        </w:tc>
      </w:tr>
      <w:tr>
        <w:trPr>
          <w:trHeight w:val="209"/>
        </w:trPr>
        <w:tc>
          <w:tcPr>
            <w:tcW w:w="5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Sub-total Intangible Lease Liabilities—Net</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(15,124)</w:t>
            </w:r>
          </w:p>
        </w:tc>
        <w:tc>
          <w:tcPr>
            <w:tcW w:w="20" w:type="dxa"/>
            <w:vAlign w:val="bottom"/>
          </w:tcPr>
          <w:p>
            <w:pPr>
              <w:spacing w:after="0"/>
              <w:rPr>
                <w:sz w:val="18"/>
                <w:szCs w:val="18"/>
                <w:color w:val="auto"/>
              </w:rPr>
            </w:pPr>
          </w:p>
        </w:tc>
      </w:tr>
      <w:tr>
        <w:trPr>
          <w:trHeight w:val="210"/>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and Liabilities—Net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64,074</w:t>
            </w:r>
          </w:p>
        </w:tc>
        <w:tc>
          <w:tcPr>
            <w:tcW w:w="20" w:type="dxa"/>
            <w:vAlign w:val="bottom"/>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reflects the net amortization of intangible assets and liabilities during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2025 and 2024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87"/>
        </w:trPr>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16"/>
                <w:szCs w:val="16"/>
                <w:color w:val="auto"/>
              </w:rPr>
            </w:pPr>
          </w:p>
        </w:tc>
        <w:tc>
          <w:tcPr>
            <w:tcW w:w="124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58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to Income Properties Revenue</w:t>
            </w: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(449)</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10"/>
        </w:trPr>
        <w:tc>
          <w:tcPr>
            <w:tcW w:w="5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Amortization of Intangible Assets and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w:t>
            </w: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Amortization Expense and Accretion to Income Properties Revenue for the three months ended March 31, 2025 includes $0.7 million and $0.3 million, respectively, in the acceleration of amortization of lease intangibles related to certain leases terminated during the three months ended March 31, 2025.</w:t>
      </w:r>
    </w:p>
    <w:p>
      <w:pPr>
        <w:spacing w:after="0" w:line="176" w:lineRule="exact"/>
        <w:rPr>
          <w:sz w:val="20"/>
          <w:szCs w:val="20"/>
          <w:color w:val="auto"/>
        </w:rPr>
      </w:pPr>
    </w:p>
    <w:p>
      <w:pPr>
        <w:jc w:val="both"/>
        <w:ind w:left="60" w:right="79" w:firstLine="441"/>
        <w:spacing w:after="0" w:line="261" w:lineRule="auto"/>
        <w:rPr>
          <w:sz w:val="20"/>
          <w:szCs w:val="20"/>
          <w:color w:val="auto"/>
        </w:rPr>
      </w:pPr>
      <w:r>
        <w:rPr>
          <w:rFonts w:ascii="Times New Roman" w:cs="Times New Roman" w:eastAsia="Times New Roman" w:hAnsi="Times New Roman"/>
          <w:sz w:val="18"/>
          <w:szCs w:val="18"/>
          <w:color w:val="auto"/>
        </w:rPr>
        <w:t>The estimated future amortization expense (income) related to net intangible assets and liabilities is as follows (in thousands):</w:t>
      </w:r>
    </w:p>
    <w:tbl>
      <w:tblPr>
        <w:tblLayout w:type="fixed"/>
        <w:tblInd w:w="40" w:type="dxa"/>
        <w:tblCellMar>
          <w:top w:w="0" w:type="dxa"/>
          <w:left w:w="0" w:type="dxa"/>
          <w:bottom w:w="0" w:type="dxa"/>
          <w:right w:w="0" w:type="dxa"/>
        </w:tblCellMar>
      </w:tblPr>
      <w:tr>
        <w:trPr>
          <w:trHeight w:val="207"/>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Future</w:t>
            </w: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Net Future</w:t>
            </w:r>
          </w:p>
        </w:tc>
      </w:tr>
      <w:tr>
        <w:trPr>
          <w:trHeight w:val="216"/>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Accretion to</w:t>
            </w: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16"/>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Future</w:t>
            </w:r>
          </w:p>
        </w:tc>
        <w:tc>
          <w:tcPr>
            <w:tcW w:w="1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Intangible</w:t>
            </w:r>
          </w:p>
        </w:tc>
      </w:tr>
      <w:tr>
        <w:trPr>
          <w:trHeight w:val="216"/>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Property</w:t>
            </w: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Assets</w:t>
            </w:r>
          </w:p>
        </w:tc>
      </w:tr>
      <w:tr>
        <w:trPr>
          <w:trHeight w:val="238"/>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8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and Liabilities</w:t>
            </w:r>
          </w:p>
        </w:tc>
      </w:tr>
      <w:tr>
        <w:trPr>
          <w:trHeight w:val="209"/>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16,061</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(986)</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17,589</w:t>
            </w: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12,818</w:t>
            </w: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8,954</w:t>
            </w: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(665)</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w:t>
            </w: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r>
      <w:tr>
        <w:trPr>
          <w:trHeight w:val="216"/>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 and Thereafter</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(965)</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7,543</w:t>
            </w:r>
          </w:p>
        </w:tc>
      </w:tr>
      <w:tr>
        <w:trPr>
          <w:trHeight w:val="210"/>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76,270</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71,563</w:t>
            </w:r>
          </w:p>
        </w:tc>
      </w:tr>
      <w:tr>
        <w:trPr>
          <w:trHeight w:val="20"/>
        </w:trPr>
        <w:tc>
          <w:tcPr>
            <w:tcW w:w="4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As of March 31, 2025, the weighted average amortization period of total intangible assets and liabilities was 7.2 years and 6.7 years,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10. PROVISION FOR IMPAIRMENT</w:t>
      </w:r>
    </w:p>
    <w:p>
      <w:pPr>
        <w:spacing w:after="0" w:line="227"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Properties. </w:t>
      </w:r>
      <w:r>
        <w:rPr>
          <w:rFonts w:ascii="Times New Roman" w:cs="Times New Roman" w:eastAsia="Times New Roman" w:hAnsi="Times New Roman"/>
          <w:sz w:val="18"/>
          <w:szCs w:val="18"/>
          <w:color w:val="auto"/>
        </w:rPr>
        <w:t>The Company assesses the impairment of long-lived assets whenever events or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indicate that the carrying amount of an asset may not be recoverable. The fair value of long-lived assets required to be assessed for impairment is determined on a non-recurring basis using Level 3 inputs in the fair value hierarchy. These Level 3 inputs may include, but are not limited to, executed purchase and sale agreements on specific properties, third party valuations, discounted cash flow models, and other model-based techniques.</w:t>
      </w:r>
    </w:p>
    <w:p>
      <w:pPr>
        <w:spacing w:after="0" w:line="185"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There were no impairment charges on the Company’s income property portfolio during the three months ended March 31, 2025 or 2024.</w:t>
      </w:r>
    </w:p>
    <w:p>
      <w:pPr>
        <w:spacing w:after="0" w:line="160" w:lineRule="exact"/>
        <w:rPr>
          <w:sz w:val="20"/>
          <w:szCs w:val="20"/>
          <w:color w:val="auto"/>
        </w:rPr>
      </w:pPr>
    </w:p>
    <w:p>
      <w:pPr>
        <w:jc w:val="both"/>
        <w:ind w:left="60" w:right="59"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Commercial Loans and Investments</w:t>
      </w:r>
      <w:r>
        <w:rPr>
          <w:rFonts w:ascii="Times New Roman" w:cs="Times New Roman" w:eastAsia="Times New Roman" w:hAnsi="Times New Roman"/>
          <w:sz w:val="18"/>
          <w:szCs w:val="18"/>
          <w:color w:val="auto"/>
        </w:rPr>
        <w:t>. Pursuant to ASC 326, Financial Instruments - Credit Losses,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and records a provision for current expected credit losses (“CECL”) each time a new investment is made or a loan is repaid, as well as if changes to estimates occur during a quarterly measurement period.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w:t>
      </w:r>
    </w:p>
    <w:p>
      <w:pPr>
        <w:spacing w:after="0" w:line="184"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No impairment charge related to CECL was recorded during the three months ended March 31, 2025. During the three months ended March 31, 2024, the Company recorded an impairment charge of less than $0.1 million related to its commercial loans and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2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NOTE 11. OTHER ASSETS</w:t>
            </w: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0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77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Other assets consisted of the following as of March 31, 2025 and December 31, 2024 (in thousands):</w:t>
            </w:r>
          </w:p>
        </w:tc>
        <w:tc>
          <w:tcPr>
            <w:tcW w:w="116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60" w:type="dxa"/>
            <w:vAlign w:val="bottom"/>
            <w:tcBorders>
              <w:bottom w:val="single" w:sz="8" w:color="auto"/>
            </w:tcBorders>
          </w:tcPr>
          <w:p>
            <w:pPr>
              <w:spacing w:after="0"/>
              <w:rPr>
                <w:sz w:val="24"/>
                <w:szCs w:val="24"/>
                <w:color w:val="auto"/>
              </w:rPr>
            </w:pPr>
          </w:p>
        </w:tc>
      </w:tr>
      <w:tr>
        <w:trPr>
          <w:trHeight w:val="187"/>
        </w:trPr>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200" w:type="dxa"/>
            <w:vAlign w:val="bottom"/>
            <w:tcBorders>
              <w:top w:val="single" w:sz="8" w:color="CCEEFF"/>
            </w:tcBorders>
            <w:gridSpan w:val="4"/>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Income Property Tenant Receivables, Net of Allowance for Doubtful Accounts </w:t>
            </w:r>
            <w:r>
              <w:rPr>
                <w:rFonts w:ascii="Times New Roman" w:cs="Times New Roman" w:eastAsia="Times New Roman" w:hAnsi="Times New Roman"/>
                <w:sz w:val="24"/>
                <w:szCs w:val="24"/>
                <w:color w:val="auto"/>
                <w:vertAlign w:val="superscript"/>
              </w:rPr>
              <w:t>(1)</w:t>
            </w:r>
          </w:p>
        </w:tc>
        <w:tc>
          <w:tcPr>
            <w:tcW w:w="40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w:t>
            </w:r>
          </w:p>
        </w:tc>
      </w:tr>
      <w:tr>
        <w:trPr>
          <w:trHeight w:val="216"/>
        </w:trPr>
        <w:tc>
          <w:tcPr>
            <w:tcW w:w="6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Income Property Straight-line Rent Adjustment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7,437</w:t>
            </w:r>
          </w:p>
        </w:tc>
      </w:tr>
      <w:tr>
        <w:trPr>
          <w:trHeight w:val="216"/>
        </w:trPr>
        <w:tc>
          <w:tcPr>
            <w:tcW w:w="6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Property Leasing Commissions and Costs, Net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w:t>
            </w:r>
          </w:p>
        </w:tc>
      </w:tr>
      <w:tr>
        <w:trPr>
          <w:trHeight w:val="216"/>
        </w:trPr>
        <w:tc>
          <w:tcPr>
            <w:tcW w:w="6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Operating Leases - Right-of-Use Asset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16"/>
        </w:trPr>
        <w:tc>
          <w:tcPr>
            <w:tcW w:w="6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Hedge - Interest Rate Swap</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12,517</w:t>
            </w:r>
          </w:p>
        </w:tc>
      </w:tr>
      <w:tr>
        <w:trPr>
          <w:trHeight w:val="216"/>
        </w:trPr>
        <w:tc>
          <w:tcPr>
            <w:tcW w:w="6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Infrastructure Reimbursement Receivables</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16"/>
        </w:trPr>
        <w:tc>
          <w:tcPr>
            <w:tcW w:w="6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Deposits, and Other</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r>
      <w:tr>
        <w:trPr>
          <w:trHeight w:val="216"/>
        </w:trPr>
        <w:tc>
          <w:tcPr>
            <w:tcW w:w="6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Due from Alpine Income Property Trust, Inc.</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r>
      <w:tr>
        <w:trPr>
          <w:trHeight w:val="216"/>
        </w:trPr>
        <w:tc>
          <w:tcPr>
            <w:tcW w:w="6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Costs, Net of Accumulated Amortization</w:t>
            </w: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r>
      <w:tr>
        <w:trPr>
          <w:trHeight w:val="209"/>
        </w:trPr>
        <w:tc>
          <w:tcPr>
            <w:tcW w:w="6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4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31,467</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36,201</w:t>
            </w: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r>
    </w:tbl>
    <w:p>
      <w:pPr>
        <w:ind w:left="380" w:hanging="330"/>
        <w:spacing w:after="0" w:line="214" w:lineRule="auto"/>
        <w:tabs>
          <w:tab w:leader="none" w:pos="380"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Allowance for doubtful accounts was $2.1 million and $1.9 million as of March 31, 2025 and December 31, 2024, respectively.</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12. EQUITY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SHELF REGISTRATION</w:t>
      </w:r>
    </w:p>
    <w:p>
      <w:pPr>
        <w:spacing w:after="0" w:line="227"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On October 11, 2022, the Company filed a shelf registration statement on Form S-3, relating to the registration and potential issuance of its common stock, preferred stock, debt securities, warrants, rights, and units with a maximum aggregate offering price of up to $500.0 million (the “2022 Registration Statement”). The Securities and Exchange Commission declared the 2022 Registration Statement effective on October 26, 2022.</w:t>
      </w:r>
    </w:p>
    <w:p>
      <w:pPr>
        <w:spacing w:after="0" w:line="180"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On October 16, 2024, the Company filed a new shelf registration statement on Form S-3, relating to the registration and potential issuance of its common stock, preferred stock, debt securities, warrants, rights, and units with a maximum aggregate offering price of up to $500.0 million (the “2024 Registration Statement”). The Securities and Exchange Commission declared the 2024 Registration Statement effective on November 12, 2024. The 2022 Registration Statement was terminated concurrently with the effectiveness of the 2024 Registration Statement.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OFFERING</w:t>
      </w:r>
    </w:p>
    <w:p>
      <w:pPr>
        <w:spacing w:after="0" w:line="227"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On December 5, 2022, the Company completed a follow-on public offering of 3,450,000 shares of common stock, which included the full exercise of the underwriters’ option to purchase an additional 450,000 shares of common stock. Upon closing, the Company issued 3,450,000 shares and received net proceeds of $62.4 million, after deducting the underwriting discount and expenses.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ATM PROGRAM</w:t>
      </w:r>
    </w:p>
    <w:p>
      <w:pPr>
        <w:spacing w:after="0" w:line="227"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On April 30, 2021, the Company implemented a $150.0 million “at-the-market” equity offering program (the “2021 ATM Program”) pursuant to which the Company sold shares of the Company’s common stock. During the year ended December 31, 2022, the Company sold 961,261 shares under the 2021 ATM Program for gross proceeds of $21.1 million at a weighted average price of $21.99 per share, generating net proceeds of $20.8 million after deducting transaction fees totaling less than $0.3 million. The 2021 ATM Program was terminated in connection with the establishment of the 2022 ATM Program, hereinafter defined.</w:t>
      </w:r>
    </w:p>
    <w:p>
      <w:pPr>
        <w:spacing w:after="0" w:line="187"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On October 28, 2022, the Company implemented a $150.0 million “at-the-market” equity offering program (the “2022 ATM Program”) pursuant to which the Company may sell, from time to time, shares of the Company’s common stock. During the year ended December 31, 2022, the Company sold 604,765 shares under the 2022 ATM Program for gross proceeds of $12.3 million at a weighted average price of $20.29 per share, generating net proceeds of $12.1 million after deducting transaction fees totaling $0.2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In the aggregate, under the 2021 ATM Program and 2022 ATM Program, during the year ended December 31, 2022, the Company sold 1,566,026 shares for gross proceeds of $33.4 million at a weighted average price of $21.33 per share, generating net proceeds of $32.9 million after deducting transaction fees totaling $0.5 million. The Company was not active under the 2022 ATM Program during the year ended December 31, 2023. During the year ended December 31, 2024, the Company sold 7,226,192 shares under the 2022 ATM Program for gross proceeds of $134.2 million at a weighted average price of $18.58 per share, generating net proceeds of $132.2 million after deducting transaction fees of $2.0 million. The 2022 ATM Program was terminated in connection with the establishment of the 2024 ATM Program, hereinafter defined.</w:t>
      </w:r>
    </w:p>
    <w:p>
      <w:pPr>
        <w:spacing w:after="0" w:line="192"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On November 12, 2024, the Company implemented a $250.0 million “at-the-market” equity offering program (the “2024 ATM Program”) pursuant to which the Company may sell, from time to time, shares of the Company’s common stock. During the year ended December 31, 2024, the Company sold 1,696,601 shares under the 2024 ATM Program for gross proceeds of $33.5 million at a weighted average price of $19.77 per share, generating net proceeds of $33.0 million after deducting transaction fees of $0.5 million. In the aggregate, under the 2022 ATM Program and 2024 ATM Program, during the year ended December 31, 2024, the Company sold 8,922,793 shares for gross proceeds of $167.7 million at a weighted average price of $18.79 per share, generating net proceeds of $165.2 million after deducting transaction fees totaling $2.5 million.</w:t>
      </w:r>
    </w:p>
    <w:p>
      <w:pPr>
        <w:spacing w:after="0" w:line="192"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The Company was not active under the 2024 ATM Program during the three months ended March 31, 2025. As of March 31, 2025, $216.5 million of availability remained under the 2024 ATM Program.</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27" w:lineRule="exact"/>
        <w:rPr>
          <w:sz w:val="20"/>
          <w:szCs w:val="20"/>
          <w:color w:val="auto"/>
        </w:rPr>
      </w:pPr>
    </w:p>
    <w:p>
      <w:pPr>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On June 28, 2021, the Company priced a public offering of 3,000,000 shares of its 6.375% Series A Cumulative Redeemable Preferred Stock (the “Series A Preferred Stock”) at a public offering price of $25.00 per share. The offering closed on July 6, 2021 and generated total net proceeds to the Company of $72.4 million, after deducting the underwriting discount and expenses.</w:t>
      </w:r>
    </w:p>
    <w:p>
      <w:pPr>
        <w:spacing w:after="0" w:line="180"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On April 4, 2024, the Company priced a public offering of 1,500,000 additional shares of the Series A Preferred Stock, liquidation preference $25.00 per share, at a public offering price of $20.00 per share. The Company also granted the underwriters a 30-day option to purchase up to an additional 225,000 shares of the Series A Preferred Stock to cover over-allotments, which the underwriters exercised with respect to 218,417 shares on April 9, 2024. Upon closing on April 11, 2024, 1,718,417 shares of the Series A Preferred Stock (including the 218,417 shares of Series A Preferred Stock issued pursuant to the underwriters’ option) were issued generating net proceeds of $33.1 million, after deducting the underwriting discount and offering expenses payable by the Company.</w:t>
      </w:r>
    </w:p>
    <w:p>
      <w:pPr>
        <w:spacing w:after="0" w:line="189"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 xml:space="preserve">On August 23, 2024, the Company implemented a $24.5 million “at-the-market” preferred stock equity offering program (the “2024 Preferred Stock ATM Program”) pursuant to which the Company may sell, from time to time, shares of the </w:t>
      </w:r>
      <w:r>
        <w:rPr>
          <w:rFonts w:ascii="Times New Roman" w:cs="Times New Roman" w:eastAsia="Times New Roman" w:hAnsi="Times New Roman"/>
          <w:sz w:val="18"/>
          <w:szCs w:val="18"/>
          <w:color w:val="212529"/>
        </w:rPr>
        <w:t>Series A Preferred Stock</w:t>
      </w:r>
      <w:r>
        <w:rPr>
          <w:rFonts w:ascii="Times New Roman" w:cs="Times New Roman" w:eastAsia="Times New Roman" w:hAnsi="Times New Roman"/>
          <w:sz w:val="18"/>
          <w:szCs w:val="18"/>
          <w:color w:val="auto"/>
        </w:rPr>
        <w:t>. During the year ended December 31, 2024, the Company sold 15,844 shares under the 2024 Preferred Stock ATM Program generating net proceeds of $0.4 million at a weighted average price of $23.22 per share after deducting transaction fees of less than $0.1 million. The Company was not active under the 2024 Preferred Stock ATM Program during the three months ended March 31, 2025. As of March 31, 2025, $24.1 million of availability remained under the 2024 Preferred Stock ATM Program.</w:t>
      </w:r>
    </w:p>
    <w:p>
      <w:pPr>
        <w:spacing w:after="0" w:line="18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The Series A Preferred Stock ranks senior to the Company’s common stock with respect to dividend rights and rights upon liquidation, dissolution or winding up of the Company. The Series A Preferred Stock has no maturity date and will remain outstanding unless redeemed.</w:t>
      </w:r>
    </w:p>
    <w:p>
      <w:pPr>
        <w:spacing w:after="0" w:line="176"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The Series A Preferred Stock is not redeemable by the Company prior to July 6, 2026 except under limited circumstances intended to preserve the Company’s qualification as a REIT for U.S. federal income tax purposes or upon the occurrence of a change of control, as defined in the Articles Supplementary designating the Series A Preferred Stock (the “Articles Supplementary”). Upon such change in control, the Company may redeem, at its election, the Series A Preferred Stock at a redemption price of $25.00 per share plus any accumulated and unpaid dividends up to, but excluding the date of redemption, and in limited circumstances, the holders of the Series A Preferred Stock may convert some or all of their Series A Preferred Stock into shares of the Company’s common stock at conversion rates set forth in the Articles Supplementary.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14, “Share Repurchases” for the Company’s Series A Preferred Stock repurchase activity.</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The Company elected to be taxed as a REIT for U.S. federal income tax purposes under the Code commencing with its taxable year ended December 31, 2020. In order to maintain its qualification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U.S. federal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w:t>
      </w:r>
    </w:p>
    <w:p>
      <w:pPr>
        <w:spacing w:after="0" w:line="192"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outlines dividends declared and paid for the Series A Preferred Stock and the Company’s common stock during the three ended March 31, 2025 and 2024 (in thousands, except per share data):</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40" w:type="dxa"/>
            <w:vAlign w:val="bottom"/>
            <w:tcBorders>
              <w:bottom w:val="single" w:sz="8" w:color="auto"/>
            </w:tcBorders>
          </w:tcPr>
          <w:p>
            <w:pPr>
              <w:spacing w:after="0"/>
              <w:rPr>
                <w:sz w:val="20"/>
                <w:szCs w:val="20"/>
                <w:color w:val="auto"/>
              </w:rPr>
            </w:pPr>
          </w:p>
        </w:tc>
      </w:tr>
      <w:tr>
        <w:trPr>
          <w:trHeight w:val="187"/>
        </w:trPr>
        <w:tc>
          <w:tcPr>
            <w:tcW w:w="3880" w:type="dxa"/>
            <w:vAlign w:val="bottom"/>
          </w:tcPr>
          <w:p>
            <w:pPr>
              <w:spacing w:after="0"/>
              <w:rPr>
                <w:sz w:val="16"/>
                <w:szCs w:val="16"/>
                <w:color w:val="auto"/>
              </w:rPr>
            </w:pPr>
          </w:p>
        </w:tc>
        <w:tc>
          <w:tcPr>
            <w:tcW w:w="16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40" w:type="dxa"/>
            <w:vAlign w:val="bottom"/>
          </w:tcPr>
          <w:p>
            <w:pPr>
              <w:jc w:val="right"/>
              <w:ind w:right="69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388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 Preferred Stock</w:t>
            </w:r>
          </w:p>
        </w:tc>
        <w:tc>
          <w:tcPr>
            <w:tcW w:w="1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3880" w:type="dxa"/>
            <w:vAlign w:val="bottom"/>
          </w:tcPr>
          <w:p>
            <w:pPr>
              <w:jc w:val="center"/>
              <w:ind w:right="2610"/>
              <w:spacing w:after="0"/>
              <w:rPr>
                <w:sz w:val="20"/>
                <w:szCs w:val="20"/>
                <w:color w:val="auto"/>
              </w:rPr>
            </w:pPr>
            <w:r>
              <w:rPr>
                <w:rFonts w:ascii="Times New Roman" w:cs="Times New Roman" w:eastAsia="Times New Roman" w:hAnsi="Times New Roman"/>
                <w:sz w:val="18"/>
                <w:szCs w:val="18"/>
                <w:color w:val="auto"/>
                <w:w w:val="99"/>
              </w:rPr>
              <w:t>Dividends</w:t>
            </w:r>
          </w:p>
        </w:tc>
        <w:tc>
          <w:tcPr>
            <w:tcW w:w="16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280" w:type="dxa"/>
            <w:vAlign w:val="bottom"/>
          </w:tcPr>
          <w:p>
            <w:pPr>
              <w:spacing w:after="0"/>
              <w:rPr>
                <w:sz w:val="18"/>
                <w:szCs w:val="18"/>
                <w:color w:val="auto"/>
              </w:rPr>
            </w:pP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r>
      <w:tr>
        <w:trPr>
          <w:trHeight w:val="216"/>
        </w:trPr>
        <w:tc>
          <w:tcPr>
            <w:tcW w:w="3880" w:type="dxa"/>
            <w:vAlign w:val="bottom"/>
            <w:shd w:val="clear" w:color="auto" w:fill="CCEEFF"/>
          </w:tcPr>
          <w:p>
            <w:pPr>
              <w:jc w:val="center"/>
              <w:ind w:right="2650"/>
              <w:spacing w:after="0"/>
              <w:rPr>
                <w:sz w:val="20"/>
                <w:szCs w:val="20"/>
                <w:color w:val="auto"/>
              </w:rPr>
            </w:pPr>
            <w:r>
              <w:rPr>
                <w:rFonts w:ascii="Times New Roman" w:cs="Times New Roman" w:eastAsia="Times New Roman" w:hAnsi="Times New Roman"/>
                <w:sz w:val="18"/>
                <w:szCs w:val="18"/>
                <w:color w:val="auto"/>
              </w:rPr>
              <w:t>Per Share</w:t>
            </w:r>
          </w:p>
        </w:tc>
        <w:tc>
          <w:tcPr>
            <w:tcW w:w="1640" w:type="dxa"/>
            <w:vAlign w:val="bottom"/>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16"/>
        </w:trPr>
        <w:tc>
          <w:tcPr>
            <w:tcW w:w="3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3880" w:type="dxa"/>
            <w:vAlign w:val="bottom"/>
            <w:shd w:val="clear" w:color="auto" w:fill="CCEEFF"/>
          </w:tcPr>
          <w:p>
            <w:pPr>
              <w:jc w:val="center"/>
              <w:ind w:right="2630"/>
              <w:spacing w:after="0"/>
              <w:rPr>
                <w:sz w:val="20"/>
                <w:szCs w:val="20"/>
                <w:color w:val="auto"/>
              </w:rPr>
            </w:pPr>
            <w:r>
              <w:rPr>
                <w:rFonts w:ascii="Times New Roman" w:cs="Times New Roman" w:eastAsia="Times New Roman" w:hAnsi="Times New Roman"/>
                <w:sz w:val="18"/>
                <w:szCs w:val="18"/>
                <w:color w:val="auto"/>
                <w:w w:val="99"/>
              </w:rPr>
              <w:t>Common Stock</w:t>
            </w:r>
          </w:p>
        </w:tc>
        <w:tc>
          <w:tcPr>
            <w:tcW w:w="1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3880" w:type="dxa"/>
            <w:vAlign w:val="bottom"/>
          </w:tcPr>
          <w:p>
            <w:pPr>
              <w:jc w:val="center"/>
              <w:ind w:right="2610"/>
              <w:spacing w:after="0"/>
              <w:rPr>
                <w:sz w:val="20"/>
                <w:szCs w:val="20"/>
                <w:color w:val="auto"/>
              </w:rPr>
            </w:pPr>
            <w:r>
              <w:rPr>
                <w:rFonts w:ascii="Times New Roman" w:cs="Times New Roman" w:eastAsia="Times New Roman" w:hAnsi="Times New Roman"/>
                <w:sz w:val="18"/>
                <w:szCs w:val="18"/>
                <w:color w:val="auto"/>
                <w:w w:val="99"/>
              </w:rPr>
              <w:t>Dividends</w:t>
            </w:r>
          </w:p>
        </w:tc>
        <w:tc>
          <w:tcPr>
            <w:tcW w:w="16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12,008</w:t>
            </w:r>
          </w:p>
        </w:tc>
        <w:tc>
          <w:tcPr>
            <w:tcW w:w="280" w:type="dxa"/>
            <w:vAlign w:val="bottom"/>
          </w:tcPr>
          <w:p>
            <w:pPr>
              <w:spacing w:after="0"/>
              <w:rPr>
                <w:sz w:val="18"/>
                <w:szCs w:val="18"/>
                <w:color w:val="auto"/>
              </w:rPr>
            </w:pP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8,601</w:t>
            </w:r>
          </w:p>
        </w:tc>
      </w:tr>
      <w:tr>
        <w:trPr>
          <w:trHeight w:val="216"/>
        </w:trPr>
        <w:tc>
          <w:tcPr>
            <w:tcW w:w="3880" w:type="dxa"/>
            <w:vAlign w:val="bottom"/>
            <w:shd w:val="clear" w:color="auto" w:fill="CCEEFF"/>
          </w:tcPr>
          <w:p>
            <w:pPr>
              <w:jc w:val="center"/>
              <w:ind w:right="2650"/>
              <w:spacing w:after="0"/>
              <w:rPr>
                <w:sz w:val="20"/>
                <w:szCs w:val="20"/>
                <w:color w:val="auto"/>
              </w:rPr>
            </w:pPr>
            <w:r>
              <w:rPr>
                <w:rFonts w:ascii="Times New Roman" w:cs="Times New Roman" w:eastAsia="Times New Roman" w:hAnsi="Times New Roman"/>
                <w:sz w:val="18"/>
                <w:szCs w:val="18"/>
                <w:color w:val="auto"/>
              </w:rPr>
              <w:t>Per Share</w:t>
            </w:r>
          </w:p>
        </w:tc>
        <w:tc>
          <w:tcPr>
            <w:tcW w:w="1640" w:type="dxa"/>
            <w:vAlign w:val="bottom"/>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r>
    </w:tbl>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13. COMMON STOCK AND EARNINGS PER SHARE</w:t>
      </w:r>
    </w:p>
    <w:p>
      <w:pPr>
        <w:spacing w:after="0" w:line="216" w:lineRule="exact"/>
        <w:rPr>
          <w:sz w:val="20"/>
          <w:szCs w:val="20"/>
          <w:color w:val="auto"/>
        </w:rPr>
      </w:pPr>
    </w:p>
    <w:p>
      <w:pPr>
        <w:jc w:val="both"/>
        <w:ind w:left="60" w:right="59" w:firstLine="441"/>
        <w:spacing w:after="0" w:line="239" w:lineRule="auto"/>
        <w:rPr>
          <w:sz w:val="20"/>
          <w:szCs w:val="20"/>
          <w:color w:val="auto"/>
        </w:rPr>
      </w:pPr>
      <w:r>
        <w:rPr>
          <w:rFonts w:ascii="Times New Roman" w:cs="Times New Roman" w:eastAsia="Times New Roman" w:hAnsi="Times New Roman"/>
          <w:sz w:val="18"/>
          <w:szCs w:val="18"/>
          <w:color w:val="auto"/>
        </w:rPr>
        <w:t>Basic earnings per common share is computed by dividing net income attributable to common stockholders during the period by the weighted average number of shares of common stock outstanding during the period. Diluted earnings per common share is based on the assumption of the vesting of restricted stock at the beginning of each period using the treasury stock method at average cost for the periods. Effective as of January 1, 2022, diluted earnings per common share also reflects the 2025 Notes (hereinafter defined) on an if-converted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The following is a reconciliation of basic and diluted earnings per common share for each of the periods presented (in thousands, except share and per share data):</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87"/>
        </w:trPr>
        <w:tc>
          <w:tcPr>
            <w:tcW w:w="224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6"/>
                <w:szCs w:val="16"/>
                <w:color w:val="auto"/>
              </w:rPr>
            </w:pPr>
          </w:p>
        </w:tc>
        <w:tc>
          <w:tcPr>
            <w:tcW w:w="96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2240" w:type="dxa"/>
            <w:vAlign w:val="bottom"/>
            <w:tcBorders>
              <w:bottom w:val="single" w:sz="8" w:color="CCEEFF"/>
            </w:tcBorders>
          </w:tcPr>
          <w:p>
            <w:pPr>
              <w:spacing w:after="0"/>
              <w:rPr>
                <w:sz w:val="20"/>
                <w:szCs w:val="20"/>
                <w:color w:val="auto"/>
              </w:rPr>
            </w:pPr>
          </w:p>
        </w:tc>
        <w:tc>
          <w:tcPr>
            <w:tcW w:w="43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Earnings: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 Used in Basic EPS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4,655</w:t>
            </w:r>
          </w:p>
        </w:tc>
      </w:tr>
      <w:tr>
        <w:trPr>
          <w:trHeight w:val="216"/>
        </w:trPr>
        <w:tc>
          <w:tcPr>
            <w:tcW w:w="65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Add Back: Effect of Dilutive Interest Related to 2025 Notes </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50"/>
        </w:trPr>
        <w:tc>
          <w:tcPr>
            <w:tcW w:w="6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 Used in Diluted EPS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5,189</w:t>
            </w:r>
          </w:p>
        </w:tc>
      </w:tr>
      <w:tr>
        <w:trPr>
          <w:trHeight w:val="196"/>
        </w:trPr>
        <w:tc>
          <w:tcPr>
            <w:tcW w:w="224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and Diluted Shares: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31,552,973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22,551,241</w:t>
            </w:r>
          </w:p>
        </w:tc>
      </w:tr>
      <w:tr>
        <w:trPr>
          <w:trHeight w:val="198"/>
        </w:trPr>
        <w:tc>
          <w:tcPr>
            <w:tcW w:w="65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Shares Applicable to Unvested Restricted Stock Using the Treasury Stock</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4"/>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42,458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16"/>
        </w:trPr>
        <w:tc>
          <w:tcPr>
            <w:tcW w:w="65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Common Shares Applicable to Dilutive Effect of 2025 Notes </w:t>
            </w:r>
            <w:r>
              <w:rPr>
                <w:rFonts w:ascii="Times New Roman" w:cs="Times New Roman" w:eastAsia="Times New Roman" w:hAnsi="Times New Roman"/>
                <w:sz w:val="25"/>
                <w:szCs w:val="25"/>
                <w:color w:val="auto"/>
                <w:vertAlign w:val="superscript"/>
              </w:rPr>
              <w:t>(2)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3,505,857</w:t>
            </w:r>
          </w:p>
        </w:tc>
      </w:tr>
      <w:tr>
        <w:trPr>
          <w:trHeight w:val="250"/>
        </w:trPr>
        <w:tc>
          <w:tcPr>
            <w:tcW w:w="6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1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31,595,431</w:t>
            </w: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26,057,652</w:t>
            </w:r>
          </w:p>
        </w:tc>
      </w:tr>
      <w:tr>
        <w:trPr>
          <w:trHeight w:val="197"/>
        </w:trPr>
        <w:tc>
          <w:tcPr>
            <w:tcW w:w="224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 Share Information:</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6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6"/>
        </w:trPr>
        <w:tc>
          <w:tcPr>
            <w:tcW w:w="6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30"/>
        </w:trPr>
        <w:tc>
          <w:tcPr>
            <w:tcW w:w="6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115"/>
        </w:trPr>
        <w:tc>
          <w:tcPr>
            <w:tcW w:w="2240" w:type="dxa"/>
            <w:vAlign w:val="bottom"/>
            <w:tcBorders>
              <w:bottom w:val="single" w:sz="8" w:color="auto"/>
            </w:tcBorders>
          </w:tcPr>
          <w:p>
            <w:pPr>
              <w:spacing w:after="0"/>
              <w:rPr>
                <w:sz w:val="10"/>
                <w:szCs w:val="10"/>
                <w:color w:val="auto"/>
              </w:rPr>
            </w:pPr>
          </w:p>
        </w:tc>
        <w:tc>
          <w:tcPr>
            <w:tcW w:w="4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r>
    </w:tbl>
    <w:p>
      <w:pPr>
        <w:spacing w:after="0" w:line="58" w:lineRule="exact"/>
        <w:rPr>
          <w:sz w:val="20"/>
          <w:szCs w:val="20"/>
          <w:color w:val="auto"/>
        </w:rPr>
      </w:pPr>
    </w:p>
    <w:p>
      <w:pPr>
        <w:jc w:val="both"/>
        <w:ind w:left="380" w:right="79" w:hanging="330"/>
        <w:spacing w:after="0" w:line="212" w:lineRule="auto"/>
        <w:tabs>
          <w:tab w:leader="none" w:pos="38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applicable, includes interest expense, amortization of discount, amortization of fees, and other changes in net income or loss that would result from the assumed conversion of the 2025 Convertible Senior Notes effective January 1, 2022 due to the implementation of ASU 2020-06 which requires presentation on an if-converted basis. For the three months ended March 31, 2024, a total of $0.5 million was included as the impact to earnings per share, if-converted, would have been dilutive to net income attributable to common stockholders for the period. For the three months ended March 31, 2025, a total of $0.5 million of interest was not included, as the impact of the 2025 Notes, if-converted, would have been antidilutive to net income attributable to common stockholders for the period.</w:t>
      </w:r>
    </w:p>
    <w:p>
      <w:pPr>
        <w:spacing w:after="0" w:line="2" w:lineRule="exact"/>
        <w:rPr>
          <w:rFonts w:ascii="Times New Roman" w:cs="Times New Roman" w:eastAsia="Times New Roman" w:hAnsi="Times New Roman"/>
          <w:sz w:val="19"/>
          <w:szCs w:val="19"/>
          <w:color w:val="auto"/>
          <w:vertAlign w:val="superscript"/>
        </w:rPr>
      </w:pPr>
    </w:p>
    <w:p>
      <w:pPr>
        <w:jc w:val="both"/>
        <w:ind w:left="380" w:right="79" w:hanging="330"/>
        <w:spacing w:after="0" w:line="207" w:lineRule="auto"/>
        <w:tabs>
          <w:tab w:leader="none" w:pos="38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A total of 3.5 million shares representing the dilutive impact of the 2025 Notes, upon adoption of ASU 2020-06 effective January 1, 2022, were included in the computation of diluted net income per share attributable to common stockholders for the three months ended March 31, 2024, because they were dilutive to net income attributable to common stockholders for the period. A total of 3.8 million shares representing the dilutive impact of the 2025 Notes, upon adoption of ASU 2020-06 effective January 1, 2022, were not included in the computation of diluted net income per share attributable to common stockholders for the three months ended March 31, 2025 because they were antidilutive to net income attributable to common stockholders for the period.</w:t>
      </w:r>
    </w:p>
    <w:p>
      <w:pPr>
        <w:spacing w:after="0" w:line="183"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There were 42,458 and 554 potentially dilutive shares related to the Company’s restricted stock for the three months ended March 31, 2025 and 2024,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14. SHARE REPURCHASES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COMMON STOCK REPURCHASE PROGRAM</w:t>
      </w:r>
    </w:p>
    <w:p>
      <w:pPr>
        <w:spacing w:after="0" w:line="214" w:lineRule="exact"/>
        <w:rPr>
          <w:sz w:val="20"/>
          <w:szCs w:val="20"/>
          <w:color w:val="auto"/>
        </w:rPr>
      </w:pPr>
    </w:p>
    <w:p>
      <w:pPr>
        <w:jc w:val="both"/>
        <w:ind w:left="60" w:right="59" w:firstLine="441"/>
        <w:spacing w:after="0" w:line="233" w:lineRule="auto"/>
        <w:rPr>
          <w:sz w:val="20"/>
          <w:szCs w:val="20"/>
          <w:color w:val="auto"/>
        </w:rPr>
      </w:pPr>
      <w:r>
        <w:rPr>
          <w:rFonts w:ascii="Times New Roman" w:cs="Times New Roman" w:eastAsia="Times New Roman" w:hAnsi="Times New Roman"/>
          <w:sz w:val="18"/>
          <w:szCs w:val="18"/>
          <w:color w:val="auto"/>
        </w:rPr>
        <w:t>In February 2020, the Company’s Board approved a $10.0 million common stock repurchase program (the “$10.0 Million Common Stock Repurchase Program”). During the year ended December 31, 2020, the Company repurchased 265,695 shares of its common stock on the open market for a total cost of $4.1 million, or an average price per share of $15.43. During the year ended December 31, 2021, the Company repurchased 121,659 shares of its common stock on the open market for a total cost of $2.2 million, or an average price per share of $18.16. During the year ended December 31, 2022, the Company repurchased 145,724 shares of its common stock on the open market for a total cost of $2.8 million, or an average price per share of $19.15. No repurchases were made pursuant to the $10.0 Million Common Stock Repurchase Program during the year ended December 31, 2023.</w:t>
      </w:r>
    </w:p>
    <w:p>
      <w:pPr>
        <w:spacing w:after="0" w:line="161" w:lineRule="exact"/>
        <w:rPr>
          <w:sz w:val="20"/>
          <w:szCs w:val="20"/>
          <w:color w:val="auto"/>
        </w:rPr>
      </w:pPr>
    </w:p>
    <w:p>
      <w:pPr>
        <w:jc w:val="both"/>
        <w:ind w:left="60" w:right="59" w:firstLine="441"/>
        <w:spacing w:after="0" w:line="231" w:lineRule="auto"/>
        <w:rPr>
          <w:sz w:val="20"/>
          <w:szCs w:val="20"/>
          <w:color w:val="auto"/>
        </w:rPr>
      </w:pPr>
      <w:r>
        <w:rPr>
          <w:rFonts w:ascii="Times New Roman" w:cs="Times New Roman" w:eastAsia="Times New Roman" w:hAnsi="Times New Roman"/>
          <w:sz w:val="18"/>
          <w:szCs w:val="18"/>
          <w:color w:val="auto"/>
        </w:rPr>
        <w:t>On February 16, 2023, the Company’s Board of Directors approved a common stock repurchase program (the “February 2023 $5.0 Million Common Stock Repurchase Program”), which eliminated the unutilized portion of the $10.0 Million Common Stock Repurchase Program. Pursuant to the February 2023 $5.0 Million Common Stock Repurchase Program, the Company was authorized to repurchase shares of its common stock for a total purchase price of up to $5.0 million. During the three months ended March 31, 2023, the Company repurchased 303,354 shares of its common stock on the open market for a total cost of $5.0 million, or an average price per share of $16.48, pursuant to the February 2023 $5.0 Million Common Stock Repurchase Program. Accordingly, as of March 31, 2023, no shares of the Company’s common stock remained available for repurchase under the February 2023 $5.0 Million Common Stock Repurchase Program.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On April 25, 2023, the Company’s Board of Directors approved a common stock repurchase program, (the “April 2023 $5.0 Million Common Stock Repurchase Program”). Pursuant to the April 2023 $5.0 Million Common Stock Repurchase Program, the Company was authorized to repurchase shares of its common stock for a total purchase price of up to $5.0 million. During the year ended December 31, 2023, the Company repurchased 62,015 shares of its common stock on the open market for a total cost of $1.0 million, or an average price per share of $15.72. The April 2023 $5.0 Million Common Stock Repurchase Program was terminated in connection with the establishment of the December 2023 $5.0 Million Common Stock Repurchase Program (hereinafter defined).</w:t>
      </w:r>
    </w:p>
    <w:p>
      <w:pPr>
        <w:spacing w:after="0" w:line="189" w:lineRule="exact"/>
        <w:rPr>
          <w:sz w:val="20"/>
          <w:szCs w:val="20"/>
          <w:color w:val="auto"/>
        </w:rPr>
      </w:pPr>
    </w:p>
    <w:p>
      <w:pPr>
        <w:jc w:val="both"/>
        <w:ind w:left="60" w:right="59" w:firstLine="441"/>
        <w:spacing w:after="0" w:line="252" w:lineRule="auto"/>
        <w:rPr>
          <w:sz w:val="20"/>
          <w:szCs w:val="20"/>
          <w:color w:val="auto"/>
        </w:rPr>
      </w:pPr>
      <w:r>
        <w:rPr>
          <w:rFonts w:ascii="Times New Roman" w:cs="Times New Roman" w:eastAsia="Times New Roman" w:hAnsi="Times New Roman"/>
          <w:sz w:val="18"/>
          <w:szCs w:val="18"/>
          <w:color w:val="auto"/>
        </w:rPr>
        <w:t>On December 12, 2023, the Company’s Board of Directors approved a common stock repurchase program, which is expected to be in effect until the approved dollar amount has been used to repurchase shares (the “December 2023 $5.0 Million Common Stock Repurchase Program”). Pursuant to the December 2023 $5.0 Million Common Stock Repurchase Program, the Company may repurchase shares of its common stock for a total purchase price of up to $5.0 million. Shares may be purchased under the December 2023 $5.0 Million Common Stock Repurchase Program in open market transactions, including through block purchases, through privately negotiated transactions or pursuant to any trading plan that may be adopted in accordance with Rule 10b5-1 under the Securities Exchange Act of 1934, as amended (the “Exchange Act”). The December 2023 $5.0 Million Common Stock Repurchase Program does not obligate the Company to acquire any particular amount of shares of its common stock and may be modified or suspended. During the year ended December 31, 2024, the Company repurchased 40,726 shares of its common stock on the open market for a total cost of $0.7 million, or an average price per share of $16.28 pursuant to the December 2023 $5.0 Million Common Stock Repurchase Program. No repurchases were made pursuant to the December 2023 $5.0 Million Common Stock Repurchase Program during the three months ended March 31, 2025. As of March 31, 2025, $4.3 million remained available for repurchases under the December 2023 $5.0 Million Common Stock Repurchase Program.</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SERIES A PREFERRED STOCK REPURCHASE PROGRAM</w:t>
      </w:r>
    </w:p>
    <w:p>
      <w:pPr>
        <w:spacing w:after="0" w:line="268"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On February 16, 2023, the Company’s Board of Directors approved a Series A Preferred Stock repurchase program, which is expected to be in effect until the approved dollar amount has been used to repurchase shares (the “Series A Preferred Stock Repurchase Program”). Pursuant to the Series A Preferred Stock Repurchase Program, the Company may repurchase shares of its Series A Preferred Stock for a total purchase price of up to $3.0 million. Shares may be purchased under the Series A Preferred Stock Repurchase Program in open market transactions, including through block purchases, through privately negotiated transactions or pursuant to any trading plan that may be adopted in accordance with Rule 10b5-1 under the Exchange Act. The Series A Preferred Stock Repurchase Program does not obligate the Company to acquire any particular amount of shares of its Series A Preferred Stock and may be modified or suspended. During the year ended December 31, 2023, the Company repurchased 21,192 shares of Series A Preferred Stock on the open market for a total cost of $0.4 million, or an average price per share of $18.45. No shares of the Company’s Series A Preferred Stock were repurchased under the Series A Preferred Stock Repurchase Program during the three months ended March 31, 2025 or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15. LONG-TERM DEBT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2025, the Company’s outstanding indebtedness, at face value, was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Face Value Debt</w:t>
            </w:r>
          </w:p>
        </w:tc>
        <w:tc>
          <w:tcPr>
            <w:tcW w:w="180" w:type="dxa"/>
            <w:vAlign w:val="bottom"/>
          </w:tcPr>
          <w:p>
            <w:pPr>
              <w:spacing w:after="0"/>
              <w:rPr>
                <w:sz w:val="20"/>
                <w:szCs w:val="20"/>
                <w:color w:val="auto"/>
              </w:rPr>
            </w:pPr>
          </w:p>
        </w:tc>
        <w:tc>
          <w:tcPr>
            <w:tcW w:w="1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c>
          <w:tcPr>
            <w:tcW w:w="16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Wtd. Avg. Rate</w:t>
            </w:r>
          </w:p>
        </w:tc>
        <w:tc>
          <w:tcPr>
            <w:tcW w:w="0" w:type="dxa"/>
            <w:vAlign w:val="bottom"/>
          </w:tcPr>
          <w:p>
            <w:pPr>
              <w:spacing w:after="0"/>
              <w:rPr>
                <w:sz w:val="1"/>
                <w:szCs w:val="1"/>
                <w:color w:val="auto"/>
              </w:rPr>
            </w:pPr>
          </w:p>
        </w:tc>
      </w:tr>
      <w:tr>
        <w:trPr>
          <w:trHeight w:val="191"/>
        </w:trPr>
        <w:tc>
          <w:tcPr>
            <w:tcW w:w="288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Credit Facility </w:t>
            </w:r>
            <w:r>
              <w:rPr>
                <w:rFonts w:ascii="Times New Roman" w:cs="Times New Roman" w:eastAsia="Times New Roman" w:hAnsi="Times New Roman"/>
                <w:sz w:val="26"/>
                <w:szCs w:val="26"/>
                <w:color w:val="auto"/>
                <w:vertAlign w:val="superscript"/>
              </w:rPr>
              <w:t>(1)</w:t>
            </w:r>
          </w:p>
        </w:tc>
        <w:tc>
          <w:tcPr>
            <w:tcW w:w="8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w w:val="98"/>
              </w:rPr>
              <w:t>SOFR + 0.10% +</w:t>
            </w: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8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1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January 2027</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 - 2.20%]</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198"/>
        </w:trPr>
        <w:tc>
          <w:tcPr>
            <w:tcW w:w="2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2026 Term Loan </w:t>
            </w:r>
            <w:r>
              <w:rPr>
                <w:rFonts w:ascii="Times New Roman" w:cs="Times New Roman" w:eastAsia="Times New Roman" w:hAnsi="Times New Roman"/>
                <w:sz w:val="26"/>
                <w:szCs w:val="26"/>
                <w:color w:val="auto"/>
                <w:vertAlign w:val="superscript"/>
              </w:rPr>
              <w:t>(2)</w:t>
            </w: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SOFR + 0.10% +</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80" w:type="dxa"/>
            <w:vAlign w:val="bottom"/>
          </w:tcPr>
          <w:p>
            <w:pPr>
              <w:spacing w:after="0"/>
              <w:rPr>
                <w:sz w:val="20"/>
                <w:szCs w:val="20"/>
                <w:color w:val="auto"/>
              </w:rPr>
            </w:pPr>
          </w:p>
        </w:tc>
        <w:tc>
          <w:tcPr>
            <w:tcW w:w="1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March 2026</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 - 2.20%]</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198"/>
        </w:trPr>
        <w:tc>
          <w:tcPr>
            <w:tcW w:w="28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2027 Term Loan </w:t>
            </w:r>
            <w:r>
              <w:rPr>
                <w:rFonts w:ascii="Times New Roman" w:cs="Times New Roman" w:eastAsia="Times New Roman" w:hAnsi="Times New Roman"/>
                <w:sz w:val="26"/>
                <w:szCs w:val="26"/>
                <w:color w:val="auto"/>
                <w:vertAlign w:val="superscript"/>
              </w:rPr>
              <w:t>(3)</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gridSpan w:val="3"/>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SOFR + 0.10% +</w:t>
            </w: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January 2027</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 - 2.20%]</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198"/>
        </w:trPr>
        <w:tc>
          <w:tcPr>
            <w:tcW w:w="2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2028 Term Loan </w:t>
            </w:r>
            <w:r>
              <w:rPr>
                <w:rFonts w:ascii="Times New Roman" w:cs="Times New Roman" w:eastAsia="Times New Roman" w:hAnsi="Times New Roman"/>
                <w:sz w:val="26"/>
                <w:szCs w:val="26"/>
                <w:color w:val="auto"/>
                <w:vertAlign w:val="superscript"/>
              </w:rPr>
              <w:t>(4)</w:t>
            </w: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SOFR + 0.10% +</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tcPr>
          <w:p>
            <w:pPr>
              <w:spacing w:after="0"/>
              <w:rPr>
                <w:sz w:val="20"/>
                <w:szCs w:val="20"/>
                <w:color w:val="auto"/>
              </w:rPr>
            </w:pPr>
          </w:p>
        </w:tc>
        <w:tc>
          <w:tcPr>
            <w:tcW w:w="1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January 2028</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 - 2.15%]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198"/>
        </w:trPr>
        <w:tc>
          <w:tcPr>
            <w:tcW w:w="28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2029 Term Loan </w:t>
            </w:r>
            <w:r>
              <w:rPr>
                <w:rFonts w:ascii="Times New Roman" w:cs="Times New Roman" w:eastAsia="Times New Roman" w:hAnsi="Times New Roman"/>
                <w:sz w:val="26"/>
                <w:szCs w:val="26"/>
                <w:color w:val="auto"/>
                <w:vertAlign w:val="superscript"/>
              </w:rPr>
              <w:t>(5)</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gridSpan w:val="3"/>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SOFR + 0.10% +</w:t>
            </w: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September 2029</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 - 2.15%]</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198"/>
        </w:trPr>
        <w:tc>
          <w:tcPr>
            <w:tcW w:w="28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3.875% Convertible Senior Notes</w:t>
            </w: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due 2025</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51,034</w:t>
            </w:r>
          </w:p>
        </w:tc>
        <w:tc>
          <w:tcPr>
            <w:tcW w:w="180" w:type="dxa"/>
            <w:vAlign w:val="bottom"/>
          </w:tcPr>
          <w:p>
            <w:pPr>
              <w:spacing w:after="0"/>
              <w:rPr>
                <w:sz w:val="20"/>
                <w:szCs w:val="20"/>
                <w:color w:val="auto"/>
              </w:rPr>
            </w:pPr>
          </w:p>
        </w:tc>
        <w:tc>
          <w:tcPr>
            <w:tcW w:w="1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April 2025</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3.875%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Note Payable</w:t>
            </w:r>
          </w:p>
        </w:tc>
        <w:tc>
          <w:tcPr>
            <w:tcW w:w="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August 2026</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4.060%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10"/>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Face Value Debt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603,834</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120" w:hanging="330"/>
        <w:spacing w:after="0" w:line="181" w:lineRule="auto"/>
        <w:tabs>
          <w:tab w:leader="none" w:pos="3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Company utilized interest rate swaps on $50.0 million of the Credit Facility balance to fix SOFR and achieve a weighted average fixed swap rate of 3.85% plus the 10 bps SOFR adjustment plus the applicable spread.</w:t>
      </w:r>
    </w:p>
    <w:p>
      <w:pPr>
        <w:ind w:left="380" w:right="100" w:hanging="330"/>
        <w:spacing w:after="0" w:line="182" w:lineRule="auto"/>
        <w:tabs>
          <w:tab w:leader="none" w:pos="445"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Company utilized interest rate swaps on the $65.0 million 2026 Term Loan balance to fix SOFR and achieve a weighted average fixed swap rate of 1.27% plus the 10 bps SOFR adjustment plus the applicable spread.</w:t>
      </w:r>
    </w:p>
    <w:p>
      <w:pPr>
        <w:ind w:left="380" w:right="120" w:hanging="330"/>
        <w:spacing w:after="0" w:line="182" w:lineRule="auto"/>
        <w:tabs>
          <w:tab w:leader="none" w:pos="380"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Company utilized interest rate swaps on the $100.0 million 2027 Term Loan balance to fix SOFR and achieve a fixed swap rate of 1.35% plus the 10 bps SOFR adjustment plus the applicable spread.</w:t>
      </w:r>
    </w:p>
    <w:p>
      <w:pPr>
        <w:ind w:left="380" w:right="120" w:hanging="330"/>
        <w:spacing w:after="0" w:line="182" w:lineRule="auto"/>
        <w:tabs>
          <w:tab w:leader="none" w:pos="380"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Company utilized interest rate swaps on the $100.0 million 2028 Term Loan balance to fix SOFR and achieve a weighted average fixed swap rate of 3.78% plus the 10 bps SOFR adjustment plus the applicable spread.</w:t>
      </w:r>
    </w:p>
    <w:p>
      <w:pPr>
        <w:ind w:left="380" w:right="120" w:hanging="330"/>
        <w:spacing w:after="0" w:line="185" w:lineRule="auto"/>
        <w:tabs>
          <w:tab w:leader="none" w:pos="3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Company utilized interest rate swaps on the $100.0 million 2029 Term Loan balance to fix SOFR and achieve a weighted average fixed swap rate of 3.28% plus the 10 bps SOFR adjustment plus the applicable spread.</w:t>
      </w:r>
    </w:p>
    <w:p>
      <w:pPr>
        <w:spacing w:after="0" w:line="180" w:lineRule="exact"/>
        <w:rPr>
          <w:sz w:val="20"/>
          <w:szCs w:val="20"/>
          <w:color w:val="auto"/>
        </w:rPr>
      </w:pPr>
    </w:p>
    <w:p>
      <w:pPr>
        <w:jc w:val="both"/>
        <w:ind w:left="60" w:right="100"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Credit Facility. </w:t>
      </w:r>
      <w:r>
        <w:rPr>
          <w:rFonts w:ascii="Times New Roman" w:cs="Times New Roman" w:eastAsia="Times New Roman" w:hAnsi="Times New Roman"/>
          <w:sz w:val="18"/>
          <w:szCs w:val="18"/>
          <w:color w:val="auto"/>
        </w:rPr>
        <w:t>The Credit Facility, with Bank of Montreal (“BMO”) as the administrative agent for the lenders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thereunder, is unsecured with regard to our income property portfolio but is guaranteed by certain wholly owned subsidiaries of the Company. The Credit Facility bank group is led by BMO and also includes Truist Bank and Wells Fargo. On September 7, 2017, the Company executed the second amendment and restatement of the Credit Facility (the “2017 Amended Credit Facility” and, as amended, the “Credit Agreement”). As a result of the March 2021 Revolver Amendment and the Eighth Amendment, both as defined below, The Huntington National Bank, PNC Bank, National Association, and Regions Bank, were added as lenders to the Company’s Credit Facility.</w:t>
      </w:r>
    </w:p>
    <w:p>
      <w:pPr>
        <w:spacing w:after="0" w:line="185" w:lineRule="exact"/>
        <w:rPr>
          <w:sz w:val="20"/>
          <w:szCs w:val="20"/>
          <w:color w:val="auto"/>
        </w:rPr>
      </w:pPr>
    </w:p>
    <w:p>
      <w:pPr>
        <w:jc w:val="both"/>
        <w:ind w:left="60" w:right="100" w:firstLine="441"/>
        <w:spacing w:after="0" w:line="253" w:lineRule="auto"/>
        <w:rPr>
          <w:sz w:val="20"/>
          <w:szCs w:val="20"/>
          <w:color w:val="auto"/>
        </w:rPr>
      </w:pPr>
      <w:r>
        <w:rPr>
          <w:rFonts w:ascii="Times New Roman" w:cs="Times New Roman" w:eastAsia="Times New Roman" w:hAnsi="Times New Roman"/>
          <w:sz w:val="18"/>
          <w:szCs w:val="18"/>
          <w:color w:val="auto"/>
        </w:rPr>
        <w:t>On May 24, 2019, the Company executed the second amendment to the 2017 Amended Credit Facility (the “May 2019 Revolver Amendment”). As a result of the May 2019 Revolver Amendment, the Credit Facility had a total borrowing capacity of $200.0 million with the ability to increase that capacity up to $300.0 million during the term, subject to lender approval. The Credit Facility provides the lenders with a security interest in the equity of the Company subsidiaries that own the properties included in the borrowing base. The indebtedness outstanding under the Credit Facility accrues interest at a rate ranging from SOFR plus 0.10% plus 125 basis points to SOFR plus 0.10% plus 220 basis points based on the total balance outstanding under the Credit Facility as a percentage of the total asset value of the Company, as defined in the 2017 Amended Credit Facility, as amended by the Eighth Amendment. The Credit Facility also accrues a fee of 15 to 25 basis points for any unused portion of the borrowing capacity based on whether the unused portion is greater or less than 50% of the total borrowing capacity. Pursuant to the Eighth Amendment, the Credit Facility matures on January 31, 2027, with the ability to extend the term for 1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60"/>
          </w:cols>
          <w:pgMar w:left="1440" w:top="513" w:right="1399"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On November 26, 2019, the Company entered into the third amendment to the 2017 Amended Credit Facility (the “November 2019 Revolver Amendment”), which further amends the 2017 Amended Credit Facility. The November 2019 Revolver Amendment included, among other things, an adjustment of certain financial maintenance covenants, including a temporary reduction of the minimum fixed charge coverage ratio to allow the Company to redeploy the proceeds received from the sale of certain income properties to PINE, and an increase in the maximum amount the Company may invest in stock and stock equivalents of real estate investment trusts to allow the Company to invest in PINE’s common stock and OP Units.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July 1, 2020, the Company entered into the fourth amendment to the 2017 Amended Credit Facility (the “July</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2020 Revolver Amendment”) whereby the tangible net worth covenant was adjusted to be more reflective of market terms.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July 2020 Revolver Amendment was effective as of March 31, 2020.</w:t>
      </w:r>
    </w:p>
    <w:p>
      <w:pPr>
        <w:spacing w:after="0" w:line="207" w:lineRule="exact"/>
        <w:rPr>
          <w:sz w:val="20"/>
          <w:szCs w:val="20"/>
          <w:color w:val="auto"/>
        </w:rPr>
      </w:pPr>
    </w:p>
    <w:p>
      <w:pPr>
        <w:jc w:val="both"/>
        <w:ind w:left="60" w:right="79" w:firstLine="441"/>
        <w:spacing w:after="0" w:line="261" w:lineRule="auto"/>
        <w:rPr>
          <w:sz w:val="20"/>
          <w:szCs w:val="20"/>
          <w:color w:val="auto"/>
        </w:rPr>
      </w:pPr>
      <w:r>
        <w:rPr>
          <w:rFonts w:ascii="Times New Roman" w:cs="Times New Roman" w:eastAsia="Times New Roman" w:hAnsi="Times New Roman"/>
          <w:sz w:val="18"/>
          <w:szCs w:val="18"/>
          <w:color w:val="auto"/>
        </w:rPr>
        <w:t>On November 12, 2020, the Company entered into the fifth amendment to the 2017 Amended Credit Facility (the “November 2020 Revolver Amendment”). The November 2020 Revolver Amendment provided that, among other things,</w:t>
      </w:r>
    </w:p>
    <w:p>
      <w:pPr>
        <w:jc w:val="both"/>
        <w:ind w:left="60" w:right="59" w:hanging="10"/>
        <w:spacing w:after="0" w:line="253" w:lineRule="auto"/>
        <w:tabs>
          <w:tab w:leader="none" w:pos="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comply with certain adjusted additional financial maintenance requirements, including (x) a new restricted payments covenant which limits the type and amount of cash distributions that may be made by the Company and (y) an adjusted fix charges ratio, which now excludes certain onetime expenses for purposes of calculation and (ii) the Company must, from and after the date that the Company elects to qualify as a REIT, maintain its status as a REIT.</w:t>
      </w:r>
    </w:p>
    <w:p>
      <w:pPr>
        <w:spacing w:after="0" w:line="189"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On March 10, 2021, the Company entered into the sixth amendment to the 2017 Amended Credit Facility (the “March 2021 Revolver Amendment”). The March 2021 Revolver Amendment included, among other things, (i) increase of the revolving credit commitment from $200.0 million to $210.0 million, (ii) addition of a term loan in the aggregate amount of $50.0 million (the “2026 Term Loan”), (iii) updates to certain financing rate provisions provided therein, and</w:t>
      </w:r>
    </w:p>
    <w:p>
      <w:pPr>
        <w:spacing w:after="0" w:line="3" w:lineRule="exact"/>
        <w:rPr>
          <w:sz w:val="20"/>
          <w:szCs w:val="20"/>
          <w:color w:val="auto"/>
        </w:rPr>
      </w:pPr>
    </w:p>
    <w:p>
      <w:pPr>
        <w:jc w:val="both"/>
        <w:ind w:left="60" w:right="59" w:hanging="10"/>
        <w:spacing w:after="0" w:line="253" w:lineRule="auto"/>
        <w:tabs>
          <w:tab w:leader="none" w:pos="3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joinder of The Huntington National Bank as a 2026 Term Loan lender and Credit Facility lender. The March 2021 Revolver Amendment also includes accordion options that allow the Company to request additional 2026 Term Loan lender commitments up to a total of $150.0 million and additional Credit Facility lender commitments up to a total of $300.0 million. During the six months ended June 30, 2021, the Company exercised the 2026 Term Loan accordion option for $15.0 million, increasing total lender commitments to $65.0 million.</w:t>
      </w:r>
    </w:p>
    <w:p>
      <w:pPr>
        <w:spacing w:after="0" w:line="187"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On November 5, 2021, the Company entered into the seventh amendment to the 2017 Amended Credit Facility (the “November 2021 Revolver Amendment”). The November 2021 Revolver Amendment included, among other things, (i) addition of a term loan in the aggregate amount of $100.0 million (the “2027 Term Loan”) and (ii) joinder of KeyBank National Association, Raymond James Bank, and Synovus Bank as 2027 Term Loan lenders. The November 2021 Revolver Amendment also includes an accordion option that allows the Company to request additional term loan lender commitments up to a total of $400.0 million in the aggregate.</w:t>
      </w:r>
    </w:p>
    <w:p>
      <w:pPr>
        <w:spacing w:after="0" w:line="187"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On September 20, 2022, the Company entered into the eighth amendment to the 2017 Amended Credit Facility (the “Eighth Amendment”), which includes among other things: (i) the origination of a term loan, in the amount of $100.0 million (the “2028 Term Loan”), (ii) the increase of the revolving credit commitment from up to $210.0 million to up to $300.0 million, (iii) an accordion option that allows the Company to request additional revolving loan commitments and additional term loan commitments, provided, (a) the aggregate amount of revolving loan commitments shall not exceed $750,000,000 and (b) the aggregate amount of term loan commitments shall not exceed $500,000,000, (iv) an extension of the maturity date to January 31, 2027, (v) a sustainability-linked pricing component pursuant to which the Company will receive interest rate reductions based on its performance against certain sustainability performance targets, (vi) the release of the Pledge Collateral, as defined in the Eighth Amendment, and (vii) the joinder of PNC Bank, National Association (“PNC”) as a Term Loan Lender, as defined in the Credit Agreement, and PNC and Regions Bank as Revolving Lenders, as defined in the Credit Agreement.</w:t>
      </w:r>
    </w:p>
    <w:p>
      <w:pPr>
        <w:spacing w:after="0" w:line="165" w:lineRule="exact"/>
        <w:rPr>
          <w:sz w:val="20"/>
          <w:szCs w:val="20"/>
          <w:color w:val="auto"/>
        </w:rPr>
      </w:pPr>
    </w:p>
    <w:p>
      <w:pPr>
        <w:jc w:val="both"/>
        <w:ind w:left="60" w:right="59" w:firstLine="441"/>
        <w:spacing w:after="0" w:line="312" w:lineRule="auto"/>
        <w:rPr>
          <w:sz w:val="20"/>
          <w:szCs w:val="20"/>
          <w:color w:val="auto"/>
        </w:rPr>
      </w:pPr>
      <w:r>
        <w:rPr>
          <w:rFonts w:ascii="Times New Roman" w:cs="Times New Roman" w:eastAsia="Times New Roman" w:hAnsi="Times New Roman"/>
          <w:sz w:val="17"/>
          <w:szCs w:val="17"/>
          <w:color w:val="auto"/>
        </w:rPr>
        <w:t>On December 20, 2023, the Company entered into the ninth amendment to the 2017 Amended Credit Facility (the “Ninth Amendment”), which revises certain non-monetary limitations as described in more detail in the Ninth Amendment.</w:t>
      </w:r>
    </w:p>
    <w:p>
      <w:pPr>
        <w:spacing w:after="0" w:line="9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At March 31, 2025, the current commitment level under the Credit Facility was $300.0 million, and the undrawn commitment under the Credit Facility totaled $130.0 million. As of March 31, 2025, the Credit Facility had a $170.0 million balance outstanding.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The Credit Facility is subject to customary restrictive covenants including, but not limited to, limitations on the Company’s ability to: (a) incur indebtedness; (b) make certain investments; (c) incur certain liens; (d) engage in certain affiliate transactions; and (e) engage in certain major transactions such as mergers. In addition, the Company is subject to various financial maintenance covenants including, but not limited to, a maximum indebtedness ratio, a maximum secured indebtedness ratio, and a minimum fixed charge coverage ratio. The Credit Facility also contains affirmative covenants and events of default including, but not limited to, a cross default to the Company’s other indebtedness and upon the occurrence of a change in control. The Company’s failure to comply with these covenants or the occurrence of an event of default could result in acceleration of the Company’s debt and other financial obligations under the Credit Facility.</w:t>
      </w:r>
    </w:p>
    <w:p>
      <w:pPr>
        <w:spacing w:after="0" w:line="190"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2029 Term Loan. </w:t>
      </w:r>
      <w:r>
        <w:rPr>
          <w:rFonts w:ascii="Times New Roman" w:cs="Times New Roman" w:eastAsia="Times New Roman" w:hAnsi="Times New Roman"/>
          <w:sz w:val="18"/>
          <w:szCs w:val="18"/>
          <w:color w:val="auto"/>
        </w:rPr>
        <w:t>On September 30, 2024, the Company and certain subsidiaries of the Company entered into a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with KeyBank National Association, as administrative agent, and certain other lenders named therein, for a term loan (the “2029 Term Loan”) in an aggregate principal amount of $100.0 million with a maturity of five years. The 2029 Term Loan bears interest at SOFR plus a spread based on the Company’s leverage ratio. The Company applied existing SOFR swap agreements, previously used to fix the interest rate on $100.0 million of borrowings under the Company’s revolving credit facility, to the 2029 Term Loan resulting in an initial effective fixed interest rate on the 2029 Term Loan of 4.68%.</w:t>
      </w:r>
    </w:p>
    <w:p>
      <w:pPr>
        <w:spacing w:after="0" w:line="156" w:lineRule="exact"/>
        <w:rPr>
          <w:sz w:val="20"/>
          <w:szCs w:val="20"/>
          <w:color w:val="auto"/>
        </w:rPr>
      </w:pPr>
    </w:p>
    <w:p>
      <w:pPr>
        <w:jc w:val="both"/>
        <w:ind w:left="60" w:right="59"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Mortgage Notes Payable</w:t>
      </w:r>
      <w:r>
        <w:rPr>
          <w:rFonts w:ascii="Times New Roman" w:cs="Times New Roman" w:eastAsia="Times New Roman" w:hAnsi="Times New Roman"/>
          <w:sz w:val="18"/>
          <w:szCs w:val="18"/>
          <w:color w:val="auto"/>
        </w:rPr>
        <w:t>. On March 3, 2022, in connection with the acquisition of Price Plaza Shopping Center,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assumed an existing $17.8 million secured fixed-rate mortgage note payable, which bears interest at a fixed rate of 4.06% and matures in August 2026.</w:t>
      </w:r>
    </w:p>
    <w:p>
      <w:pPr>
        <w:spacing w:after="0" w:line="173" w:lineRule="exact"/>
        <w:rPr>
          <w:sz w:val="20"/>
          <w:szCs w:val="20"/>
          <w:color w:val="auto"/>
        </w:rPr>
      </w:pPr>
    </w:p>
    <w:p>
      <w:pPr>
        <w:jc w:val="both"/>
        <w:ind w:left="60" w:right="59"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Convertible Debt</w:t>
      </w:r>
      <w:r>
        <w:rPr>
          <w:rFonts w:ascii="Times New Roman" w:cs="Times New Roman" w:eastAsia="Times New Roman" w:hAnsi="Times New Roman"/>
          <w:sz w:val="18"/>
          <w:szCs w:val="18"/>
          <w:color w:val="auto"/>
        </w:rPr>
        <w:t>. The Company had an initial aggregate principal amount of $75.0 million of 3.875% Convertible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(the “2025 Notes”). Following $24.0 million of repurchases during the years ended December 31, 2020 and 2021, $51.0 million aggregate principal amount of the 2025 Notes remained outstanding at March 31, 2025.</w:t>
      </w:r>
    </w:p>
    <w:p>
      <w:pPr>
        <w:spacing w:after="0" w:line="175"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The 2025 Notes represent senior unsecured obligations of the Company and pay interest semi-annually in arrears on each April 15th and October 15th, commencing on April 15, 2020, at a rate of 3.875% per annum. After the first quarter 2025 dividend, the conversion rate is equal to 73.8112 shares of common stock for each $1,000 principal amount of 2025 Notes, which represents an adjusted conversion price of $13.55 per share of common stock.</w:t>
      </w:r>
    </w:p>
    <w:p>
      <w:pPr>
        <w:spacing w:after="0" w:line="180"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On January 15, 2025, the 2025 Notes became freely convertible at the option of each holder at any time until the close of business on the business day immediately preceding the stated maturity date. The Company elected to settle any conversions of the 2025 Notes prior to the maturity date in cash. The 2025 Notes matured on April 15, 2025; see Note 23,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for details on the April 2025 retirement of the Company’s 2025 Notes through a combination of privately negotiated exchanges for common stock and cash repayment at maturity.</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87"/>
        </w:trPr>
        <w:tc>
          <w:tcPr>
            <w:tcW w:w="2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Due Within</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Due Within</w:t>
            </w:r>
          </w:p>
        </w:tc>
      </w:tr>
      <w:tr>
        <w:trPr>
          <w:trHeight w:val="238"/>
        </w:trPr>
        <w:tc>
          <w:tcPr>
            <w:tcW w:w="28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One Year</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One Year</w:t>
            </w:r>
          </w:p>
        </w:tc>
      </w:tr>
      <w:tr>
        <w:trPr>
          <w:trHeight w:val="21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2026 Term Loan</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 Term Loan</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2028 Term Loan</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 Term Loan</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3.875% Convertible Senior Notes,</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net of Discount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50,989</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Note Payable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Financing Costs, net of</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2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602,216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51,028</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518,993</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50,989</w:t>
            </w:r>
          </w:p>
        </w:tc>
      </w:tr>
      <w:tr>
        <w:trPr>
          <w:trHeight w:val="20"/>
        </w:trPr>
        <w:tc>
          <w:tcPr>
            <w:tcW w:w="2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Payments applicable to reduction of principal amounts as of March 31, 2025 will be required as follows (in thousands):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2180" w:type="dxa"/>
            <w:vAlign w:val="bottom"/>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tcPr>
          <w:p>
            <w:pPr>
              <w:spacing w:after="0"/>
              <w:rPr>
                <w:sz w:val="20"/>
                <w:szCs w:val="20"/>
                <w:color w:val="auto"/>
              </w:rPr>
            </w:pPr>
          </w:p>
        </w:tc>
      </w:tr>
      <w:tr>
        <w:trPr>
          <w:trHeight w:val="210"/>
        </w:trPr>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4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right"/>
              <w:ind w:right="201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51,034</w:t>
            </w: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82,800</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270,000</w:t>
            </w: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 and Thereafter</w:t>
            </w:r>
          </w:p>
        </w:tc>
        <w:tc>
          <w:tcPr>
            <w:tcW w:w="2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 - Face Value</w:t>
            </w:r>
          </w:p>
        </w:tc>
        <w:tc>
          <w:tcPr>
            <w:tcW w:w="2180" w:type="dxa"/>
            <w:vAlign w:val="bottom"/>
            <w:tcBorders>
              <w:bottom w:val="single" w:sz="8" w:color="auto"/>
            </w:tcBorders>
          </w:tcPr>
          <w:p>
            <w:pPr>
              <w:jc w:val="right"/>
              <w:ind w:right="201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603,834</w:t>
            </w:r>
          </w:p>
        </w:tc>
      </w:tr>
      <w:tr>
        <w:trPr>
          <w:trHeight w:val="20"/>
        </w:trPr>
        <w:tc>
          <w:tcPr>
            <w:tcW w:w="5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26"/>
        </w:trPr>
        <w:tc>
          <w:tcPr>
            <w:tcW w:w="80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The carrying value of long-term debt as of March 31, 2025 consisted of the following (in thousands):</w:t>
            </w:r>
          </w:p>
        </w:tc>
        <w:tc>
          <w:tcPr>
            <w:tcW w:w="900" w:type="dxa"/>
            <w:vAlign w:val="bottom"/>
          </w:tcPr>
          <w:p>
            <w:pPr>
              <w:spacing w:after="0"/>
              <w:rPr>
                <w:sz w:val="24"/>
                <w:szCs w:val="24"/>
                <w:color w:val="auto"/>
              </w:rPr>
            </w:pPr>
          </w:p>
        </w:tc>
      </w:tr>
      <w:tr>
        <w:trPr>
          <w:trHeight w:val="445"/>
        </w:trPr>
        <w:tc>
          <w:tcPr>
            <w:tcW w:w="55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1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Borders>
              <w:bottom w:val="single" w:sz="8" w:color="auto"/>
            </w:tcBorders>
          </w:tcPr>
          <w:p>
            <w:pPr>
              <w:spacing w:after="0"/>
              <w:rPr>
                <w:sz w:val="24"/>
                <w:szCs w:val="24"/>
                <w:color w:val="auto"/>
              </w:rPr>
            </w:pPr>
          </w:p>
        </w:tc>
      </w:tr>
      <w:tr>
        <w:trPr>
          <w:trHeight w:val="210"/>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Face Amount</w:t>
            </w:r>
          </w:p>
        </w:tc>
        <w:tc>
          <w:tcPr>
            <w:tcW w:w="2180" w:type="dxa"/>
            <w:vAlign w:val="bottom"/>
            <w:shd w:val="clear" w:color="auto" w:fill="CCEEFF"/>
          </w:tcPr>
          <w:p>
            <w:pPr>
              <w:jc w:val="right"/>
              <w:ind w:right="201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603,834</w:t>
            </w:r>
          </w:p>
        </w:tc>
      </w:tr>
      <w:tr>
        <w:trPr>
          <w:trHeight w:val="216"/>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Unamortized Discount on Convertible Debt</w:t>
            </w:r>
          </w:p>
        </w:tc>
        <w:tc>
          <w:tcPr>
            <w:tcW w:w="2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Costs, net of Accumulated Amortization</w:t>
            </w:r>
          </w:p>
        </w:tc>
        <w:tc>
          <w:tcPr>
            <w:tcW w:w="2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r>
      <w:tr>
        <w:trPr>
          <w:trHeight w:val="209"/>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180" w:type="dxa"/>
            <w:vAlign w:val="bottom"/>
            <w:tcBorders>
              <w:bottom w:val="single" w:sz="8" w:color="auto"/>
            </w:tcBorders>
          </w:tcPr>
          <w:p>
            <w:pPr>
              <w:jc w:val="right"/>
              <w:ind w:right="201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602,216</w:t>
            </w:r>
          </w:p>
        </w:tc>
      </w:tr>
      <w:tr>
        <w:trPr>
          <w:trHeight w:val="20"/>
        </w:trPr>
        <w:tc>
          <w:tcPr>
            <w:tcW w:w="5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In addition to the $1.6 million of financing costs, net of accumulated amortization included in the table above, as of March 31, 2025, the Company also had financing costs, net of accumulated amortization related to the Credit Facility of $1.0 million which is included in other assets on the consolidated balance sheets. These costs are amortized on a straight-line basis over the term of the Credit Facility and are included in interest expense in the Company’s accompanying consolidated statements of operations.</w:t>
      </w:r>
    </w:p>
    <w:p>
      <w:pPr>
        <w:spacing w:after="0" w:line="75"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reflects a summary of interest expense incurred and paid during the three months ended March 31, 2025 and 2024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000" w:type="dxa"/>
            <w:vAlign w:val="bottom"/>
            <w:tcBorders>
              <w:bottom w:val="single" w:sz="8" w:color="auto"/>
            </w:tcBorders>
            <w:gridSpan w:val="4"/>
          </w:tcPr>
          <w:p>
            <w:pPr>
              <w:jc w:val="right"/>
              <w:ind w:right="854"/>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60" w:type="dxa"/>
            <w:vAlign w:val="bottom"/>
            <w:tcBorders>
              <w:bottom w:val="single" w:sz="8" w:color="auto"/>
            </w:tcBorders>
          </w:tcPr>
          <w:p>
            <w:pPr>
              <w:spacing w:after="0"/>
              <w:rPr>
                <w:sz w:val="20"/>
                <w:szCs w:val="20"/>
                <w:color w:val="auto"/>
              </w:rPr>
            </w:pPr>
          </w:p>
        </w:tc>
      </w:tr>
      <w:tr>
        <w:trPr>
          <w:trHeight w:val="209"/>
        </w:trPr>
        <w:tc>
          <w:tcPr>
            <w:tcW w:w="224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4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460" w:type="dxa"/>
            <w:vAlign w:val="bottom"/>
            <w:tcBorders>
              <w:bottom w:val="single" w:sz="8" w:color="auto"/>
            </w:tcBorders>
          </w:tcPr>
          <w:p>
            <w:pPr>
              <w:spacing w:after="0"/>
              <w:rPr>
                <w:sz w:val="18"/>
                <w:szCs w:val="18"/>
                <w:color w:val="auto"/>
              </w:rPr>
            </w:pPr>
          </w:p>
        </w:tc>
      </w:tr>
      <w:tr>
        <w:trPr>
          <w:trHeight w:val="21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80" w:type="dxa"/>
            <w:vAlign w:val="bottom"/>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5,769</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534"/>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5,233</w:t>
            </w:r>
          </w:p>
        </w:tc>
      </w:tr>
      <w:tr>
        <w:trPr>
          <w:trHeight w:val="230"/>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6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3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Discount on Convertible Notes</w:t>
            </w:r>
          </w:p>
        </w:tc>
        <w:tc>
          <w:tcPr>
            <w:tcW w:w="16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9"/>
        </w:trPr>
        <w:tc>
          <w:tcPr>
            <w:tcW w:w="4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168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6,136</w:t>
            </w:r>
          </w:p>
        </w:tc>
        <w:tc>
          <w:tcPr>
            <w:tcW w:w="16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right"/>
              <w:ind w:right="1534"/>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5,529</w:t>
            </w:r>
          </w:p>
        </w:tc>
      </w:tr>
      <w:tr>
        <w:trPr>
          <w:trHeight w:val="197"/>
        </w:trPr>
        <w:tc>
          <w:tcPr>
            <w:tcW w:w="22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r>
        <w:trPr>
          <w:trHeight w:val="216"/>
        </w:trPr>
        <w:tc>
          <w:tcPr>
            <w:tcW w:w="40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Total Interest Paid </w:t>
            </w:r>
            <w:r>
              <w:rPr>
                <w:rFonts w:ascii="Times New Roman" w:cs="Times New Roman" w:eastAsia="Times New Roman" w:hAnsi="Times New Roman"/>
                <w:sz w:val="25"/>
                <w:szCs w:val="25"/>
                <w:color w:val="auto"/>
                <w:vertAlign w:val="superscript"/>
              </w:rPr>
              <w:t>(1)</w:t>
            </w:r>
          </w:p>
        </w:tc>
        <w:tc>
          <w:tcPr>
            <w:tcW w:w="168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5,300</w:t>
            </w:r>
          </w:p>
        </w:tc>
        <w:tc>
          <w:tcPr>
            <w:tcW w:w="160" w:type="dxa"/>
            <w:vAlign w:val="bottom"/>
          </w:tcPr>
          <w:p>
            <w:pPr>
              <w:spacing w:after="0"/>
              <w:rPr>
                <w:sz w:val="18"/>
                <w:szCs w:val="18"/>
                <w:color w:val="auto"/>
              </w:rPr>
            </w:pPr>
          </w:p>
        </w:tc>
        <w:tc>
          <w:tcPr>
            <w:tcW w:w="1700" w:type="dxa"/>
            <w:vAlign w:val="bottom"/>
            <w:tcBorders>
              <w:bottom w:val="single" w:sz="8" w:color="auto"/>
            </w:tcBorders>
          </w:tcPr>
          <w:p>
            <w:pPr>
              <w:jc w:val="right"/>
              <w:ind w:right="1534"/>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4,751</w:t>
            </w:r>
          </w:p>
        </w:tc>
      </w:tr>
      <w:tr>
        <w:trPr>
          <w:trHeight w:val="20"/>
        </w:trPr>
        <w:tc>
          <w:tcPr>
            <w:tcW w:w="2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09"/>
        </w:trPr>
        <w:tc>
          <w:tcPr>
            <w:tcW w:w="2240" w:type="dxa"/>
            <w:vAlign w:val="bottom"/>
            <w:tcBorders>
              <w:bottom w:val="single" w:sz="8" w:color="auto"/>
            </w:tcBorders>
          </w:tcPr>
          <w:p>
            <w:pPr>
              <w:spacing w:after="0"/>
              <w:rPr>
                <w:sz w:val="9"/>
                <w:szCs w:val="9"/>
                <w:color w:val="auto"/>
              </w:rPr>
            </w:pPr>
          </w:p>
        </w:tc>
        <w:tc>
          <w:tcPr>
            <w:tcW w:w="18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460" w:type="dxa"/>
            <w:vAlign w:val="bottom"/>
          </w:tcPr>
          <w:p>
            <w:pPr>
              <w:spacing w:after="0"/>
              <w:rPr>
                <w:sz w:val="9"/>
                <w:szCs w:val="9"/>
                <w:color w:val="auto"/>
              </w:rPr>
            </w:pPr>
          </w:p>
        </w:tc>
      </w:tr>
    </w:tbl>
    <w:p>
      <w:pPr>
        <w:spacing w:after="0" w:line="53" w:lineRule="exact"/>
        <w:rPr>
          <w:sz w:val="20"/>
          <w:szCs w:val="20"/>
          <w:color w:val="auto"/>
        </w:rPr>
      </w:pPr>
    </w:p>
    <w:p>
      <w:pPr>
        <w:ind w:left="380" w:hanging="330"/>
        <w:spacing w:after="0"/>
        <w:tabs>
          <w:tab w:leader="none" w:pos="38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of capitalized interest of $0.1 million during the three months ended March 31, 2024, with no interest being capitalized during the three months ended March 31, 2025.</w:t>
      </w:r>
    </w:p>
    <w:p>
      <w:pPr>
        <w:spacing w:after="0" w:line="1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was in compliance with all of its debt covenants as of March 31,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16. INTEREST RATE SWAPS</w:t>
      </w:r>
    </w:p>
    <w:p>
      <w:pPr>
        <w:spacing w:after="0" w:line="216"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The Company has entered into interest rate swap agreements to hedge against changes in future cash flows resulting from fluctuating interest rates related to the below noted borrowings. The interest rate agreements were 100% effective during the three months ended March 31, 2025 and 2024. Accordingly, the changes in fair value on the interest rate swaps have been classified in accumulated other comprehensive income. The fair value of the interest rate swap agreements are included in other assets and accrued and other liabilities, respectively, on the consolidated balance sheets. Information related to the Company’s interest rate swap agreements as of March 31, 2025 is presented below (in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1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Hedged Item </w:t>
            </w:r>
            <w:r>
              <w:rPr>
                <w:rFonts w:ascii="Times New Roman" w:cs="Times New Roman" w:eastAsia="Times New Roman" w:hAnsi="Times New Roman"/>
                <w:sz w:val="24"/>
                <w:szCs w:val="24"/>
                <w:b w:val="1"/>
                <w:bCs w:val="1"/>
                <w:color w:val="auto"/>
                <w:vertAlign w:val="superscript"/>
              </w:rPr>
              <w:t>(1)</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Effective</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2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Fair Value as of</w:t>
            </w:r>
          </w:p>
        </w:tc>
        <w:tc>
          <w:tcPr>
            <w:tcW w:w="0" w:type="dxa"/>
            <w:vAlign w:val="bottom"/>
          </w:tcPr>
          <w:p>
            <w:pPr>
              <w:spacing w:after="0"/>
              <w:rPr>
                <w:sz w:val="1"/>
                <w:szCs w:val="1"/>
                <w:color w:val="auto"/>
              </w:rPr>
            </w:pPr>
          </w:p>
        </w:tc>
      </w:tr>
      <w:tr>
        <w:trPr>
          <w:trHeight w:val="218"/>
        </w:trPr>
        <w:tc>
          <w:tcPr>
            <w:tcW w:w="1840" w:type="dxa"/>
            <w:vAlign w:val="bottom"/>
            <w:gridSpan w:val="3"/>
            <w:vMerge w:val="continue"/>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4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3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0" w:type="dxa"/>
            <w:vAlign w:val="bottom"/>
          </w:tcPr>
          <w:p>
            <w:pPr>
              <w:spacing w:after="0"/>
              <w:rPr>
                <w:sz w:val="1"/>
                <w:szCs w:val="1"/>
                <w:color w:val="auto"/>
              </w:rPr>
            </w:pPr>
          </w:p>
        </w:tc>
      </w:tr>
      <w:tr>
        <w:trPr>
          <w:trHeight w:val="196"/>
        </w:trPr>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2026</w:t>
            </w:r>
          </w:p>
        </w:tc>
        <w:tc>
          <w:tcPr>
            <w:tcW w:w="1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3/29/2024</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3/10/2026</w:t>
            </w:r>
          </w:p>
        </w:tc>
        <w:tc>
          <w:tcPr>
            <w:tcW w:w="14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1.44% + 0.10% + applicable spread</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0" w:type="dxa"/>
            <w:vAlign w:val="bottom"/>
          </w:tcPr>
          <w:p>
            <w:pPr>
              <w:spacing w:after="0"/>
              <w:rPr>
                <w:sz w:val="1"/>
                <w:szCs w:val="1"/>
                <w:color w:val="auto"/>
              </w:rPr>
            </w:pPr>
          </w:p>
        </w:tc>
      </w:tr>
      <w:tr>
        <w:trPr>
          <w:trHeight w:val="203"/>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2026</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8/31/2021</w:t>
            </w: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3/10/2026</w:t>
            </w:r>
          </w:p>
        </w:tc>
        <w:tc>
          <w:tcPr>
            <w:tcW w:w="140" w:type="dxa"/>
            <w:vAlign w:val="bottom"/>
          </w:tcPr>
          <w:p>
            <w:pPr>
              <w:spacing w:after="0"/>
              <w:rPr>
                <w:sz w:val="17"/>
                <w:szCs w:val="17"/>
                <w:color w:val="auto"/>
              </w:rPr>
            </w:pPr>
          </w:p>
        </w:tc>
        <w:tc>
          <w:tcPr>
            <w:tcW w:w="25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0.70% + 0.10% + applicable spread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2026</w:t>
            </w:r>
          </w:p>
        </w:tc>
        <w:tc>
          <w:tcPr>
            <w:tcW w:w="14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3"/>
                <w:szCs w:val="23"/>
                <w:color w:val="auto"/>
                <w:vertAlign w:val="superscript"/>
              </w:rPr>
              <w:t>(2)</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3/10/2026</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3/10/2031</w:t>
            </w:r>
          </w:p>
        </w:tc>
        <w:tc>
          <w:tcPr>
            <w:tcW w:w="14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3.80% + 0.10% + applicable spread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0" w:type="dxa"/>
            <w:vAlign w:val="bottom"/>
          </w:tcPr>
          <w:p>
            <w:pPr>
              <w:spacing w:after="0"/>
              <w:rPr>
                <w:sz w:val="1"/>
                <w:szCs w:val="1"/>
                <w:color w:val="auto"/>
              </w:rPr>
            </w:pPr>
          </w:p>
        </w:tc>
      </w:tr>
      <w:tr>
        <w:trPr>
          <w:trHeight w:val="203"/>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2027</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3/29/2024</w:t>
            </w: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1/31/2027</w:t>
            </w:r>
          </w:p>
        </w:tc>
        <w:tc>
          <w:tcPr>
            <w:tcW w:w="140" w:type="dxa"/>
            <w:vAlign w:val="bottom"/>
          </w:tcPr>
          <w:p>
            <w:pPr>
              <w:spacing w:after="0"/>
              <w:rPr>
                <w:sz w:val="17"/>
                <w:szCs w:val="17"/>
                <w:color w:val="auto"/>
              </w:rPr>
            </w:pPr>
          </w:p>
        </w:tc>
        <w:tc>
          <w:tcPr>
            <w:tcW w:w="25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1.35% + 0.10% + applicable spread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4,186</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2027</w:t>
            </w:r>
          </w:p>
        </w:tc>
        <w:tc>
          <w:tcPr>
            <w:tcW w:w="14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3"/>
                <w:szCs w:val="23"/>
                <w:color w:val="auto"/>
                <w:vertAlign w:val="superscript"/>
              </w:rPr>
              <w:t>(2)</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1/31/2027</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1/30/2032</w:t>
            </w:r>
          </w:p>
        </w:tc>
        <w:tc>
          <w:tcPr>
            <w:tcW w:w="14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3.75% + 0.10% + applicable spread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0" w:type="dxa"/>
            <w:vAlign w:val="bottom"/>
          </w:tcPr>
          <w:p>
            <w:pPr>
              <w:spacing w:after="0"/>
              <w:rPr>
                <w:sz w:val="1"/>
                <w:szCs w:val="1"/>
                <w:color w:val="auto"/>
              </w:rPr>
            </w:pPr>
          </w:p>
        </w:tc>
      </w:tr>
      <w:tr>
        <w:trPr>
          <w:trHeight w:val="203"/>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2028</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9/30/2022</w:t>
            </w: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1/31/2028</w:t>
            </w:r>
          </w:p>
        </w:tc>
        <w:tc>
          <w:tcPr>
            <w:tcW w:w="140" w:type="dxa"/>
            <w:vAlign w:val="bottom"/>
          </w:tcPr>
          <w:p>
            <w:pPr>
              <w:spacing w:after="0"/>
              <w:rPr>
                <w:sz w:val="17"/>
                <w:szCs w:val="17"/>
                <w:color w:val="auto"/>
              </w:rPr>
            </w:pPr>
          </w:p>
        </w:tc>
        <w:tc>
          <w:tcPr>
            <w:tcW w:w="25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3.78% + 0.10% + applicable spread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2028</w:t>
            </w:r>
          </w:p>
        </w:tc>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9/30/2022</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1/31/2028</w:t>
            </w:r>
          </w:p>
        </w:tc>
        <w:tc>
          <w:tcPr>
            <w:tcW w:w="14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3.78% + 0.10% + applicable spread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203"/>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2028</w:t>
            </w:r>
          </w:p>
        </w:tc>
        <w:tc>
          <w:tcPr>
            <w:tcW w:w="14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3"/>
                <w:szCs w:val="23"/>
                <w:color w:val="auto"/>
                <w:vertAlign w:val="superscript"/>
              </w:rPr>
              <w:t>(2)</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1/31/2028</w:t>
            </w: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1/31/2033</w:t>
            </w:r>
          </w:p>
        </w:tc>
        <w:tc>
          <w:tcPr>
            <w:tcW w:w="140" w:type="dxa"/>
            <w:vAlign w:val="bottom"/>
          </w:tcPr>
          <w:p>
            <w:pPr>
              <w:spacing w:after="0"/>
              <w:rPr>
                <w:sz w:val="17"/>
                <w:szCs w:val="17"/>
                <w:color w:val="auto"/>
              </w:rPr>
            </w:pPr>
          </w:p>
        </w:tc>
        <w:tc>
          <w:tcPr>
            <w:tcW w:w="25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3.81% + 0.10% + applicable spread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2029</w:t>
            </w:r>
          </w:p>
        </w:tc>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1/31/2023</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1/31/2030</w:t>
            </w:r>
          </w:p>
        </w:tc>
        <w:tc>
          <w:tcPr>
            <w:tcW w:w="14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3.27% + 0.10% + applicable spread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203"/>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2029</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1/31/2023</w:t>
            </w: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1/31/2030</w:t>
            </w:r>
          </w:p>
        </w:tc>
        <w:tc>
          <w:tcPr>
            <w:tcW w:w="140" w:type="dxa"/>
            <w:vAlign w:val="bottom"/>
          </w:tcPr>
          <w:p>
            <w:pPr>
              <w:spacing w:after="0"/>
              <w:rPr>
                <w:sz w:val="17"/>
                <w:szCs w:val="17"/>
                <w:color w:val="auto"/>
              </w:rPr>
            </w:pPr>
          </w:p>
        </w:tc>
        <w:tc>
          <w:tcPr>
            <w:tcW w:w="25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3.26% + 0.10% + applicable spread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33,000</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2029</w:t>
            </w:r>
          </w:p>
        </w:tc>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1/31/2023</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1/31/2030</w:t>
            </w:r>
          </w:p>
        </w:tc>
        <w:tc>
          <w:tcPr>
            <w:tcW w:w="14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3.36% + 0.10% + applicable spread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10"/>
        </w:trPr>
        <w:tc>
          <w:tcPr>
            <w:tcW w:w="18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Credit Facility</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2/1/2024</w:t>
            </w:r>
          </w:p>
        </w:tc>
        <w:tc>
          <w:tcPr>
            <w:tcW w:w="1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1/31/2028</w:t>
            </w:r>
          </w:p>
        </w:tc>
        <w:tc>
          <w:tcPr>
            <w:tcW w:w="140" w:type="dxa"/>
            <w:vAlign w:val="bottom"/>
          </w:tcPr>
          <w:p>
            <w:pPr>
              <w:spacing w:after="0"/>
              <w:rPr>
                <w:sz w:val="18"/>
                <w:szCs w:val="18"/>
                <w:color w:val="auto"/>
              </w:rPr>
            </w:pPr>
          </w:p>
        </w:tc>
        <w:tc>
          <w:tcPr>
            <w:tcW w:w="25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3.85% + 0.10% + applicable spread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63500</wp:posOffset>
            </wp:positionV>
            <wp:extent cx="141414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54" w:lineRule="exact"/>
        <w:rPr>
          <w:sz w:val="20"/>
          <w:szCs w:val="20"/>
          <w:color w:val="auto"/>
        </w:rPr>
      </w:pPr>
    </w:p>
    <w:p>
      <w:pPr>
        <w:ind w:left="380" w:hanging="330"/>
        <w:spacing w:after="0"/>
        <w:tabs>
          <w:tab w:leader="none" w:pos="380"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Effective September 30, 2022, the Company converted its existing interest rate swaps from 1-month LIBOR to SOFR.</w:t>
      </w:r>
    </w:p>
    <w:p>
      <w:pPr>
        <w:ind w:left="380" w:right="79" w:hanging="330"/>
        <w:spacing w:after="0" w:line="180" w:lineRule="auto"/>
        <w:tabs>
          <w:tab w:leader="none" w:pos="38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Company entered into forward swaps to further fix interest rates through periods that the Company reasonably expects to extend its current term loans.</w:t>
      </w:r>
    </w:p>
    <w:p>
      <w:pPr>
        <w:spacing w:after="0" w:line="18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Subsequent to March 31, 2025, on April 3, 2025 and April 4, 2025, the Company entered into two interest rate swaps to fix SOFR and achieve a fixed weighted average interest rate of 3.32% plus the SOFR adjustment of 0.10% and the applicable spread on an aggregate of $100.0 million of the outstanding balance on the Company’s Revolving Credit Facility. The swaps are effective April 30, 2025.</w:t>
      </w:r>
    </w:p>
    <w:p>
      <w:pPr>
        <w:spacing w:after="0" w:line="166"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The use of interest rate swap agreements carries risks, including the risk that the counterparties to these agreements are not able to perform. To mitigate this risk, the Company enters into interest rate swap agreements with counterparties with high credit ratings and with major financial institutions with which the Company and its affiliates may also have other financial relationships. The Company does not currently anticipate that any of the counterparties to the Company’s interest rate swap agreements will fail to meet their obligations. As of March 31, 2025, there were no events of default related to the Company’s interest rate swap agreements.</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NOTE 17. ACCRUED AND OTHER LIABILITIES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60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Accrued and other liabilities consisted of the following (in thousands):</w:t>
            </w:r>
          </w:p>
        </w:tc>
        <w:tc>
          <w:tcPr>
            <w:tcW w:w="180" w:type="dxa"/>
            <w:vAlign w:val="bottom"/>
          </w:tcPr>
          <w:p>
            <w:pPr>
              <w:spacing w:after="0"/>
              <w:rPr>
                <w:sz w:val="24"/>
                <w:szCs w:val="24"/>
                <w:color w:val="auto"/>
              </w:rPr>
            </w:pPr>
          </w:p>
        </w:tc>
        <w:tc>
          <w:tcPr>
            <w:tcW w:w="14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vMerge w:val="continue"/>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6"/>
                <w:szCs w:val="16"/>
                <w:color w:val="auto"/>
              </w:rPr>
            </w:pPr>
          </w:p>
        </w:tc>
        <w:tc>
          <w:tcPr>
            <w:tcW w:w="120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tcPr>
          <w:p>
            <w:pPr>
              <w:spacing w:after="0"/>
              <w:rPr>
                <w:sz w:val="20"/>
                <w:szCs w:val="20"/>
                <w:color w:val="auto"/>
              </w:rPr>
            </w:pPr>
          </w:p>
        </w:tc>
        <w:tc>
          <w:tcPr>
            <w:tcW w:w="4000" w:type="dxa"/>
            <w:vAlign w:val="bottom"/>
            <w:tcBorders>
              <w:bottom w:val="single" w:sz="8" w:color="CCEEFF"/>
            </w:tcBorders>
          </w:tcPr>
          <w:p>
            <w:pPr>
              <w:spacing w:after="0"/>
              <w:rPr>
                <w:sz w:val="20"/>
                <w:szCs w:val="20"/>
                <w:color w:val="auto"/>
              </w:rPr>
            </w:pPr>
          </w:p>
        </w:tc>
        <w:tc>
          <w:tcPr>
            <w:tcW w:w="20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6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Property Taxes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0" w:type="dxa"/>
            <w:vAlign w:val="bottom"/>
          </w:tcPr>
          <w:p>
            <w:pPr>
              <w:spacing w:after="0"/>
              <w:rPr>
                <w:sz w:val="1"/>
                <w:szCs w:val="1"/>
                <w:color w:val="auto"/>
              </w:rPr>
            </w:pPr>
          </w:p>
        </w:tc>
      </w:tr>
      <w:tr>
        <w:trPr>
          <w:trHeight w:val="216"/>
        </w:trPr>
        <w:tc>
          <w:tcPr>
            <w:tcW w:w="6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Reserve for Tenant Improvements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Security Deposits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0" w:type="dxa"/>
            <w:vAlign w:val="bottom"/>
          </w:tcPr>
          <w:p>
            <w:pPr>
              <w:spacing w:after="0"/>
              <w:rPr>
                <w:sz w:val="1"/>
                <w:szCs w:val="1"/>
                <w:color w:val="auto"/>
              </w:rPr>
            </w:pPr>
          </w:p>
        </w:tc>
      </w:tr>
      <w:tr>
        <w:trPr>
          <w:trHeight w:val="216"/>
        </w:trPr>
        <w:tc>
          <w:tcPr>
            <w:tcW w:w="6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Construction Costs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16"/>
        </w:trPr>
        <w:tc>
          <w:tcPr>
            <w:tcW w:w="6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Environmental Reserve</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Hedge - Interest Rate Swaps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Leases - Liability</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Other Reserves from Commercial Loans and Investments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6,652</w:t>
            </w:r>
          </w:p>
        </w:tc>
        <w:tc>
          <w:tcPr>
            <w:tcW w:w="0" w:type="dxa"/>
            <w:vAlign w:val="bottom"/>
          </w:tcPr>
          <w:p>
            <w:pPr>
              <w:spacing w:after="0"/>
              <w:rPr>
                <w:sz w:val="1"/>
                <w:szCs w:val="1"/>
                <w:color w:val="auto"/>
              </w:rPr>
            </w:pPr>
          </w:p>
        </w:tc>
      </w:tr>
      <w:tr>
        <w:trPr>
          <w:trHeight w:val="210"/>
        </w:trPr>
        <w:tc>
          <w:tcPr>
            <w:tcW w:w="60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and Other Liabilities</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19,996</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Reserve for Tenant Improvements. </w:t>
      </w:r>
      <w:r>
        <w:rPr>
          <w:rFonts w:ascii="Times New Roman" w:cs="Times New Roman" w:eastAsia="Times New Roman" w:hAnsi="Times New Roman"/>
          <w:sz w:val="18"/>
          <w:szCs w:val="18"/>
          <w:color w:val="auto"/>
        </w:rPr>
        <w:t>In connection with recent acquisitions, the Company received an aggregate of $2.6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from the sellers of certain properties for tenant improvement allowances, leasing commissions and other capital improvements. These amounts are included in accrued and other liabilities on the consolidated balance sheets. Through March 31, 2025, payments totaling $1.0 million were made leaving a remaining reserve for tenant improvements of $1.6 million.</w:t>
      </w:r>
    </w:p>
    <w:p>
      <w:pPr>
        <w:spacing w:after="0" w:line="183"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Construction and Other Reserves from Commercial Loans and Investments</w:t>
      </w:r>
      <w:r>
        <w:rPr>
          <w:rFonts w:ascii="Times New Roman" w:cs="Times New Roman" w:eastAsia="Times New Roman" w:hAnsi="Times New Roman"/>
          <w:sz w:val="18"/>
          <w:szCs w:val="18"/>
          <w:color w:val="auto"/>
        </w:rPr>
        <w:t>. In connection with certain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commercial loan investments, the borrower has deposited real estate tax and/or construction reserves in accounts held by the Company. Those accounts balances are included in restricted cash on the Company’s consolidated balance sheets with the corresponding liability recorded in accrued and other liabilities as seen above.</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NOTE 18. DEFERRED REVENUE</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Deferred revenue consisted of the following (in thousands):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8"/>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260" w:type="dxa"/>
            <w:vAlign w:val="bottom"/>
            <w:tcBorders>
              <w:bottom w:val="single" w:sz="8" w:color="auto"/>
            </w:tcBorders>
          </w:tcPr>
          <w:p>
            <w:pPr>
              <w:spacing w:after="0"/>
              <w:rPr>
                <w:sz w:val="24"/>
                <w:szCs w:val="24"/>
                <w:color w:val="auto"/>
              </w:rPr>
            </w:pPr>
          </w:p>
        </w:tc>
      </w:tr>
      <w:tr>
        <w:trPr>
          <w:trHeight w:val="187"/>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20" w:type="dxa"/>
            <w:vAlign w:val="bottom"/>
            <w:tcBorders>
              <w:bottom w:val="single" w:sz="8" w:color="CCEEFF"/>
            </w:tcBorders>
          </w:tcPr>
          <w:p>
            <w:pPr>
              <w:spacing w:after="0"/>
              <w:rPr>
                <w:sz w:val="20"/>
                <w:szCs w:val="20"/>
                <w:color w:val="auto"/>
              </w:rPr>
            </w:pPr>
          </w:p>
        </w:tc>
        <w:tc>
          <w:tcPr>
            <w:tcW w:w="2720" w:type="dxa"/>
            <w:vAlign w:val="bottom"/>
            <w:tcBorders>
              <w:bottom w:val="single" w:sz="8" w:color="CCEEFF"/>
            </w:tcBorders>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5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Rent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r>
      <w:tr>
        <w:trPr>
          <w:trHeight w:val="216"/>
        </w:trPr>
        <w:tc>
          <w:tcPr>
            <w:tcW w:w="5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Reserve from Commercial Loans and Investments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6,067</w:t>
            </w:r>
          </w:p>
        </w:tc>
      </w:tr>
      <w:tr>
        <w:trPr>
          <w:trHeight w:val="216"/>
        </w:trPr>
        <w:tc>
          <w:tcPr>
            <w:tcW w:w="5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Contributions</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10"/>
        </w:trPr>
        <w:tc>
          <w:tcPr>
            <w:tcW w:w="5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Deferred Revenue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8,699</w:t>
            </w:r>
          </w:p>
        </w:tc>
        <w:tc>
          <w:tcPr>
            <w:tcW w:w="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10,183</w:t>
            </w: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left="60" w:right="59"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Interest Reserve from Commercial Loans and Investments</w:t>
      </w:r>
      <w:r>
        <w:rPr>
          <w:rFonts w:ascii="Times New Roman" w:cs="Times New Roman" w:eastAsia="Times New Roman" w:hAnsi="Times New Roman"/>
          <w:sz w:val="18"/>
          <w:szCs w:val="18"/>
          <w:color w:val="auto"/>
        </w:rPr>
        <w:t>. In connection with certain of the Company’s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investments, the borrower has deposited interest reserves in accounts held by the Company. Those accounts balances are included in restricted cash on the Company’s consolidated balance sheets with the corresponding liability recorded in deferred revenue as seen above. Pursuant to each respective agreement, interest reserves are either (i) utilized to fund the monthly interest due on the loan or (ii) maintained throughout the term of the loan.</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19. STOCK-BASED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OF STOCK-BASED COMPENSATION</w:t>
      </w:r>
    </w:p>
    <w:p>
      <w:pPr>
        <w:spacing w:after="0" w:line="229" w:lineRule="exact"/>
        <w:rPr>
          <w:sz w:val="20"/>
          <w:szCs w:val="20"/>
          <w:color w:val="auto"/>
        </w:rPr>
      </w:pPr>
    </w:p>
    <w:p>
      <w:pPr>
        <w:jc w:val="both"/>
        <w:ind w:left="60" w:right="79" w:firstLine="486"/>
        <w:spacing w:after="0" w:line="282" w:lineRule="auto"/>
        <w:rPr>
          <w:sz w:val="20"/>
          <w:szCs w:val="20"/>
          <w:color w:val="auto"/>
        </w:rPr>
      </w:pPr>
      <w:r>
        <w:rPr>
          <w:rFonts w:ascii="Times New Roman" w:cs="Times New Roman" w:eastAsia="Times New Roman" w:hAnsi="Times New Roman"/>
          <w:sz w:val="18"/>
          <w:szCs w:val="18"/>
          <w:color w:val="auto"/>
        </w:rPr>
        <w:t>A summary of share activity for all equity classified stock compensation during the three months ended March 31, 2025 is presented below.</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Vested /</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r>
      <w:tr>
        <w:trPr>
          <w:trHeight w:val="203"/>
        </w:trPr>
        <w:tc>
          <w:tcPr>
            <w:tcW w:w="3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Exercised</w:t>
            </w: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Expired</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Forfeited</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r>
      <w:tr>
        <w:trPr>
          <w:trHeight w:val="215"/>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Type of Award</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at 1/1/2025</w:t>
            </w: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at 3/31/2025</w:t>
            </w:r>
          </w:p>
        </w:tc>
      </w:tr>
      <w:tr>
        <w:trPr>
          <w:trHeight w:val="185"/>
        </w:trPr>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Classified - Performance Share Awards -</w:t>
            </w: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r>
      <w:tr>
        <w:trPr>
          <w:trHeight w:val="21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Peer Group Market Condition Vesting</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208,003</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110,270</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(55,386)</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262,887</w:t>
            </w:r>
          </w:p>
        </w:tc>
      </w:tr>
      <w:tr>
        <w:trPr>
          <w:trHeight w:val="18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 Classified - Three Year Vest Restricted</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3"/>
        </w:trPr>
        <w:tc>
          <w:tcPr>
            <w:tcW w:w="3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Shares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197,794</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117,739</w:t>
            </w:r>
          </w:p>
        </w:tc>
        <w:tc>
          <w:tcPr>
            <w:tcW w:w="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(73,009)</w:t>
            </w:r>
          </w:p>
        </w:tc>
        <w:tc>
          <w:tcPr>
            <w:tcW w:w="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242,252</w:t>
            </w:r>
          </w:p>
        </w:tc>
      </w:tr>
      <w:tr>
        <w:trPr>
          <w:trHeight w:val="223"/>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Shares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405,797</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228,009</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(128,395)</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(272)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505,139</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Amounts recognized in the financial statements for stock-based compensation are as follows (in thousands):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Share-Based Plans Charged Against Income</w:t>
            </w:r>
          </w:p>
        </w:tc>
        <w:tc>
          <w:tcPr>
            <w:tcW w:w="16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60" w:type="dxa"/>
            <w:vAlign w:val="bottom"/>
            <w:vMerge w:val="restart"/>
          </w:tcPr>
          <w:p>
            <w:pPr>
              <w:jc w:val="right"/>
              <w:ind w:right="131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28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2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EQUITY-CLASSIFIED STOCK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Awards – Peer Group Market Condition Vesting</w:t>
      </w:r>
    </w:p>
    <w:p>
      <w:pPr>
        <w:spacing w:after="0" w:line="121"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Performance shares have been granted to certain employees under the 2010 Plan. The performance share awards entitle the recipient to receive, upon the vesting thereof, shares of common stock of the Company equal to between 0% and 150% of the number of performance shares awarded. The number of shares of common stock ultimately received by the award recipient is determined based on the Company’s total stockholder return as compared to the total stockholder return of a certain peer group during a three-year performance period. The Company granted a total of 110,270 performance shares during the three months ended March 31, 2025.</w:t>
      </w:r>
    </w:p>
    <w:p>
      <w:pPr>
        <w:spacing w:after="0" w:line="187"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The Company used a Monte Carlo simulation pricing model to determine the fair value of its awards that are based on market conditions. The determination of the fair value of market condition-based awards is affected by the Company’s stock price as well as assumptions regarding a number of other variables. These variables include expected stock price volatility over the requisite performance term of the awards, the relative performance of the Company’s stock price and stockholder returns to companies in its peer group, annual dividends, and a risk-free interest rate assumption. Compensation cost is recognized regardless of the achievement of the market conditions, provided the requisite service period is met.</w:t>
      </w:r>
    </w:p>
    <w:p>
      <w:pPr>
        <w:spacing w:after="0" w:line="189" w:lineRule="exact"/>
        <w:rPr>
          <w:sz w:val="20"/>
          <w:szCs w:val="20"/>
          <w:color w:val="auto"/>
        </w:rPr>
      </w:pPr>
    </w:p>
    <w:p>
      <w:pPr>
        <w:jc w:val="both"/>
        <w:ind w:left="60" w:right="79" w:firstLine="441"/>
        <w:spacing w:after="0" w:line="266" w:lineRule="auto"/>
        <w:rPr>
          <w:sz w:val="20"/>
          <w:szCs w:val="20"/>
          <w:color w:val="auto"/>
        </w:rPr>
      </w:pPr>
      <w:r>
        <w:rPr>
          <w:rFonts w:ascii="Times New Roman" w:cs="Times New Roman" w:eastAsia="Times New Roman" w:hAnsi="Times New Roman"/>
          <w:sz w:val="18"/>
          <w:szCs w:val="18"/>
          <w:color w:val="auto"/>
        </w:rPr>
        <w:t>As of March 31, 2025, there was $3.5 million of unrecognized compensation cost, adjusted for estimated forfeitures, related to the non-vested performance share awards, which will be recognized over a remaining weighted average period of 2.2 years.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activity for these awards during the three months ended March 31, 2025 is presented below:</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Wtd. Avg. Fair</w:t>
            </w:r>
          </w:p>
        </w:tc>
      </w:tr>
      <w:tr>
        <w:trPr>
          <w:trHeight w:val="238"/>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 Shares With Market Conditions</w:t>
            </w: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r>
      <w:tr>
        <w:trPr>
          <w:trHeight w:val="210"/>
        </w:trPr>
        <w:tc>
          <w:tcPr>
            <w:tcW w:w="5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2025</w:t>
            </w:r>
          </w:p>
        </w:tc>
        <w:tc>
          <w:tcPr>
            <w:tcW w:w="1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208,003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r>
      <w:tr>
        <w:trPr>
          <w:trHeight w:val="216"/>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110,270</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r>
      <w:tr>
        <w:trPr>
          <w:trHeight w:val="216"/>
        </w:trPr>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(55,386)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r>
      <w:tr>
        <w:trPr>
          <w:trHeight w:val="216"/>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Non-Vested at March 31, 2025</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262,887</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w:t>
            </w:r>
          </w:p>
        </w:tc>
      </w:tr>
      <w:tr>
        <w:trPr>
          <w:trHeight w:val="20"/>
        </w:trPr>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Shares</w:t>
      </w:r>
    </w:p>
    <w:p>
      <w:pPr>
        <w:spacing w:after="0" w:line="216"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Restricted shares have been granted to certain employees under the 2010 Plan. Certain of the restricted shares vest on each of the first, second, and third anniversaries of January 28 of the applicable year provided the grantee is an employee of the Company on those dates. Certain other restricted share awards, granted on July 1, 2022, vest entirely on the third anniversary of the grant date, or July 1, 2025, provided the grantee is an employee of the Company on that date. In addition, any unvested portion of the restricted shares will vest upon a change in control. The Company granted a total of 117,739 shares of restricted Company common stock during the three months ended March 31, 2025.</w:t>
      </w:r>
    </w:p>
    <w:p>
      <w:pPr>
        <w:spacing w:after="0" w:line="187" w:lineRule="exact"/>
        <w:rPr>
          <w:sz w:val="20"/>
          <w:szCs w:val="20"/>
          <w:color w:val="auto"/>
        </w:rPr>
      </w:pPr>
    </w:p>
    <w:p>
      <w:pPr>
        <w:jc w:val="both"/>
        <w:ind w:left="60" w:right="59" w:firstLine="492"/>
        <w:spacing w:after="0" w:line="266" w:lineRule="auto"/>
        <w:rPr>
          <w:sz w:val="20"/>
          <w:szCs w:val="20"/>
          <w:color w:val="auto"/>
        </w:rPr>
      </w:pPr>
      <w:r>
        <w:rPr>
          <w:rFonts w:ascii="Times New Roman" w:cs="Times New Roman" w:eastAsia="Times New Roman" w:hAnsi="Times New Roman"/>
          <w:sz w:val="18"/>
          <w:szCs w:val="18"/>
          <w:color w:val="auto"/>
        </w:rPr>
        <w:t>The Company’s determination of the fair value of the restricted stock awards was calculated by multiplying the number of shares issued by the Company’s stock price at the grant date. Compensation cost is recognized on a straight-line basis over the applicable vesting period.</w:t>
      </w:r>
    </w:p>
    <w:p>
      <w:pPr>
        <w:spacing w:after="0" w:line="176"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As of March 31, 2025, there was $3.6 million of unrecognized compensation cost, adjusted for estimated forfeitures, related to the non-vested restricted share awards, which will be recognized over a remaining weighted average period of 2.3 years.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activity for these awards during the three months ended March 31, 2025 is presented below:</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Wtd. Avg. Fair</w:t>
            </w:r>
          </w:p>
        </w:tc>
      </w:tr>
      <w:tr>
        <w:trPr>
          <w:trHeight w:val="238"/>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Restricted Shares</w:t>
            </w: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r>
      <w:tr>
        <w:trPr>
          <w:trHeight w:val="209"/>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2025</w:t>
            </w:r>
          </w:p>
        </w:tc>
        <w:tc>
          <w:tcPr>
            <w:tcW w:w="2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197,794</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r>
      <w:tr>
        <w:trPr>
          <w:trHeight w:val="216"/>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117,739</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r>
      <w:tr>
        <w:trPr>
          <w:trHeight w:val="216"/>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(73,009)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r>
      <w:tr>
        <w:trPr>
          <w:trHeight w:val="216"/>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r>
      <w:tr>
        <w:trPr>
          <w:trHeight w:val="209"/>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Non-Vested at March 31, 2025</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242,252</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w:t>
            </w:r>
          </w:p>
        </w:tc>
      </w:tr>
      <w:tr>
        <w:trPr>
          <w:trHeight w:val="20"/>
        </w:trPr>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NON-EMPLOYEE DIRECTOR STOCK COMPENSATION</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Each member of the Company’s Board of Directors has the option to receive his or her annual cash retainer and applicable committee retainers in shares of Company common stock rather than cash. The number of shares awarded to the directors making such election is calculated quarterly by dividing (i) the sum of (A) the amount of the quarterly retainer payment due to such director, by (ii) the trailing 20-day average price of the Company’s common stock as of the last day of the quarter, rounded down to the nearest whole number of shares.</w:t>
      </w:r>
    </w:p>
    <w:p>
      <w:pPr>
        <w:spacing w:after="0" w:line="183"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Each non-employee director serving as of the beginning of each calendar year shall receive an annual award of the Company’s common stock. The value of such award totaled $62,500 for each of the three months ended March 31, 2025 and 2024 (the “Annual Award”). The number of shares awarded is calculated based on the trailing 20-day average price of the Company’s common stock as of the date two business days prior to the date of the award, rounded down to the nearest whole number of shares.</w:t>
      </w:r>
    </w:p>
    <w:p>
      <w:pPr>
        <w:spacing w:after="0" w:line="210"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and 2024, the expense recognized for the value of the Company’s common stock received by non-employee directors totaled $0.4 million, or 20,605 shares, and $0.4 million, or 23,961 shares, respectively. The expense recognized includes the Annual Award received during the first quarter of each respective year, which totaled $0.3 million during each of the three months ended March 31, 2025 and 2024.</w:t>
      </w: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20. INCOME TAXES</w:t>
      </w:r>
    </w:p>
    <w:p>
      <w:pPr>
        <w:spacing w:after="0" w:line="270" w:lineRule="exact"/>
        <w:rPr>
          <w:sz w:val="20"/>
          <w:szCs w:val="20"/>
          <w:color w:val="auto"/>
        </w:rPr>
      </w:pPr>
    </w:p>
    <w:p>
      <w:pPr>
        <w:jc w:val="both"/>
        <w:ind w:left="60" w:right="59" w:firstLine="441"/>
        <w:spacing w:after="0" w:line="252" w:lineRule="auto"/>
        <w:rPr>
          <w:sz w:val="20"/>
          <w:szCs w:val="20"/>
          <w:color w:val="auto"/>
        </w:rPr>
      </w:pPr>
      <w:r>
        <w:rPr>
          <w:rFonts w:ascii="Times New Roman" w:cs="Times New Roman" w:eastAsia="Times New Roman" w:hAnsi="Times New Roman"/>
          <w:sz w:val="18"/>
          <w:szCs w:val="18"/>
          <w:color w:val="auto"/>
        </w:rPr>
        <w:t>The Company elected to be taxed as a REIT for U.S. federal income tax purposes, commencing with its taxable year ended December 31, 2020.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 the Company holds certain of its non-REIT assets and operations through TRSs and subsidiaries of TRSs, which are subject to applicable U.S. federal, state and local corporate income tax on their taxable income. As of January 1, 2024, the Company owns one TRS, which is subject to federal and applicable state income taxation. The TRS is required to file a separate corporate income tax return.</w:t>
      </w:r>
    </w:p>
    <w:p>
      <w:pPr>
        <w:spacing w:after="0" w:line="223"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As a result of the Company’s election to be taxed as a REIT, during the year ended December 31, 2020, an $82.5 million deferred tax benefit was recorded to de-recognize the deferred tax assets and liabilities associated with the entities included in the REIT. A significant portion of the deferred tax benefit recognized related to the de-recognition of deferred tax liabilities resulting from Internal Revenue Code Section 1031 like-kind exchanges (“1031 Exchanges”). The Company will be subject to corporate income taxes related to assets held by it that are sold during the 5-year period following the date of conversion to the extent such sold assets had a built-in gain as of January 1, 2020. The Company has disposed of certain, primarily single-tenant REIT assets after the REIT conversion within the 5-year period. All such sales were completed using 1031 Exchanges or other deferred tax structures to mitigate the built-in gain tax liability of conversion.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21. COMMITMENTS AND CONTINGENCIES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a party to certain legal proceedings, incidental to the normal course of its business. While the outcome of the legal proceedings cannot be predicted with certainty, the Company does not expect that these proceedings will have a material effect upon our financial condition or results of operations.</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Contractual Commitments – Expenditures</w:t>
      </w:r>
    </w:p>
    <w:p>
      <w:pPr>
        <w:spacing w:after="0" w:line="229"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The Company has committed to fund the following capital improvements. The improvements, which are related to several properties, are estimated to be generally completed within twelve months. These commitments, as of March 31, 2025, are as follows (in thousands):</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220" w:type="dxa"/>
            <w:vAlign w:val="bottom"/>
            <w:tcBorders>
              <w:bottom w:val="single" w:sz="8" w:color="CCEEFF"/>
            </w:tcBorders>
          </w:tcPr>
          <w:p>
            <w:pPr>
              <w:spacing w:after="0"/>
              <w:rPr>
                <w:sz w:val="20"/>
                <w:szCs w:val="20"/>
                <w:color w:val="auto"/>
              </w:rPr>
            </w:pPr>
          </w:p>
        </w:tc>
        <w:tc>
          <w:tcPr>
            <w:tcW w:w="47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As of March 31, 2025</w:t>
            </w:r>
          </w:p>
        </w:tc>
      </w:tr>
      <w:tr>
        <w:trPr>
          <w:trHeight w:val="209"/>
        </w:trPr>
        <w:tc>
          <w:tcPr>
            <w:tcW w:w="20" w:type="dxa"/>
            <w:vAlign w:val="bottom"/>
          </w:tcPr>
          <w:p>
            <w:pPr>
              <w:spacing w:after="0"/>
              <w:rPr>
                <w:sz w:val="18"/>
                <w:szCs w:val="18"/>
                <w:color w:val="auto"/>
              </w:rPr>
            </w:pPr>
          </w:p>
        </w:tc>
        <w:tc>
          <w:tcPr>
            <w:tcW w:w="22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Total Commitment </w:t>
            </w:r>
            <w:r>
              <w:rPr>
                <w:rFonts w:ascii="Times New Roman" w:cs="Times New Roman" w:eastAsia="Times New Roman" w:hAnsi="Times New Roman"/>
                <w:sz w:val="24"/>
                <w:szCs w:val="24"/>
                <w:color w:val="auto"/>
                <w:vertAlign w:val="superscript"/>
              </w:rPr>
              <w:t>(1)</w:t>
            </w:r>
          </w:p>
        </w:tc>
        <w:tc>
          <w:tcPr>
            <w:tcW w:w="47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18,455</w:t>
            </w: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Amount Funded</w:t>
            </w:r>
          </w:p>
        </w:tc>
        <w:tc>
          <w:tcPr>
            <w:tcW w:w="47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(5,613)</w:t>
            </w:r>
          </w:p>
        </w:tc>
      </w:tr>
      <w:tr>
        <w:trPr>
          <w:trHeight w:val="210"/>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Commitment</w:t>
            </w:r>
          </w:p>
        </w:tc>
        <w:tc>
          <w:tcPr>
            <w:tcW w:w="4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12,842</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0" w:type="dxa"/>
            <w:vAlign w:val="bottom"/>
          </w:tcPr>
          <w:p>
            <w:pPr>
              <w:spacing w:after="0"/>
              <w:rPr>
                <w:sz w:val="8"/>
                <w:szCs w:val="8"/>
                <w:color w:val="auto"/>
              </w:rPr>
            </w:pPr>
          </w:p>
        </w:tc>
      </w:tr>
    </w:tbl>
    <w:p>
      <w:pPr>
        <w:spacing w:after="0" w:line="58" w:lineRule="exact"/>
        <w:rPr>
          <w:sz w:val="20"/>
          <w:szCs w:val="20"/>
          <w:color w:val="auto"/>
        </w:rPr>
      </w:pPr>
    </w:p>
    <w:p>
      <w:pPr>
        <w:ind w:left="720" w:hanging="319"/>
        <w:spacing w:after="0"/>
        <w:tabs>
          <w:tab w:leader="none" w:pos="72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Commitment includes tenant improvements, leasing commissions, rebranding, facility expansion and other capital improvements.</w:t>
      </w:r>
    </w:p>
    <w:p>
      <w:pPr>
        <w:spacing w:after="0" w:line="140" w:lineRule="exact"/>
        <w:rPr>
          <w:sz w:val="20"/>
          <w:szCs w:val="20"/>
          <w:color w:val="auto"/>
        </w:rPr>
      </w:pPr>
    </w:p>
    <w:p>
      <w:pPr>
        <w:jc w:val="both"/>
        <w:ind w:left="60" w:right="59" w:firstLine="324"/>
        <w:spacing w:after="0" w:line="274" w:lineRule="auto"/>
        <w:rPr>
          <w:sz w:val="20"/>
          <w:szCs w:val="20"/>
          <w:color w:val="auto"/>
        </w:rPr>
      </w:pPr>
      <w:r>
        <w:rPr>
          <w:rFonts w:ascii="Times New Roman" w:cs="Times New Roman" w:eastAsia="Times New Roman" w:hAnsi="Times New Roman"/>
          <w:sz w:val="18"/>
          <w:szCs w:val="18"/>
          <w:color w:val="auto"/>
        </w:rPr>
        <w:t>The Company is committed to fund one construction loan, for the Whole Foods Market anchored development in Forsyth County, Georgia, as described in Note 4, “Commercial Loans and Investments.” The unfunded portion of the construction loan totaled $34.6 million as of March 31, 2025.</w:t>
      </w:r>
    </w:p>
    <w:p>
      <w:pPr>
        <w:spacing w:after="0" w:line="1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22. BUSINESS SEGMENT DATA</w:t>
      </w:r>
    </w:p>
    <w:p>
      <w:pPr>
        <w:spacing w:after="0" w:line="229"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The Company operates in four primary business segments: income properties, management services, commercial loans and investments, and real estate operations. The management services segment consists of the revenue generated from managing PINE, the Portfolio Management Agreement and the Subsurface Management Agreement, as described further in Note 5, “Management Services Business.”</w:t>
      </w:r>
    </w:p>
    <w:p>
      <w:pPr>
        <w:spacing w:after="0" w:line="180"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Our income property operations consist of income-producing properties, and our business plan is focused on investing in additional income-producing properties. Our income property operations accounted for 89% and 88% of our identifiable assets as of March 31, 2025 and December 31, 2024, respectively, and 88.4% and 87.5% of our consolidated revenues for the three months ended March 31, 2025 and 2024, respectively. Our management fee income consists of the management fees earned for the management of PINE, the Portfolio Management Agreement and the Subsurface Management Agreement during the three months ended March 31, 2025 and 2024. As of March 31, 2025, our commercial loan and investment portfolio consisted of five commercial loan investments and two preferred equity investments which are classified as commercial loan investments. Our real estate operations consists of revenues generated from the sale of and royalty income related to our interests in subsurface oil, gas, and mineral rights, and the sale of mitigation credits. The Company’s assets underlying its real estate operations were sold during the year ended December 31, 2024, therefore, no further revenues are expected from this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Information about the Company’s operations in different segments for the three months ended March 31, 2025 is as follows (in thousands):</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Commercial</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Management</w:t>
            </w: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Loans and</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8"/>
        </w:trPr>
        <w:tc>
          <w:tcPr>
            <w:tcW w:w="4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Properties</w:t>
            </w:r>
          </w:p>
        </w:tc>
        <w:tc>
          <w:tcPr>
            <w:tcW w:w="14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0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16"/>
        </w:trPr>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Properties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31,672</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31,672</w:t>
            </w:r>
          </w:p>
        </w:tc>
      </w:tr>
      <w:tr>
        <w:trPr>
          <w:trHeight w:val="216"/>
        </w:trPr>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Management Fee Income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r>
      <w:tr>
        <w:trPr>
          <w:trHeight w:val="198"/>
        </w:trPr>
        <w:tc>
          <w:tcPr>
            <w:tcW w:w="43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Interest Income From Commercial Loans and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4"/>
        </w:trPr>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r>
      <w:tr>
        <w:trPr>
          <w:trHeight w:val="209"/>
        </w:trPr>
        <w:tc>
          <w:tcPr>
            <w:tcW w:w="43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Revenues for Reportable Segments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35,811</w:t>
            </w:r>
          </w:p>
        </w:tc>
      </w:tr>
      <w:tr>
        <w:trPr>
          <w:trHeight w:val="216"/>
        </w:trPr>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Properties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(8,891)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(8,891)</w:t>
            </w:r>
          </w:p>
        </w:tc>
      </w:tr>
      <w:tr>
        <w:trPr>
          <w:trHeight w:val="209"/>
        </w:trPr>
        <w:tc>
          <w:tcPr>
            <w:tcW w:w="43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 Less Direct Costs of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26,920</w:t>
            </w:r>
          </w:p>
        </w:tc>
      </w:tr>
      <w:tr>
        <w:trPr>
          <w:trHeight w:val="216"/>
        </w:trPr>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Impairment</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 Real Estate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(14,346)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(14,346)</w:t>
            </w:r>
          </w:p>
        </w:tc>
      </w:tr>
      <w:tr>
        <w:trPr>
          <w:trHeight w:val="178"/>
        </w:trPr>
        <w:tc>
          <w:tcPr>
            <w:tcW w:w="430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Total Revenues Less Operating Expenses for Reportable</w:t>
            </w: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r>
      <w:tr>
        <w:trPr>
          <w:trHeight w:val="234"/>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00" w:type="dxa"/>
            <w:vAlign w:val="bottom"/>
          </w:tcPr>
          <w:p>
            <w:pPr>
              <w:spacing w:after="0"/>
              <w:rPr>
                <w:sz w:val="20"/>
                <w:szCs w:val="20"/>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12,574</w:t>
            </w:r>
          </w:p>
        </w:tc>
      </w:tr>
      <w:tr>
        <w:trPr>
          <w:trHeight w:val="216"/>
        </w:trPr>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4"/>
        </w:trPr>
        <w:tc>
          <w:tcPr>
            <w:tcW w:w="43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Net Income From Operations for Reportable</w:t>
            </w: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r>
      <w:tr>
        <w:trPr>
          <w:trHeight w:val="23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00" w:type="dxa"/>
            <w:vAlign w:val="bottom"/>
          </w:tcPr>
          <w:p>
            <w:pPr>
              <w:spacing w:after="0"/>
              <w:rPr>
                <w:sz w:val="20"/>
                <w:szCs w:val="20"/>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12,574</w:t>
            </w:r>
          </w:p>
        </w:tc>
      </w:tr>
      <w:tr>
        <w:trPr>
          <w:trHeight w:val="216"/>
        </w:trPr>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to Consolidated Net Income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w:t>
            </w: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and Other Income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w:t>
            </w:r>
          </w:p>
        </w:tc>
      </w:tr>
      <w:tr>
        <w:trPr>
          <w:trHeight w:val="216"/>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 Other</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9"/>
        </w:trPr>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Before Income Tax Expense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w:t>
            </w:r>
          </w:p>
        </w:tc>
      </w:tr>
      <w:tr>
        <w:trPr>
          <w:trHeight w:val="216"/>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9"/>
        </w:trPr>
        <w:tc>
          <w:tcPr>
            <w:tcW w:w="4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r>
      <w:tr>
        <w:trPr>
          <w:trHeight w:val="20"/>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Information about the Company’s operations in different segments for the three months ended March 31, 2024 is as follows (in thousands):</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Management</w:t>
            </w: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Loans and</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8"/>
        </w:trPr>
        <w:tc>
          <w:tcPr>
            <w:tcW w:w="3760" w:type="dxa"/>
            <w:vAlign w:val="bottom"/>
          </w:tcPr>
          <w:p>
            <w:pPr>
              <w:spacing w:after="0"/>
              <w:rPr>
                <w:sz w:val="20"/>
                <w:szCs w:val="20"/>
                <w:color w:val="auto"/>
              </w:rPr>
            </w:pP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Properties</w:t>
            </w:r>
          </w:p>
        </w:tc>
        <w:tc>
          <w:tcPr>
            <w:tcW w:w="14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0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Operations</w:t>
            </w:r>
          </w:p>
        </w:tc>
        <w:tc>
          <w:tcPr>
            <w:tcW w:w="16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Properties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24,623</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24,623</w:t>
            </w: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Management Fee Income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r>
      <w:tr>
        <w:trPr>
          <w:trHeight w:val="198"/>
        </w:trPr>
        <w:tc>
          <w:tcPr>
            <w:tcW w:w="37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Interest Income From Commercial Loans and</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4"/>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 Estate Operations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09"/>
        </w:trPr>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Revenues for Reportable Segments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24,623</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40" w:type="dxa"/>
            <w:vAlign w:val="bottom"/>
          </w:tcPr>
          <w:p>
            <w:pPr>
              <w:spacing w:after="0"/>
              <w:rPr>
                <w:sz w:val="18"/>
                <w:szCs w:val="18"/>
                <w:color w:val="auto"/>
              </w:rPr>
            </w:pP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28,127</w:t>
            </w:r>
          </w:p>
        </w:tc>
      </w:tr>
      <w:tr>
        <w:trPr>
          <w:trHeight w:val="216"/>
        </w:trPr>
        <w:tc>
          <w:tcPr>
            <w:tcW w:w="3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Properties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(6,753)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w:t>
            </w: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 Estate Operations</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(819)</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178"/>
        </w:trPr>
        <w:tc>
          <w:tcPr>
            <w:tcW w:w="3760" w:type="dxa"/>
            <w:vAlign w:val="bottom"/>
            <w:tcBorders>
              <w:top w:val="single" w:sz="8" w:color="CCEEFF"/>
            </w:tcBorders>
            <w:shd w:val="clear" w:color="auto" w:fill="CCEEFF"/>
          </w:tcPr>
          <w:p>
            <w:pPr>
              <w:ind w:left="220"/>
              <w:spacing w:after="0" w:line="177" w:lineRule="exact"/>
              <w:rPr>
                <w:sz w:val="20"/>
                <w:szCs w:val="20"/>
                <w:color w:val="auto"/>
              </w:rPr>
            </w:pPr>
            <w:r>
              <w:rPr>
                <w:rFonts w:ascii="Times New Roman" w:cs="Times New Roman" w:eastAsia="Times New Roman" w:hAnsi="Times New Roman"/>
                <w:sz w:val="18"/>
                <w:szCs w:val="18"/>
                <w:color w:val="auto"/>
              </w:rPr>
              <w:t>Total Revenues Less Direct Costs of</w:t>
            </w: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r>
      <w:tr>
        <w:trPr>
          <w:trHeight w:val="234"/>
        </w:trPr>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17,870</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20,555</w:t>
            </w: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Impairment</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 Real Estate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(10,915)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(10,915)</w:t>
            </w:r>
          </w:p>
        </w:tc>
      </w:tr>
      <w:tr>
        <w:trPr>
          <w:trHeight w:val="178"/>
        </w:trPr>
        <w:tc>
          <w:tcPr>
            <w:tcW w:w="376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Total Revenues Less Operating Expenses for</w:t>
            </w: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r>
      <w:tr>
        <w:trPr>
          <w:trHeight w:val="234"/>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Reportable Segments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4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9,592</w:t>
            </w: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9,163</w:t>
            </w:r>
          </w:p>
        </w:tc>
      </w:tr>
      <w:tr>
        <w:trPr>
          <w:trHeight w:val="174"/>
        </w:trPr>
        <w:tc>
          <w:tcPr>
            <w:tcW w:w="376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Net Income From Operations for Reportable</w:t>
            </w: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r>
      <w:tr>
        <w:trPr>
          <w:trHeight w:val="23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4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18,755</w:t>
            </w:r>
          </w:p>
        </w:tc>
      </w:tr>
      <w:tr>
        <w:trPr>
          <w:trHeight w:val="216"/>
        </w:trPr>
        <w:tc>
          <w:tcPr>
            <w:tcW w:w="3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to Consolidated Net Income</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w:t>
            </w:r>
          </w:p>
        </w:tc>
      </w:tr>
      <w:tr>
        <w:trPr>
          <w:trHeight w:val="216"/>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and Other Loss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w:t>
            </w:r>
          </w:p>
        </w:tc>
      </w:tr>
      <w:tr>
        <w:trPr>
          <w:trHeight w:val="21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w:t>
            </w:r>
          </w:p>
        </w:tc>
      </w:tr>
      <w:tr>
        <w:trPr>
          <w:trHeight w:val="216"/>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 Other</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9"/>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Before Income Tax Benefit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w:t>
            </w:r>
          </w:p>
        </w:tc>
      </w:tr>
      <w:tr>
        <w:trPr>
          <w:trHeight w:val="216"/>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0"/>
        </w:trPr>
        <w:tc>
          <w:tcPr>
            <w:tcW w:w="3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w:t>
            </w:r>
          </w:p>
        </w:tc>
      </w:tr>
      <w:tr>
        <w:trPr>
          <w:trHeight w:val="20"/>
        </w:trPr>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0" w:right="779" w:firstLine="324"/>
        <w:spacing w:after="0" w:line="282" w:lineRule="auto"/>
        <w:rPr>
          <w:sz w:val="20"/>
          <w:szCs w:val="20"/>
          <w:color w:val="auto"/>
        </w:rPr>
      </w:pPr>
      <w:r>
        <w:rPr>
          <w:rFonts w:ascii="Times New Roman" w:cs="Times New Roman" w:eastAsia="Times New Roman" w:hAnsi="Times New Roman"/>
          <w:sz w:val="18"/>
          <w:szCs w:val="18"/>
          <w:color w:val="auto"/>
        </w:rPr>
        <w:t>Capital expenditures of each segment for the three months ended March 31, 2025 and 2024 are as follows (in thousands):</w:t>
      </w:r>
    </w:p>
    <w:p>
      <w:pPr>
        <w:spacing w:after="0" w:line="65"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58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460" w:type="dxa"/>
            <w:vAlign w:val="bottom"/>
            <w:tcBorders>
              <w:top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23"/>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Properties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80,864</w:t>
            </w:r>
          </w:p>
        </w:tc>
        <w:tc>
          <w:tcPr>
            <w:tcW w:w="160" w:type="dxa"/>
            <w:vAlign w:val="bottom"/>
          </w:tcPr>
          <w:p>
            <w:pPr>
              <w:spacing w:after="0"/>
              <w:rPr>
                <w:sz w:val="18"/>
                <w:szCs w:val="18"/>
                <w:color w:val="auto"/>
              </w:rPr>
            </w:pP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73,403</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Loans and Investments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w:t>
            </w:r>
          </w:p>
        </w:tc>
      </w:tr>
      <w:tr>
        <w:trPr>
          <w:trHeight w:val="229"/>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0"/>
        </w:trPr>
        <w:tc>
          <w:tcPr>
            <w:tcW w:w="5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82,307</w:t>
            </w:r>
          </w:p>
        </w:tc>
        <w:tc>
          <w:tcPr>
            <w:tcW w:w="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79,987</w:t>
            </w:r>
          </w:p>
        </w:tc>
      </w:tr>
      <w:tr>
        <w:trPr>
          <w:trHeight w:val="20"/>
        </w:trPr>
        <w:tc>
          <w:tcPr>
            <w:tcW w:w="5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Identifiable assets of each segment as of March 31, 2025 and December 31, 2024 are as follows (in thousands):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80" w:type="dxa"/>
            <w:vAlign w:val="bottom"/>
            <w:tcBorders>
              <w:bottom w:val="single" w:sz="8" w:color="auto"/>
            </w:tcBorders>
          </w:tcPr>
          <w:p>
            <w:pPr>
              <w:spacing w:after="0"/>
              <w:rPr>
                <w:sz w:val="20"/>
                <w:szCs w:val="20"/>
                <w:color w:val="auto"/>
              </w:rPr>
            </w:pPr>
          </w:p>
        </w:tc>
      </w:tr>
      <w:tr>
        <w:trPr>
          <w:trHeight w:val="187"/>
        </w:trPr>
        <w:tc>
          <w:tcPr>
            <w:tcW w:w="5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Identifiable Assets:</w:t>
            </w: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Properties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1,109,408</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1,039,466</w:t>
            </w: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Services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Loans and Investments</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105,690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105,763</w:t>
            </w: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Operations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16"/>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26,692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34,323</w:t>
            </w:r>
          </w:p>
        </w:tc>
      </w:tr>
      <w:tr>
        <w:trPr>
          <w:trHeight w:val="209"/>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1,243,903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1,181,644</w:t>
            </w:r>
          </w:p>
        </w:tc>
      </w:tr>
      <w:tr>
        <w:trPr>
          <w:trHeight w:val="20"/>
        </w:trPr>
        <w:tc>
          <w:tcPr>
            <w:tcW w:w="5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Identifiable assets by segment are those assets that are used in the Company’s operations in each segment. Real Estate Operations includes the identifiable assets of certain real estate operations receivables. Corporate and other assets consist primarily of cash and restricted cash, property, plant, and equipment related to the other operations, as well as the general and corporate operations.</w:t>
      </w:r>
    </w:p>
    <w:p>
      <w:pPr>
        <w:spacing w:after="0" w:line="180"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The Management Services and Real Estate Operations segments had no capital expenditures during the three months ended March 31, 2025 or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23. SUBSEQUENT EVENTS</w:t>
      </w:r>
    </w:p>
    <w:p>
      <w:pPr>
        <w:spacing w:after="0" w:line="229" w:lineRule="exact"/>
        <w:rPr>
          <w:sz w:val="20"/>
          <w:szCs w:val="20"/>
          <w:color w:val="auto"/>
        </w:rPr>
      </w:pPr>
    </w:p>
    <w:p>
      <w:pPr>
        <w:jc w:val="both"/>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Subsequent events and transactions were evaluated through May 1, 2025, the date the consolidated financial statements were issued.</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On April 3, 2025 and April 4, 2025, the Company entered into two interest rate swaps to fix SOFR and achieve a fixed weighted average interest rate of 3.32% plus the SOFR adjustment of 0.10% and the applicable spread on an aggregate of $100.0 million of the outstanding balance on the Company’s Revolving Credit Facility. The swaps are effective April 30, 2025.</w:t>
      </w:r>
    </w:p>
    <w:p>
      <w:pPr>
        <w:spacing w:after="0" w:line="180"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On April 3, 2025, the Company completed separate, privately-negotiated transactions with holders of $35,208,000 in an aggregate principal amount of the 2025 Notes in which the holders exchanged their 2025 Notes with the Company for an aggregate of 1,089,555 shares of the Company’s common stock and aggregate cash payments of approximately $29.0 million, including approximately $0.6 million representing accrued interest. The 2025 Notes received by the Company were retired. At maturity on April 15, 2025, the Company completed the payoff of the remaining 2025 Notes in an aggregate principal amount of $15,826,000 (the “Remaining 2025 Notes”). The Remaining 2025 Notes were settled in cash for an aggregate cash payment of approximately $22.0 million, including approximately $0.3 million representing accrued interest. Including the shares of the Company’s common stock issued on April 3, 2025, the Company has 32,934,716 shares of Common Stock outstanding as of May 1, 2025.</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ITEM 2. MANAGEMENT’S DISCUSSION AND ANALYSIS OF FINANCIAL CONDITION AND RESULTS OF OPERATIONS</w:t>
      </w:r>
    </w:p>
    <w:p>
      <w:pPr>
        <w:spacing w:after="0" w:line="157"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i w:val="1"/>
          <w:iCs w:val="1"/>
          <w:color w:val="auto"/>
        </w:rPr>
        <w:t>When we refer to “we,” “us,” “our,” or “the Company,” we mean CTO Realty Growth, Inc. and its consolidated subsidiaries. References to “Notes to Financial Statements” refer to the Notes to the Consolidated Financial Statements of CTO Realty Growth, Inc. included in this Quarterly Report on Form 10-Q. Some of the comments we make in this section are forward-looking statements within the meaning of the federal securities laws. For a discussion of forward-looking statements, see the section below entitled “Special Note Regarding Forward-Looking Statements.” Certain factors that could cause actual results or events to differ materially from those the Company anticipates or projects are described in “Item 1A. Risk Factors” of the Company’s Annual Report on Form 10-K for the year ended December 31, 2024.</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left="60" w:right="59" w:firstLine="492"/>
        <w:spacing w:after="0" w:line="252" w:lineRule="auto"/>
        <w:rPr>
          <w:sz w:val="20"/>
          <w:szCs w:val="20"/>
          <w:color w:val="auto"/>
        </w:rPr>
      </w:pPr>
      <w:r>
        <w:rPr>
          <w:rFonts w:ascii="Times New Roman" w:cs="Times New Roman" w:eastAsia="Times New Roman" w:hAnsi="Times New Roman"/>
          <w:sz w:val="18"/>
          <w:szCs w:val="18"/>
          <w:color w:val="auto"/>
        </w:rPr>
        <w:t>Statements contained in this Quarterly Report on Form 10-Q that are not historical facts are forward-looking statements within the meaning of Section 27A of the Securities Act of 1933, as amended, and Section 21E of the Securities Exchange Act of 1934, as amended (the “Exchange Act”). Also, when the Company uses any of the words “anticipate,” “assume,” “believe,” “estimate,” “expect,” “intend,” or similar expressions, the Company is making forward-looking statements. Management believes the expectations reflected in such forward-looking statements are based upon present expectations and reasonable assumptions. However, the Company’s actual results could differ materially from those set forth in the forward-looking statements. Further, forward-looking statements speak only as of the date they are made, and the Company undertakes no obligation to update or revise such forward-looking statements to reflect changed assumptions, the occurrence of unanticipated events or changes to future operating results over time, unless required by law. The risks and uncertainties that could cause our actual results to differ materially from those presented in our forward-looking statements, include, but are not limited to, the following:</w:t>
      </w:r>
    </w:p>
    <w:p>
      <w:pPr>
        <w:spacing w:after="0" w:line="4" w:lineRule="exact"/>
        <w:rPr>
          <w:sz w:val="20"/>
          <w:szCs w:val="20"/>
          <w:color w:val="auto"/>
        </w:rPr>
      </w:pPr>
    </w:p>
    <w:p>
      <w:pPr>
        <w:ind w:left="680" w:right="79" w:hanging="198"/>
        <w:spacing w:after="0" w:line="250"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related to the ownership of commercial real estate that could affect the performance and value of our properties;</w:t>
      </w:r>
    </w:p>
    <w:p>
      <w:pPr>
        <w:ind w:left="680" w:right="79" w:hanging="198"/>
        <w:spacing w:after="0" w:line="250"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upon our tenants successfully operating their businesses, and their failure to do so could materially and adversely affect us;</w:t>
      </w:r>
    </w:p>
    <w:p>
      <w:pPr>
        <w:ind w:left="680" w:right="79" w:hanging="198"/>
        <w:spacing w:after="0" w:line="250"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that traditional retail tenants face from e-commerce retail sales, or the integration of brick and mortar stores with e-commerce retail operators, could adversely affect our business;</w:t>
      </w:r>
    </w:p>
    <w:p>
      <w:pPr>
        <w:ind w:left="680" w:right="79" w:hanging="198"/>
        <w:spacing w:after="0" w:line="250"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 for the acquisition of income properties and more established entities or other investors may be able to compete more effectively for acquisition opportunities than we can;</w:t>
      </w:r>
    </w:p>
    <w:p>
      <w:pPr>
        <w:ind w:left="700" w:hanging="209"/>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execute on asset acquisitions or dispositions;</w:t>
      </w:r>
    </w:p>
    <w:p>
      <w:pPr>
        <w:spacing w:after="0" w:line="9" w:lineRule="exact"/>
        <w:rPr>
          <w:rFonts w:ascii="Times New Roman" w:cs="Times New Roman" w:eastAsia="Times New Roman" w:hAnsi="Times New Roman"/>
          <w:sz w:val="18"/>
          <w:szCs w:val="18"/>
          <w:color w:val="auto"/>
        </w:rPr>
      </w:pPr>
    </w:p>
    <w:p>
      <w:pPr>
        <w:ind w:left="680" w:right="79" w:hanging="198"/>
        <w:spacing w:after="0" w:line="250"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revenues from our income property portfolio or certain tenants would adversely impact our results of operations and cash flows;</w:t>
      </w:r>
    </w:p>
    <w:p>
      <w:pPr>
        <w:jc w:val="both"/>
        <w:ind w:left="680" w:right="79" w:hanging="198"/>
        <w:spacing w:after="0" w:line="250"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revenues include receipt of management fees and potentially incentive fees derived from our provision of management services to Alpine Income Property Trust, Inc. (“PINE”) and the loss or failure, or decline in the business or assets, of PINE could substantially reduce our revenues;</w:t>
      </w:r>
    </w:p>
    <w:p>
      <w:pPr>
        <w:spacing w:after="0" w:line="1" w:lineRule="exact"/>
        <w:rPr>
          <w:rFonts w:ascii="Times New Roman" w:cs="Times New Roman" w:eastAsia="Times New Roman" w:hAnsi="Times New Roman"/>
          <w:sz w:val="18"/>
          <w:szCs w:val="18"/>
          <w:color w:val="auto"/>
        </w:rPr>
      </w:pPr>
    </w:p>
    <w:p>
      <w:pPr>
        <w:jc w:val="both"/>
        <w:ind w:left="680" w:right="79" w:hanging="198"/>
        <w:spacing w:after="0" w:line="250"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various potential conflicts of interest in our relationship with PINE, including our executive officers and/or directors who are also officers and/or directors of PINE, which could result in decisions that are not in the best interest of our stockholders;</w:t>
      </w:r>
    </w:p>
    <w:p>
      <w:pPr>
        <w:spacing w:after="0" w:line="1" w:lineRule="exact"/>
        <w:rPr>
          <w:rFonts w:ascii="Times New Roman" w:cs="Times New Roman" w:eastAsia="Times New Roman" w:hAnsi="Times New Roman"/>
          <w:sz w:val="18"/>
          <w:szCs w:val="18"/>
          <w:color w:val="auto"/>
        </w:rPr>
      </w:pPr>
    </w:p>
    <w:p>
      <w:pPr>
        <w:ind w:left="680" w:right="79" w:hanging="198"/>
        <w:spacing w:after="0" w:line="250"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prolonged downturn in economic conditions could adversely impact our business, particularly with regard to our ability to maintain revenues from our income-producing assets;</w:t>
      </w:r>
    </w:p>
    <w:p>
      <w:pPr>
        <w:ind w:left="680" w:right="79" w:hanging="198"/>
        <w:spacing w:after="0" w:line="250"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 of our investment strategy is focused on investing in commercial loans and investments which may involve credit risk or the risk that our borrowers will fail to pay scheduled contractual payments to us when due;</w:t>
      </w:r>
    </w:p>
    <w:p>
      <w:pPr>
        <w:ind w:left="680" w:right="79" w:hanging="198"/>
        <w:spacing w:after="0" w:line="250"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losses when a borrower defaults on a loan and the value of the underlying collateral is less than the amount due;</w:t>
      </w:r>
    </w:p>
    <w:p>
      <w:pPr>
        <w:ind w:left="700" w:hanging="209"/>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real estate investments are generally illiquid;</w:t>
      </w:r>
    </w:p>
    <w:p>
      <w:pPr>
        <w:spacing w:after="0" w:line="9" w:lineRule="exact"/>
        <w:rPr>
          <w:rFonts w:ascii="Times New Roman" w:cs="Times New Roman" w:eastAsia="Times New Roman" w:hAnsi="Times New Roman"/>
          <w:sz w:val="18"/>
          <w:szCs w:val="18"/>
          <w:color w:val="auto"/>
        </w:rPr>
      </w:pPr>
    </w:p>
    <w:p>
      <w:pPr>
        <w:jc w:val="both"/>
        <w:ind w:left="680" w:right="79" w:hanging="198"/>
        <w:spacing w:after="0" w:line="250"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successful in utilizing the Section 1031 like-kind exchange structure in deploying the proceeds from dispositions of income properties, or our Section 1031 like-kind exchange transactions are disqualified, we could incur significant taxes and our results of operations and cash flows could be adversely impacted;</w:t>
      </w:r>
    </w:p>
    <w:p>
      <w:pPr>
        <w:spacing w:after="0" w:line="1" w:lineRule="exact"/>
        <w:rPr>
          <w:rFonts w:ascii="Times New Roman" w:cs="Times New Roman" w:eastAsia="Times New Roman" w:hAnsi="Times New Roman"/>
          <w:sz w:val="18"/>
          <w:szCs w:val="18"/>
          <w:color w:val="auto"/>
        </w:rPr>
      </w:pPr>
    </w:p>
    <w:p>
      <w:pPr>
        <w:ind w:left="680" w:right="79" w:hanging="198"/>
        <w:spacing w:after="0" w:line="250"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be unable to obtain debt or equity capital on favorable terms, if at all, or additional borrowings may impact our liquidity or ability to monetize any assets securing such borrowings;</w:t>
      </w:r>
    </w:p>
    <w:p>
      <w:pPr>
        <w:ind w:left="680" w:right="79" w:hanging="198"/>
        <w:spacing w:after="0" w:line="250"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our debt requires a significant amount of cash, and we may not have sufficient cash flow from our business to service or pay our debt;</w:t>
      </w:r>
    </w:p>
    <w:p>
      <w:pPr>
        <w:ind w:left="680" w:right="79" w:hanging="198"/>
        <w:spacing w:after="0" w:line="260"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and properties could be adversely affected in the event of natural disasters, pandemics, or other significant disruptions;</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80" w:right="79" w:hanging="198"/>
        <w:spacing w:after="0" w:line="261"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environmental problems which require remediation or the incurrence of significant costs to resolve, which could adversely impact our financial condition, results of operations, and cash flows;</w:t>
      </w:r>
    </w:p>
    <w:p>
      <w:pPr>
        <w:jc w:val="both"/>
        <w:ind w:left="680" w:right="79" w:hanging="198"/>
        <w:spacing w:after="0" w:line="250"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remain qualified as real estate investment trust (“REIT”) for U.S. federal income tax purposes would cause us to be taxed as a regular corporation, which would substantially reduce funds available for distribution to stockholders;</w:t>
      </w:r>
    </w:p>
    <w:p>
      <w:pPr>
        <w:spacing w:after="0" w:line="1" w:lineRule="exact"/>
        <w:rPr>
          <w:rFonts w:ascii="Times New Roman" w:cs="Times New Roman" w:eastAsia="Times New Roman" w:hAnsi="Times New Roman"/>
          <w:sz w:val="18"/>
          <w:szCs w:val="18"/>
          <w:color w:val="auto"/>
        </w:rPr>
      </w:pPr>
    </w:p>
    <w:p>
      <w:pPr>
        <w:ind w:left="700" w:hanging="209"/>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REIT requirements could limit our financial flexibility;</w:t>
      </w:r>
    </w:p>
    <w:p>
      <w:pPr>
        <w:spacing w:after="0" w:line="9" w:lineRule="exact"/>
        <w:rPr>
          <w:rFonts w:ascii="Times New Roman" w:cs="Times New Roman" w:eastAsia="Times New Roman" w:hAnsi="Times New Roman"/>
          <w:sz w:val="18"/>
          <w:szCs w:val="18"/>
          <w:color w:val="auto"/>
        </w:rPr>
      </w:pPr>
    </w:p>
    <w:p>
      <w:pPr>
        <w:ind w:left="700" w:hanging="209"/>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experience operating as a REIT;</w:t>
      </w:r>
    </w:p>
    <w:p>
      <w:pPr>
        <w:spacing w:after="0" w:line="9" w:lineRule="exact"/>
        <w:rPr>
          <w:rFonts w:ascii="Times New Roman" w:cs="Times New Roman" w:eastAsia="Times New Roman" w:hAnsi="Times New Roman"/>
          <w:sz w:val="18"/>
          <w:szCs w:val="18"/>
          <w:color w:val="auto"/>
        </w:rPr>
      </w:pPr>
    </w:p>
    <w:p>
      <w:pPr>
        <w:ind w:left="680" w:right="79" w:hanging="198"/>
        <w:spacing w:after="0" w:line="250"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dividends consistent with the REIT requirements, and expectations as to timing and amounts of such dividends;</w:t>
      </w:r>
    </w:p>
    <w:p>
      <w:pPr>
        <w:ind w:left="700" w:hanging="209"/>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(the “Board”) to revoke our REIT status without stockholder approval;</w:t>
      </w:r>
    </w:p>
    <w:p>
      <w:pPr>
        <w:spacing w:after="0" w:line="9" w:lineRule="exact"/>
        <w:rPr>
          <w:rFonts w:ascii="Times New Roman" w:cs="Times New Roman" w:eastAsia="Times New Roman" w:hAnsi="Times New Roman"/>
          <w:sz w:val="18"/>
          <w:szCs w:val="18"/>
          <w:color w:val="auto"/>
        </w:rPr>
      </w:pPr>
    </w:p>
    <w:p>
      <w:pPr>
        <w:ind w:left="700" w:hanging="209"/>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changes in U.S. federal and state income tax laws, including changes to the REIT requirements;</w:t>
      </w:r>
    </w:p>
    <w:p>
      <w:pPr>
        <w:spacing w:after="0" w:line="9" w:lineRule="exact"/>
        <w:rPr>
          <w:rFonts w:ascii="Times New Roman" w:cs="Times New Roman" w:eastAsia="Times New Roman" w:hAnsi="Times New Roman"/>
          <w:sz w:val="18"/>
          <w:szCs w:val="18"/>
          <w:color w:val="auto"/>
        </w:rPr>
      </w:pPr>
    </w:p>
    <w:p>
      <w:pPr>
        <w:jc w:val="both"/>
        <w:ind w:left="680" w:right="79" w:hanging="198"/>
        <w:spacing w:after="0" w:line="250"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business and economic conditions, including unstable macroeconomic conditions due to, among other things, political unrest and economic uncertainty due to terrorism or war, inflation, higher interest rates, tariffs and international trade policies and distress in the banking sector; and</w:t>
      </w:r>
    </w:p>
    <w:p>
      <w:pPr>
        <w:spacing w:after="0" w:line="1" w:lineRule="exact"/>
        <w:rPr>
          <w:rFonts w:ascii="Times New Roman" w:cs="Times New Roman" w:eastAsia="Times New Roman" w:hAnsi="Times New Roman"/>
          <w:sz w:val="18"/>
          <w:szCs w:val="18"/>
          <w:color w:val="auto"/>
        </w:rPr>
      </w:pPr>
    </w:p>
    <w:p>
      <w:pPr>
        <w:jc w:val="both"/>
        <w:ind w:left="680" w:right="79" w:hanging="198"/>
        <w:spacing w:after="0" w:line="253"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epidemic or pandemic, and the measures that international, federal, state and local governments, agencies, law enforcement and/or health authorities implement to address it, may precipitate or materially exacerbate one or more of the above-mentioned and/or other risks and may significantly disrupt or prevent us from operating our business in the ordinary course for an extended period.</w:t>
      </w:r>
    </w:p>
    <w:p>
      <w:pPr>
        <w:spacing w:after="0" w:line="18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The Company describes the risks and uncertainties that could cause actual results and events to differ materially in “Risk Factors” (Part II, Item 1A of this Quarterly Report on Form 10-Q and Part I, Item 1A of our Annual Report on Form 10-K for the year ended December 31, 2024), “Quantitative and Qualitative Disclosures about Market Risk” (Part I, Item 3 of this Quarterly Report on Form 10-Q), and “Management’s Discussion and Analysis of Financial Condition and Results of Operations” (Part I, Item 2 of this Quarterly Report on Form 10-Q).</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We are a publicly traded, self-managed equity REIT that focuses on the ownership, management, and repositioning of high-quality retail and mixed-use properties located primarily in what we believe to be faster growing, business-friendly markets exhibiting accommodative business tax policies, outsized relative job and population growth, and where retail demand exceeds supply. We have pursued our investment strategy by investing primarily through fee simple ownership of our properties, commercial loans and preferred equity.</w:t>
      </w:r>
    </w:p>
    <w:p>
      <w:pPr>
        <w:spacing w:after="0" w:line="183" w:lineRule="exact"/>
        <w:rPr>
          <w:sz w:val="20"/>
          <w:szCs w:val="20"/>
          <w:color w:val="auto"/>
        </w:rPr>
      </w:pPr>
    </w:p>
    <w:p>
      <w:pPr>
        <w:jc w:val="both"/>
        <w:ind w:left="60" w:right="79" w:firstLine="441"/>
        <w:spacing w:after="0" w:line="266" w:lineRule="auto"/>
        <w:rPr>
          <w:sz w:val="20"/>
          <w:szCs w:val="20"/>
          <w:color w:val="auto"/>
        </w:rPr>
      </w:pPr>
      <w:r>
        <w:rPr>
          <w:rFonts w:ascii="Times New Roman" w:cs="Times New Roman" w:eastAsia="Times New Roman" w:hAnsi="Times New Roman"/>
          <w:sz w:val="18"/>
          <w:szCs w:val="18"/>
          <w:color w:val="auto"/>
        </w:rPr>
        <w:t>As of March 31, 2025, we own and manage, sometimes utilizing third-party property management companies, 24 commercial real estate properties in seven states in the United States, comprising 5.2 million square feet of gross leasable space. In addition to our income property portfolio, as of March 31, 2025, our business included the following:</w:t>
      </w:r>
    </w:p>
    <w:p>
      <w:pPr>
        <w:spacing w:after="0" w:line="176"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Management Services: A fee-based management business that is engaged in managing PINE as well as: (i) a portfolio of assets pursuant to the Portfolio Management Agreement (hereinafter defined) and (ii) Subsurface Interests (hereinafter defined) pursuant to the Subsurface Management Agreement (hereinafter defined), as further described in Note 5, “Management Services Business” in the Notes to Financial Statements.</w:t>
      </w:r>
    </w:p>
    <w:p>
      <w:pPr>
        <w:spacing w:after="0" w:line="180"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Commercial Loans and Investments: A portfolio of five commercial loan investments and two preferred equity investments which are classified as commercial loan investments.</w:t>
      </w:r>
    </w:p>
    <w:p>
      <w:pPr>
        <w:spacing w:after="0" w:line="162"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Real Estate Operations: During the year ended December 31, 2024, the Company sold its portfolio of subsurface mineral interests associated with approximately 352,000 surface acres in 19 counties in the State of Florida (“Subsurface Interests”), as further described in Note 6, “Real Estate Operations” in the Notes to Financial Statements. As part of the Subsurface Interests sale, the Company entered into a management agreement with the buyer to provide ongoing management services (the “Subsurface Management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Investment in PINE: Our business also includes our investment in PINE. As of March 31, 2025, the fair value of our investment totaled $39.5 million, or 15.1% of PINE’s outstanding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received from PINE are included in investment and other income (loss) on the accompanying consolidated statements of operations.</w:t>
      </w:r>
    </w:p>
    <w:p>
      <w:pPr>
        <w:spacing w:after="0" w:line="194"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Our strategy for investing in income-producing properties is focused on factors including, but not limited to, long-term real estate fundamentals and target markets, including markets we believe to be faster growing, business-friendly markets exhibiting accommodative business tax policies, outsized relative job and population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ability to use a Section 1031 like-kind exchange structure, etc.).</w:t>
      </w:r>
    </w:p>
    <w:p>
      <w:pPr>
        <w:spacing w:after="0" w:line="188"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We believe investment in income-producing assets provides attractive opportunities for generally stable cash flows and increased returns over the long run through potential capital appreciation. Our focus on acquiring income-producing investments includes a continual review of our existing income property portfolio to identify opportunities to recycle our capital through the sale of income properties based on, among other possible factors, the current or expected performance of the property and favorable market conditions. No properties were sold during the three months ended March 31, 2025. As a result of entering into the Exclusivity and Right of First Offer Agreement with PINE (the “ROFO Agreement”) which generally prevents us from investing in single-tenant net lease income properties, our income property investment strategy is focused on multi-tenant, primarily retail-oriented, properties. We may pursue this strategy by monetizing certain of our single-tenant properties, and should we do so, we would seek to utilize the 1031 like-kind exchange structure to preserve the tax-deferred gain on the original transaction(s) that pertains to the replacement asset.</w:t>
      </w:r>
    </w:p>
    <w:p>
      <w:pPr>
        <w:spacing w:after="0" w:line="194"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Our current portfolio of 18 multi-tenant properties generates $98.3 million of revenue from annualized straight-line base lease payments and had a weighted average remaining lease term of 4.9 years as of March 31, 2025. Our current portfolio of 6 single-tenant income properties generates $5.4 million of revenues from annualized straight-line base lease payments and had a weighted average remaining lease term of 4.9 years as of March 31, 2025.</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2025 AND 2024</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Total revenue for the three months ended March 31, 2025 is presented in the following summary and indicates the changes as compared to the three months ended March 31, 2024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187"/>
        </w:trPr>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8"/>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Segment</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4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5"/>
              </w:rPr>
              <w:t>$ Variance</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Variance</w:t>
            </w:r>
          </w:p>
        </w:tc>
      </w:tr>
      <w:tr>
        <w:trPr>
          <w:trHeight w:val="210"/>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Properties</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7,049</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1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Management Services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Loans and Investments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r>
      <w:tr>
        <w:trPr>
          <w:trHeight w:val="21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 Estate Operations</w:t>
            </w: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9"/>
        </w:trPr>
        <w:tc>
          <w:tcPr>
            <w:tcW w:w="39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0"/>
        </w:trPr>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Total revenue for the three months ended March 31, 2025 increased to $35.8 million, compared to $28.1 million during the three months ended March 31, 2024. The $7.7 million increase in total revenue is primarily attributable to increased income produced by the Company’s recent income property acquisitions versus that of properties disposed of by the Company during the comparative period, as well as more same store revenue from our properties owned during each period. Additionally, revenues from our commercial loans and investments increased, which was partially offset by reduced revenues from our real estate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Properties</w:t>
      </w:r>
    </w:p>
    <w:p>
      <w:pPr>
        <w:spacing w:after="0" w:line="229" w:lineRule="exact"/>
        <w:rPr>
          <w:sz w:val="20"/>
          <w:szCs w:val="20"/>
          <w:color w:val="auto"/>
        </w:rPr>
      </w:pPr>
    </w:p>
    <w:p>
      <w:pPr>
        <w:jc w:val="both"/>
        <w:ind w:left="60" w:right="59" w:firstLine="401"/>
        <w:spacing w:after="0" w:line="254" w:lineRule="auto"/>
        <w:rPr>
          <w:sz w:val="20"/>
          <w:szCs w:val="20"/>
          <w:color w:val="auto"/>
        </w:rPr>
      </w:pPr>
      <w:r>
        <w:rPr>
          <w:rFonts w:ascii="Times New Roman" w:cs="Times New Roman" w:eastAsia="Times New Roman" w:hAnsi="Times New Roman"/>
          <w:sz w:val="18"/>
          <w:szCs w:val="18"/>
          <w:color w:val="auto"/>
        </w:rPr>
        <w:t>Revenue and operating income from our income property operations totaled $31.7 million and $22.8 million, respectively, during the three months ended March 31, 2025, compared to total revenue and operating income of $24.6 million and $17.8 million, respectively, for the three months ended March 31, 2024. The direct costs of revenues for our income property operations totaled $8.9 million and $6.8 million for the three months ended March 31, 2025 and 2024, respectively. The increase in revenues of $7.1 million, or 28.6%, during the three months ended March 31, 2025 is primarily related to the overall growth and lease up of the Company’s income property portfolio, as well as the timing of acquisitions versus dispositions. The increase in operating income of $5.0 million from our income property operations reflects increased rent revenues related to net investment as well as leasing activity.</w:t>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Services</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Revenue from our management services from PINE totaled $1.1 million and $1.0 million during the three months ended March 31, 2025 and 2024, respectively. Management services during the three months ended March 31, 2025 and 2024 also included less than $0.1 million of revenue, from each of the asset management agreement with a third party to manage a portfolio of multi-tenant and single-tenant assets (the “Portfolio Management Agreement”) and the Subsurface Management Agreement.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Commercial Loans and Investments</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Interest income from our commercial loans and investments totaled $3.0 million and $1.4 million during the three months ended March 31, 2025 and 2024, respectively. The increase of $1.6 million is primarily due to increased income as a result of the timing of investments made related to new loan originations and structured investments.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Real Estate Operations</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revenue and operating income from real estate operations was $1.0 million and $0.2 million, respectively, which was attributable to mitigation credits sold during the period. There was no revenue or operating income from real estate operations during the three months ended March 31, 2025, because the Company sold its portfolio of Subsurface Interests and all remaining mitigation credits during the year ended December 31, 2024.</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Total general and administrative expenses for the three months ended March 31, 2025 is presented in the following summary and indicates the changes as compared to the three months ended March 31, 2024 (in thousands):</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187"/>
        </w:trPr>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8"/>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4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5"/>
              </w:rPr>
              <w:t>$ Variance</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Variance</w:t>
            </w:r>
          </w:p>
        </w:tc>
      </w:tr>
      <w:tr>
        <w:trPr>
          <w:trHeight w:val="210"/>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General and Administrative Expenses</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9"/>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0"/>
        </w:trPr>
        <w:tc>
          <w:tcPr>
            <w:tcW w:w="39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0"/>
        </w:trPr>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441"/>
        <w:spacing w:after="0" w:line="266" w:lineRule="auto"/>
        <w:rPr>
          <w:sz w:val="20"/>
          <w:szCs w:val="20"/>
          <w:color w:val="auto"/>
        </w:rPr>
      </w:pPr>
      <w:r>
        <w:rPr>
          <w:rFonts w:ascii="Times New Roman" w:cs="Times New Roman" w:eastAsia="Times New Roman" w:hAnsi="Times New Roman"/>
          <w:sz w:val="18"/>
          <w:szCs w:val="18"/>
          <w:color w:val="auto"/>
        </w:rPr>
        <w:t>The primary reason for the increase in total general and administrative expenses is the overall higher employee count, as a result of the increased operating activity from the increase in managed income property assets, as well as increases in compensation effective on January 1,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29"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Depreciation and amortization totaled $14.3 million and $10.9 million during the three months ended March 31, 2025 and 2024, respectively. The increase of $3.4 million is due to the overall growth in the Company’s income property portfolio, as well as $0.7 million in the acceleration of amortization for lease intangibles related to certain leases terminated during the three months ended March 31,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Gain on Disposition of Assets and Provision for Impairment</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212529"/>
        </w:rPr>
        <w:t xml:space="preserve">2025 Dispositions. </w:t>
      </w:r>
      <w:r>
        <w:rPr>
          <w:rFonts w:ascii="Times New Roman" w:cs="Times New Roman" w:eastAsia="Times New Roman" w:hAnsi="Times New Roman"/>
          <w:sz w:val="18"/>
          <w:szCs w:val="18"/>
          <w:color w:val="212529"/>
        </w:rPr>
        <w:t>There were no income property dispositions during the three months ended March 31, 2025.</w:t>
      </w:r>
    </w:p>
    <w:p>
      <w:pPr>
        <w:spacing w:after="0" w:line="22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212529"/>
        </w:rPr>
        <w:t xml:space="preserve">2024 Dispositions. </w:t>
      </w:r>
      <w:r>
        <w:rPr>
          <w:rFonts w:ascii="Times New Roman" w:cs="Times New Roman" w:eastAsia="Times New Roman" w:hAnsi="Times New Roman"/>
          <w:sz w:val="18"/>
          <w:szCs w:val="18"/>
          <w:color w:val="212529"/>
        </w:rPr>
        <w:t>During the three months ended March 31, 2024, the Company sold one mixed use income property</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color w:val="212529"/>
        </w:rPr>
        <w:t>in downtown Santa Fe, NM for $20.0 million, resulting in a gain of $4.6 million. Additionally, during the three months ended March 31, 2024, the Company sold its portfolio of Subsurface Interests for $5.0 million, resulting in a gain of $4.5 million.</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Impairment. </w:t>
      </w:r>
      <w:r>
        <w:rPr>
          <w:rFonts w:ascii="Times New Roman" w:cs="Times New Roman" w:eastAsia="Times New Roman" w:hAnsi="Times New Roman"/>
          <w:sz w:val="18"/>
          <w:szCs w:val="18"/>
          <w:color w:val="212529"/>
        </w:rPr>
        <w:t>There were no impairment charges on the Company’s income property portfolio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529"/>
        </w:rPr>
        <w:t>three months ended March 31, 2025 and 2024. The Company recorded an impairment charge of $0.05 million during the three months ended March 31, 2024, representing the provision for credit losses related to our commercial loans and investments</w:t>
      </w:r>
      <w:r>
        <w:rPr>
          <w:rFonts w:ascii="Times New Roman" w:cs="Times New Roman" w:eastAsia="Times New Roman" w:hAnsi="Times New Roman"/>
          <w:sz w:val="18"/>
          <w:szCs w:val="18"/>
          <w:color w:val="000000"/>
        </w:rPr>
        <w:t>, with no such provision being recorded during the three months ended March 31, 2025.</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Investment and Other Income (Loss)</w:t>
      </w:r>
    </w:p>
    <w:p>
      <w:pPr>
        <w:spacing w:after="0" w:line="229"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2025, the closing stock price of PINE decreased by $0.07 per share, with a closing price of $16.72 on March 31, 2025. </w:t>
      </w:r>
      <w:r>
        <w:rPr>
          <w:rFonts w:ascii="Times New Roman" w:cs="Times New Roman" w:eastAsia="Times New Roman" w:hAnsi="Times New Roman"/>
          <w:sz w:val="18"/>
          <w:szCs w:val="18"/>
          <w:color w:val="212529"/>
        </w:rPr>
        <w:t>During the three months ended March 31, 2024, the closing stock price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PINE decreased by $1.63 per share, with a closing price of $15.28 on March 31, 2024</w:t>
      </w:r>
      <w:r>
        <w:rPr>
          <w:rFonts w:ascii="Times New Roman" w:cs="Times New Roman" w:eastAsia="Times New Roman" w:hAnsi="Times New Roman"/>
          <w:sz w:val="18"/>
          <w:szCs w:val="18"/>
          <w:color w:val="000000"/>
        </w:rPr>
        <w:t>. The change in stock price resulted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in unrealized non-cash losses on the Company’s investment in PINE in the amount of $0.2 million and $3.8 million which is included in investment and other income (loss) in the consolidated statements of operations for the three months ended March 31, 2025 and 2024, respectively.</w:t>
      </w:r>
    </w:p>
    <w:p>
      <w:pPr>
        <w:spacing w:after="0" w:line="187"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The Company earned dividend income from the investment in PINE of $0.7 million and 0.6 million during the three months ended March 31, 2025 and 2024,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Interest expense totaled $6.1 million and $5.5 million for the three months ended March 31, 2025 and 2024, respectively. The increase of $0.6 million is primarily due to the $1.2 million increase in interest from the Company’s 2029 Term Loan effective on September 30, 2024, partially offset by a $0.7 million reduction in interest on the Credit Facility due to a lower average outstanding balance during the three months ended March 31, 2025, as compared to the same period in 2024.</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Income Attributable to the Company</w:t>
      </w:r>
    </w:p>
    <w:p>
      <w:pPr>
        <w:spacing w:after="0" w:line="229"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 xml:space="preserve">Net income attributable to the Company totaled $2.3 million and $5.8 million during the three months ended </w:t>
      </w:r>
      <w:r>
        <w:rPr>
          <w:rFonts w:ascii="Times New Roman" w:cs="Times New Roman" w:eastAsia="Times New Roman" w:hAnsi="Times New Roman"/>
          <w:sz w:val="18"/>
          <w:szCs w:val="18"/>
          <w:color w:val="212529"/>
        </w:rPr>
        <w:t>March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31, 2025 and 2024, </w:t>
      </w:r>
      <w:r>
        <w:rPr>
          <w:rFonts w:ascii="Times New Roman" w:cs="Times New Roman" w:eastAsia="Times New Roman" w:hAnsi="Times New Roman"/>
          <w:sz w:val="18"/>
          <w:szCs w:val="18"/>
          <w:color w:val="000000"/>
        </w:rPr>
        <w:t>respectively. The $3.5 million decrease in net income is attributable to the factors described above,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most notably the $9.2 million of gains on disposition of assets during the three months ended March 31, 2024 with no such gains during the same period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Cash and cash equivalents totaled $8.4 million at March 31, 2025, while restricted cash totaled $6.9 million, see Note 2, “Summary of Significant Accounting Policies” in the Notes to Financial Statements under the heading Restricted Cash for the Company’s disclosure related to its restricted cash balance at March 31, 2025.</w:t>
      </w:r>
    </w:p>
    <w:p>
      <w:pPr>
        <w:spacing w:after="0" w:line="176"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Our cash flows provided by operating activities totaled $10.3 million during the three months ended March 31, 2025, as compared to $11.8 million during the three months ended March 31, 2024, a decrease of $1.5 million. The primary reason for the decrease in cash flows is an increase in interest expense as well as general and administrative expenses, which are partially offset by the increase in cash flows provided by income properties, which is the result of the overall growth and lease up of the Company’s income property portfolio, as well as increased cash flows from our commercial loans and investments.</w:t>
      </w:r>
    </w:p>
    <w:p>
      <w:pPr>
        <w:spacing w:after="0" w:line="187"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Our cash flows used in investing activities totaled $80.6 million during the three months ended March 31, 2025, as compared to $52.0 million during the three months ended March 31, 2024, for an increase in cash outflows of $28.6 million. The increase in net cash used in investing activities is primarily the result of a decrease in disposition activity, as $24.5 million of proceeds were received during the three months ended March 31, 2024 for the sales of an income property and Subsurface Interests for which there were no such proceeds during the three months ended March 31, 2025.</w:t>
      </w:r>
    </w:p>
    <w:p>
      <w:pPr>
        <w:spacing w:after="0" w:line="183"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Our cash flows provided by financing activities totaled $68.3 million for the three months ended March 31, 2025, compared to $37.2 million for the three months ended March 31, 2024, an increase in cash inflows of $31.1 million. The increase is primarily due to a $36.5 million increase in cash flows provided by net debt activity during the three months ended March 31, 2025, as compared to the same period in 2024, partially offset by $4.1 million more in cash outflows to pay the Company’s common and preferred dividends during the three months ended March 31, 2025, as compared to the same period in 2024.</w:t>
      </w:r>
    </w:p>
    <w:p>
      <w:pPr>
        <w:spacing w:after="0" w:line="185" w:lineRule="exact"/>
        <w:rPr>
          <w:sz w:val="20"/>
          <w:szCs w:val="20"/>
          <w:color w:val="auto"/>
        </w:rPr>
      </w:pPr>
    </w:p>
    <w:p>
      <w:pPr>
        <w:jc w:val="both"/>
        <w:ind w:left="60" w:right="59" w:firstLine="49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At March 31, 2025, the current commitment level under the Credit Facility was $300.0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undrawn commitment under the Credit Facility totaled $130.0 million. As of March 31, 2025, the Credit Facility had a $170.0 million balance outstanding. See Note 15, “Long-Term Debt” in the Notes to Financial Statements for the Company’s disclosure related to its long-term debt balance at March 31, 2025.</w:t>
      </w:r>
    </w:p>
    <w:p>
      <w:pPr>
        <w:spacing w:after="0" w:line="172"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Acquisitions and Investments. </w:t>
      </w:r>
      <w:r>
        <w:rPr>
          <w:rFonts w:ascii="Times New Roman" w:cs="Times New Roman" w:eastAsia="Times New Roman" w:hAnsi="Times New Roman"/>
          <w:sz w:val="18"/>
          <w:szCs w:val="18"/>
          <w:color w:val="auto"/>
        </w:rPr>
        <w:t xml:space="preserve">During the three months ended March 31, 2025, the Company acquired one multi-tenant income property for a purchase price of $79.5 million, or a total acquisition cost of $80.0 million, including capitalized acquisition costs. </w:t>
      </w:r>
      <w:r>
        <w:rPr>
          <w:rFonts w:ascii="Times New Roman" w:cs="Times New Roman" w:eastAsia="Times New Roman" w:hAnsi="Times New Roman"/>
          <w:sz w:val="18"/>
          <w:szCs w:val="18"/>
          <w:color w:val="212529"/>
        </w:rPr>
        <w:t>During the three months ended March 31, 2024, the Company acquired one multi-tenant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income property and one building within an existing multi-tenant income property for an aggregate purchase price of $71.0 million, or a total acquisition cost of $71.1 million. During the three months ended March 31, 2024, t</w:t>
      </w:r>
      <w:r>
        <w:rPr>
          <w:rFonts w:ascii="Times New Roman" w:cs="Times New Roman" w:eastAsia="Times New Roman" w:hAnsi="Times New Roman"/>
          <w:sz w:val="18"/>
          <w:szCs w:val="18"/>
          <w:color w:val="000000"/>
        </w:rPr>
        <w:t>he Company</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also originated one structured investment, to provide $10.0 million of funding towards the construction of improvements on seven outparcel locations located in Lake Worth, Florida, of which $6.7 million was funded as of March 31, 2024.</w:t>
      </w:r>
    </w:p>
    <w:p>
      <w:pPr>
        <w:spacing w:after="0" w:line="185"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The Company’s guidance for 2025 investments in income-producing properties, including structured investments, ranges from $100.0 million to $200.0 million. We expect to fund future acquisitions utilizing cash on hand, cash from operations, proceeds from the dispositions of income properties through 1031 like-kind exchanges, borrowings on our Credit Facility, if available, and additional financing sources. We expect dispositions of income properties will qualify under the like-kind exchange deferred-tax structure.</w:t>
      </w:r>
    </w:p>
    <w:p>
      <w:pPr>
        <w:spacing w:after="0" w:line="181" w:lineRule="exact"/>
        <w:rPr>
          <w:sz w:val="20"/>
          <w:szCs w:val="20"/>
          <w:color w:val="auto"/>
        </w:rPr>
      </w:pPr>
    </w:p>
    <w:p>
      <w:pPr>
        <w:jc w:val="both"/>
        <w:ind w:left="60" w:right="59" w:firstLine="49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Dispositions. </w:t>
      </w:r>
      <w:r>
        <w:rPr>
          <w:rFonts w:ascii="Times New Roman" w:cs="Times New Roman" w:eastAsia="Times New Roman" w:hAnsi="Times New Roman"/>
          <w:sz w:val="18"/>
          <w:szCs w:val="18"/>
          <w:color w:val="auto"/>
        </w:rPr>
        <w:t>No properties were sold during the three months ended March 31, 2025. Du</w:t>
      </w:r>
      <w:r>
        <w:rPr>
          <w:rFonts w:ascii="Times New Roman" w:cs="Times New Roman" w:eastAsia="Times New Roman" w:hAnsi="Times New Roman"/>
          <w:sz w:val="18"/>
          <w:szCs w:val="18"/>
          <w:color w:val="212529"/>
        </w:rPr>
        <w:t>ring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529"/>
        </w:rPr>
        <w:t>ended March 31, 2024, the Company sold one mixed use income property in downtown Santa Fe, NM for $20.0 million resulting in a gain of $4.6 million</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firstLine="492"/>
        <w:spacing w:after="0" w:line="284" w:lineRule="auto"/>
        <w:rPr>
          <w:sz w:val="20"/>
          <w:szCs w:val="20"/>
          <w:color w:val="auto"/>
        </w:rPr>
      </w:pPr>
      <w:r>
        <w:rPr>
          <w:rFonts w:ascii="Times New Roman" w:cs="Times New Roman" w:eastAsia="Times New Roman" w:hAnsi="Times New Roman"/>
          <w:sz w:val="18"/>
          <w:szCs w:val="18"/>
          <w:i w:val="1"/>
          <w:iCs w:val="1"/>
          <w:color w:val="auto"/>
        </w:rPr>
        <w:t>ATM Program</w:t>
      </w:r>
      <w:r>
        <w:rPr>
          <w:rFonts w:ascii="Times New Roman" w:cs="Times New Roman" w:eastAsia="Times New Roman" w:hAnsi="Times New Roman"/>
          <w:sz w:val="18"/>
          <w:szCs w:val="18"/>
          <w:color w:val="auto"/>
        </w:rPr>
        <w:t>. The Company was not active under the 2024 ATM Program during the three months ended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2025. As of March 31, 2025, $216.5 million of availability remained under the 2024 ATM Program.</w:t>
      </w:r>
    </w:p>
    <w:p>
      <w:pPr>
        <w:spacing w:after="0" w:line="158" w:lineRule="exact"/>
        <w:rPr>
          <w:sz w:val="20"/>
          <w:szCs w:val="20"/>
          <w:color w:val="auto"/>
        </w:rPr>
      </w:pPr>
    </w:p>
    <w:p>
      <w:pPr>
        <w:jc w:val="both"/>
        <w:ind w:left="60" w:right="59" w:firstLine="49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Contractual Commitments – Expenditures. </w:t>
      </w:r>
      <w:r>
        <w:rPr>
          <w:rFonts w:ascii="Times New Roman" w:cs="Times New Roman" w:eastAsia="Times New Roman" w:hAnsi="Times New Roman"/>
          <w:sz w:val="18"/>
          <w:szCs w:val="18"/>
          <w:color w:val="auto"/>
        </w:rPr>
        <w:t>The Company has committed to fund the following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improvements. The improvements, which are related to several properties, are estimated to be generally completed within twelve months. These commitments, as of March 31, 2025, are as follows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40" w:type="dxa"/>
            <w:vAlign w:val="bottom"/>
            <w:tcBorders>
              <w:bottom w:val="single" w:sz="8" w:color="CCEEFF"/>
            </w:tcBorders>
          </w:tcPr>
          <w:p>
            <w:pPr>
              <w:spacing w:after="0"/>
              <w:rPr>
                <w:sz w:val="20"/>
                <w:szCs w:val="20"/>
                <w:color w:val="auto"/>
              </w:rPr>
            </w:pPr>
          </w:p>
        </w:tc>
        <w:tc>
          <w:tcPr>
            <w:tcW w:w="47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As of March 31, 2025</w:t>
            </w:r>
          </w:p>
        </w:tc>
      </w:tr>
      <w:tr>
        <w:trPr>
          <w:trHeight w:val="209"/>
        </w:trPr>
        <w:tc>
          <w:tcPr>
            <w:tcW w:w="6980" w:type="dxa"/>
            <w:vAlign w:val="bottom"/>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Total Commitment </w:t>
            </w:r>
            <w:r>
              <w:rPr>
                <w:rFonts w:ascii="Times New Roman" w:cs="Times New Roman" w:eastAsia="Times New Roman" w:hAnsi="Times New Roman"/>
                <w:sz w:val="24"/>
                <w:szCs w:val="24"/>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18,455</w:t>
            </w:r>
          </w:p>
        </w:tc>
      </w:tr>
      <w:tr>
        <w:trPr>
          <w:trHeight w:val="216"/>
        </w:trPr>
        <w:tc>
          <w:tcPr>
            <w:tcW w:w="6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Amount Funded</w:t>
            </w:r>
          </w:p>
        </w:tc>
        <w:tc>
          <w:tcPr>
            <w:tcW w:w="1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(5,613)</w:t>
            </w:r>
          </w:p>
        </w:tc>
      </w:tr>
      <w:tr>
        <w:trPr>
          <w:trHeight w:val="210"/>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Commitment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12,842</w:t>
            </w:r>
          </w:p>
        </w:tc>
      </w:tr>
      <w:tr>
        <w:trPr>
          <w:trHeight w:val="20"/>
        </w:trPr>
        <w:tc>
          <w:tcPr>
            <w:tcW w:w="22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0" w:type="dxa"/>
            <w:vAlign w:val="bottom"/>
          </w:tcPr>
          <w:p>
            <w:pPr>
              <w:spacing w:after="0"/>
              <w:rPr>
                <w:sz w:val="8"/>
                <w:szCs w:val="8"/>
                <w:color w:val="auto"/>
              </w:rPr>
            </w:pPr>
          </w:p>
        </w:tc>
      </w:tr>
    </w:tbl>
    <w:p>
      <w:pPr>
        <w:spacing w:after="0" w:line="28" w:lineRule="exact"/>
        <w:rPr>
          <w:sz w:val="20"/>
          <w:szCs w:val="20"/>
          <w:color w:val="auto"/>
        </w:rPr>
      </w:pPr>
    </w:p>
    <w:p>
      <w:pPr>
        <w:ind w:left="340" w:hanging="290"/>
        <w:spacing w:after="0"/>
        <w:tabs>
          <w:tab w:leader="none" w:pos="34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Commitment includes tenant improvements, leasing commissions, rebranding, facility expansion and other capital improvements.</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r>
        <w:rPr>
          <w:rFonts w:ascii="Times New Roman" w:cs="Times New Roman" w:eastAsia="Times New Roman" w:hAnsi="Times New Roman"/>
          <w:sz w:val="18"/>
          <w:szCs w:val="18"/>
          <w:color w:val="auto"/>
        </w:rPr>
        <w:t>. None.</w:t>
      </w:r>
    </w:p>
    <w:p>
      <w:pPr>
        <w:spacing w:after="0" w:line="212"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Matters. </w:t>
      </w:r>
      <w:r>
        <w:rPr>
          <w:rFonts w:ascii="Times New Roman" w:cs="Times New Roman" w:eastAsia="Times New Roman" w:hAnsi="Times New Roman"/>
          <w:sz w:val="18"/>
          <w:szCs w:val="18"/>
          <w:color w:val="auto"/>
        </w:rPr>
        <w:t>We believe we will have sufficient liquidity to fund our operations, capital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and debt service requirements over the next twelve months and into the foreseeable future, with cash on hand, cash flow from our operations, $216.5 million of availability remaining under the 2024 ATM Program, and $130.0 million undrawn commitment under the existing $300.0 million Credit Facility as of March 31, 2025.</w:t>
      </w:r>
    </w:p>
    <w:p>
      <w:pPr>
        <w:spacing w:after="0" w:line="182"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Our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to diversify our portfolio by redeploying proceeds from like-kind exchange transactions and utilizing our Credit Facility to increase our portfolio of income-producing properties, providing stabilized cash flows with strong risk-adjusted returns primarily in larger metropolitan areas and growth markets.</w:t>
      </w:r>
    </w:p>
    <w:p>
      <w:pPr>
        <w:spacing w:after="0" w:line="189"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We believe that we currently have a reasonable level of leverage. Our strategy is to utilize leverage, when appropriate and necessary, and proceeds from sales of income properties and the disposition or payoffs on our commercial loans and investments to acquire income properties. We may also acquire or originate commercial loans and investments, invest in securities of real estate companies, or make other shorter-term investments. Our targeted investment classes may include the following:</w:t>
      </w:r>
    </w:p>
    <w:p>
      <w:pPr>
        <w:spacing w:after="0" w:line="3" w:lineRule="exact"/>
        <w:rPr>
          <w:sz w:val="20"/>
          <w:szCs w:val="20"/>
          <w:color w:val="auto"/>
        </w:rPr>
      </w:pPr>
    </w:p>
    <w:p>
      <w:pPr>
        <w:ind w:left="840" w:right="79" w:hanging="331"/>
        <w:spacing w:after="0" w:line="250"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Multi-tenant, primarily retail-oriented, properties in major metropolitan areas and growth markets, typically stabilized;</w:t>
      </w:r>
    </w:p>
    <w:p>
      <w:pPr>
        <w:ind w:left="840" w:right="79" w:hanging="331"/>
        <w:spacing w:after="0" w:line="250"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Single-tenant retail or other commercial, double or triple net leased, properties in major metropolitan areas and growth markets that are compliant with our commitments under the ROFO Agreement;</w:t>
      </w:r>
    </w:p>
    <w:p>
      <w:pPr>
        <w:ind w:left="840" w:right="79" w:hanging="331"/>
        <w:spacing w:after="0" w:line="250"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 leases, whether purchased or originated by the Company, that are compliant with our commitments under the ROFO Agreement;</w:t>
      </w:r>
    </w:p>
    <w:p>
      <w:pPr>
        <w:ind w:left="840" w:hanging="331"/>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Self-developed retail or other commercial properties;</w:t>
      </w:r>
    </w:p>
    <w:p>
      <w:pPr>
        <w:spacing w:after="0" w:line="9" w:lineRule="exact"/>
        <w:rPr>
          <w:rFonts w:ascii="Times New Roman" w:cs="Times New Roman" w:eastAsia="Times New Roman" w:hAnsi="Times New Roman"/>
          <w:sz w:val="18"/>
          <w:szCs w:val="18"/>
          <w:color w:val="auto"/>
        </w:rPr>
      </w:pPr>
    </w:p>
    <w:p>
      <w:pPr>
        <w:jc w:val="both"/>
        <w:ind w:left="840" w:right="79" w:hanging="331"/>
        <w:spacing w:after="0" w:line="250"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loans and investments, whether purchased or originated by the Company, with loan terms of 1-10 years with strong risk-adjusted yields secured by property types to include hotel, retail, residential, land and industrial;</w:t>
      </w:r>
    </w:p>
    <w:p>
      <w:pPr>
        <w:spacing w:after="0" w:line="1" w:lineRule="exact"/>
        <w:rPr>
          <w:rFonts w:ascii="Times New Roman" w:cs="Times New Roman" w:eastAsia="Times New Roman" w:hAnsi="Times New Roman"/>
          <w:sz w:val="18"/>
          <w:szCs w:val="18"/>
          <w:color w:val="auto"/>
        </w:rPr>
      </w:pPr>
    </w:p>
    <w:p>
      <w:pPr>
        <w:ind w:left="840" w:right="79" w:hanging="331"/>
        <w:spacing w:after="0" w:line="250"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regional area investments using Company market knowledge and expertise to earn strong risk-adjusted yields; and</w:t>
      </w:r>
    </w:p>
    <w:p>
      <w:pPr>
        <w:ind w:left="840" w:right="79" w:hanging="331"/>
        <w:spacing w:after="0" w:line="260"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estate-related investment securities, including commercial mortgage-backed securities, preferred or common stock, and corporate bonds.</w:t>
      </w:r>
    </w:p>
    <w:p>
      <w:pPr>
        <w:spacing w:after="0" w:line="181"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Our investments in income-producing properties are typically subject to long-term leases. For multi-tenant properties, each tenant typically pays its proportionate share of the aforementioned operating expenses of the property, although for such properties we typically incur additional costs for property management services. Single-tenant leases are typically in the form of triple or double net leases and ground leases. Triple-net leases generally require the tenant to pay property operating expenses such as real estate taxes, insurance, assessments and other governmental fees, utilities, repairs and maintenance, and capital expenditures.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Non-U.S. GAAP Financial Measures</w:t>
      </w:r>
    </w:p>
    <w:p>
      <w:pPr>
        <w:spacing w:after="0" w:line="229" w:lineRule="exact"/>
        <w:rPr>
          <w:sz w:val="20"/>
          <w:szCs w:val="20"/>
          <w:color w:val="auto"/>
        </w:rPr>
      </w:pPr>
    </w:p>
    <w:p>
      <w:pPr>
        <w:jc w:val="both"/>
        <w:ind w:left="60" w:right="59" w:firstLine="441"/>
        <w:spacing w:after="0" w:line="281" w:lineRule="auto"/>
        <w:rPr>
          <w:sz w:val="20"/>
          <w:szCs w:val="20"/>
          <w:color w:val="auto"/>
        </w:rPr>
      </w:pPr>
      <w:r>
        <w:rPr>
          <w:rFonts w:ascii="Times New Roman" w:cs="Times New Roman" w:eastAsia="Times New Roman" w:hAnsi="Times New Roman"/>
          <w:sz w:val="17"/>
          <w:szCs w:val="17"/>
          <w:color w:val="auto"/>
        </w:rPr>
        <w:t>Our reported results are presented in accordance with U.S. GAAP. We also disclose Funds From Operations (“FFO”), Core Funds From Operations (“Core FFO”), and Adjusted Funds From Operations (“AFFO”), each of which are non-U.S. GAAP financial measures. We believe these non-U.S. GAAP financial measures are useful to investors because they are widely accepted industry measures used by analysts and investors to compare the operating performance of REITs.</w:t>
      </w:r>
    </w:p>
    <w:p>
      <w:pPr>
        <w:spacing w:after="0" w:line="164"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FFO, Core FFO, and AFFO do not represent cash generated from operating activities and are not necessarily indicative of cash available to fund cash requirements; accordingly, they should not be considered alternatives to net income as a performance measure or cash flows from operating activities as reported on our statement of cash flows as a liquidity measure and should be considered in addition to, and not in lieu of, U.S. GAAP financial measures.</w:t>
      </w:r>
    </w:p>
    <w:p>
      <w:pPr>
        <w:spacing w:after="0" w:line="180"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We compute FFO in accordance with the definition adopted by the Board of Governors of the National Association of Real Estate Investment Trusts, or NAREIT.</w:t>
      </w:r>
    </w:p>
    <w:p>
      <w:pPr>
        <w:spacing w:after="0" w:line="162" w:lineRule="exact"/>
        <w:rPr>
          <w:sz w:val="20"/>
          <w:szCs w:val="20"/>
          <w:color w:val="auto"/>
        </w:rPr>
      </w:pPr>
    </w:p>
    <w:p>
      <w:pPr>
        <w:jc w:val="both"/>
        <w:ind w:left="60" w:right="59" w:firstLine="441"/>
        <w:spacing w:after="0" w:line="252" w:lineRule="auto"/>
        <w:rPr>
          <w:sz w:val="20"/>
          <w:szCs w:val="20"/>
          <w:color w:val="auto"/>
        </w:rPr>
      </w:pPr>
      <w:r>
        <w:rPr>
          <w:rFonts w:ascii="Times New Roman" w:cs="Times New Roman" w:eastAsia="Times New Roman" w:hAnsi="Times New Roman"/>
          <w:sz w:val="18"/>
          <w:szCs w:val="18"/>
          <w:color w:val="auto"/>
        </w:rPr>
        <w:t>NAREIT defines FFO as U.S. GAAP net income or loss adjusted to exclude real estate related depreciation and amortization, as well as extraordinary items (as defined by U.S. GAAP) such as net gain or loss from sales of depreciable real estate assets, impairment write-downs associated with depreciable real estate assets and impairments associated with the implementation of current expected credit losses on commercial loans and investments at the time of origination, including the pro rata share of such adjustments of unconsolidated subsidiaries. The Company also excludes the gains or losses from sales of assets incidental to the primary business of the REIT which specifically include the sales of mitigation credits, subsurface sales, investment securities, and land sales, in addition to the mark-to-market of the Company’s investment securities and interest related to the 2025 Convertible Senior Notes, if the effect is dilutive. To derive Core FFO, we modify the NAREIT computation of FFO to include other adjustments to U.S. GAAP net income related to gains and losses recognized on the extinguishment of debt, amortization of above- and below-market lease related intangibles, and other unforecastable market- or transaction-driven non-cash items, as well as adding back the interest related to the 2025 Convertible Senior Notes, if the effect is dilutive. To derive AFFO, we further modify the NAREIT computation of FFO and Core FFO to include other adjustments to U.S. GAAP net income related to non-cash revenues and expenses such as straight-line rental revenue, non-cash compensation, and other non-cash amortization. Such items may cause short-term fluctuations in net income but have no impact on operating cash flows or long-term operating performance. We use AFFO as one measure of our performance when we formulate corporate goals.</w:t>
      </w:r>
    </w:p>
    <w:p>
      <w:pPr>
        <w:spacing w:after="0" w:line="195"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Core FFO and AFFO are additional useful supplemental measures for investors to consider because they will help them to better assess our operating performance without the distortions created by other non-cash revenues or expenses. FFO, Core FFO, and AFFO may not be comparable to similarly titled measures employed by other companies.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Reconciliation of Non-U.S. GAAP Measures (in thousands, except share and dividend data):</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22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4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09"/>
        </w:trPr>
        <w:tc>
          <w:tcPr>
            <w:tcW w:w="22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 w:type="dxa"/>
            <w:vAlign w:val="bottom"/>
          </w:tcPr>
          <w:p>
            <w:pPr>
              <w:spacing w:after="0"/>
              <w:rPr>
                <w:sz w:val="18"/>
                <w:szCs w:val="18"/>
                <w:color w:val="auto"/>
              </w:rPr>
            </w:pPr>
          </w:p>
        </w:tc>
      </w:tr>
      <w:tr>
        <w:trPr>
          <w:trHeight w:val="210"/>
        </w:trPr>
        <w:tc>
          <w:tcPr>
            <w:tcW w:w="5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7"/>
                <w:szCs w:val="17"/>
                <w:color w:val="auto"/>
              </w:rPr>
              <w:t xml:space="preserve">Add Back: Effect of Dilutive Interest Related to 2025 Notes </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0" w:type="dxa"/>
            <w:vAlign w:val="bottom"/>
          </w:tcPr>
          <w:p>
            <w:pPr>
              <w:spacing w:after="0"/>
              <w:rPr>
                <w:sz w:val="18"/>
                <w:szCs w:val="18"/>
                <w:color w:val="auto"/>
              </w:rPr>
            </w:pPr>
          </w:p>
        </w:tc>
      </w:tr>
      <w:tr>
        <w:trPr>
          <w:trHeight w:val="209"/>
        </w:trPr>
        <w:tc>
          <w:tcPr>
            <w:tcW w:w="5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Company, If-Converted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of Real Estate</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10,915</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(9,163)</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Gain on Disposition of Other Assets</w:t>
            </w:r>
          </w:p>
        </w:tc>
        <w:tc>
          <w:tcPr>
            <w:tcW w:w="12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Impairment</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r>
      <w:tr>
        <w:trPr>
          <w:trHeight w:val="216"/>
        </w:trPr>
        <w:tc>
          <w:tcPr>
            <w:tcW w:w="56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Realized and Unrealized Loss on Investment Securities</w:t>
            </w: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20" w:type="dxa"/>
            <w:vAlign w:val="bottom"/>
          </w:tcPr>
          <w:p>
            <w:pPr>
              <w:spacing w:after="0"/>
              <w:rPr>
                <w:sz w:val="18"/>
                <w:szCs w:val="18"/>
                <w:color w:val="auto"/>
              </w:rPr>
            </w:pPr>
          </w:p>
        </w:tc>
      </w:tr>
      <w:tr>
        <w:trPr>
          <w:trHeight w:val="209"/>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Funds from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11,984</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Distributions to Preferred Stockholders</w:t>
            </w:r>
          </w:p>
        </w:tc>
        <w:tc>
          <w:tcPr>
            <w:tcW w:w="12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(1,878)</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0" w:type="dxa"/>
            <w:vAlign w:val="bottom"/>
          </w:tcPr>
          <w:p>
            <w:pPr>
              <w:spacing w:after="0"/>
              <w:rPr>
                <w:sz w:val="18"/>
                <w:szCs w:val="18"/>
                <w:color w:val="auto"/>
              </w:rPr>
            </w:pPr>
          </w:p>
        </w:tc>
      </w:tr>
      <w:tr>
        <w:trPr>
          <w:trHeight w:val="209"/>
        </w:trPr>
        <w:tc>
          <w:tcPr>
            <w:tcW w:w="5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Funds From Operations Attributable to Common Stockholders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10,797</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Amortization of Intangibles to Lease Income</w:t>
            </w:r>
          </w:p>
        </w:tc>
        <w:tc>
          <w:tcPr>
            <w:tcW w:w="12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20"/>
              <w:spacing w:after="0" w:line="216" w:lineRule="exact"/>
              <w:rPr>
                <w:sz w:val="20"/>
                <w:szCs w:val="20"/>
                <w:color w:val="auto"/>
              </w:rPr>
            </w:pPr>
            <w:r>
              <w:rPr>
                <w:rFonts w:ascii="Times New Roman" w:cs="Times New Roman" w:eastAsia="Times New Roman" w:hAnsi="Times New Roman"/>
                <w:sz w:val="17"/>
                <w:szCs w:val="17"/>
                <w:color w:val="auto"/>
              </w:rPr>
              <w:t xml:space="preserve">Less: Effect of Dilutive Interest Related to 2025 Notes </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0" w:type="dxa"/>
            <w:vAlign w:val="bottom"/>
          </w:tcPr>
          <w:p>
            <w:pPr>
              <w:spacing w:after="0"/>
              <w:rPr>
                <w:sz w:val="18"/>
                <w:szCs w:val="18"/>
                <w:color w:val="auto"/>
              </w:rPr>
            </w:pPr>
          </w:p>
        </w:tc>
      </w:tr>
      <w:tr>
        <w:trPr>
          <w:trHeight w:val="21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Core Funds From Operations Attributable to Common Stockholders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14,445</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10,737</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Straight-Line Rent Adjustment</w:t>
            </w:r>
          </w:p>
        </w:tc>
        <w:tc>
          <w:tcPr>
            <w:tcW w:w="12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Depreciation and Amortization</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r>
      <w:tr>
        <w:trPr>
          <w:trHeight w:val="198"/>
        </w:trPr>
        <w:tc>
          <w:tcPr>
            <w:tcW w:w="566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Amortization of Loan Costs, Discount on Convertible Debt, and</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Capitalized Interest</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 w:type="dxa"/>
            <w:vAlign w:val="bottom"/>
          </w:tcPr>
          <w:p>
            <w:pPr>
              <w:spacing w:after="0"/>
              <w:rPr>
                <w:sz w:val="20"/>
                <w:szCs w:val="20"/>
                <w:color w:val="auto"/>
              </w:rPr>
            </w:pPr>
          </w:p>
        </w:tc>
      </w:tr>
      <w:tr>
        <w:trPr>
          <w:trHeight w:val="216"/>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Compensation</w:t>
            </w: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0" w:type="dxa"/>
            <w:vAlign w:val="bottom"/>
          </w:tcPr>
          <w:p>
            <w:pPr>
              <w:spacing w:after="0"/>
              <w:rPr>
                <w:sz w:val="18"/>
                <w:szCs w:val="18"/>
                <w:color w:val="auto"/>
              </w:rPr>
            </w:pPr>
          </w:p>
        </w:tc>
      </w:tr>
      <w:tr>
        <w:trPr>
          <w:trHeight w:val="249"/>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Adjusted Funds From Operations Attributable to Common Stockholders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15,521</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11,648</w:t>
            </w:r>
          </w:p>
        </w:tc>
        <w:tc>
          <w:tcPr>
            <w:tcW w:w="20" w:type="dxa"/>
            <w:vAlign w:val="bottom"/>
          </w:tcPr>
          <w:p>
            <w:pPr>
              <w:spacing w:after="0"/>
              <w:rPr>
                <w:sz w:val="21"/>
                <w:szCs w:val="21"/>
                <w:color w:val="auto"/>
              </w:rPr>
            </w:pPr>
          </w:p>
        </w:tc>
      </w:tr>
      <w:tr>
        <w:trPr>
          <w:trHeight w:val="197"/>
        </w:trPr>
        <w:tc>
          <w:tcPr>
            <w:tcW w:w="224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31,552,973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22,551,241</w:t>
            </w:r>
          </w:p>
        </w:tc>
        <w:tc>
          <w:tcPr>
            <w:tcW w:w="20" w:type="dxa"/>
            <w:vAlign w:val="bottom"/>
          </w:tcPr>
          <w:p>
            <w:pPr>
              <w:spacing w:after="0"/>
              <w:rPr>
                <w:sz w:val="18"/>
                <w:szCs w:val="18"/>
                <w:color w:val="auto"/>
              </w:rPr>
            </w:pPr>
          </w:p>
        </w:tc>
      </w:tr>
      <w:tr>
        <w:trPr>
          <w:trHeight w:val="216"/>
        </w:trPr>
        <w:tc>
          <w:tcPr>
            <w:tcW w:w="566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7"/>
                <w:szCs w:val="17"/>
                <w:color w:val="auto"/>
              </w:rPr>
              <w:t xml:space="preserve">Diluted </w:t>
            </w:r>
            <w:r>
              <w:rPr>
                <w:rFonts w:ascii="Times New Roman" w:cs="Times New Roman" w:eastAsia="Times New Roman" w:hAnsi="Times New Roman"/>
                <w:sz w:val="25"/>
                <w:szCs w:val="25"/>
                <w:color w:val="auto"/>
                <w:vertAlign w:val="superscript"/>
              </w:rPr>
              <w:t>(2)</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31,595,431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26,057,652</w:t>
            </w:r>
          </w:p>
        </w:tc>
        <w:tc>
          <w:tcPr>
            <w:tcW w:w="20" w:type="dxa"/>
            <w:vAlign w:val="bottom"/>
          </w:tcPr>
          <w:p>
            <w:pPr>
              <w:spacing w:after="0"/>
              <w:rPr>
                <w:sz w:val="18"/>
                <w:szCs w:val="18"/>
                <w:color w:val="auto"/>
              </w:rPr>
            </w:pPr>
          </w:p>
        </w:tc>
      </w:tr>
      <w:tr>
        <w:trPr>
          <w:trHeight w:val="216"/>
        </w:trPr>
        <w:tc>
          <w:tcPr>
            <w:tcW w:w="22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Preferred Stock</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Common Stock</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0" w:type="dxa"/>
            <w:vAlign w:val="bottom"/>
          </w:tcPr>
          <w:p>
            <w:pPr>
              <w:spacing w:after="0"/>
              <w:rPr>
                <w:sz w:val="18"/>
                <w:szCs w:val="18"/>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3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r>
    </w:tbl>
    <w:p>
      <w:pPr>
        <w:spacing w:after="0" w:line="166" w:lineRule="exact"/>
        <w:rPr>
          <w:sz w:val="20"/>
          <w:szCs w:val="20"/>
          <w:color w:val="auto"/>
        </w:rPr>
      </w:pPr>
    </w:p>
    <w:p>
      <w:pPr>
        <w:jc w:val="both"/>
        <w:ind w:left="380" w:right="79" w:hanging="330"/>
        <w:spacing w:after="0" w:line="231" w:lineRule="auto"/>
        <w:tabs>
          <w:tab w:leader="none" w:pos="38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As applicable, includes interest expense, amortization of discount, amortization of fees, and other changes in net income that would result from the assumed conversion of the 2025 Convertible Senior Notes to derive FFO (as defined herein) effective January 1, 2022 due to the implementation of ASU 2020-06 which requires presentation on an if-converted basis. For the three months ended March 31, 2024, interest related to the 2025 Convertible Senior Notes was added back to net income attributable to the Company to derive FFO, as the impact to net income attributable to common stockholders was dilutive. For the three months ended March 31, 2025, a total of $0.5 million of interest was not included as the impact of the 2025 Notes, if-converted, would be antidilutive to net income attributable to common stockholders for the period.</w:t>
      </w:r>
    </w:p>
    <w:p>
      <w:pPr>
        <w:spacing w:after="0" w:line="69" w:lineRule="exact"/>
        <w:rPr>
          <w:rFonts w:ascii="Times New Roman" w:cs="Times New Roman" w:eastAsia="Times New Roman" w:hAnsi="Times New Roman"/>
          <w:sz w:val="12"/>
          <w:szCs w:val="12"/>
          <w:color w:val="auto"/>
        </w:rPr>
      </w:pPr>
    </w:p>
    <w:p>
      <w:pPr>
        <w:jc w:val="both"/>
        <w:ind w:left="380" w:right="79" w:hanging="330"/>
        <w:spacing w:after="0" w:line="231" w:lineRule="auto"/>
        <w:tabs>
          <w:tab w:leader="none" w:pos="38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 total of 3.5 million shares representing the dilutive impact of the 2025 Notes, upon adoption of ASU 2020-06 effective January 1, 2022, were included in the computation of diluted net income per share attributable to common stockholders for the three months ended March 31, 2024, because they were dilutive to net income attributable to common stockholders for the period. A total of 3.8 million shares, representing the dilutive impact of the 2025 Notes, upon adoption of ASU 2020-06 effective January 1, 2022, were not included in the computation of diluted net income per share attributable to common stockholders for the three months ended March 31, 2025, because they were antidilutive to net income attributable to common stockholders for the period.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Data (in thousands, except per share data):</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2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09"/>
        </w:trPr>
        <w:tc>
          <w:tcPr>
            <w:tcW w:w="22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20" w:type="dxa"/>
            <w:vAlign w:val="bottom"/>
          </w:tcPr>
          <w:p>
            <w:pPr>
              <w:spacing w:after="0"/>
              <w:rPr>
                <w:sz w:val="18"/>
                <w:szCs w:val="18"/>
                <w:color w:val="auto"/>
              </w:rPr>
            </w:pP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FFO Attributable to Common Stockholders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10,797</w:t>
            </w:r>
          </w:p>
        </w:tc>
        <w:tc>
          <w:tcPr>
            <w:tcW w:w="0" w:type="dxa"/>
            <w:vAlign w:val="bottom"/>
          </w:tcPr>
          <w:p>
            <w:pPr>
              <w:spacing w:after="0"/>
              <w:rPr>
                <w:sz w:val="1"/>
                <w:szCs w:val="1"/>
                <w:color w:val="auto"/>
              </w:rPr>
            </w:pPr>
          </w:p>
        </w:tc>
      </w:tr>
      <w:tr>
        <w:trPr>
          <w:trHeight w:val="216"/>
        </w:trPr>
        <w:tc>
          <w:tcPr>
            <w:tcW w:w="56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FFO Attributable to Common Stockholders per Common Share - Diluted </w:t>
            </w:r>
            <w:r>
              <w:rPr>
                <w:rFonts w:ascii="Times New Roman" w:cs="Times New Roman" w:eastAsia="Times New Roman" w:hAnsi="Times New Roman"/>
                <w:sz w:val="25"/>
                <w:szCs w:val="25"/>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Core FFO Attributable to Common Stockholders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10,737</w:t>
            </w:r>
          </w:p>
        </w:tc>
        <w:tc>
          <w:tcPr>
            <w:tcW w:w="0" w:type="dxa"/>
            <w:vAlign w:val="bottom"/>
          </w:tcPr>
          <w:p>
            <w:pPr>
              <w:spacing w:after="0"/>
              <w:rPr>
                <w:sz w:val="1"/>
                <w:szCs w:val="1"/>
                <w:color w:val="auto"/>
              </w:rPr>
            </w:pPr>
          </w:p>
        </w:tc>
      </w:tr>
      <w:tr>
        <w:trPr>
          <w:trHeight w:val="190"/>
        </w:trPr>
        <w:tc>
          <w:tcPr>
            <w:tcW w:w="56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Core FFO Attributable to Common Stockholders per Common Share -</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5660" w:type="dxa"/>
            <w:vAlign w:val="bottom"/>
            <w:gridSpan w:val="2"/>
            <w:shd w:val="clear" w:color="auto" w:fill="CCEEFF"/>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Diluted </w:t>
            </w:r>
            <w:r>
              <w:rPr>
                <w:rFonts w:ascii="Times New Roman" w:cs="Times New Roman" w:eastAsia="Times New Roman" w:hAnsi="Times New Roman"/>
                <w:sz w:val="26"/>
                <w:szCs w:val="26"/>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AFFO Attributable to Common Stockholders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11,648</w:t>
            </w:r>
          </w:p>
        </w:tc>
        <w:tc>
          <w:tcPr>
            <w:tcW w:w="0" w:type="dxa"/>
            <w:vAlign w:val="bottom"/>
          </w:tcPr>
          <w:p>
            <w:pPr>
              <w:spacing w:after="0"/>
              <w:rPr>
                <w:sz w:val="1"/>
                <w:szCs w:val="1"/>
                <w:color w:val="auto"/>
              </w:rPr>
            </w:pPr>
          </w:p>
        </w:tc>
      </w:tr>
      <w:tr>
        <w:trPr>
          <w:trHeight w:val="190"/>
        </w:trPr>
        <w:tc>
          <w:tcPr>
            <w:tcW w:w="56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AFFO Attributable to Common Stockholders per Common Share - Diluted</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6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174"/>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w:t>
            </w:r>
          </w:p>
        </w:tc>
        <w:tc>
          <w:tcPr>
            <w:tcW w:w="34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240" w:type="dxa"/>
            <w:vAlign w:val="bottom"/>
            <w:tcBorders>
              <w:bottom w:val="single" w:sz="8" w:color="auto"/>
            </w:tcBorders>
          </w:tcPr>
          <w:p>
            <w:pPr>
              <w:spacing w:after="0"/>
              <w:rPr>
                <w:sz w:val="8"/>
                <w:szCs w:val="8"/>
                <w:color w:val="auto"/>
              </w:rPr>
            </w:pPr>
          </w:p>
        </w:tc>
        <w:tc>
          <w:tcPr>
            <w:tcW w:w="3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left="380" w:right="79" w:hanging="330"/>
        <w:spacing w:after="0" w:line="241" w:lineRule="auto"/>
        <w:tabs>
          <w:tab w:leader="none" w:pos="38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weighted average shares used to compute per share amounts for FFO Attributable to Common Stockholders per Common Share – Diluted, Core FFO Attributable to Common Stockholders per Common Share - Diluted, and AFFO Attributable to Common Stockholders per Common Share - Diluted do not reflect any dilution related to the ultimate settlement of the 2025 Convertible Senior Notes.</w:t>
      </w:r>
    </w:p>
    <w:p>
      <w:pPr>
        <w:spacing w:after="0" w:line="2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ESTIMATES</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Critical accounting estimates include those estimates made in accordance with U.S. GAAP that involve a significant level of estimation uncertainty and have had or are reasonably likely to have a material impact on the Company’s financial condition or results of operations. Our most significant estimate is as follows:</w:t>
      </w:r>
    </w:p>
    <w:p>
      <w:pPr>
        <w:spacing w:after="0" w:line="174" w:lineRule="exact"/>
        <w:rPr>
          <w:sz w:val="20"/>
          <w:szCs w:val="20"/>
          <w:color w:val="auto"/>
        </w:rPr>
      </w:pPr>
    </w:p>
    <w:p>
      <w:pPr>
        <w:jc w:val="both"/>
        <w:ind w:left="60" w:right="59" w:firstLine="441"/>
        <w:spacing w:after="0" w:line="252" w:lineRule="auto"/>
        <w:rPr>
          <w:sz w:val="20"/>
          <w:szCs w:val="20"/>
          <w:color w:val="auto"/>
        </w:rPr>
      </w:pPr>
      <w:r>
        <w:rPr>
          <w:rFonts w:ascii="Times New Roman" w:cs="Times New Roman" w:eastAsia="Times New Roman" w:hAnsi="Times New Roman"/>
          <w:sz w:val="18"/>
          <w:szCs w:val="18"/>
          <w:i w:val="1"/>
          <w:iCs w:val="1"/>
          <w:color w:val="auto"/>
        </w:rPr>
        <w:t>Purchase Accounting for Acquisitions of Real Estate Subject to a Lease</w:t>
      </w:r>
      <w:r>
        <w:rPr>
          <w:rFonts w:ascii="Times New Roman" w:cs="Times New Roman" w:eastAsia="Times New Roman" w:hAnsi="Times New Roman"/>
          <w:sz w:val="18"/>
          <w:szCs w:val="18"/>
          <w:color w:val="auto"/>
        </w:rPr>
        <w:t>. As required by U.S. GAAP, the fair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assumptions underlying the allocation of relative fair values are based on market information including, but not limited to: (i) the estimate of replacement cost of improvements under the cost approach, (ii) the estimate of land values based on comparable sales under the sales comparison approach, and (iii) the estimate of future benefits determined by either a reasonable rate of return over a single year’s net cash flow, or a forecast of net cash flows projected over a reasonable investment horizon under the income capitalization approach. The underlying assumptions are subject to uncertainty and thus any changes to the allocation of fair value to each of the various line items within the Company’s consolidated balance sheets could have an impact on the Company’s financial condition as well as results of operations due to resulting changes in depreciation and amortization as a result of the fair value allocation. The acquisitions of real estate subject to this estimate totaled one multi-tenant income property for an aggregate purchase price of $79.5 million, or a total acquisition cost of $80.0 million, for the three months ended March 31, 2025, and </w:t>
      </w:r>
      <w:r>
        <w:rPr>
          <w:rFonts w:ascii="Times New Roman" w:cs="Times New Roman" w:eastAsia="Times New Roman" w:hAnsi="Times New Roman"/>
          <w:sz w:val="18"/>
          <w:szCs w:val="18"/>
          <w:color w:val="212529"/>
        </w:rPr>
        <w:t>one building within an existing multi-tenant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property and one multi-tenant property for an aggregate purchase price of $71.0 million, or a total acquisition cost of $71.1 million, for the three months ended March 31, 2024</w:t>
      </w:r>
      <w:r>
        <w:rPr>
          <w:rFonts w:ascii="Times New Roman" w:cs="Times New Roman" w:eastAsia="Times New Roman" w:hAnsi="Times New Roman"/>
          <w:sz w:val="18"/>
          <w:szCs w:val="18"/>
          <w:color w:val="000000"/>
        </w:rPr>
        <w:t>.</w:t>
      </w:r>
    </w:p>
    <w:p>
      <w:pPr>
        <w:spacing w:after="0" w:line="234"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 in the Notes to Financial Statements, for further discussion of the Company’s accounting estimates and policies.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The principal market risk (i.e. the risk of loss arising from adverse changes in market rates and prices), to which we are exposed is interest rate risk relating to our debt. We may utilize overnight sweep accounts and short-term investments as a means to minimize the interest rate risk. We do not believe that interest rate risk related to cash equivalents and short-term investments, if any, is material due to the nature of the investments.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We are primarily exposed to interest rate risk relating to our own debt in connection with our Credit Facility, as this facility carries a variable rate of interest. Our borrowings on our $300.0 million Credit Facility bear interest at a rate ranging from SOFR plus 0.10% plus 125 basis points to SOFR plus 0.10% plus 220 basis points based on our level of borrowing as a percentage of our total asset value. As of March 31, 2025, the outstanding balance on our Credit Facility totaled $170.0 million of which $120.0 million was not fixed by virtue of an interest rate swap agreement. As of March 31, 2024, the outstanding balance on our Credit Facility was $209.5 million of which $59.5 million was not fixed by virtue of an interest rate swap agreement. A hypothetical change in the interest rate of 100 basis points (i.e., 1%) would affect our financial position, results of operations, and cash flows by $1.2 million and $0.6 million as of March 31, 2025 and 2024, respectively. The Company entered into interest rate swap agreements to hedge against changes in future cash flows resulting from fluctuating interest rates related to certain of its debt borrowings, see Note 16, “Interest Rate Swaps” in the Notes to Financial Statements. By virtue of fixing the variable rate on certain debt borrowings, our exposure to changes in interest rates is minimal but for the impact on other comprehensive income and loss. Management’s objective is to limit the impact of interest rate changes on earnings and cash flows and to manage our overall borrowing costs.</w:t>
      </w: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p>
    <w:p>
      <w:pPr>
        <w:spacing w:after="0" w:line="270"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As of the end of the period covered by this report, an evaluation, as required by Rules 13a-15 and 15d-15 of the Securities Exchange Act of 1934 (the “Exchange Act”) was carried out under the supervision and with the participation of the Company’s management, including the Chief Executive Officer (“CEO”) and Chief Financial Officer (“CFO”), of the effectiveness of the Company’s disclosure controls and procedures (as defined in Rules 13a-15(e) or 15d-15(e) of the Exchange Act). Based on that evaluation, the CEO and CFO have concluded that the design and operation of the Company’s disclosure controls and procedures are effective to ensure that information required to be disclosed by the Company in reports that it files or submits under the Exchange Act is recorded, processed, summarized, and reported within the time periods specified in Securities and Exchange Commission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 There were no changes in the Company’s internal control over financial reporting (as defined in Rules 13a-15(f) or 15d-15(f) under the Exchange Act) during the three months ended March 31, 2025, that have materially affected, or are reasonably likely to materially affect, the Company’s internal control over financial reporting.</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PART II—OTHER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 LEGAL PROCEEDINGS</w:t>
      </w:r>
    </w:p>
    <w:p>
      <w:pPr>
        <w:spacing w:after="0" w:line="270"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a party to certain legal proceedings, incidental to the normal course of its business. While the outcome of the legal proceedings cannot be predicted with certainty, the Company does not expect that these proceedings will have a material effect upon our financial condition or results of operations.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256"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For a discussion of the Company’s potential risks and uncertainties, see the information set forth under the heading Part I, “Item 1A. Risk Factors” in the Company’s Annual Report on Form 10-K for the year ended December 31, 2024 (the “Form 10-K”). The risks described in the Form 10-K are not the only risks facing the Company. Additional risks and uncertainties not currently known to the Company or that the Company currently deems to be immaterial also may materially adversely affect the Company. As of March 31, 2025, there have been no material changes in our risk factors from those set forth within the Form 10-K.</w:t>
      </w: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p>
    <w:p>
      <w:pPr>
        <w:spacing w:after="0" w:line="2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Exhibits:</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(3.1)</w:t>
            </w:r>
          </w:p>
        </w:tc>
        <w:tc>
          <w:tcPr>
            <w:tcW w:w="7520" w:type="dxa"/>
            <w:vAlign w:val="bottom"/>
            <w:gridSpan w:val="16"/>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Articles of Amendment and Restatement of CTO Realty Growth, Inc., as amended by the Articles of</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75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Amendment (Name Change), filed as Exhibit 3.1 to the registrant’s current report on Form 8-K12B filed</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7520" w:type="dxa"/>
            <w:vAlign w:val="bottom"/>
            <w:gridSpan w:val="16"/>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February 1, 2021, and incorporated herein by reference.</w:t>
              </w:r>
            </w:hyperlink>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(3.2)</w:t>
            </w:r>
          </w:p>
        </w:tc>
        <w:tc>
          <w:tcPr>
            <w:tcW w:w="68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20" w:type="dxa"/>
            <w:vAlign w:val="bottom"/>
            <w:vMerge w:val="continue"/>
          </w:tcPr>
          <w:p>
            <w:pPr>
              <w:spacing w:after="0"/>
              <w:rPr>
                <w:sz w:val="24"/>
                <w:szCs w:val="24"/>
                <w:color w:val="auto"/>
              </w:rPr>
            </w:pPr>
          </w:p>
        </w:tc>
        <w:tc>
          <w:tcPr>
            <w:tcW w:w="67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Articles Supplementary, designating CTO Realty Growth, Inc.’s 6.375% Series A Cumulative</w:t>
              </w:r>
            </w:hyperlink>
          </w:p>
        </w:tc>
        <w:tc>
          <w:tcPr>
            <w:tcW w:w="7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74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Redeemable Preferred Stock, filed as Exhibit 3.2 to the registrant's Registration Statement on Form 8-A</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(3.3)</w:t>
            </w:r>
          </w:p>
        </w:tc>
        <w:tc>
          <w:tcPr>
            <w:tcW w:w="7520" w:type="dxa"/>
            <w:vAlign w:val="bottom"/>
            <w:gridSpan w:val="16"/>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filed July 1, 2021 (File No. 001-11350), and incorporated herein by reference.</w:t>
              </w:r>
            </w:hyperlink>
          </w:p>
        </w:tc>
        <w:tc>
          <w:tcPr>
            <w:tcW w:w="0" w:type="dxa"/>
            <w:vAlign w:val="bottom"/>
          </w:tcPr>
          <w:p>
            <w:pPr>
              <w:spacing w:after="0"/>
              <w:rPr>
                <w:sz w:val="1"/>
                <w:szCs w:val="1"/>
                <w:color w:val="auto"/>
              </w:rPr>
            </w:pPr>
          </w:p>
        </w:tc>
      </w:tr>
      <w:tr>
        <w:trPr>
          <w:trHeight w:val="20"/>
        </w:trPr>
        <w:tc>
          <w:tcPr>
            <w:tcW w:w="1320" w:type="dxa"/>
            <w:vAlign w:val="bottom"/>
            <w:vMerge w:val="continu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vMerge w:val="continue"/>
          </w:tcPr>
          <w:p>
            <w:pPr>
              <w:spacing w:after="0"/>
              <w:rPr>
                <w:sz w:val="17"/>
                <w:szCs w:val="17"/>
                <w:color w:val="auto"/>
              </w:rPr>
            </w:pPr>
          </w:p>
        </w:tc>
        <w:tc>
          <w:tcPr>
            <w:tcW w:w="74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Articles Supplementary, designating 3,000,000 additional shares of CTO Realty Growth, Inc.’s 6.375%</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74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Series A Cumulative Redeemable Preferred Stock, filed as Exhibit 3.1 to the registrant’s current report</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51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on Form 8-K filed April 3, 2024, and incorporated herein by reference.</w:t>
              </w:r>
            </w:hyperlink>
          </w:p>
        </w:tc>
        <w:tc>
          <w:tcPr>
            <w:tcW w:w="24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(3.4)</w:t>
            </w:r>
          </w:p>
        </w:tc>
        <w:tc>
          <w:tcPr>
            <w:tcW w:w="73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Third Amended and Restated Bylaws of CTO Realty Growth, Inc., effective as of February 16, 2023,</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67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filed as Exhibit 3.1 to the registrant’s current report on Form 8-K filed February 17, 2023, and</w:t>
              </w:r>
            </w:hyperlink>
          </w:p>
        </w:tc>
        <w:tc>
          <w:tcPr>
            <w:tcW w:w="7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24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incorporated herein by reference.</w:t>
              </w:r>
            </w:hyperlink>
          </w:p>
        </w:tc>
        <w:tc>
          <w:tcPr>
            <w:tcW w:w="51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(4.1)</w:t>
            </w:r>
          </w:p>
        </w:tc>
        <w:tc>
          <w:tcPr>
            <w:tcW w:w="75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Specimen Common Stock Certificate of CTO Realty Growth, Inc., filed as Exhibit 4.2 to the registrant’s</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67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current report on Form 8-K12B filed February 1, 2021, and incorporated herein by reference.</w:t>
              </w:r>
            </w:hyperlink>
          </w:p>
        </w:tc>
        <w:tc>
          <w:tcPr>
            <w:tcW w:w="8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(10.1)</w:t>
            </w:r>
          </w:p>
        </w:tc>
        <w:tc>
          <w:tcPr>
            <w:tcW w:w="74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Form of February 12, 2025 Non-Employee Director Stock Award Agreement, filed as Exhibit 10.40 to</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69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the registrant’s annual report on Form 10-K filed February 20, 2025, and incorporated herein by</w:t>
              </w:r>
            </w:hyperlink>
          </w:p>
        </w:tc>
        <w:tc>
          <w:tcPr>
            <w:tcW w:w="6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7520" w:type="dxa"/>
            <w:vAlign w:val="bottom"/>
            <w:gridSpan w:val="16"/>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reference</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13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(10.2)</w:t>
            </w:r>
          </w:p>
        </w:tc>
        <w:tc>
          <w:tcPr>
            <w:tcW w:w="680" w:type="dxa"/>
            <w:vAlign w:val="bottom"/>
            <w:shd w:val="clear" w:color="auto" w:fill="0000EE"/>
          </w:tcPr>
          <w:p>
            <w:pPr>
              <w:spacing w:after="0" w:line="20" w:lineRule="exact"/>
              <w:rPr>
                <w:sz w:val="1"/>
                <w:szCs w:val="1"/>
                <w:color w:val="auto"/>
              </w:rPr>
            </w:pPr>
          </w:p>
        </w:tc>
        <w:tc>
          <w:tcPr>
            <w:tcW w:w="6100" w:type="dxa"/>
            <w:vAlign w:val="bottom"/>
            <w:gridSpan w:val="7"/>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20" w:type="dxa"/>
            <w:vAlign w:val="bottom"/>
            <w:vMerge w:val="continue"/>
          </w:tcPr>
          <w:p>
            <w:pPr>
              <w:spacing w:after="0"/>
              <w:rPr>
                <w:sz w:val="24"/>
                <w:szCs w:val="24"/>
                <w:color w:val="auto"/>
              </w:rPr>
            </w:pPr>
          </w:p>
        </w:tc>
        <w:tc>
          <w:tcPr>
            <w:tcW w:w="7520" w:type="dxa"/>
            <w:vAlign w:val="bottom"/>
            <w:gridSpan w:val="16"/>
          </w:tcPr>
          <w:p>
            <w:pPr>
              <w:spacing w:after="0"/>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Form of February 12, 2025 Performance Share Award Agreement filed as Exhibit 10.41 to the</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780" w:type="dxa"/>
            <w:vAlign w:val="bottom"/>
            <w:gridSpan w:val="8"/>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7520" w:type="dxa"/>
            <w:vAlign w:val="bottom"/>
            <w:gridSpan w:val="16"/>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registrant’s annual report on Form 10-K filed February 20, 2025, and incorporated herein by reference</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ind w:left="60"/>
        <w:spacing w:after="0"/>
        <w:tabs>
          <w:tab w:leader="none" w:pos="1360" w:val="left"/>
        </w:tabs>
        <w:rPr>
          <w:sz w:val="20"/>
          <w:szCs w:val="20"/>
          <w:color w:val="auto"/>
        </w:rPr>
      </w:pPr>
      <w:r>
        <w:rPr>
          <w:rFonts w:ascii="Times New Roman" w:cs="Times New Roman" w:eastAsia="Times New Roman" w:hAnsi="Times New Roman"/>
          <w:sz w:val="17"/>
          <w:szCs w:val="17"/>
          <w:color w:val="auto"/>
        </w:rPr>
        <w:t>Exhibit 31.1</w:t>
      </w:r>
      <w:r>
        <w:rPr>
          <w:sz w:val="20"/>
          <w:szCs w:val="20"/>
          <w:color w:val="auto"/>
        </w:rPr>
        <w:tab/>
      </w:r>
      <w:r>
        <w:rPr>
          <w:rFonts w:ascii="Times New Roman" w:cs="Times New Roman" w:eastAsia="Times New Roman" w:hAnsi="Times New Roman"/>
          <w:sz w:val="17"/>
          <w:szCs w:val="17"/>
          <w:u w:val="single" w:color="auto"/>
          <w:color w:val="0000EE"/>
        </w:rPr>
        <w:t>Certification filed pursuant to Section 302 of the Sarbanes-Oxley Act of 2002.</w:t>
      </w:r>
    </w:p>
    <w:p>
      <w:pPr>
        <w:spacing w:after="0" w:line="129" w:lineRule="exact"/>
        <w:rPr>
          <w:sz w:val="20"/>
          <w:szCs w:val="20"/>
          <w:color w:val="auto"/>
        </w:rPr>
      </w:pPr>
    </w:p>
    <w:p>
      <w:pPr>
        <w:ind w:left="60"/>
        <w:spacing w:after="0"/>
        <w:tabs>
          <w:tab w:leader="none" w:pos="1360" w:val="left"/>
        </w:tabs>
        <w:rPr>
          <w:sz w:val="20"/>
          <w:szCs w:val="20"/>
          <w:color w:val="auto"/>
        </w:rPr>
      </w:pPr>
      <w:r>
        <w:rPr>
          <w:rFonts w:ascii="Times New Roman" w:cs="Times New Roman" w:eastAsia="Times New Roman" w:hAnsi="Times New Roman"/>
          <w:sz w:val="17"/>
          <w:szCs w:val="17"/>
          <w:color w:val="auto"/>
        </w:rPr>
        <w:t>Exhibit 31.2</w:t>
      </w:r>
      <w:r>
        <w:rPr>
          <w:sz w:val="20"/>
          <w:szCs w:val="20"/>
          <w:color w:val="auto"/>
        </w:rPr>
        <w:tab/>
      </w:r>
      <w:r>
        <w:rPr>
          <w:rFonts w:ascii="Times New Roman" w:cs="Times New Roman" w:eastAsia="Times New Roman" w:hAnsi="Times New Roman"/>
          <w:sz w:val="17"/>
          <w:szCs w:val="17"/>
          <w:u w:val="single" w:color="auto"/>
          <w:color w:val="0000EE"/>
        </w:rPr>
        <w:t>Certification filed pursuant to Section 302 of the Sarbanes-Oxley Act of 2002.</w:t>
      </w:r>
    </w:p>
    <w:p>
      <w:pPr>
        <w:spacing w:after="0" w:line="129" w:lineRule="exact"/>
        <w:rPr>
          <w:sz w:val="20"/>
          <w:szCs w:val="20"/>
          <w:color w:val="auto"/>
        </w:rPr>
      </w:pPr>
    </w:p>
    <w:p>
      <w:pPr>
        <w:ind w:left="1380" w:right="659" w:hanging="1336"/>
        <w:spacing w:after="0" w:line="281" w:lineRule="auto"/>
        <w:tabs>
          <w:tab w:leader="none" w:pos="1360" w:val="left"/>
        </w:tabs>
        <w:rPr>
          <w:sz w:val="20"/>
          <w:szCs w:val="20"/>
          <w:color w:val="auto"/>
        </w:rPr>
      </w:pPr>
      <w:r>
        <w:rPr>
          <w:rFonts w:ascii="Times New Roman" w:cs="Times New Roman" w:eastAsia="Times New Roman" w:hAnsi="Times New Roman"/>
          <w:sz w:val="17"/>
          <w:szCs w:val="17"/>
          <w:color w:val="auto"/>
        </w:rPr>
        <w:t>**Exhibit 32.1</w:t>
      </w:r>
      <w:r>
        <w:rPr>
          <w:sz w:val="20"/>
          <w:szCs w:val="20"/>
          <w:color w:val="auto"/>
        </w:rPr>
        <w:tab/>
      </w:r>
      <w:r>
        <w:rPr>
          <w:rFonts w:ascii="Times New Roman" w:cs="Times New Roman" w:eastAsia="Times New Roman" w:hAnsi="Times New Roman"/>
          <w:sz w:val="17"/>
          <w:szCs w:val="17"/>
          <w:u w:val="single" w:color="auto"/>
          <w:color w:val="0000EE"/>
        </w:rPr>
        <w:t>Certification furnished pursuant to 18 U.S.C. Section 1350, as Adopted pursuant to Section 906 of the Sarbanes-Oxley Act of 2002.</w:t>
      </w:r>
    </w:p>
    <w:p>
      <w:pPr>
        <w:spacing w:after="0" w:line="69" w:lineRule="exact"/>
        <w:rPr>
          <w:sz w:val="20"/>
          <w:szCs w:val="20"/>
          <w:color w:val="auto"/>
        </w:rPr>
      </w:pPr>
    </w:p>
    <w:p>
      <w:pPr>
        <w:ind w:left="1380" w:right="659" w:hanging="1336"/>
        <w:spacing w:after="0" w:line="281" w:lineRule="auto"/>
        <w:tabs>
          <w:tab w:leader="none" w:pos="1360" w:val="left"/>
        </w:tabs>
        <w:rPr>
          <w:sz w:val="20"/>
          <w:szCs w:val="20"/>
          <w:color w:val="auto"/>
        </w:rPr>
      </w:pPr>
      <w:r>
        <w:rPr>
          <w:rFonts w:ascii="Times New Roman" w:cs="Times New Roman" w:eastAsia="Times New Roman" w:hAnsi="Times New Roman"/>
          <w:sz w:val="17"/>
          <w:szCs w:val="17"/>
          <w:color w:val="auto"/>
        </w:rPr>
        <w:t>**Exhibit 32.2</w:t>
      </w:r>
      <w:r>
        <w:rPr>
          <w:sz w:val="20"/>
          <w:szCs w:val="20"/>
          <w:color w:val="auto"/>
        </w:rPr>
        <w:tab/>
      </w:r>
      <w:r>
        <w:rPr>
          <w:rFonts w:ascii="Times New Roman" w:cs="Times New Roman" w:eastAsia="Times New Roman" w:hAnsi="Times New Roman"/>
          <w:sz w:val="17"/>
          <w:szCs w:val="17"/>
          <w:u w:val="single" w:color="auto"/>
          <w:color w:val="0000EE"/>
        </w:rPr>
        <w:t>Certification furnished pursuant to 18 U.S.C. Section 1350, as Adopted pursuant to Section 906 of the Sarbanes-Oxley Act of 2002.</w:t>
      </w:r>
    </w:p>
    <w:p>
      <w:pPr>
        <w:spacing w:after="0" w:line="69" w:lineRule="exact"/>
        <w:rPr>
          <w:sz w:val="20"/>
          <w:szCs w:val="20"/>
          <w:color w:val="auto"/>
        </w:rPr>
      </w:pPr>
    </w:p>
    <w:p>
      <w:pPr>
        <w:ind w:left="60"/>
        <w:spacing w:after="0"/>
        <w:tabs>
          <w:tab w:leader="none" w:pos="1360" w:val="left"/>
        </w:tabs>
        <w:rPr>
          <w:sz w:val="20"/>
          <w:szCs w:val="20"/>
          <w:color w:val="auto"/>
        </w:rPr>
      </w:pPr>
      <w:r>
        <w:rPr>
          <w:rFonts w:ascii="Times New Roman" w:cs="Times New Roman" w:eastAsia="Times New Roman" w:hAnsi="Times New Roman"/>
          <w:sz w:val="17"/>
          <w:szCs w:val="17"/>
          <w:color w:val="auto"/>
        </w:rPr>
        <w:t>Exhibit 101.INS</w:t>
        <w:tab/>
        <w:t>Inline XBRL Instance Document</w:t>
      </w:r>
    </w:p>
    <w:p>
      <w:pPr>
        <w:spacing w:after="0" w:line="129" w:lineRule="exact"/>
        <w:rPr>
          <w:sz w:val="20"/>
          <w:szCs w:val="20"/>
          <w:color w:val="auto"/>
        </w:rPr>
      </w:pPr>
    </w:p>
    <w:p>
      <w:pPr>
        <w:ind w:left="60"/>
        <w:spacing w:after="0"/>
        <w:tabs>
          <w:tab w:leader="none" w:pos="1360" w:val="left"/>
        </w:tabs>
        <w:rPr>
          <w:sz w:val="20"/>
          <w:szCs w:val="20"/>
          <w:color w:val="auto"/>
        </w:rPr>
      </w:pPr>
      <w:r>
        <w:rPr>
          <w:rFonts w:ascii="Times New Roman" w:cs="Times New Roman" w:eastAsia="Times New Roman" w:hAnsi="Times New Roman"/>
          <w:sz w:val="17"/>
          <w:szCs w:val="17"/>
          <w:color w:val="auto"/>
        </w:rPr>
        <w:t>Exhibit 101.SCH</w:t>
        <w:tab/>
        <w:t>Inline XBRL Taxonomy Extension Schema Document</w:t>
      </w:r>
    </w:p>
    <w:p>
      <w:pPr>
        <w:spacing w:after="0" w:line="129" w:lineRule="exact"/>
        <w:rPr>
          <w:sz w:val="20"/>
          <w:szCs w:val="20"/>
          <w:color w:val="auto"/>
        </w:rPr>
      </w:pPr>
    </w:p>
    <w:p>
      <w:pPr>
        <w:ind w:left="60" w:right="2979"/>
        <w:spacing w:after="0" w:line="397" w:lineRule="auto"/>
        <w:rPr>
          <w:sz w:val="20"/>
          <w:szCs w:val="20"/>
          <w:color w:val="auto"/>
        </w:rPr>
      </w:pPr>
      <w:r>
        <w:rPr>
          <w:rFonts w:ascii="Times New Roman" w:cs="Times New Roman" w:eastAsia="Times New Roman" w:hAnsi="Times New Roman"/>
          <w:sz w:val="17"/>
          <w:szCs w:val="17"/>
          <w:color w:val="auto"/>
        </w:rPr>
        <w:t>Exhibit 101.CAL Inline XBRL Taxonomy Extension Calculation Linkbase Document Exhibit 101.DEF Inline XBRL Taxonomy Definition Linkbase Document</w:t>
      </w:r>
    </w:p>
    <w:p>
      <w:pPr>
        <w:spacing w:after="0" w:line="1" w:lineRule="exact"/>
        <w:rPr>
          <w:sz w:val="20"/>
          <w:szCs w:val="20"/>
          <w:color w:val="auto"/>
        </w:rPr>
      </w:pPr>
    </w:p>
    <w:p>
      <w:pPr>
        <w:ind w:left="60" w:right="2919"/>
        <w:spacing w:after="0" w:line="397" w:lineRule="auto"/>
        <w:rPr>
          <w:sz w:val="20"/>
          <w:szCs w:val="20"/>
          <w:color w:val="auto"/>
        </w:rPr>
      </w:pPr>
      <w:r>
        <w:rPr>
          <w:rFonts w:ascii="Times New Roman" w:cs="Times New Roman" w:eastAsia="Times New Roman" w:hAnsi="Times New Roman"/>
          <w:sz w:val="17"/>
          <w:szCs w:val="17"/>
          <w:color w:val="auto"/>
        </w:rPr>
        <w:t>Exhibit 101.LAB Inline XBRL Taxonomy Extension Label Linkbase Document Exhibit 101.PRE Inline XBRL Taxonomy Extension Presentation Linkbase Document</w:t>
      </w:r>
    </w:p>
    <w:p>
      <w:pPr>
        <w:spacing w:after="0" w:line="1" w:lineRule="exact"/>
        <w:rPr>
          <w:sz w:val="20"/>
          <w:szCs w:val="20"/>
          <w:color w:val="auto"/>
        </w:rPr>
      </w:pPr>
    </w:p>
    <w:p>
      <w:pPr>
        <w:ind w:left="60"/>
        <w:spacing w:after="0"/>
        <w:tabs>
          <w:tab w:leader="none" w:pos="1360" w:val="left"/>
        </w:tabs>
        <w:rPr>
          <w:sz w:val="20"/>
          <w:szCs w:val="20"/>
          <w:color w:val="auto"/>
        </w:rPr>
      </w:pPr>
      <w:r>
        <w:rPr>
          <w:rFonts w:ascii="Times New Roman" w:cs="Times New Roman" w:eastAsia="Times New Roman" w:hAnsi="Times New Roman"/>
          <w:sz w:val="17"/>
          <w:szCs w:val="17"/>
          <w:color w:val="auto"/>
        </w:rPr>
        <w:t>Exhibit 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380" w:right="379" w:hanging="330"/>
        <w:spacing w:after="0" w:line="261" w:lineRule="auto"/>
        <w:tabs>
          <w:tab w:leader="none" w:pos="3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 accordance with Item 601(b)(32) of Regulation S-K, this Exhibit is not deemed “filed” for purposes of Section 18 of the Exchange Act or otherwise subject to the liabilities of that section. Such certifications will not be deemed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(Registrant)</w:t>
      </w:r>
    </w:p>
    <w:p>
      <w:pPr>
        <w:spacing w:after="0" w:line="234" w:lineRule="exact"/>
        <w:rPr>
          <w:sz w:val="20"/>
          <w:szCs w:val="20"/>
          <w:color w:val="auto"/>
        </w:rPr>
      </w:pPr>
    </w:p>
    <w:p>
      <w:pPr>
        <w:ind w:left="40"/>
        <w:spacing w:after="0"/>
        <w:tabs>
          <w:tab w:leader="none" w:pos="4620" w:val="left"/>
        </w:tabs>
        <w:rPr>
          <w:sz w:val="20"/>
          <w:szCs w:val="20"/>
          <w:color w:val="auto"/>
        </w:rPr>
      </w:pPr>
      <w:r>
        <w:rPr>
          <w:rFonts w:ascii="Times New Roman" w:cs="Times New Roman" w:eastAsia="Times New Roman" w:hAnsi="Times New Roman"/>
          <w:sz w:val="18"/>
          <w:szCs w:val="18"/>
          <w:color w:val="auto"/>
        </w:rPr>
        <w:t>May 1, 2025</w:t>
      </w:r>
      <w:r>
        <w:rPr>
          <w:sz w:val="20"/>
          <w:szCs w:val="20"/>
          <w:color w:val="auto"/>
        </w:rPr>
        <w:tab/>
      </w:r>
      <w:r>
        <w:rPr>
          <w:rFonts w:ascii="Times New Roman" w:cs="Times New Roman" w:eastAsia="Times New Roman" w:hAnsi="Times New Roman"/>
          <w:sz w:val="18"/>
          <w:szCs w:val="18"/>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25546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John P. Albright</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61" w:lineRule="exact"/>
        <w:rPr>
          <w:sz w:val="20"/>
          <w:szCs w:val="20"/>
          <w:color w:val="auto"/>
        </w:rPr>
      </w:pPr>
    </w:p>
    <w:p>
      <w:pPr>
        <w:ind w:left="40"/>
        <w:spacing w:after="0"/>
        <w:tabs>
          <w:tab w:leader="none" w:pos="4620" w:val="left"/>
        </w:tabs>
        <w:rPr>
          <w:sz w:val="20"/>
          <w:szCs w:val="20"/>
          <w:color w:val="auto"/>
        </w:rPr>
      </w:pPr>
      <w:r>
        <w:rPr>
          <w:rFonts w:ascii="Times New Roman" w:cs="Times New Roman" w:eastAsia="Times New Roman" w:hAnsi="Times New Roman"/>
          <w:sz w:val="18"/>
          <w:szCs w:val="18"/>
          <w:color w:val="auto"/>
        </w:rPr>
        <w:t>May 1, 2025</w:t>
      </w:r>
      <w:r>
        <w:rPr>
          <w:sz w:val="20"/>
          <w:szCs w:val="20"/>
          <w:color w:val="auto"/>
        </w:rPr>
        <w:tab/>
      </w:r>
      <w:r>
        <w:rPr>
          <w:rFonts w:ascii="Times New Roman" w:cs="Times New Roman" w:eastAsia="Times New Roman" w:hAnsi="Times New Roman"/>
          <w:sz w:val="18"/>
          <w:szCs w:val="18"/>
          <w:color w:val="auto"/>
        </w:rPr>
        <w:t>By:  /s/ Philip R. Mays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4942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1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Philip R. Mays, Senior Vice President,</w:t>
      </w:r>
    </w:p>
    <w:p>
      <w:pPr>
        <w:spacing w:after="0" w:line="3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3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56" w:lineRule="exact"/>
        <w:rPr>
          <w:sz w:val="20"/>
          <w:szCs w:val="20"/>
          <w:color w:val="auto"/>
        </w:rPr>
      </w:pPr>
    </w:p>
    <w:p>
      <w:pPr>
        <w:ind w:left="40"/>
        <w:spacing w:after="0"/>
        <w:tabs>
          <w:tab w:leader="none" w:pos="4620" w:val="left"/>
        </w:tabs>
        <w:rPr>
          <w:sz w:val="20"/>
          <w:szCs w:val="20"/>
          <w:color w:val="auto"/>
        </w:rPr>
      </w:pPr>
      <w:r>
        <w:rPr>
          <w:rFonts w:ascii="Times New Roman" w:cs="Times New Roman" w:eastAsia="Times New Roman" w:hAnsi="Times New Roman"/>
          <w:sz w:val="18"/>
          <w:szCs w:val="18"/>
          <w:color w:val="auto"/>
        </w:rPr>
        <w:t>May 1, 2025</w:t>
      </w:r>
      <w:r>
        <w:rPr>
          <w:sz w:val="20"/>
          <w:szCs w:val="20"/>
          <w:color w:val="auto"/>
        </w:rPr>
        <w:tab/>
      </w:r>
      <w:r>
        <w:rPr>
          <w:rFonts w:ascii="Times New Roman" w:cs="Times New Roman" w:eastAsia="Times New Roman" w:hAnsi="Times New Roman"/>
          <w:sz w:val="18"/>
          <w:szCs w:val="18"/>
          <w:color w:val="auto"/>
        </w:rPr>
        <w:t>By:  /s/ Lisa M. Vorakoun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4942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Lisa M. Vorakoun, Senior Vice President and</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Chief Accounting Officer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John P. Albright, certify that:</w:t>
      </w:r>
    </w:p>
    <w:p>
      <w:pPr>
        <w:spacing w:after="0" w:line="185" w:lineRule="exact"/>
        <w:rPr>
          <w:sz w:val="20"/>
          <w:szCs w:val="20"/>
          <w:color w:val="auto"/>
        </w:rPr>
      </w:pPr>
    </w:p>
    <w:p>
      <w:pPr>
        <w:ind w:left="700" w:hanging="650"/>
        <w:spacing w:after="0"/>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CTO Realty Growth, Inc.;</w:t>
      </w:r>
    </w:p>
    <w:p>
      <w:pPr>
        <w:spacing w:after="0" w:line="184"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700" w:right="219" w:hanging="650"/>
        <w:spacing w:after="0" w:line="266" w:lineRule="auto"/>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680" w:right="219" w:hanging="658"/>
        <w:spacing w:after="0" w:line="261" w:lineRule="auto"/>
        <w:tabs>
          <w:tab w:leader="none" w:pos="16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1680" w:right="319" w:hanging="658"/>
        <w:spacing w:after="0" w:line="266" w:lineRule="auto"/>
        <w:tabs>
          <w:tab w:leader="none" w:pos="16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ind w:left="700" w:right="379" w:hanging="650"/>
        <w:spacing w:after="0" w:line="266" w:lineRule="auto"/>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680" w:right="359" w:hanging="658"/>
        <w:spacing w:after="0" w:line="266" w:lineRule="auto"/>
        <w:tabs>
          <w:tab w:leader="none" w:pos="16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680" w:right="579" w:hanging="658"/>
        <w:spacing w:after="0" w:line="282" w:lineRule="auto"/>
        <w:tabs>
          <w:tab w:leader="none" w:pos="16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1, 2025</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17145</wp:posOffset>
            </wp:positionV>
            <wp:extent cx="27171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John P. Albright</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3" w:name="page54"/>
    <w:bookmarkEnd w:id="5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Philip R. Mays, certify that:</w:t>
      </w:r>
    </w:p>
    <w:p>
      <w:pPr>
        <w:spacing w:after="0" w:line="185" w:lineRule="exact"/>
        <w:rPr>
          <w:sz w:val="20"/>
          <w:szCs w:val="20"/>
          <w:color w:val="auto"/>
        </w:rPr>
      </w:pPr>
    </w:p>
    <w:p>
      <w:pPr>
        <w:ind w:left="700" w:hanging="650"/>
        <w:spacing w:after="0"/>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CTO Realty Growth, Inc.;</w:t>
      </w:r>
    </w:p>
    <w:p>
      <w:pPr>
        <w:spacing w:after="0" w:line="184"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700" w:right="219" w:hanging="650"/>
        <w:spacing w:after="0" w:line="266" w:lineRule="auto"/>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680" w:right="219" w:hanging="658"/>
        <w:spacing w:after="0" w:line="261" w:lineRule="auto"/>
        <w:tabs>
          <w:tab w:leader="none" w:pos="16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1680" w:right="319" w:hanging="658"/>
        <w:spacing w:after="0" w:line="266" w:lineRule="auto"/>
        <w:tabs>
          <w:tab w:leader="none" w:pos="16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ind w:left="700" w:right="379" w:hanging="650"/>
        <w:spacing w:after="0" w:line="266" w:lineRule="auto"/>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680" w:right="359" w:hanging="658"/>
        <w:spacing w:after="0" w:line="266" w:lineRule="auto"/>
        <w:tabs>
          <w:tab w:leader="none" w:pos="16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680" w:right="579" w:hanging="658"/>
        <w:spacing w:after="0" w:line="282" w:lineRule="auto"/>
        <w:tabs>
          <w:tab w:leader="none" w:pos="16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1, 2025</w:t>
      </w:r>
    </w:p>
    <w:p>
      <w:pPr>
        <w:spacing w:after="0" w:line="198" w:lineRule="exact"/>
        <w:rPr>
          <w:sz w:val="20"/>
          <w:szCs w:val="20"/>
          <w:color w:val="auto"/>
        </w:rPr>
      </w:pPr>
    </w:p>
    <w:p>
      <w:pPr>
        <w:ind w:left="60"/>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Philip R. Mays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4599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Philip R. Mays, Senior Vice President, Chief</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Financial Officer and Treasurer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4" w:name="page55"/>
    <w:bookmarkEnd w:id="5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CTO Realty Growth, Inc. (the “Company”) on Form 10-Q for the period ended March 31, 2025, as filed with the Securities and Exchange Commission on the date hereof (the “Report”), I, John P. Albright, President and Chief Executive Officer of the Company, certify, pursuant to 18 U.S.C. Section 1350, as adopted pursuant to Section 906 of the Sarbanes-Oxley Act of 2002, that:</w:t>
      </w:r>
    </w:p>
    <w:p>
      <w:pPr>
        <w:spacing w:after="0" w:line="180" w:lineRule="exact"/>
        <w:rPr>
          <w:sz w:val="20"/>
          <w:szCs w:val="20"/>
          <w:color w:val="auto"/>
        </w:rPr>
      </w:pPr>
    </w:p>
    <w:p>
      <w:pPr>
        <w:ind w:left="1340" w:right="359" w:hanging="642"/>
        <w:spacing w:after="0" w:line="282" w:lineRule="auto"/>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340" w:right="279" w:hanging="642"/>
        <w:spacing w:after="0" w:line="282" w:lineRule="auto"/>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1, 2025</w:t>
      </w:r>
    </w:p>
    <w:p>
      <w:pPr>
        <w:spacing w:after="0" w:line="239"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17145</wp:posOffset>
            </wp:positionV>
            <wp:extent cx="26917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John P. Albright</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5" w:name="page56"/>
    <w:bookmarkEnd w:id="5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CTO Realty Growth, Inc. (the “Company”) on Form 10-Q for the period ended March 31, 2025, as filed with the Securities and Exchange Commission on the date hereof (the “Report”), I, Philip R. Mays, Senior Vice President, Chief Financial Officer and Treasurer of the Company, certify, pursuant to 18 U.S.C. Section 1350, as adopted pursuant to Section 906 of the Sarbanes-Oxley Act of 2002, that:</w:t>
      </w:r>
    </w:p>
    <w:p>
      <w:pPr>
        <w:spacing w:after="0" w:line="180" w:lineRule="exact"/>
        <w:rPr>
          <w:sz w:val="20"/>
          <w:szCs w:val="20"/>
          <w:color w:val="auto"/>
        </w:rPr>
      </w:pPr>
    </w:p>
    <w:p>
      <w:pPr>
        <w:ind w:left="1340" w:right="359" w:hanging="642"/>
        <w:spacing w:after="0" w:line="282" w:lineRule="auto"/>
        <w:tabs>
          <w:tab w:leader="none" w:pos="1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340" w:right="279" w:hanging="642"/>
        <w:spacing w:after="0" w:line="282" w:lineRule="auto"/>
        <w:tabs>
          <w:tab w:leader="none" w:pos="1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1, 2025</w:t>
      </w:r>
    </w:p>
    <w:p>
      <w:pPr>
        <w:spacing w:after="0" w:line="239" w:lineRule="exact"/>
        <w:rPr>
          <w:sz w:val="20"/>
          <w:szCs w:val="20"/>
          <w:color w:val="auto"/>
        </w:rPr>
      </w:pPr>
    </w:p>
    <w:p>
      <w:pPr>
        <w:ind w:left="60"/>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/s/ Philip R. Mays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17145</wp:posOffset>
            </wp:positionV>
            <wp:extent cx="24688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Philip R. Mays, Senior Vice President, Chief</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Financial Officer and Treasurer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622935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lowerRoman"/>
      <w:start w:val="1"/>
    </w:lvl>
  </w:abstractNum>
  <w:abstractNum w:abstractNumId="11">
    <w:nsid w:val="7C83E458"/>
    <w:multiLevelType w:val="hybridMultilevel"/>
    <w:lvl w:ilvl="0">
      <w:lvlJc w:val="left"/>
      <w:lvlText w:val="(%1)"/>
      <w:numFmt w:val="lowerRoman"/>
      <w:start w:val="4"/>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69" Type="http://schemas.openxmlformats.org/officeDocument/2006/relationships/hyperlink" Target="https://www.sec.gov/Archives/edgar/data/0000023795/000119312521023648/d113606dex31.htm" TargetMode="External"/><Relationship Id="rId70" Type="http://schemas.openxmlformats.org/officeDocument/2006/relationships/hyperlink" Target="https://www.sec.gov/Archives/edgar/data/23795/000119312521206336/d124719dex32.htm" TargetMode="External"/><Relationship Id="rId71" Type="http://schemas.openxmlformats.org/officeDocument/2006/relationships/hyperlink" Target="https://www.sec.gov/Archives/edgar/data/23795/000110465924043097/tm2410761d1_ex3-1.htm" TargetMode="External"/><Relationship Id="rId72" Type="http://schemas.openxmlformats.org/officeDocument/2006/relationships/hyperlink" Target="https://www.sec.gov/Archives/edgar/data/23795/000155837023001536/cto-20230216xex3d1.htm" TargetMode="External"/><Relationship Id="rId73" Type="http://schemas.openxmlformats.org/officeDocument/2006/relationships/hyperlink" Target="https://www.sec.gov/Archives/edgar/data/0000023795/000119312521023648/d113606dex42.htm" TargetMode="External"/><Relationship Id="rId74" Type="http://schemas.openxmlformats.org/officeDocument/2006/relationships/hyperlink" Target="https://www.sec.gov/Archives/edgar/data/23795/000155837025001229/cto-20241231xex10d40.htm" TargetMode="External"/><Relationship Id="rId75" Type="http://schemas.openxmlformats.org/officeDocument/2006/relationships/hyperlink" Target="https://www.sec.gov/Archives/edgar/data/23795/000155837025001229/cto-20241231xex10d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2025-05-01T15:30:56Z</dcterms:created>
  <dcterms:modified xsi:type="dcterms:W3CDTF">2025-05-01T15:30:56Z</dcterms:modified>
</cp:coreProperties>
</file>